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B004" w14:textId="77777777" w:rsidR="00E0074D" w:rsidRPr="00CB1714" w:rsidRDefault="00E0074D" w:rsidP="00CB1714">
      <w:pPr>
        <w:pStyle w:val="Header"/>
        <w:tabs>
          <w:tab w:val="clear" w:pos="4320"/>
          <w:tab w:val="clear" w:pos="8640"/>
        </w:tabs>
        <w:spacing w:line="240" w:lineRule="auto"/>
        <w:rPr>
          <w:rFonts w:ascii="Lato" w:hAnsi="Lato"/>
        </w:rPr>
      </w:pPr>
      <w:bookmarkStart w:id="0" w:name="_GoBack"/>
      <w:bookmarkEnd w:id="0"/>
    </w:p>
    <w:p w14:paraId="6FE05175" w14:textId="77777777" w:rsidR="00E0074D" w:rsidRPr="00CB1714" w:rsidRDefault="00E0074D">
      <w:pPr>
        <w:rPr>
          <w:rFonts w:ascii="Lato" w:hAnsi="Lato"/>
        </w:rPr>
      </w:pPr>
    </w:p>
    <w:p w14:paraId="0BA1E4B3" w14:textId="77777777" w:rsidR="00E0074D" w:rsidRPr="00CB1714" w:rsidRDefault="00E0074D">
      <w:pPr>
        <w:rPr>
          <w:rFonts w:ascii="Lato" w:hAnsi="Lato"/>
        </w:rPr>
      </w:pPr>
    </w:p>
    <w:p w14:paraId="5CCF6FC8" w14:textId="77777777" w:rsidR="00E0074D" w:rsidRPr="00CB1714" w:rsidRDefault="00E0074D">
      <w:pPr>
        <w:rPr>
          <w:rFonts w:ascii="Lato" w:hAnsi="Lato"/>
        </w:rPr>
      </w:pPr>
    </w:p>
    <w:p w14:paraId="1D0033CF" w14:textId="77777777" w:rsidR="00E0074D" w:rsidRPr="00CB1714" w:rsidRDefault="00E0074D">
      <w:pPr>
        <w:rPr>
          <w:rFonts w:ascii="Lato" w:hAnsi="Lato"/>
        </w:rPr>
      </w:pPr>
    </w:p>
    <w:p w14:paraId="2BD0521C" w14:textId="77777777" w:rsidR="00E0074D" w:rsidRPr="00CB1714" w:rsidRDefault="00E0074D">
      <w:pPr>
        <w:rPr>
          <w:rFonts w:ascii="Lato" w:hAnsi="Lato"/>
        </w:rPr>
      </w:pPr>
    </w:p>
    <w:p w14:paraId="71EAC1B4" w14:textId="77777777" w:rsidR="00E0074D" w:rsidRPr="00CB1714" w:rsidRDefault="00E0074D">
      <w:pPr>
        <w:rPr>
          <w:rFonts w:ascii="Lato" w:hAnsi="Lato"/>
        </w:rPr>
      </w:pPr>
    </w:p>
    <w:p w14:paraId="561605CF" w14:textId="77777777" w:rsidR="00E0074D" w:rsidRPr="00CB1714" w:rsidRDefault="00E0074D">
      <w:pPr>
        <w:rPr>
          <w:rFonts w:ascii="Lato" w:hAnsi="Lato"/>
        </w:rPr>
      </w:pPr>
    </w:p>
    <w:p w14:paraId="25E9B3F0" w14:textId="77777777" w:rsidR="00E0074D" w:rsidRPr="00CB1714" w:rsidRDefault="00E0074D">
      <w:pPr>
        <w:rPr>
          <w:rFonts w:ascii="Lato" w:hAnsi="Lato"/>
        </w:rPr>
      </w:pPr>
    </w:p>
    <w:p w14:paraId="11A8BA95" w14:textId="77777777" w:rsidR="00E0074D" w:rsidRPr="00CB1714" w:rsidRDefault="00E0074D">
      <w:pPr>
        <w:rPr>
          <w:rFonts w:ascii="Lato" w:hAnsi="Lato"/>
        </w:rPr>
      </w:pPr>
    </w:p>
    <w:p w14:paraId="110AA90B" w14:textId="77777777" w:rsidR="00E0074D" w:rsidRPr="00CB1714" w:rsidRDefault="00E0074D">
      <w:pPr>
        <w:rPr>
          <w:rFonts w:ascii="Lato" w:hAnsi="Lato"/>
        </w:rPr>
      </w:pPr>
    </w:p>
    <w:p w14:paraId="6103C656" w14:textId="77777777" w:rsidR="00E0074D" w:rsidRPr="00CB1714" w:rsidRDefault="00E0074D">
      <w:pPr>
        <w:rPr>
          <w:rFonts w:ascii="Lato" w:hAnsi="Lato"/>
        </w:rPr>
      </w:pPr>
    </w:p>
    <w:p w14:paraId="68DCCC0C" w14:textId="77777777" w:rsidR="00E0074D" w:rsidRPr="00CB1714" w:rsidRDefault="00E0074D">
      <w:pPr>
        <w:rPr>
          <w:rFonts w:ascii="Lato" w:hAnsi="Lato"/>
        </w:rPr>
      </w:pPr>
    </w:p>
    <w:p w14:paraId="798CDD65" w14:textId="77777777" w:rsidR="00E0074D" w:rsidRPr="00CB1714" w:rsidRDefault="00E0074D">
      <w:pPr>
        <w:rPr>
          <w:rFonts w:ascii="Lato" w:hAnsi="Lato"/>
        </w:rPr>
      </w:pPr>
    </w:p>
    <w:p w14:paraId="2C166141" w14:textId="77777777" w:rsidR="00E0074D" w:rsidRPr="00CB1714" w:rsidRDefault="00E0074D">
      <w:pPr>
        <w:rPr>
          <w:rFonts w:ascii="Lato" w:hAnsi="Lato"/>
        </w:rPr>
      </w:pPr>
    </w:p>
    <w:p w14:paraId="719DD44D" w14:textId="77777777" w:rsidR="00E0074D" w:rsidRPr="00CB1714" w:rsidRDefault="00E0074D">
      <w:pPr>
        <w:rPr>
          <w:rFonts w:ascii="Lato" w:hAnsi="Lato"/>
        </w:rPr>
      </w:pPr>
    </w:p>
    <w:p w14:paraId="4EE67812" w14:textId="77777777" w:rsidR="00E0074D" w:rsidRPr="00CB1714" w:rsidRDefault="00E0074D">
      <w:pPr>
        <w:rPr>
          <w:rFonts w:ascii="Lato" w:hAnsi="Lato"/>
        </w:rPr>
      </w:pPr>
    </w:p>
    <w:p w14:paraId="7A992C2B" w14:textId="77777777" w:rsidR="00E0074D" w:rsidRPr="00CB1714" w:rsidRDefault="00E0074D">
      <w:pPr>
        <w:rPr>
          <w:rFonts w:ascii="Lato" w:hAnsi="Lato"/>
        </w:rPr>
      </w:pPr>
    </w:p>
    <w:p w14:paraId="61406175" w14:textId="77777777" w:rsidR="00E0074D" w:rsidRPr="00CB1714" w:rsidRDefault="008F21CA">
      <w:pPr>
        <w:rPr>
          <w:rFonts w:ascii="Lato" w:hAnsi="Lato"/>
        </w:rPr>
      </w:pPr>
      <w:r w:rsidRPr="00CB1714">
        <w:rPr>
          <w:rFonts w:ascii="Lato" w:hAnsi="Lato"/>
          <w:noProof/>
          <w:lang w:val="en-IE" w:eastAsia="en-IE"/>
        </w:rPr>
        <mc:AlternateContent>
          <mc:Choice Requires="wps">
            <w:drawing>
              <wp:anchor distT="0" distB="0" distL="114300" distR="114300" simplePos="0" relativeHeight="251657216" behindDoc="0" locked="0" layoutInCell="1" allowOverlap="1" wp14:anchorId="7E81B9BE" wp14:editId="51BFB784">
                <wp:simplePos x="0" y="0"/>
                <wp:positionH relativeFrom="column">
                  <wp:posOffset>-548640</wp:posOffset>
                </wp:positionH>
                <wp:positionV relativeFrom="paragraph">
                  <wp:posOffset>235585</wp:posOffset>
                </wp:positionV>
                <wp:extent cx="5750560" cy="1837055"/>
                <wp:effectExtent l="3810" t="0" r="0" b="381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83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2D10E" w14:textId="77777777" w:rsidR="00635610" w:rsidRPr="00CB1714" w:rsidRDefault="00635610" w:rsidP="008F37E1">
                            <w:pPr>
                              <w:rPr>
                                <w:rFonts w:ascii="Lato" w:hAnsi="Lato"/>
                                <w:b/>
                                <w:color w:val="FFFFFF"/>
                                <w:sz w:val="54"/>
                                <w:szCs w:val="54"/>
                              </w:rPr>
                            </w:pPr>
                            <w:r w:rsidRPr="00CB1714">
                              <w:rPr>
                                <w:rFonts w:ascii="Lato" w:hAnsi="Lato"/>
                                <w:b/>
                                <w:color w:val="FFFFFF"/>
                                <w:sz w:val="54"/>
                                <w:szCs w:val="54"/>
                              </w:rPr>
                              <w:t>Qualifying Investor AIF Application Form Section 2 ORION</w:t>
                            </w:r>
                          </w:p>
                          <w:p w14:paraId="529AD4AF" w14:textId="4567DFF4" w:rsidR="00635610" w:rsidRPr="00CB1714" w:rsidRDefault="00D71424" w:rsidP="008F37E1">
                            <w:pPr>
                              <w:rPr>
                                <w:rFonts w:ascii="Lato" w:hAnsi="Lato"/>
                                <w:color w:val="FFFFFF"/>
                                <w:sz w:val="54"/>
                                <w:szCs w:val="54"/>
                              </w:rPr>
                            </w:pPr>
                            <w:r>
                              <w:rPr>
                                <w:rFonts w:ascii="Lato" w:hAnsi="Lato"/>
                                <w:color w:val="FFFFFF"/>
                                <w:sz w:val="54"/>
                                <w:szCs w:val="54"/>
                              </w:rPr>
                              <w:t xml:space="preserve">November </w:t>
                            </w:r>
                            <w:r w:rsidR="008570C3">
                              <w:rPr>
                                <w:rFonts w:ascii="Lato" w:hAnsi="Lato"/>
                                <w:color w:val="FFFFFF"/>
                                <w:sz w:val="54"/>
                                <w:szCs w:val="54"/>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1B9BE" id="_x0000_t202" coordsize="21600,21600" o:spt="202" path="m,l,21600r21600,l21600,xe">
                <v:stroke joinstyle="miter"/>
                <v:path gradientshapeok="t" o:connecttype="rect"/>
              </v:shapetype>
              <v:shape id="Text Box 14" o:spid="_x0000_s1026" type="#_x0000_t202" style="position:absolute;margin-left:-43.2pt;margin-top:18.55pt;width:452.8pt;height:1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JDrQIAAKs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" filled="f" stroked="f">
                <v:textbox inset="0,0,0,0">
                  <w:txbxContent>
                    <w:p w14:paraId="4182D10E" w14:textId="77777777" w:rsidR="00635610" w:rsidRPr="00CB1714" w:rsidRDefault="00635610" w:rsidP="008F37E1">
                      <w:pPr>
                        <w:rPr>
                          <w:rFonts w:ascii="Lato" w:hAnsi="Lato"/>
                          <w:b/>
                          <w:color w:val="FFFFFF"/>
                          <w:sz w:val="54"/>
                          <w:szCs w:val="54"/>
                        </w:rPr>
                      </w:pPr>
                      <w:r w:rsidRPr="00CB1714">
                        <w:rPr>
                          <w:rFonts w:ascii="Lato" w:hAnsi="Lato"/>
                          <w:b/>
                          <w:color w:val="FFFFFF"/>
                          <w:sz w:val="54"/>
                          <w:szCs w:val="54"/>
                        </w:rPr>
                        <w:t>Qualifying Investor AIF Application Form Section 2 ORION</w:t>
                      </w:r>
                    </w:p>
                    <w:p w14:paraId="529AD4AF" w14:textId="4567DFF4" w:rsidR="00635610" w:rsidRPr="00CB1714" w:rsidRDefault="00D71424" w:rsidP="008F37E1">
                      <w:pPr>
                        <w:rPr>
                          <w:rFonts w:ascii="Lato" w:hAnsi="Lato"/>
                          <w:color w:val="FFFFFF"/>
                          <w:sz w:val="54"/>
                          <w:szCs w:val="54"/>
                        </w:rPr>
                      </w:pPr>
                      <w:r>
                        <w:rPr>
                          <w:rFonts w:ascii="Lato" w:hAnsi="Lato"/>
                          <w:color w:val="FFFFFF"/>
                          <w:sz w:val="54"/>
                          <w:szCs w:val="54"/>
                        </w:rPr>
                        <w:t xml:space="preserve">November </w:t>
                      </w:r>
                      <w:r w:rsidR="008570C3">
                        <w:rPr>
                          <w:rFonts w:ascii="Lato" w:hAnsi="Lato"/>
                          <w:color w:val="FFFFFF"/>
                          <w:sz w:val="54"/>
                          <w:szCs w:val="54"/>
                        </w:rPr>
                        <w:t>2021</w:t>
                      </w:r>
                    </w:p>
                  </w:txbxContent>
                </v:textbox>
              </v:shape>
            </w:pict>
          </mc:Fallback>
        </mc:AlternateContent>
      </w:r>
    </w:p>
    <w:p w14:paraId="7DE7BECF" w14:textId="77777777" w:rsidR="00E0074D" w:rsidRPr="00CB1714" w:rsidRDefault="00E0074D">
      <w:pPr>
        <w:rPr>
          <w:rFonts w:ascii="Lato" w:hAnsi="Lato"/>
        </w:rPr>
      </w:pPr>
    </w:p>
    <w:p w14:paraId="3E900E53" w14:textId="77777777" w:rsidR="00E0074D" w:rsidRPr="00CB1714" w:rsidRDefault="00E0074D">
      <w:pPr>
        <w:rPr>
          <w:rFonts w:ascii="Lato" w:hAnsi="Lato"/>
        </w:rPr>
      </w:pPr>
    </w:p>
    <w:p w14:paraId="37825B32" w14:textId="77777777" w:rsidR="00E0074D" w:rsidRPr="00CB1714" w:rsidRDefault="00E0074D">
      <w:pPr>
        <w:rPr>
          <w:rFonts w:ascii="Lato" w:hAnsi="Lato"/>
        </w:rPr>
      </w:pPr>
    </w:p>
    <w:p w14:paraId="1EF16D39" w14:textId="77777777" w:rsidR="00E0074D" w:rsidRPr="00CB1714" w:rsidRDefault="00E0074D">
      <w:pPr>
        <w:rPr>
          <w:rFonts w:ascii="Lato" w:hAnsi="Lato"/>
        </w:rPr>
      </w:pPr>
    </w:p>
    <w:p w14:paraId="2EF7F84D" w14:textId="77777777" w:rsidR="00E0074D" w:rsidRPr="00CB1714" w:rsidRDefault="00E0074D">
      <w:pPr>
        <w:rPr>
          <w:rFonts w:ascii="Lato" w:hAnsi="Lato"/>
        </w:rPr>
      </w:pPr>
    </w:p>
    <w:p w14:paraId="79FD7E95" w14:textId="77777777" w:rsidR="00E0074D" w:rsidRPr="00CB1714" w:rsidRDefault="00E0074D">
      <w:pPr>
        <w:rPr>
          <w:rFonts w:ascii="Lato" w:hAnsi="Lato"/>
        </w:rPr>
      </w:pPr>
    </w:p>
    <w:p w14:paraId="0CEE0774" w14:textId="77777777" w:rsidR="00E0074D" w:rsidRPr="00CB1714" w:rsidRDefault="00E0074D">
      <w:pPr>
        <w:rPr>
          <w:rFonts w:ascii="Lato" w:hAnsi="Lato"/>
        </w:rPr>
      </w:pPr>
    </w:p>
    <w:p w14:paraId="22A0A138" w14:textId="77777777" w:rsidR="00E0074D" w:rsidRPr="00CB1714" w:rsidRDefault="00E0074D">
      <w:pPr>
        <w:rPr>
          <w:rFonts w:ascii="Lato" w:hAnsi="Lato"/>
        </w:rPr>
      </w:pPr>
    </w:p>
    <w:p w14:paraId="07559E0A" w14:textId="77777777" w:rsidR="00E0074D" w:rsidRPr="00CB1714" w:rsidRDefault="00E0074D">
      <w:pPr>
        <w:rPr>
          <w:rFonts w:ascii="Lato" w:hAnsi="Lato"/>
        </w:rPr>
      </w:pPr>
    </w:p>
    <w:p w14:paraId="7A9C9E0D" w14:textId="77777777" w:rsidR="00E0074D" w:rsidRPr="00CB1714" w:rsidRDefault="00E0074D">
      <w:pPr>
        <w:rPr>
          <w:rFonts w:ascii="Lato" w:hAnsi="Lato"/>
        </w:rPr>
      </w:pPr>
    </w:p>
    <w:p w14:paraId="6568504E" w14:textId="77777777" w:rsidR="00E0074D" w:rsidRPr="00CB1714" w:rsidRDefault="00E0074D">
      <w:pPr>
        <w:rPr>
          <w:rFonts w:ascii="Lato" w:hAnsi="Lato"/>
        </w:rPr>
      </w:pPr>
    </w:p>
    <w:p w14:paraId="6DDDBCA4" w14:textId="77777777" w:rsidR="00E0074D" w:rsidRPr="00CB1714" w:rsidRDefault="00E0074D">
      <w:pPr>
        <w:rPr>
          <w:rFonts w:ascii="Lato" w:hAnsi="Lato"/>
        </w:rPr>
      </w:pPr>
    </w:p>
    <w:p w14:paraId="6E9AC687" w14:textId="77777777" w:rsidR="00E0074D" w:rsidRPr="00CB1714" w:rsidRDefault="00E0074D">
      <w:pPr>
        <w:rPr>
          <w:rFonts w:ascii="Lato" w:hAnsi="Lato"/>
        </w:rPr>
      </w:pPr>
    </w:p>
    <w:p w14:paraId="42BF1910" w14:textId="77777777" w:rsidR="00E0074D" w:rsidRPr="00CB1714" w:rsidRDefault="008F21CA">
      <w:pPr>
        <w:rPr>
          <w:rFonts w:ascii="Lato" w:hAnsi="Lato"/>
        </w:rPr>
      </w:pPr>
      <w:r w:rsidRPr="00CB1714">
        <w:rPr>
          <w:rFonts w:ascii="Lato" w:hAnsi="Lato"/>
          <w:noProof/>
          <w:lang w:val="en-IE" w:eastAsia="en-IE"/>
        </w:rPr>
        <mc:AlternateContent>
          <mc:Choice Requires="wps">
            <w:drawing>
              <wp:anchor distT="0" distB="0" distL="114300" distR="114300" simplePos="0" relativeHeight="251656192" behindDoc="0" locked="0" layoutInCell="1" allowOverlap="1" wp14:anchorId="42F028C8" wp14:editId="125954BB">
                <wp:simplePos x="0" y="0"/>
                <wp:positionH relativeFrom="column">
                  <wp:posOffset>2108835</wp:posOffset>
                </wp:positionH>
                <wp:positionV relativeFrom="paragraph">
                  <wp:posOffset>141605</wp:posOffset>
                </wp:positionV>
                <wp:extent cx="2267585" cy="1536065"/>
                <wp:effectExtent l="3810"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14B5C" w14:textId="77777777" w:rsidR="00635610" w:rsidRPr="008F37E1" w:rsidRDefault="00635610"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28C8" id="Text Box 7" o:spid="_x0000_s1027" type="#_x0000_t202" style="position:absolute;margin-left:166.05pt;margin-top:11.15pt;width:178.55pt;height:12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R+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" filled="f" stroked="f">
                <v:textbox>
                  <w:txbxContent>
                    <w:p w14:paraId="1E514B5C" w14:textId="77777777" w:rsidR="00635610" w:rsidRPr="008F37E1" w:rsidRDefault="00635610" w:rsidP="008F37E1"/>
                  </w:txbxContent>
                </v:textbox>
              </v:shape>
            </w:pict>
          </mc:Fallback>
        </mc:AlternateContent>
      </w:r>
    </w:p>
    <w:p w14:paraId="38314392" w14:textId="77777777" w:rsidR="00E0074D" w:rsidRPr="00CB1714" w:rsidRDefault="00E0074D">
      <w:pPr>
        <w:rPr>
          <w:rFonts w:ascii="Lato" w:hAnsi="Lato"/>
        </w:rPr>
      </w:pPr>
    </w:p>
    <w:p w14:paraId="54F9F9D3" w14:textId="77777777" w:rsidR="00E0074D" w:rsidRPr="00CB1714" w:rsidRDefault="00E0074D">
      <w:pPr>
        <w:rPr>
          <w:rFonts w:ascii="Lato" w:hAnsi="Lato"/>
        </w:rPr>
        <w:sectPr w:rsidR="00E0074D" w:rsidRPr="00CB1714">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cols w:space="708"/>
        </w:sectPr>
      </w:pPr>
    </w:p>
    <w:p w14:paraId="14F1FFED" w14:textId="77777777" w:rsidR="00E0074D" w:rsidRPr="00CB1714" w:rsidRDefault="00E0074D">
      <w:pPr>
        <w:pStyle w:val="Body"/>
        <w:spacing w:after="0"/>
        <w:ind w:left="-567"/>
        <w:jc w:val="center"/>
        <w:rPr>
          <w:rFonts w:ascii="Lato" w:hAnsi="Lato"/>
          <w:b/>
          <w:bCs/>
          <w:sz w:val="22"/>
        </w:rPr>
      </w:pPr>
      <w:r w:rsidRPr="00CB1714">
        <w:rPr>
          <w:rFonts w:ascii="Lato" w:hAnsi="Lato"/>
          <w:b/>
          <w:bCs/>
          <w:sz w:val="22"/>
        </w:rPr>
        <w:lastRenderedPageBreak/>
        <w:t>SECTION 2 –</w:t>
      </w:r>
      <w:r w:rsidR="003F133D" w:rsidRPr="00CB1714">
        <w:rPr>
          <w:rFonts w:ascii="Lato" w:hAnsi="Lato"/>
          <w:b/>
          <w:bCs/>
          <w:sz w:val="22"/>
        </w:rPr>
        <w:t xml:space="preserve"> </w:t>
      </w:r>
      <w:r w:rsidRPr="00CB1714">
        <w:rPr>
          <w:rFonts w:ascii="Lato" w:hAnsi="Lato"/>
          <w:b/>
          <w:bCs/>
          <w:sz w:val="22"/>
        </w:rPr>
        <w:t>PROSPECTUS</w:t>
      </w:r>
    </w:p>
    <w:p w14:paraId="22F3ECA2" w14:textId="77777777" w:rsidR="00E0074D" w:rsidRPr="00CB1714" w:rsidRDefault="00E0074D">
      <w:pPr>
        <w:ind w:left="-567"/>
        <w:jc w:val="center"/>
        <w:rPr>
          <w:rFonts w:ascii="Lato" w:hAnsi="Lato"/>
          <w:b/>
          <w:bCs/>
          <w:sz w:val="22"/>
        </w:rPr>
      </w:pPr>
    </w:p>
    <w:p w14:paraId="02C9CBE9" w14:textId="77777777" w:rsidR="00E0074D" w:rsidRPr="00CB1714" w:rsidRDefault="00E0074D">
      <w:pPr>
        <w:ind w:left="-567"/>
        <w:jc w:val="center"/>
        <w:rPr>
          <w:rFonts w:ascii="Lato" w:hAnsi="Lato"/>
          <w:b/>
          <w:bCs/>
          <w:sz w:val="22"/>
        </w:rPr>
      </w:pPr>
      <w:r w:rsidRPr="00CB1714">
        <w:rPr>
          <w:rFonts w:ascii="Lato" w:hAnsi="Lato"/>
          <w:b/>
          <w:bCs/>
          <w:sz w:val="22"/>
        </w:rPr>
        <w:t>The following information must be included in the prospectus/prospectus supplement/ information memorandum</w:t>
      </w:r>
    </w:p>
    <w:p w14:paraId="12A060F2" w14:textId="77777777" w:rsidR="00E0074D" w:rsidRPr="00CB1714" w:rsidRDefault="00E0074D">
      <w:pPr>
        <w:ind w:left="-567"/>
        <w:jc w:val="center"/>
        <w:rPr>
          <w:rFonts w:ascii="Lato" w:hAnsi="Lato"/>
          <w:b/>
          <w:bCs/>
          <w:sz w:val="22"/>
        </w:rPr>
      </w:pPr>
    </w:p>
    <w:p w14:paraId="2DB3D957" w14:textId="77777777" w:rsidR="00E0074D" w:rsidRPr="00CB1714" w:rsidRDefault="00E0074D">
      <w:pPr>
        <w:ind w:left="-567"/>
        <w:rPr>
          <w:rFonts w:ascii="Lato" w:hAnsi="Lato"/>
          <w:sz w:val="22"/>
        </w:rPr>
      </w:pPr>
    </w:p>
    <w:p w14:paraId="67A5BCA3" w14:textId="77777777" w:rsidR="00E0074D" w:rsidRPr="00CB1714" w:rsidRDefault="00E0074D">
      <w:pPr>
        <w:ind w:left="-567"/>
        <w:jc w:val="both"/>
        <w:rPr>
          <w:rFonts w:ascii="Lato" w:hAnsi="Lato"/>
          <w:sz w:val="22"/>
          <w:szCs w:val="22"/>
        </w:rPr>
      </w:pPr>
      <w:r w:rsidRPr="00CB1714">
        <w:rPr>
          <w:rFonts w:ascii="Lato" w:hAnsi="Lato"/>
          <w:sz w:val="22"/>
          <w:szCs w:val="22"/>
        </w:rPr>
        <w:t xml:space="preserve">An umbrella </w:t>
      </w:r>
      <w:r w:rsidR="00D6477D" w:rsidRPr="00CB1714">
        <w:rPr>
          <w:rFonts w:ascii="Lato" w:hAnsi="Lato"/>
          <w:sz w:val="22"/>
          <w:szCs w:val="22"/>
        </w:rPr>
        <w:t>Q</w:t>
      </w:r>
      <w:r w:rsidR="00CB5EF9" w:rsidRPr="00CB1714">
        <w:rPr>
          <w:rFonts w:ascii="Lato" w:hAnsi="Lato"/>
          <w:sz w:val="22"/>
          <w:szCs w:val="22"/>
        </w:rPr>
        <w:t xml:space="preserve">ualifying </w:t>
      </w:r>
      <w:r w:rsidR="00D6477D" w:rsidRPr="00CB1714">
        <w:rPr>
          <w:rFonts w:ascii="Lato" w:hAnsi="Lato"/>
          <w:sz w:val="22"/>
          <w:szCs w:val="22"/>
        </w:rPr>
        <w:t>I</w:t>
      </w:r>
      <w:r w:rsidR="00CB5EF9" w:rsidRPr="00CB1714">
        <w:rPr>
          <w:rFonts w:ascii="Lato" w:hAnsi="Lato"/>
          <w:sz w:val="22"/>
          <w:szCs w:val="22"/>
        </w:rPr>
        <w:t xml:space="preserve">nvestor </w:t>
      </w:r>
      <w:r w:rsidR="00D6477D" w:rsidRPr="00CB1714">
        <w:rPr>
          <w:rFonts w:ascii="Lato" w:hAnsi="Lato"/>
          <w:sz w:val="22"/>
          <w:szCs w:val="22"/>
        </w:rPr>
        <w:t>AIF</w:t>
      </w:r>
      <w:r w:rsidRPr="00CB1714">
        <w:rPr>
          <w:rFonts w:ascii="Lato" w:hAnsi="Lato"/>
          <w:sz w:val="22"/>
          <w:szCs w:val="22"/>
        </w:rPr>
        <w:t xml:space="preserve"> may provide for all sub-funds in a single prospectus or may have an individual prospectus for each sub-fund.  Alternatively, information relevant to a sub-fund may be provided in a supplement to the main prospectus.  Section 2 must be completed in respect of each prospectus</w:t>
      </w:r>
      <w:r w:rsidR="00A153DD" w:rsidRPr="00CB1714">
        <w:rPr>
          <w:rFonts w:ascii="Lato" w:hAnsi="Lato"/>
          <w:sz w:val="22"/>
          <w:szCs w:val="22"/>
        </w:rPr>
        <w:t xml:space="preserve">. </w:t>
      </w:r>
      <w:r w:rsidR="00CB5EF9" w:rsidRPr="00CB1714">
        <w:rPr>
          <w:rFonts w:ascii="Lato" w:hAnsi="Lato"/>
          <w:sz w:val="22"/>
          <w:szCs w:val="22"/>
        </w:rPr>
        <w:t>The relevant sections of t</w:t>
      </w:r>
      <w:r w:rsidRPr="00CB1714">
        <w:rPr>
          <w:rFonts w:ascii="Lato" w:hAnsi="Lato"/>
          <w:sz w:val="22"/>
          <w:szCs w:val="22"/>
        </w:rPr>
        <w:t xml:space="preserve">his section must be completed in respect of each sub-fund.  </w:t>
      </w:r>
    </w:p>
    <w:p w14:paraId="5C42B7D8" w14:textId="77777777" w:rsidR="00E0074D" w:rsidRPr="00CB1714" w:rsidRDefault="00E0074D">
      <w:pPr>
        <w:ind w:left="-567"/>
        <w:jc w:val="both"/>
        <w:rPr>
          <w:rFonts w:ascii="Lato" w:hAnsi="Lato"/>
          <w:sz w:val="22"/>
          <w:szCs w:val="22"/>
        </w:rPr>
      </w:pPr>
    </w:p>
    <w:p w14:paraId="0693B243" w14:textId="77777777" w:rsidR="00E0074D" w:rsidRPr="00CB1714" w:rsidRDefault="00E0074D">
      <w:pPr>
        <w:pStyle w:val="BodyTextIndent3"/>
        <w:rPr>
          <w:rFonts w:ascii="Lato" w:hAnsi="Lato"/>
          <w:szCs w:val="22"/>
        </w:rPr>
      </w:pPr>
      <w:r w:rsidRPr="00CB1714">
        <w:rPr>
          <w:rFonts w:ascii="Lato" w:hAnsi="Lato"/>
          <w:szCs w:val="22"/>
        </w:rPr>
        <w:t xml:space="preserve">A </w:t>
      </w:r>
      <w:r w:rsidR="00D6477D" w:rsidRPr="00CB1714">
        <w:rPr>
          <w:rFonts w:ascii="Lato" w:hAnsi="Lato"/>
          <w:szCs w:val="22"/>
        </w:rPr>
        <w:t>Q</w:t>
      </w:r>
      <w:r w:rsidR="00CB5EF9" w:rsidRPr="00CB1714">
        <w:rPr>
          <w:rFonts w:ascii="Lato" w:hAnsi="Lato"/>
          <w:szCs w:val="22"/>
        </w:rPr>
        <w:t>ualif</w:t>
      </w:r>
      <w:r w:rsidR="006D7421" w:rsidRPr="00CB1714">
        <w:rPr>
          <w:rFonts w:ascii="Lato" w:hAnsi="Lato"/>
          <w:szCs w:val="22"/>
        </w:rPr>
        <w:t>y</w:t>
      </w:r>
      <w:r w:rsidR="00CB5EF9" w:rsidRPr="00CB1714">
        <w:rPr>
          <w:rFonts w:ascii="Lato" w:hAnsi="Lato"/>
          <w:szCs w:val="22"/>
        </w:rPr>
        <w:t xml:space="preserve">ing </w:t>
      </w:r>
      <w:r w:rsidR="00D6477D" w:rsidRPr="00CB1714">
        <w:rPr>
          <w:rFonts w:ascii="Lato" w:hAnsi="Lato"/>
          <w:szCs w:val="22"/>
        </w:rPr>
        <w:t>I</w:t>
      </w:r>
      <w:r w:rsidR="00CB5EF9" w:rsidRPr="00CB1714">
        <w:rPr>
          <w:rFonts w:ascii="Lato" w:hAnsi="Lato"/>
          <w:szCs w:val="22"/>
        </w:rPr>
        <w:t xml:space="preserve">nvestor </w:t>
      </w:r>
      <w:r w:rsidR="00D6477D" w:rsidRPr="00CB1714">
        <w:rPr>
          <w:rFonts w:ascii="Lato" w:hAnsi="Lato"/>
          <w:szCs w:val="22"/>
        </w:rPr>
        <w:t>AIF</w:t>
      </w:r>
      <w:r w:rsidRPr="00CB1714">
        <w:rPr>
          <w:rFonts w:ascii="Lato" w:hAnsi="Lato"/>
          <w:szCs w:val="22"/>
        </w:rPr>
        <w:t xml:space="preserve"> which issues separate prospectus for share classes must comply with this section in respect of each prospectus. </w:t>
      </w:r>
    </w:p>
    <w:p w14:paraId="6B2A712E" w14:textId="77777777" w:rsidR="00E0074D" w:rsidRPr="00CB1714" w:rsidRDefault="00E0074D">
      <w:pPr>
        <w:jc w:val="both"/>
        <w:rPr>
          <w:rFonts w:ascii="Lato" w:hAnsi="Lato"/>
          <w:sz w:val="22"/>
          <w:szCs w:val="22"/>
        </w:rPr>
      </w:pPr>
    </w:p>
    <w:tbl>
      <w:tblPr>
        <w:tblW w:w="10395" w:type="dxa"/>
        <w:tblInd w:w="-1053" w:type="dxa"/>
        <w:tblLook w:val="0000" w:firstRow="0" w:lastRow="0" w:firstColumn="0" w:lastColumn="0" w:noHBand="0" w:noVBand="0"/>
      </w:tblPr>
      <w:tblGrid>
        <w:gridCol w:w="1316"/>
        <w:gridCol w:w="5891"/>
        <w:gridCol w:w="3188"/>
      </w:tblGrid>
      <w:tr w:rsidR="00E0074D" w:rsidRPr="00CB1714" w14:paraId="5327BA57" w14:textId="77777777" w:rsidTr="00990D73">
        <w:tc>
          <w:tcPr>
            <w:tcW w:w="1316" w:type="dxa"/>
          </w:tcPr>
          <w:p w14:paraId="5644DE6E" w14:textId="77777777" w:rsidR="00E0074D" w:rsidRPr="00CB1714" w:rsidRDefault="00E0074D">
            <w:pPr>
              <w:rPr>
                <w:rFonts w:ascii="Lato" w:hAnsi="Lato"/>
                <w:sz w:val="22"/>
                <w:szCs w:val="22"/>
              </w:rPr>
            </w:pPr>
          </w:p>
        </w:tc>
        <w:tc>
          <w:tcPr>
            <w:tcW w:w="5891" w:type="dxa"/>
          </w:tcPr>
          <w:p w14:paraId="2B161162" w14:textId="77777777" w:rsidR="00E0074D" w:rsidRPr="00CB1714" w:rsidRDefault="00E0074D">
            <w:pPr>
              <w:rPr>
                <w:rFonts w:ascii="Lato" w:hAnsi="Lato"/>
                <w:b/>
                <w:bCs/>
                <w:sz w:val="22"/>
                <w:szCs w:val="22"/>
              </w:rPr>
            </w:pPr>
          </w:p>
        </w:tc>
        <w:tc>
          <w:tcPr>
            <w:tcW w:w="3188" w:type="dxa"/>
          </w:tcPr>
          <w:p w14:paraId="08A593E7" w14:textId="77777777" w:rsidR="00E0074D" w:rsidRPr="00CB1714" w:rsidRDefault="00E0074D">
            <w:pPr>
              <w:rPr>
                <w:rFonts w:ascii="Lato" w:hAnsi="Lato"/>
                <w:sz w:val="22"/>
                <w:szCs w:val="22"/>
              </w:rPr>
            </w:pPr>
            <w:r w:rsidRPr="00CB1714">
              <w:rPr>
                <w:rFonts w:ascii="Lato" w:hAnsi="Lato"/>
                <w:b/>
                <w:bCs/>
                <w:sz w:val="22"/>
                <w:szCs w:val="22"/>
              </w:rPr>
              <w:t>Section heading and indication of paragraph where relevant</w:t>
            </w:r>
          </w:p>
        </w:tc>
      </w:tr>
      <w:tr w:rsidR="00E0074D" w:rsidRPr="00CB1714" w14:paraId="62685BBF" w14:textId="77777777" w:rsidTr="00990D73">
        <w:tc>
          <w:tcPr>
            <w:tcW w:w="1316" w:type="dxa"/>
          </w:tcPr>
          <w:p w14:paraId="36248900" w14:textId="77777777" w:rsidR="00E0074D" w:rsidRPr="00CB1714" w:rsidRDefault="00E0074D">
            <w:pPr>
              <w:rPr>
                <w:rFonts w:ascii="Lato" w:hAnsi="Lato"/>
                <w:sz w:val="22"/>
                <w:szCs w:val="22"/>
              </w:rPr>
            </w:pPr>
          </w:p>
        </w:tc>
        <w:tc>
          <w:tcPr>
            <w:tcW w:w="5891" w:type="dxa"/>
          </w:tcPr>
          <w:p w14:paraId="32A8A655" w14:textId="77777777" w:rsidR="00E0074D" w:rsidRPr="00CB1714" w:rsidRDefault="00E0074D">
            <w:pPr>
              <w:rPr>
                <w:rFonts w:ascii="Lato" w:hAnsi="Lato"/>
                <w:b/>
                <w:bCs/>
                <w:sz w:val="22"/>
                <w:szCs w:val="22"/>
              </w:rPr>
            </w:pPr>
          </w:p>
        </w:tc>
        <w:tc>
          <w:tcPr>
            <w:tcW w:w="3188" w:type="dxa"/>
          </w:tcPr>
          <w:p w14:paraId="0B01E2D9" w14:textId="77777777" w:rsidR="00E0074D" w:rsidRPr="00CB1714" w:rsidRDefault="00E0074D">
            <w:pPr>
              <w:ind w:right="-1438" w:firstLine="99"/>
              <w:rPr>
                <w:rFonts w:ascii="Lato" w:hAnsi="Lato"/>
                <w:sz w:val="22"/>
                <w:szCs w:val="22"/>
              </w:rPr>
            </w:pPr>
          </w:p>
        </w:tc>
      </w:tr>
      <w:tr w:rsidR="00E0074D" w:rsidRPr="00CB1714" w14:paraId="0D274AB1" w14:textId="77777777" w:rsidTr="00990D73">
        <w:tc>
          <w:tcPr>
            <w:tcW w:w="1316" w:type="dxa"/>
          </w:tcPr>
          <w:p w14:paraId="5894A213" w14:textId="77777777" w:rsidR="00E0074D" w:rsidRPr="00CB1714" w:rsidRDefault="00E0074D">
            <w:pPr>
              <w:rPr>
                <w:rFonts w:ascii="Lato" w:hAnsi="Lato"/>
                <w:b/>
                <w:bCs/>
                <w:sz w:val="22"/>
                <w:szCs w:val="22"/>
              </w:rPr>
            </w:pPr>
            <w:r w:rsidRPr="00CB1714">
              <w:rPr>
                <w:rFonts w:ascii="Lato" w:hAnsi="Lato"/>
                <w:b/>
                <w:bCs/>
                <w:sz w:val="22"/>
                <w:szCs w:val="22"/>
              </w:rPr>
              <w:t>2.1</w:t>
            </w:r>
          </w:p>
        </w:tc>
        <w:tc>
          <w:tcPr>
            <w:tcW w:w="5891" w:type="dxa"/>
          </w:tcPr>
          <w:p w14:paraId="591A9E20" w14:textId="77777777" w:rsidR="00E0074D" w:rsidRPr="00CB1714" w:rsidRDefault="00E0074D">
            <w:pPr>
              <w:rPr>
                <w:rFonts w:ascii="Lato" w:hAnsi="Lato"/>
                <w:b/>
                <w:bCs/>
                <w:sz w:val="22"/>
                <w:szCs w:val="22"/>
              </w:rPr>
            </w:pPr>
            <w:r w:rsidRPr="00CB1714">
              <w:rPr>
                <w:rFonts w:ascii="Lato" w:hAnsi="Lato"/>
                <w:b/>
                <w:bCs/>
                <w:sz w:val="22"/>
                <w:szCs w:val="22"/>
              </w:rPr>
              <w:t xml:space="preserve">Information concerning the </w:t>
            </w:r>
            <w:r w:rsidR="00D6477D" w:rsidRPr="00CB1714">
              <w:rPr>
                <w:rFonts w:ascii="Lato" w:hAnsi="Lato"/>
                <w:b/>
                <w:bCs/>
                <w:sz w:val="22"/>
                <w:szCs w:val="22"/>
              </w:rPr>
              <w:t>Q</w:t>
            </w:r>
            <w:r w:rsidR="009F3AF9" w:rsidRPr="00CB1714">
              <w:rPr>
                <w:rFonts w:ascii="Lato" w:hAnsi="Lato"/>
                <w:b/>
                <w:bCs/>
                <w:sz w:val="22"/>
                <w:szCs w:val="22"/>
              </w:rPr>
              <w:t xml:space="preserve">ualifying </w:t>
            </w:r>
            <w:r w:rsidR="00D6477D" w:rsidRPr="00CB1714">
              <w:rPr>
                <w:rFonts w:ascii="Lato" w:hAnsi="Lato"/>
                <w:b/>
                <w:bCs/>
                <w:sz w:val="22"/>
                <w:szCs w:val="22"/>
              </w:rPr>
              <w:t>I</w:t>
            </w:r>
            <w:r w:rsidR="009F3AF9" w:rsidRPr="00CB1714">
              <w:rPr>
                <w:rFonts w:ascii="Lato" w:hAnsi="Lato"/>
                <w:b/>
                <w:bCs/>
                <w:sz w:val="22"/>
                <w:szCs w:val="22"/>
              </w:rPr>
              <w:t xml:space="preserve">nvestor </w:t>
            </w:r>
            <w:r w:rsidR="00D6477D" w:rsidRPr="00CB1714">
              <w:rPr>
                <w:rFonts w:ascii="Lato" w:hAnsi="Lato"/>
                <w:b/>
                <w:bCs/>
                <w:sz w:val="22"/>
                <w:szCs w:val="22"/>
              </w:rPr>
              <w:t>AIF</w:t>
            </w:r>
          </w:p>
        </w:tc>
        <w:tc>
          <w:tcPr>
            <w:tcW w:w="3188" w:type="dxa"/>
          </w:tcPr>
          <w:p w14:paraId="6D3108B0" w14:textId="77777777" w:rsidR="00E0074D" w:rsidRPr="00CB1714" w:rsidRDefault="00E0074D">
            <w:pPr>
              <w:ind w:right="-1438" w:firstLine="99"/>
              <w:rPr>
                <w:rFonts w:ascii="Lato" w:hAnsi="Lato"/>
                <w:sz w:val="22"/>
                <w:szCs w:val="22"/>
              </w:rPr>
            </w:pPr>
          </w:p>
        </w:tc>
      </w:tr>
      <w:tr w:rsidR="00E0074D" w:rsidRPr="00CB1714" w14:paraId="06959AD7" w14:textId="77777777" w:rsidTr="00990D73">
        <w:tc>
          <w:tcPr>
            <w:tcW w:w="1316" w:type="dxa"/>
          </w:tcPr>
          <w:p w14:paraId="37691A6E" w14:textId="77777777" w:rsidR="00E0074D" w:rsidRPr="00CB1714" w:rsidRDefault="00E0074D">
            <w:pPr>
              <w:rPr>
                <w:rFonts w:ascii="Lato" w:hAnsi="Lato"/>
                <w:sz w:val="22"/>
                <w:szCs w:val="22"/>
              </w:rPr>
            </w:pPr>
          </w:p>
        </w:tc>
        <w:tc>
          <w:tcPr>
            <w:tcW w:w="5891" w:type="dxa"/>
          </w:tcPr>
          <w:p w14:paraId="5627B54B" w14:textId="77777777" w:rsidR="00E0074D" w:rsidRPr="00CB1714" w:rsidRDefault="00E0074D">
            <w:pPr>
              <w:rPr>
                <w:rFonts w:ascii="Lato" w:hAnsi="Lato"/>
                <w:sz w:val="22"/>
                <w:szCs w:val="22"/>
              </w:rPr>
            </w:pPr>
          </w:p>
        </w:tc>
        <w:tc>
          <w:tcPr>
            <w:tcW w:w="3188" w:type="dxa"/>
            <w:tcBorders>
              <w:bottom w:val="single" w:sz="4" w:space="0" w:color="auto"/>
            </w:tcBorders>
          </w:tcPr>
          <w:p w14:paraId="4C62D516" w14:textId="77777777" w:rsidR="00E0074D" w:rsidRPr="00CB1714" w:rsidRDefault="00E0074D">
            <w:pPr>
              <w:ind w:firstLine="99"/>
              <w:rPr>
                <w:rFonts w:ascii="Lato" w:hAnsi="Lato"/>
                <w:sz w:val="22"/>
                <w:szCs w:val="22"/>
              </w:rPr>
            </w:pPr>
          </w:p>
        </w:tc>
      </w:tr>
      <w:tr w:rsidR="00E0074D" w:rsidRPr="00CB1714" w14:paraId="5087B51D" w14:textId="77777777" w:rsidTr="00990D73">
        <w:tc>
          <w:tcPr>
            <w:tcW w:w="1316" w:type="dxa"/>
          </w:tcPr>
          <w:p w14:paraId="3461E886" w14:textId="77777777" w:rsidR="00E0074D" w:rsidRPr="00CB1714" w:rsidRDefault="00E0074D">
            <w:pPr>
              <w:rPr>
                <w:rFonts w:ascii="Lato" w:hAnsi="Lato"/>
                <w:sz w:val="22"/>
                <w:szCs w:val="22"/>
              </w:rPr>
            </w:pPr>
            <w:r w:rsidRPr="00CB1714">
              <w:rPr>
                <w:rFonts w:ascii="Lato" w:hAnsi="Lato"/>
                <w:sz w:val="22"/>
                <w:szCs w:val="22"/>
              </w:rPr>
              <w:t>2.1.1</w:t>
            </w:r>
          </w:p>
        </w:tc>
        <w:tc>
          <w:tcPr>
            <w:tcW w:w="5891" w:type="dxa"/>
            <w:tcBorders>
              <w:right w:val="single" w:sz="4" w:space="0" w:color="auto"/>
            </w:tcBorders>
          </w:tcPr>
          <w:p w14:paraId="2B221BEC" w14:textId="77777777" w:rsidR="00E0074D" w:rsidRPr="00CB1714" w:rsidRDefault="00E0074D">
            <w:pPr>
              <w:rPr>
                <w:rFonts w:ascii="Lato" w:hAnsi="Lato"/>
                <w:sz w:val="22"/>
                <w:szCs w:val="22"/>
              </w:rPr>
            </w:pPr>
            <w:r w:rsidRPr="00CB1714">
              <w:rPr>
                <w:rFonts w:ascii="Lato" w:hAnsi="Lato"/>
                <w:sz w:val="22"/>
                <w:szCs w:val="22"/>
              </w:rPr>
              <w:t xml:space="preserve">Name </w:t>
            </w:r>
          </w:p>
        </w:tc>
        <w:tc>
          <w:tcPr>
            <w:tcW w:w="3188" w:type="dxa"/>
            <w:tcBorders>
              <w:top w:val="single" w:sz="4" w:space="0" w:color="auto"/>
              <w:left w:val="single" w:sz="4" w:space="0" w:color="auto"/>
              <w:bottom w:val="single" w:sz="4" w:space="0" w:color="auto"/>
              <w:right w:val="single" w:sz="4" w:space="0" w:color="auto"/>
            </w:tcBorders>
          </w:tcPr>
          <w:p w14:paraId="5695EBE6" w14:textId="77777777" w:rsidR="00E0074D" w:rsidRPr="00CB1714" w:rsidRDefault="00E0074D">
            <w:pPr>
              <w:ind w:firstLine="99"/>
              <w:rPr>
                <w:rFonts w:ascii="Lato" w:hAnsi="Lato"/>
                <w:sz w:val="22"/>
                <w:szCs w:val="22"/>
              </w:rPr>
            </w:pPr>
          </w:p>
        </w:tc>
      </w:tr>
      <w:tr w:rsidR="00E0074D" w:rsidRPr="00CB1714" w14:paraId="4FC90004" w14:textId="77777777" w:rsidTr="00990D73">
        <w:tc>
          <w:tcPr>
            <w:tcW w:w="1316" w:type="dxa"/>
          </w:tcPr>
          <w:p w14:paraId="013BFC38" w14:textId="77777777" w:rsidR="00E0074D" w:rsidRPr="00CB1714" w:rsidRDefault="00E0074D">
            <w:pPr>
              <w:rPr>
                <w:rFonts w:ascii="Lato" w:hAnsi="Lato"/>
                <w:sz w:val="22"/>
                <w:szCs w:val="22"/>
              </w:rPr>
            </w:pPr>
          </w:p>
        </w:tc>
        <w:tc>
          <w:tcPr>
            <w:tcW w:w="5891" w:type="dxa"/>
          </w:tcPr>
          <w:p w14:paraId="7547AC49" w14:textId="77777777" w:rsidR="00E0074D" w:rsidRPr="00CB1714" w:rsidRDefault="00E0074D">
            <w:pPr>
              <w:rPr>
                <w:rFonts w:ascii="Lato" w:hAnsi="Lato"/>
                <w:sz w:val="22"/>
                <w:szCs w:val="22"/>
              </w:rPr>
            </w:pPr>
          </w:p>
        </w:tc>
        <w:tc>
          <w:tcPr>
            <w:tcW w:w="3188" w:type="dxa"/>
            <w:tcBorders>
              <w:top w:val="single" w:sz="4" w:space="0" w:color="auto"/>
            </w:tcBorders>
          </w:tcPr>
          <w:p w14:paraId="59A95259" w14:textId="77777777" w:rsidR="00E0074D" w:rsidRPr="00CB1714" w:rsidRDefault="00E0074D">
            <w:pPr>
              <w:ind w:firstLine="99"/>
              <w:rPr>
                <w:rFonts w:ascii="Lato" w:hAnsi="Lato"/>
                <w:sz w:val="22"/>
                <w:szCs w:val="22"/>
              </w:rPr>
            </w:pPr>
          </w:p>
        </w:tc>
      </w:tr>
      <w:tr w:rsidR="00E0074D" w:rsidRPr="00CB1714" w14:paraId="2094BF59" w14:textId="77777777" w:rsidTr="00990D73">
        <w:tc>
          <w:tcPr>
            <w:tcW w:w="1316" w:type="dxa"/>
          </w:tcPr>
          <w:p w14:paraId="6D127191" w14:textId="77777777" w:rsidR="00E0074D" w:rsidRPr="00CB1714" w:rsidRDefault="00E0074D">
            <w:pPr>
              <w:rPr>
                <w:rFonts w:ascii="Lato" w:hAnsi="Lato"/>
                <w:sz w:val="22"/>
                <w:szCs w:val="22"/>
              </w:rPr>
            </w:pPr>
            <w:r w:rsidRPr="00CB1714">
              <w:rPr>
                <w:rFonts w:ascii="Lato" w:hAnsi="Lato"/>
                <w:sz w:val="22"/>
                <w:szCs w:val="22"/>
              </w:rPr>
              <w:t>2.1.2</w:t>
            </w:r>
          </w:p>
        </w:tc>
        <w:tc>
          <w:tcPr>
            <w:tcW w:w="5891" w:type="dxa"/>
          </w:tcPr>
          <w:p w14:paraId="779BB8E4" w14:textId="77777777" w:rsidR="00E0074D" w:rsidRPr="00CB1714" w:rsidRDefault="00E0074D">
            <w:pPr>
              <w:rPr>
                <w:rFonts w:ascii="Lato" w:hAnsi="Lato"/>
                <w:sz w:val="22"/>
                <w:szCs w:val="22"/>
              </w:rPr>
            </w:pPr>
            <w:r w:rsidRPr="00CB1714">
              <w:rPr>
                <w:rFonts w:ascii="Lato" w:hAnsi="Lato"/>
                <w:sz w:val="22"/>
                <w:szCs w:val="22"/>
              </w:rPr>
              <w:t xml:space="preserve">Form in law (must be stated on cover page) </w:t>
            </w:r>
          </w:p>
        </w:tc>
        <w:tc>
          <w:tcPr>
            <w:tcW w:w="3188" w:type="dxa"/>
            <w:tcBorders>
              <w:bottom w:val="single" w:sz="4" w:space="0" w:color="auto"/>
            </w:tcBorders>
          </w:tcPr>
          <w:p w14:paraId="2C10EE5A" w14:textId="77777777" w:rsidR="00E0074D" w:rsidRPr="00CB1714" w:rsidRDefault="00E0074D">
            <w:pPr>
              <w:ind w:firstLine="99"/>
              <w:rPr>
                <w:rFonts w:ascii="Lato" w:hAnsi="Lato"/>
                <w:sz w:val="22"/>
                <w:szCs w:val="22"/>
              </w:rPr>
            </w:pPr>
          </w:p>
        </w:tc>
      </w:tr>
      <w:tr w:rsidR="00E0074D" w:rsidRPr="00CB1714" w14:paraId="3726589A" w14:textId="77777777" w:rsidTr="00990D73">
        <w:trPr>
          <w:cantSplit/>
        </w:trPr>
        <w:tc>
          <w:tcPr>
            <w:tcW w:w="1316" w:type="dxa"/>
          </w:tcPr>
          <w:p w14:paraId="057D8C35" w14:textId="77777777" w:rsidR="00E0074D" w:rsidRPr="00CB1714" w:rsidRDefault="00E0074D">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3C787CAF" w14:textId="77777777" w:rsidR="00E0074D" w:rsidRPr="00CB1714" w:rsidRDefault="00E0074D">
            <w:pPr>
              <w:rPr>
                <w:rFonts w:ascii="Lato" w:hAnsi="Lato"/>
                <w:sz w:val="22"/>
                <w:szCs w:val="22"/>
              </w:rPr>
            </w:pPr>
            <w:r w:rsidRPr="00CB1714">
              <w:rPr>
                <w:rFonts w:ascii="Lato" w:hAnsi="Lato"/>
                <w:sz w:val="22"/>
                <w:szCs w:val="22"/>
              </w:rPr>
              <w:t>Investment Company with Variable Capital</w:t>
            </w:r>
          </w:p>
        </w:tc>
        <w:tc>
          <w:tcPr>
            <w:tcW w:w="3188" w:type="dxa"/>
            <w:tcBorders>
              <w:top w:val="single" w:sz="4" w:space="0" w:color="auto"/>
              <w:left w:val="single" w:sz="4" w:space="0" w:color="auto"/>
              <w:bottom w:val="single" w:sz="4" w:space="0" w:color="auto"/>
              <w:right w:val="single" w:sz="4" w:space="0" w:color="auto"/>
            </w:tcBorders>
          </w:tcPr>
          <w:p w14:paraId="75541E96" w14:textId="77777777" w:rsidR="00E0074D" w:rsidRPr="00CB1714" w:rsidRDefault="00E0074D">
            <w:pPr>
              <w:ind w:firstLine="99"/>
              <w:rPr>
                <w:rFonts w:ascii="Lato" w:hAnsi="Lato"/>
                <w:sz w:val="22"/>
                <w:szCs w:val="22"/>
              </w:rPr>
            </w:pPr>
          </w:p>
        </w:tc>
      </w:tr>
      <w:tr w:rsidR="00E0074D" w:rsidRPr="00CB1714" w14:paraId="6E42525E" w14:textId="77777777" w:rsidTr="00990D73">
        <w:trPr>
          <w:cantSplit/>
        </w:trPr>
        <w:tc>
          <w:tcPr>
            <w:tcW w:w="1316" w:type="dxa"/>
          </w:tcPr>
          <w:p w14:paraId="5521EC61" w14:textId="77777777" w:rsidR="00E0074D" w:rsidRPr="00CB1714" w:rsidRDefault="00E0074D">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11761650" w14:textId="77777777" w:rsidR="00E0074D" w:rsidRPr="00CB1714" w:rsidRDefault="00E0074D">
            <w:pPr>
              <w:rPr>
                <w:rFonts w:ascii="Lato" w:hAnsi="Lato"/>
                <w:sz w:val="22"/>
                <w:szCs w:val="22"/>
              </w:rPr>
            </w:pPr>
            <w:r w:rsidRPr="00CB1714">
              <w:rPr>
                <w:rFonts w:ascii="Lato" w:hAnsi="Lato"/>
                <w:sz w:val="22"/>
                <w:szCs w:val="22"/>
              </w:rPr>
              <w:t>Unit Trust</w:t>
            </w:r>
          </w:p>
        </w:tc>
        <w:tc>
          <w:tcPr>
            <w:tcW w:w="3188" w:type="dxa"/>
            <w:tcBorders>
              <w:top w:val="single" w:sz="4" w:space="0" w:color="auto"/>
              <w:left w:val="single" w:sz="4" w:space="0" w:color="auto"/>
              <w:bottom w:val="single" w:sz="4" w:space="0" w:color="auto"/>
              <w:right w:val="single" w:sz="4" w:space="0" w:color="auto"/>
            </w:tcBorders>
          </w:tcPr>
          <w:p w14:paraId="7A42C311" w14:textId="77777777" w:rsidR="00E0074D" w:rsidRPr="00CB1714" w:rsidRDefault="00E0074D">
            <w:pPr>
              <w:ind w:firstLine="99"/>
              <w:rPr>
                <w:rFonts w:ascii="Lato" w:hAnsi="Lato"/>
                <w:sz w:val="22"/>
                <w:szCs w:val="22"/>
              </w:rPr>
            </w:pPr>
          </w:p>
        </w:tc>
      </w:tr>
      <w:tr w:rsidR="00E0074D" w:rsidRPr="00CB1714" w14:paraId="1CCAF486" w14:textId="77777777" w:rsidTr="00990D73">
        <w:trPr>
          <w:cantSplit/>
        </w:trPr>
        <w:tc>
          <w:tcPr>
            <w:tcW w:w="1316" w:type="dxa"/>
          </w:tcPr>
          <w:p w14:paraId="015ECF45" w14:textId="77777777" w:rsidR="00E0074D" w:rsidRPr="00CB1714" w:rsidRDefault="00E0074D">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2D424BEE" w14:textId="77777777" w:rsidR="00E0074D" w:rsidRPr="00CB1714" w:rsidRDefault="00E0074D">
            <w:pPr>
              <w:rPr>
                <w:rFonts w:ascii="Lato" w:hAnsi="Lato"/>
                <w:sz w:val="22"/>
                <w:szCs w:val="22"/>
              </w:rPr>
            </w:pPr>
            <w:r w:rsidRPr="00CB1714">
              <w:rPr>
                <w:rFonts w:ascii="Lato" w:hAnsi="Lato"/>
                <w:sz w:val="22"/>
                <w:szCs w:val="22"/>
              </w:rPr>
              <w:t>ILP</w:t>
            </w:r>
          </w:p>
        </w:tc>
        <w:tc>
          <w:tcPr>
            <w:tcW w:w="3188" w:type="dxa"/>
            <w:tcBorders>
              <w:top w:val="single" w:sz="4" w:space="0" w:color="auto"/>
              <w:left w:val="single" w:sz="4" w:space="0" w:color="auto"/>
              <w:bottom w:val="single" w:sz="4" w:space="0" w:color="auto"/>
              <w:right w:val="single" w:sz="4" w:space="0" w:color="auto"/>
            </w:tcBorders>
          </w:tcPr>
          <w:p w14:paraId="6367B656" w14:textId="77777777" w:rsidR="00E0074D" w:rsidRPr="00CB1714" w:rsidRDefault="00E0074D">
            <w:pPr>
              <w:ind w:firstLine="99"/>
              <w:rPr>
                <w:rFonts w:ascii="Lato" w:hAnsi="Lato"/>
                <w:sz w:val="22"/>
                <w:szCs w:val="22"/>
              </w:rPr>
            </w:pPr>
          </w:p>
        </w:tc>
      </w:tr>
      <w:tr w:rsidR="00E0074D" w:rsidRPr="00CB1714" w14:paraId="312A63B8" w14:textId="77777777" w:rsidTr="00990D73">
        <w:trPr>
          <w:cantSplit/>
        </w:trPr>
        <w:tc>
          <w:tcPr>
            <w:tcW w:w="1316" w:type="dxa"/>
          </w:tcPr>
          <w:p w14:paraId="31136A6F" w14:textId="77777777" w:rsidR="00E0074D" w:rsidRPr="00CB1714" w:rsidRDefault="00E0074D">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50E6EF2D" w14:textId="77777777" w:rsidR="00E0074D" w:rsidRPr="00CB1714" w:rsidRDefault="00E0074D">
            <w:pPr>
              <w:rPr>
                <w:rFonts w:ascii="Lato" w:hAnsi="Lato"/>
                <w:sz w:val="22"/>
                <w:szCs w:val="22"/>
              </w:rPr>
            </w:pPr>
            <w:r w:rsidRPr="00CB1714">
              <w:rPr>
                <w:rFonts w:ascii="Lato" w:hAnsi="Lato"/>
                <w:sz w:val="22"/>
                <w:szCs w:val="22"/>
              </w:rPr>
              <w:t>CCF</w:t>
            </w:r>
          </w:p>
        </w:tc>
        <w:tc>
          <w:tcPr>
            <w:tcW w:w="3188" w:type="dxa"/>
            <w:tcBorders>
              <w:top w:val="single" w:sz="4" w:space="0" w:color="auto"/>
              <w:left w:val="single" w:sz="4" w:space="0" w:color="auto"/>
              <w:bottom w:val="single" w:sz="4" w:space="0" w:color="auto"/>
              <w:right w:val="single" w:sz="4" w:space="0" w:color="auto"/>
            </w:tcBorders>
          </w:tcPr>
          <w:p w14:paraId="46727CCB" w14:textId="77777777" w:rsidR="00E0074D" w:rsidRPr="00CB1714" w:rsidRDefault="00E0074D">
            <w:pPr>
              <w:ind w:firstLine="99"/>
              <w:rPr>
                <w:rFonts w:ascii="Lato" w:hAnsi="Lato"/>
                <w:sz w:val="22"/>
                <w:szCs w:val="22"/>
              </w:rPr>
            </w:pPr>
          </w:p>
        </w:tc>
      </w:tr>
      <w:tr w:rsidR="00D144C7" w:rsidRPr="00CB1714" w14:paraId="1C7FDB75" w14:textId="77777777" w:rsidTr="00990D73">
        <w:trPr>
          <w:cantSplit/>
        </w:trPr>
        <w:tc>
          <w:tcPr>
            <w:tcW w:w="1316" w:type="dxa"/>
          </w:tcPr>
          <w:p w14:paraId="424059DE" w14:textId="77777777" w:rsidR="00D144C7" w:rsidRPr="00CB1714" w:rsidRDefault="00D144C7">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39C47330" w14:textId="77777777" w:rsidR="00D144C7" w:rsidRPr="00CB1714" w:rsidRDefault="00D144C7">
            <w:pPr>
              <w:rPr>
                <w:rFonts w:ascii="Lato" w:hAnsi="Lato"/>
                <w:sz w:val="22"/>
                <w:szCs w:val="22"/>
              </w:rPr>
            </w:pPr>
            <w:r w:rsidRPr="00CB1714">
              <w:rPr>
                <w:rFonts w:ascii="Lato" w:hAnsi="Lato"/>
                <w:sz w:val="22"/>
                <w:szCs w:val="22"/>
              </w:rPr>
              <w:t>ICAV</w:t>
            </w:r>
          </w:p>
        </w:tc>
        <w:tc>
          <w:tcPr>
            <w:tcW w:w="3188" w:type="dxa"/>
            <w:tcBorders>
              <w:top w:val="single" w:sz="4" w:space="0" w:color="auto"/>
              <w:left w:val="single" w:sz="4" w:space="0" w:color="auto"/>
              <w:bottom w:val="single" w:sz="4" w:space="0" w:color="auto"/>
              <w:right w:val="single" w:sz="4" w:space="0" w:color="auto"/>
            </w:tcBorders>
          </w:tcPr>
          <w:p w14:paraId="4083D499" w14:textId="77777777" w:rsidR="00D144C7" w:rsidRPr="00CB1714" w:rsidRDefault="00D144C7">
            <w:pPr>
              <w:ind w:firstLine="99"/>
              <w:rPr>
                <w:rFonts w:ascii="Lato" w:hAnsi="Lato"/>
                <w:sz w:val="22"/>
                <w:szCs w:val="22"/>
              </w:rPr>
            </w:pPr>
          </w:p>
        </w:tc>
      </w:tr>
      <w:tr w:rsidR="00E0074D" w:rsidRPr="00CB1714" w14:paraId="1D78BEB5" w14:textId="77777777" w:rsidTr="00990D73">
        <w:tc>
          <w:tcPr>
            <w:tcW w:w="1316" w:type="dxa"/>
          </w:tcPr>
          <w:p w14:paraId="7012E43A" w14:textId="77777777" w:rsidR="00E0074D" w:rsidRPr="00CB1714" w:rsidRDefault="00E0074D">
            <w:pPr>
              <w:rPr>
                <w:rFonts w:ascii="Lato" w:hAnsi="Lato"/>
                <w:b/>
                <w:sz w:val="22"/>
                <w:szCs w:val="22"/>
              </w:rPr>
            </w:pPr>
          </w:p>
        </w:tc>
        <w:tc>
          <w:tcPr>
            <w:tcW w:w="5891" w:type="dxa"/>
          </w:tcPr>
          <w:p w14:paraId="1FCA8546" w14:textId="77777777" w:rsidR="00E0074D" w:rsidRPr="00CB1714" w:rsidRDefault="00EB593B">
            <w:pPr>
              <w:rPr>
                <w:rFonts w:ascii="Lato" w:hAnsi="Lato"/>
                <w:b/>
                <w:sz w:val="22"/>
                <w:szCs w:val="22"/>
              </w:rPr>
            </w:pPr>
            <w:r w:rsidRPr="00CB1714">
              <w:rPr>
                <w:rFonts w:ascii="Lato" w:hAnsi="Lato"/>
                <w:b/>
                <w:sz w:val="22"/>
                <w:szCs w:val="22"/>
              </w:rPr>
              <w:t>Investment Company</w:t>
            </w:r>
            <w:r w:rsidR="00D144C7" w:rsidRPr="00CB1714">
              <w:rPr>
                <w:rFonts w:ascii="Lato" w:hAnsi="Lato"/>
                <w:b/>
                <w:sz w:val="22"/>
                <w:szCs w:val="22"/>
              </w:rPr>
              <w:t>/ICAV</w:t>
            </w:r>
          </w:p>
        </w:tc>
        <w:tc>
          <w:tcPr>
            <w:tcW w:w="3188" w:type="dxa"/>
            <w:tcBorders>
              <w:top w:val="single" w:sz="4" w:space="0" w:color="auto"/>
              <w:bottom w:val="single" w:sz="4" w:space="0" w:color="auto"/>
            </w:tcBorders>
          </w:tcPr>
          <w:p w14:paraId="3767A02D" w14:textId="77777777" w:rsidR="00E0074D" w:rsidRPr="00CB1714" w:rsidRDefault="00E0074D">
            <w:pPr>
              <w:ind w:firstLine="99"/>
              <w:rPr>
                <w:rFonts w:ascii="Lato" w:hAnsi="Lato"/>
                <w:sz w:val="22"/>
                <w:szCs w:val="22"/>
              </w:rPr>
            </w:pPr>
          </w:p>
        </w:tc>
      </w:tr>
      <w:tr w:rsidR="00E0074D" w:rsidRPr="00CB1714" w14:paraId="20A72F11" w14:textId="77777777" w:rsidTr="00990D73">
        <w:tc>
          <w:tcPr>
            <w:tcW w:w="1316" w:type="dxa"/>
          </w:tcPr>
          <w:p w14:paraId="3C38EFDC" w14:textId="77777777" w:rsidR="00E0074D" w:rsidRPr="00CB1714" w:rsidRDefault="00E0074D">
            <w:pPr>
              <w:rPr>
                <w:rFonts w:ascii="Lato" w:hAnsi="Lato"/>
                <w:sz w:val="22"/>
                <w:szCs w:val="22"/>
              </w:rPr>
            </w:pPr>
            <w:r w:rsidRPr="00CB1714">
              <w:rPr>
                <w:rFonts w:ascii="Lato" w:hAnsi="Lato"/>
                <w:sz w:val="22"/>
                <w:szCs w:val="22"/>
              </w:rPr>
              <w:t>2.1.3</w:t>
            </w:r>
            <w:r w:rsidR="00EB593B" w:rsidRPr="00CB1714">
              <w:rPr>
                <w:rFonts w:ascii="Lato" w:hAnsi="Lato"/>
                <w:sz w:val="22"/>
                <w:szCs w:val="22"/>
              </w:rPr>
              <w:t xml:space="preserve"> </w:t>
            </w:r>
            <w:r w:rsidR="009F3AF9" w:rsidRPr="00CB1714">
              <w:rPr>
                <w:rFonts w:ascii="Lato" w:hAnsi="Lato"/>
                <w:sz w:val="22"/>
                <w:szCs w:val="22"/>
              </w:rPr>
              <w:t xml:space="preserve">  </w:t>
            </w:r>
            <w:r w:rsidR="008C1A4B" w:rsidRPr="00CB1714">
              <w:rPr>
                <w:rFonts w:ascii="Lato" w:hAnsi="Lato"/>
                <w:sz w:val="22"/>
                <w:szCs w:val="22"/>
              </w:rPr>
              <w:t xml:space="preserve">   </w:t>
            </w:r>
            <w:r w:rsidR="009F3AF9" w:rsidRPr="00CB1714">
              <w:rPr>
                <w:rFonts w:ascii="Lato" w:hAnsi="Lato"/>
                <w:sz w:val="22"/>
                <w:szCs w:val="22"/>
              </w:rPr>
              <w:t xml:space="preserve"> </w:t>
            </w:r>
            <w:r w:rsidR="00EB593B" w:rsidRPr="00CB1714">
              <w:rPr>
                <w:rFonts w:ascii="Lato" w:hAnsi="Lato"/>
                <w:sz w:val="22"/>
                <w:szCs w:val="22"/>
              </w:rPr>
              <w:t>(i)</w:t>
            </w:r>
          </w:p>
        </w:tc>
        <w:tc>
          <w:tcPr>
            <w:tcW w:w="5891" w:type="dxa"/>
            <w:tcBorders>
              <w:right w:val="single" w:sz="4" w:space="0" w:color="auto"/>
            </w:tcBorders>
          </w:tcPr>
          <w:p w14:paraId="6F56970C" w14:textId="77777777" w:rsidR="00E0074D" w:rsidRPr="00CB1714" w:rsidRDefault="00E0074D" w:rsidP="00EB593B">
            <w:pPr>
              <w:rPr>
                <w:rFonts w:ascii="Lato" w:hAnsi="Lato"/>
                <w:sz w:val="22"/>
                <w:szCs w:val="22"/>
              </w:rPr>
            </w:pPr>
            <w:r w:rsidRPr="00CB1714">
              <w:rPr>
                <w:rFonts w:ascii="Lato" w:hAnsi="Lato"/>
                <w:sz w:val="22"/>
                <w:szCs w:val="22"/>
              </w:rPr>
              <w:t>Registered Office</w:t>
            </w:r>
            <w:r w:rsidR="00D760E3" w:rsidRPr="00CB1714">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67ED962D" w14:textId="77777777" w:rsidR="00E0074D" w:rsidRPr="00CB1714" w:rsidRDefault="00E0074D">
            <w:pPr>
              <w:rPr>
                <w:rFonts w:ascii="Lato" w:hAnsi="Lato"/>
                <w:sz w:val="22"/>
                <w:szCs w:val="22"/>
              </w:rPr>
            </w:pPr>
          </w:p>
        </w:tc>
      </w:tr>
      <w:tr w:rsidR="009F3AF9" w:rsidRPr="00CB1714" w14:paraId="79420A64" w14:textId="77777777" w:rsidTr="00990D73">
        <w:tc>
          <w:tcPr>
            <w:tcW w:w="1316" w:type="dxa"/>
          </w:tcPr>
          <w:p w14:paraId="48C5562C" w14:textId="77777777" w:rsidR="009F3AF9" w:rsidRPr="00CB1714" w:rsidRDefault="009F3AF9" w:rsidP="009F3AF9">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5587BC43" w14:textId="77777777" w:rsidR="009F3AF9" w:rsidRPr="00CB1714" w:rsidRDefault="009F3AF9" w:rsidP="00EB593B">
            <w:pPr>
              <w:rPr>
                <w:rFonts w:ascii="Lato" w:hAnsi="Lato"/>
                <w:sz w:val="22"/>
                <w:szCs w:val="22"/>
              </w:rPr>
            </w:pPr>
            <w:r w:rsidRPr="00CB1714">
              <w:rPr>
                <w:rFonts w:ascii="Lato" w:hAnsi="Lato"/>
                <w:sz w:val="22"/>
                <w:szCs w:val="22"/>
              </w:rPr>
              <w:t>Names and positions of the directors</w:t>
            </w:r>
          </w:p>
        </w:tc>
        <w:tc>
          <w:tcPr>
            <w:tcW w:w="3188" w:type="dxa"/>
            <w:tcBorders>
              <w:top w:val="single" w:sz="4" w:space="0" w:color="auto"/>
              <w:left w:val="single" w:sz="4" w:space="0" w:color="auto"/>
              <w:bottom w:val="single" w:sz="4" w:space="0" w:color="auto"/>
              <w:right w:val="single" w:sz="4" w:space="0" w:color="auto"/>
            </w:tcBorders>
          </w:tcPr>
          <w:p w14:paraId="534E2DDB" w14:textId="77777777" w:rsidR="009F3AF9" w:rsidRPr="00CB1714" w:rsidRDefault="009F3AF9">
            <w:pPr>
              <w:rPr>
                <w:rFonts w:ascii="Lato" w:hAnsi="Lato"/>
                <w:sz w:val="22"/>
                <w:szCs w:val="22"/>
              </w:rPr>
            </w:pPr>
          </w:p>
        </w:tc>
      </w:tr>
      <w:tr w:rsidR="009F3AF9" w:rsidRPr="00CB1714" w14:paraId="6D91F124" w14:textId="77777777" w:rsidTr="00990D73">
        <w:tc>
          <w:tcPr>
            <w:tcW w:w="1316" w:type="dxa"/>
          </w:tcPr>
          <w:p w14:paraId="75958461" w14:textId="77777777" w:rsidR="009F3AF9" w:rsidRPr="00CB1714" w:rsidRDefault="009F3AF9" w:rsidP="009F3AF9">
            <w:pPr>
              <w:jc w:val="right"/>
              <w:rPr>
                <w:rFonts w:ascii="Lato" w:hAnsi="Lato"/>
                <w:sz w:val="22"/>
                <w:szCs w:val="22"/>
              </w:rPr>
            </w:pPr>
            <w:r w:rsidRPr="00CB1714">
              <w:rPr>
                <w:rFonts w:ascii="Lato" w:hAnsi="Lato"/>
                <w:sz w:val="22"/>
                <w:szCs w:val="22"/>
              </w:rPr>
              <w:t>(iii)</w:t>
            </w:r>
          </w:p>
        </w:tc>
        <w:tc>
          <w:tcPr>
            <w:tcW w:w="5891" w:type="dxa"/>
          </w:tcPr>
          <w:p w14:paraId="0404665E" w14:textId="77777777" w:rsidR="009F3AF9" w:rsidRPr="00CB1714" w:rsidRDefault="009F3AF9" w:rsidP="00EB593B">
            <w:pPr>
              <w:rPr>
                <w:rFonts w:ascii="Lato" w:hAnsi="Lato"/>
                <w:sz w:val="22"/>
                <w:szCs w:val="22"/>
              </w:rPr>
            </w:pPr>
            <w:r w:rsidRPr="00CB1714">
              <w:rPr>
                <w:rFonts w:ascii="Lato" w:hAnsi="Lato"/>
                <w:sz w:val="22"/>
                <w:szCs w:val="22"/>
              </w:rPr>
              <w:t>A brief description of the directors’ work experience which</w:t>
            </w:r>
          </w:p>
        </w:tc>
        <w:tc>
          <w:tcPr>
            <w:tcW w:w="3188" w:type="dxa"/>
            <w:tcBorders>
              <w:top w:val="single" w:sz="4" w:space="0" w:color="auto"/>
            </w:tcBorders>
          </w:tcPr>
          <w:p w14:paraId="37D7D1A1" w14:textId="77777777" w:rsidR="009F3AF9" w:rsidRPr="00CB1714" w:rsidRDefault="009F3AF9">
            <w:pPr>
              <w:rPr>
                <w:rFonts w:ascii="Lato" w:hAnsi="Lato"/>
                <w:sz w:val="22"/>
                <w:szCs w:val="22"/>
              </w:rPr>
            </w:pPr>
          </w:p>
        </w:tc>
      </w:tr>
      <w:tr w:rsidR="009F3AF9" w:rsidRPr="00CB1714" w14:paraId="0F999582" w14:textId="77777777" w:rsidTr="00990D73">
        <w:tc>
          <w:tcPr>
            <w:tcW w:w="1316" w:type="dxa"/>
          </w:tcPr>
          <w:p w14:paraId="12DCE240" w14:textId="77777777" w:rsidR="009F3AF9" w:rsidRPr="00CB1714" w:rsidRDefault="009F3AF9" w:rsidP="009F3AF9">
            <w:pPr>
              <w:jc w:val="right"/>
              <w:rPr>
                <w:rFonts w:ascii="Lato" w:hAnsi="Lato"/>
                <w:sz w:val="22"/>
                <w:szCs w:val="22"/>
              </w:rPr>
            </w:pPr>
          </w:p>
        </w:tc>
        <w:tc>
          <w:tcPr>
            <w:tcW w:w="5891" w:type="dxa"/>
          </w:tcPr>
          <w:p w14:paraId="3EE06194" w14:textId="77777777" w:rsidR="009F3AF9" w:rsidRPr="00CB1714" w:rsidRDefault="009F3AF9" w:rsidP="00EB593B">
            <w:pPr>
              <w:rPr>
                <w:rFonts w:ascii="Lato" w:hAnsi="Lato"/>
                <w:sz w:val="22"/>
                <w:szCs w:val="22"/>
              </w:rPr>
            </w:pPr>
            <w:r w:rsidRPr="00CB1714">
              <w:rPr>
                <w:rFonts w:ascii="Lato" w:hAnsi="Lato"/>
                <w:sz w:val="22"/>
                <w:szCs w:val="22"/>
              </w:rPr>
              <w:t>is relevant to the Qualifying Investor AIF</w:t>
            </w:r>
          </w:p>
        </w:tc>
        <w:tc>
          <w:tcPr>
            <w:tcW w:w="3188" w:type="dxa"/>
            <w:tcBorders>
              <w:bottom w:val="single" w:sz="4" w:space="0" w:color="auto"/>
            </w:tcBorders>
          </w:tcPr>
          <w:p w14:paraId="410C4AAD" w14:textId="77777777" w:rsidR="009F3AF9" w:rsidRPr="00CB1714" w:rsidRDefault="009F3AF9">
            <w:pPr>
              <w:rPr>
                <w:rFonts w:ascii="Lato" w:hAnsi="Lato"/>
                <w:sz w:val="22"/>
                <w:szCs w:val="22"/>
              </w:rPr>
            </w:pPr>
          </w:p>
        </w:tc>
      </w:tr>
      <w:tr w:rsidR="009F3AF9" w:rsidRPr="00CB1714" w14:paraId="7CCE77EB" w14:textId="77777777" w:rsidTr="00990D73">
        <w:tc>
          <w:tcPr>
            <w:tcW w:w="1316" w:type="dxa"/>
          </w:tcPr>
          <w:p w14:paraId="12095AB8" w14:textId="77777777" w:rsidR="009F3AF9" w:rsidRPr="00CB1714" w:rsidRDefault="009F3AF9" w:rsidP="009F3AF9">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0BEA0B0E" w14:textId="77777777" w:rsidR="009F3AF9" w:rsidRPr="00CB1714" w:rsidRDefault="009F3AF9" w:rsidP="00EB593B">
            <w:pPr>
              <w:rPr>
                <w:rFonts w:ascii="Lato" w:hAnsi="Lato"/>
                <w:sz w:val="22"/>
                <w:szCs w:val="22"/>
              </w:rPr>
            </w:pPr>
            <w:r w:rsidRPr="00CB1714">
              <w:rPr>
                <w:rFonts w:ascii="Lato" w:hAnsi="Lato"/>
                <w:sz w:val="22"/>
                <w:szCs w:val="22"/>
              </w:rPr>
              <w:t>current</w:t>
            </w:r>
          </w:p>
        </w:tc>
        <w:tc>
          <w:tcPr>
            <w:tcW w:w="3188" w:type="dxa"/>
            <w:tcBorders>
              <w:top w:val="single" w:sz="4" w:space="0" w:color="auto"/>
              <w:left w:val="single" w:sz="4" w:space="0" w:color="auto"/>
              <w:bottom w:val="single" w:sz="4" w:space="0" w:color="auto"/>
              <w:right w:val="single" w:sz="4" w:space="0" w:color="auto"/>
            </w:tcBorders>
          </w:tcPr>
          <w:p w14:paraId="2CB6D322" w14:textId="77777777" w:rsidR="009F3AF9" w:rsidRPr="00CB1714" w:rsidRDefault="009F3AF9">
            <w:pPr>
              <w:rPr>
                <w:rFonts w:ascii="Lato" w:hAnsi="Lato"/>
                <w:sz w:val="22"/>
                <w:szCs w:val="22"/>
              </w:rPr>
            </w:pPr>
          </w:p>
        </w:tc>
      </w:tr>
      <w:tr w:rsidR="009F3AF9" w:rsidRPr="00CB1714" w14:paraId="58D962A6" w14:textId="77777777" w:rsidTr="00990D73">
        <w:tc>
          <w:tcPr>
            <w:tcW w:w="1316" w:type="dxa"/>
          </w:tcPr>
          <w:p w14:paraId="17DB77E5" w14:textId="77777777" w:rsidR="009F3AF9" w:rsidRPr="00CB1714" w:rsidRDefault="009F3AF9" w:rsidP="009F3AF9">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59935A0A" w14:textId="77777777" w:rsidR="009F3AF9" w:rsidRPr="00CB1714" w:rsidRDefault="009F3AF9" w:rsidP="00EB593B">
            <w:pPr>
              <w:rPr>
                <w:rFonts w:ascii="Lato" w:hAnsi="Lato"/>
                <w:sz w:val="22"/>
                <w:szCs w:val="22"/>
              </w:rPr>
            </w:pPr>
            <w:r w:rsidRPr="00CB1714">
              <w:rPr>
                <w:rFonts w:ascii="Lato" w:hAnsi="Lato"/>
                <w:sz w:val="22"/>
                <w:szCs w:val="22"/>
              </w:rPr>
              <w:t>Past and</w:t>
            </w:r>
          </w:p>
        </w:tc>
        <w:tc>
          <w:tcPr>
            <w:tcW w:w="3188" w:type="dxa"/>
            <w:tcBorders>
              <w:top w:val="single" w:sz="4" w:space="0" w:color="auto"/>
              <w:left w:val="single" w:sz="4" w:space="0" w:color="auto"/>
              <w:bottom w:val="single" w:sz="4" w:space="0" w:color="auto"/>
              <w:right w:val="single" w:sz="4" w:space="0" w:color="auto"/>
            </w:tcBorders>
          </w:tcPr>
          <w:p w14:paraId="04F22746" w14:textId="77777777" w:rsidR="009F3AF9" w:rsidRPr="00CB1714" w:rsidRDefault="009F3AF9">
            <w:pPr>
              <w:rPr>
                <w:rFonts w:ascii="Lato" w:hAnsi="Lato"/>
                <w:sz w:val="22"/>
                <w:szCs w:val="22"/>
              </w:rPr>
            </w:pPr>
          </w:p>
        </w:tc>
      </w:tr>
      <w:tr w:rsidR="009F3AF9" w:rsidRPr="00CB1714" w14:paraId="234E6677" w14:textId="77777777" w:rsidTr="00990D73">
        <w:tc>
          <w:tcPr>
            <w:tcW w:w="1316" w:type="dxa"/>
          </w:tcPr>
          <w:p w14:paraId="26AA5951" w14:textId="77777777" w:rsidR="009F3AF9" w:rsidRPr="00CB1714" w:rsidRDefault="009F3AF9" w:rsidP="009F3AF9">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70313830" w14:textId="77777777" w:rsidR="009F3AF9" w:rsidRPr="00CB1714" w:rsidRDefault="009F3AF9" w:rsidP="00CB1714">
            <w:pPr>
              <w:rPr>
                <w:rFonts w:ascii="Lato" w:hAnsi="Lato"/>
                <w:sz w:val="22"/>
                <w:szCs w:val="22"/>
              </w:rPr>
            </w:pPr>
            <w:r w:rsidRPr="00CB1714">
              <w:rPr>
                <w:rFonts w:ascii="Lato" w:hAnsi="Lato"/>
                <w:sz w:val="22"/>
                <w:szCs w:val="22"/>
              </w:rPr>
              <w:t>their main activities outside of the company</w:t>
            </w:r>
            <w:r w:rsidR="00D144C7" w:rsidRPr="00CB1714">
              <w:rPr>
                <w:rFonts w:ascii="Lato" w:hAnsi="Lato"/>
                <w:sz w:val="22"/>
                <w:szCs w:val="22"/>
              </w:rPr>
              <w:t>/ICAV</w:t>
            </w:r>
            <w:r w:rsidRPr="00CB1714">
              <w:rPr>
                <w:rFonts w:ascii="Lato" w:hAnsi="Lato"/>
                <w:sz w:val="22"/>
                <w:szCs w:val="22"/>
              </w:rPr>
              <w:t xml:space="preserve"> (where </w:t>
            </w:r>
          </w:p>
        </w:tc>
        <w:tc>
          <w:tcPr>
            <w:tcW w:w="3188" w:type="dxa"/>
            <w:tcBorders>
              <w:top w:val="single" w:sz="4" w:space="0" w:color="auto"/>
              <w:left w:val="single" w:sz="4" w:space="0" w:color="auto"/>
              <w:bottom w:val="single" w:sz="4" w:space="0" w:color="auto"/>
              <w:right w:val="single" w:sz="4" w:space="0" w:color="auto"/>
            </w:tcBorders>
          </w:tcPr>
          <w:p w14:paraId="2B457962" w14:textId="77777777" w:rsidR="009F3AF9" w:rsidRPr="00CB1714" w:rsidRDefault="009F3AF9">
            <w:pPr>
              <w:rPr>
                <w:rFonts w:ascii="Lato" w:hAnsi="Lato"/>
                <w:sz w:val="22"/>
                <w:szCs w:val="22"/>
              </w:rPr>
            </w:pPr>
          </w:p>
        </w:tc>
      </w:tr>
      <w:tr w:rsidR="009F3AF9" w:rsidRPr="00CB1714" w14:paraId="5DDBC9DF" w14:textId="77777777" w:rsidTr="00990D73">
        <w:tc>
          <w:tcPr>
            <w:tcW w:w="1316" w:type="dxa"/>
          </w:tcPr>
          <w:p w14:paraId="11BDB01C" w14:textId="77777777" w:rsidR="009F3AF9" w:rsidRPr="00CB1714" w:rsidRDefault="009F3AF9">
            <w:pPr>
              <w:rPr>
                <w:rFonts w:ascii="Lato" w:hAnsi="Lato"/>
                <w:sz w:val="22"/>
                <w:szCs w:val="22"/>
              </w:rPr>
            </w:pPr>
          </w:p>
        </w:tc>
        <w:tc>
          <w:tcPr>
            <w:tcW w:w="5891" w:type="dxa"/>
          </w:tcPr>
          <w:p w14:paraId="3519E396" w14:textId="77777777" w:rsidR="009F3AF9" w:rsidRPr="00CB1714" w:rsidRDefault="00D04504" w:rsidP="00EB593B">
            <w:pPr>
              <w:rPr>
                <w:rFonts w:ascii="Lato" w:hAnsi="Lato"/>
                <w:sz w:val="22"/>
                <w:szCs w:val="22"/>
              </w:rPr>
            </w:pPr>
            <w:r w:rsidRPr="00F72ED7">
              <w:rPr>
                <w:rFonts w:ascii="Lato" w:hAnsi="Lato"/>
                <w:sz w:val="22"/>
                <w:szCs w:val="22"/>
              </w:rPr>
              <w:t>these</w:t>
            </w:r>
            <w:r w:rsidRPr="00CB1714">
              <w:rPr>
                <w:rFonts w:ascii="Lato" w:hAnsi="Lato"/>
                <w:sz w:val="22"/>
                <w:szCs w:val="22"/>
              </w:rPr>
              <w:t xml:space="preserve"> </w:t>
            </w:r>
            <w:r w:rsidR="009F3AF9" w:rsidRPr="00CB1714">
              <w:rPr>
                <w:rFonts w:ascii="Lato" w:hAnsi="Lato"/>
                <w:sz w:val="22"/>
                <w:szCs w:val="22"/>
              </w:rPr>
              <w:t>are of significance to the investment company</w:t>
            </w:r>
            <w:r w:rsidR="00D144C7" w:rsidRPr="00CB1714">
              <w:rPr>
                <w:rFonts w:ascii="Lato" w:hAnsi="Lato"/>
                <w:sz w:val="22"/>
                <w:szCs w:val="22"/>
              </w:rPr>
              <w:t>/ICAV)</w:t>
            </w:r>
          </w:p>
        </w:tc>
        <w:tc>
          <w:tcPr>
            <w:tcW w:w="3188" w:type="dxa"/>
            <w:tcBorders>
              <w:top w:val="single" w:sz="4" w:space="0" w:color="auto"/>
              <w:bottom w:val="single" w:sz="4" w:space="0" w:color="auto"/>
            </w:tcBorders>
          </w:tcPr>
          <w:p w14:paraId="3D3CBAEC" w14:textId="77777777" w:rsidR="009F3AF9" w:rsidRPr="00CB1714" w:rsidRDefault="009F3AF9">
            <w:pPr>
              <w:rPr>
                <w:rFonts w:ascii="Lato" w:hAnsi="Lato"/>
                <w:sz w:val="22"/>
                <w:szCs w:val="22"/>
              </w:rPr>
            </w:pPr>
          </w:p>
        </w:tc>
      </w:tr>
      <w:tr w:rsidR="009F3AF9" w:rsidRPr="00CB1714" w14:paraId="0D416230" w14:textId="77777777" w:rsidTr="00990D73">
        <w:tc>
          <w:tcPr>
            <w:tcW w:w="1316" w:type="dxa"/>
          </w:tcPr>
          <w:p w14:paraId="53DC5D8E" w14:textId="77777777" w:rsidR="009F3AF9" w:rsidRPr="00CB1714" w:rsidRDefault="009F3AF9" w:rsidP="009F3AF9">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47FDFFDB" w14:textId="77777777" w:rsidR="009F3AF9" w:rsidRPr="00CB1714" w:rsidRDefault="009F3AF9" w:rsidP="00EB593B">
            <w:pPr>
              <w:rPr>
                <w:rFonts w:ascii="Lato" w:hAnsi="Lato"/>
                <w:sz w:val="22"/>
                <w:szCs w:val="22"/>
              </w:rPr>
            </w:pPr>
            <w:r w:rsidRPr="00CB1714">
              <w:rPr>
                <w:rFonts w:ascii="Lato" w:hAnsi="Lato"/>
                <w:sz w:val="22"/>
                <w:szCs w:val="22"/>
              </w:rPr>
              <w:t>Head office (if different to the registered office</w:t>
            </w:r>
            <w:r w:rsidR="00D144C7" w:rsidRPr="00CB1714">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764D4448" w14:textId="77777777" w:rsidR="009F3AF9" w:rsidRPr="00CB1714" w:rsidRDefault="009F3AF9">
            <w:pPr>
              <w:rPr>
                <w:rFonts w:ascii="Lato" w:hAnsi="Lato"/>
                <w:sz w:val="22"/>
                <w:szCs w:val="22"/>
              </w:rPr>
            </w:pPr>
          </w:p>
        </w:tc>
      </w:tr>
      <w:tr w:rsidR="00E0074D" w:rsidRPr="00CB1714" w14:paraId="2D337945" w14:textId="77777777" w:rsidTr="0042571B">
        <w:tc>
          <w:tcPr>
            <w:tcW w:w="1316" w:type="dxa"/>
          </w:tcPr>
          <w:p w14:paraId="206091CC" w14:textId="77777777" w:rsidR="00E0074D" w:rsidRPr="00CB1714" w:rsidRDefault="00E0074D">
            <w:pPr>
              <w:rPr>
                <w:rFonts w:ascii="Lato" w:hAnsi="Lato"/>
                <w:sz w:val="22"/>
                <w:szCs w:val="22"/>
              </w:rPr>
            </w:pPr>
          </w:p>
        </w:tc>
        <w:tc>
          <w:tcPr>
            <w:tcW w:w="5891" w:type="dxa"/>
          </w:tcPr>
          <w:p w14:paraId="33C60817" w14:textId="77777777" w:rsidR="00EB593B" w:rsidRPr="00CB1714" w:rsidRDefault="00EB593B">
            <w:pPr>
              <w:rPr>
                <w:rFonts w:ascii="Lato" w:hAnsi="Lato"/>
                <w:sz w:val="22"/>
                <w:szCs w:val="22"/>
              </w:rPr>
            </w:pPr>
          </w:p>
        </w:tc>
        <w:tc>
          <w:tcPr>
            <w:tcW w:w="3188" w:type="dxa"/>
            <w:tcBorders>
              <w:top w:val="single" w:sz="4" w:space="0" w:color="auto"/>
              <w:bottom w:val="single" w:sz="4" w:space="0" w:color="auto"/>
            </w:tcBorders>
          </w:tcPr>
          <w:p w14:paraId="4F31310C" w14:textId="77777777" w:rsidR="00E0074D" w:rsidRPr="00CB1714" w:rsidRDefault="00E0074D">
            <w:pPr>
              <w:ind w:firstLine="99"/>
              <w:rPr>
                <w:rFonts w:ascii="Lato" w:hAnsi="Lato"/>
                <w:sz w:val="22"/>
                <w:szCs w:val="22"/>
              </w:rPr>
            </w:pPr>
          </w:p>
        </w:tc>
      </w:tr>
      <w:tr w:rsidR="00E0074D" w:rsidRPr="00CB1714" w14:paraId="1B73053A" w14:textId="77777777" w:rsidTr="0042571B">
        <w:tc>
          <w:tcPr>
            <w:tcW w:w="1316" w:type="dxa"/>
          </w:tcPr>
          <w:p w14:paraId="2AC012BA" w14:textId="77777777" w:rsidR="00E0074D" w:rsidRPr="00CB1714" w:rsidRDefault="00E0074D" w:rsidP="0004571D">
            <w:pPr>
              <w:rPr>
                <w:rFonts w:ascii="Lato" w:hAnsi="Lato"/>
                <w:sz w:val="22"/>
                <w:szCs w:val="22"/>
              </w:rPr>
            </w:pPr>
            <w:r w:rsidRPr="00CB1714">
              <w:rPr>
                <w:rFonts w:ascii="Lato" w:hAnsi="Lato"/>
                <w:sz w:val="22"/>
                <w:szCs w:val="22"/>
              </w:rPr>
              <w:t>2.1.</w:t>
            </w:r>
            <w:r w:rsidR="00430598" w:rsidRPr="00CB1714">
              <w:rPr>
                <w:rFonts w:ascii="Lato" w:hAnsi="Lato"/>
                <w:sz w:val="22"/>
                <w:szCs w:val="22"/>
              </w:rPr>
              <w:t>4</w:t>
            </w:r>
          </w:p>
        </w:tc>
        <w:tc>
          <w:tcPr>
            <w:tcW w:w="5891" w:type="dxa"/>
            <w:tcBorders>
              <w:right w:val="single" w:sz="4" w:space="0" w:color="auto"/>
            </w:tcBorders>
          </w:tcPr>
          <w:p w14:paraId="259B2810" w14:textId="77777777" w:rsidR="00E0074D" w:rsidRPr="00CB1714" w:rsidRDefault="00E0074D" w:rsidP="00CB1714">
            <w:pPr>
              <w:rPr>
                <w:rFonts w:ascii="Lato" w:hAnsi="Lato"/>
                <w:sz w:val="22"/>
                <w:szCs w:val="22"/>
              </w:rPr>
            </w:pPr>
            <w:r w:rsidRPr="00CB1714">
              <w:rPr>
                <w:rFonts w:ascii="Lato" w:hAnsi="Lato"/>
                <w:sz w:val="22"/>
                <w:szCs w:val="22"/>
              </w:rPr>
              <w:t xml:space="preserve">Date of establishment/incorporation of the </w:t>
            </w:r>
            <w:r w:rsidR="00D6477D" w:rsidRPr="00CB1714">
              <w:rPr>
                <w:rFonts w:ascii="Lato" w:hAnsi="Lato"/>
                <w:sz w:val="22"/>
                <w:szCs w:val="22"/>
              </w:rPr>
              <w:t>Q</w:t>
            </w:r>
            <w:r w:rsidR="00EB593B" w:rsidRPr="00CB1714">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4C5CB405" w14:textId="77777777" w:rsidR="00E0074D" w:rsidRPr="00CB1714" w:rsidRDefault="00E0074D">
            <w:pPr>
              <w:ind w:firstLine="99"/>
              <w:rPr>
                <w:rFonts w:ascii="Lato" w:hAnsi="Lato"/>
                <w:sz w:val="22"/>
                <w:szCs w:val="22"/>
              </w:rPr>
            </w:pPr>
          </w:p>
        </w:tc>
      </w:tr>
      <w:tr w:rsidR="0042571B" w:rsidRPr="00CB1714" w14:paraId="33B8F520" w14:textId="77777777" w:rsidTr="0042571B">
        <w:tc>
          <w:tcPr>
            <w:tcW w:w="1316" w:type="dxa"/>
          </w:tcPr>
          <w:p w14:paraId="269C3AA5" w14:textId="77777777" w:rsidR="0042571B" w:rsidRPr="00CB1714" w:rsidRDefault="0042571B" w:rsidP="0004571D">
            <w:pPr>
              <w:rPr>
                <w:rFonts w:ascii="Lato" w:hAnsi="Lato"/>
                <w:sz w:val="22"/>
                <w:szCs w:val="22"/>
              </w:rPr>
            </w:pPr>
          </w:p>
        </w:tc>
        <w:tc>
          <w:tcPr>
            <w:tcW w:w="5891" w:type="dxa"/>
          </w:tcPr>
          <w:p w14:paraId="528284BC" w14:textId="77777777" w:rsidR="0042571B" w:rsidRPr="00CB1714" w:rsidRDefault="00D04504" w:rsidP="00D760E3">
            <w:pPr>
              <w:rPr>
                <w:rFonts w:ascii="Lato" w:hAnsi="Lato"/>
                <w:sz w:val="22"/>
                <w:szCs w:val="22"/>
              </w:rPr>
            </w:pPr>
            <w:r w:rsidRPr="00F72ED7">
              <w:rPr>
                <w:rFonts w:ascii="Lato" w:hAnsi="Lato"/>
                <w:sz w:val="22"/>
                <w:szCs w:val="22"/>
              </w:rPr>
              <w:t xml:space="preserve">Investor </w:t>
            </w:r>
            <w:r w:rsidR="0042571B" w:rsidRPr="00CB1714">
              <w:rPr>
                <w:rFonts w:ascii="Lato" w:hAnsi="Lato"/>
                <w:sz w:val="22"/>
                <w:szCs w:val="22"/>
              </w:rPr>
              <w:t>AIF</w:t>
            </w:r>
          </w:p>
        </w:tc>
        <w:tc>
          <w:tcPr>
            <w:tcW w:w="3188" w:type="dxa"/>
            <w:tcBorders>
              <w:top w:val="single" w:sz="4" w:space="0" w:color="auto"/>
            </w:tcBorders>
          </w:tcPr>
          <w:p w14:paraId="742B145C" w14:textId="77777777" w:rsidR="0042571B" w:rsidRPr="00CB1714" w:rsidRDefault="0042571B">
            <w:pPr>
              <w:ind w:firstLine="99"/>
              <w:rPr>
                <w:rFonts w:ascii="Lato" w:hAnsi="Lato"/>
                <w:sz w:val="22"/>
                <w:szCs w:val="22"/>
              </w:rPr>
            </w:pPr>
          </w:p>
        </w:tc>
      </w:tr>
      <w:tr w:rsidR="00310EB2" w:rsidRPr="00CB1714" w14:paraId="5B70B4BC" w14:textId="77777777" w:rsidTr="0042571B">
        <w:tc>
          <w:tcPr>
            <w:tcW w:w="1316" w:type="dxa"/>
          </w:tcPr>
          <w:p w14:paraId="59A08F16" w14:textId="77777777" w:rsidR="00310EB2" w:rsidRPr="00CB1714" w:rsidRDefault="00310EB2">
            <w:pPr>
              <w:rPr>
                <w:rFonts w:ascii="Lato" w:hAnsi="Lato"/>
                <w:sz w:val="22"/>
                <w:szCs w:val="22"/>
              </w:rPr>
            </w:pPr>
          </w:p>
        </w:tc>
        <w:tc>
          <w:tcPr>
            <w:tcW w:w="5891" w:type="dxa"/>
          </w:tcPr>
          <w:p w14:paraId="7F9E1D40" w14:textId="77777777" w:rsidR="00310EB2" w:rsidRPr="00CB1714" w:rsidRDefault="00310EB2">
            <w:pPr>
              <w:rPr>
                <w:rFonts w:ascii="Lato" w:hAnsi="Lato"/>
                <w:sz w:val="22"/>
                <w:szCs w:val="22"/>
              </w:rPr>
            </w:pPr>
          </w:p>
        </w:tc>
        <w:tc>
          <w:tcPr>
            <w:tcW w:w="3188" w:type="dxa"/>
            <w:tcBorders>
              <w:bottom w:val="single" w:sz="4" w:space="0" w:color="auto"/>
            </w:tcBorders>
          </w:tcPr>
          <w:p w14:paraId="6FD50D6B" w14:textId="77777777" w:rsidR="00310EB2" w:rsidRPr="00CB1714" w:rsidRDefault="00310EB2">
            <w:pPr>
              <w:ind w:firstLine="99"/>
              <w:rPr>
                <w:rFonts w:ascii="Lato" w:hAnsi="Lato"/>
                <w:sz w:val="22"/>
                <w:szCs w:val="22"/>
              </w:rPr>
            </w:pPr>
          </w:p>
        </w:tc>
      </w:tr>
      <w:tr w:rsidR="00D760E3" w:rsidRPr="00CB1714" w14:paraId="20CEF5BC" w14:textId="77777777" w:rsidTr="00990D73">
        <w:tc>
          <w:tcPr>
            <w:tcW w:w="1316" w:type="dxa"/>
          </w:tcPr>
          <w:p w14:paraId="0DD27BAC" w14:textId="77777777" w:rsidR="00D760E3" w:rsidRPr="00CB1714" w:rsidRDefault="00D760E3" w:rsidP="00430598">
            <w:pPr>
              <w:rPr>
                <w:rFonts w:ascii="Lato" w:hAnsi="Lato"/>
                <w:sz w:val="22"/>
                <w:szCs w:val="22"/>
              </w:rPr>
            </w:pPr>
            <w:r w:rsidRPr="00CB1714">
              <w:rPr>
                <w:rFonts w:ascii="Lato" w:hAnsi="Lato"/>
                <w:sz w:val="22"/>
                <w:szCs w:val="22"/>
              </w:rPr>
              <w:t>2.1.</w:t>
            </w:r>
            <w:r w:rsidR="00430598" w:rsidRPr="00CB1714">
              <w:rPr>
                <w:rFonts w:ascii="Lato" w:hAnsi="Lato"/>
                <w:sz w:val="22"/>
                <w:szCs w:val="22"/>
              </w:rPr>
              <w:t>5</w:t>
            </w:r>
            <w:r w:rsidR="00A84D80" w:rsidRPr="00CB1714">
              <w:rPr>
                <w:rFonts w:ascii="Lato" w:hAnsi="Lato"/>
                <w:sz w:val="22"/>
                <w:szCs w:val="22"/>
              </w:rPr>
              <w:t xml:space="preserve">   </w:t>
            </w:r>
            <w:r w:rsidR="00430598" w:rsidRPr="00CB1714">
              <w:rPr>
                <w:rFonts w:ascii="Lato" w:hAnsi="Lato"/>
                <w:sz w:val="22"/>
                <w:szCs w:val="22"/>
              </w:rPr>
              <w:t xml:space="preserve">  </w:t>
            </w:r>
            <w:r w:rsidR="00A84D80" w:rsidRPr="00CB1714">
              <w:rPr>
                <w:rFonts w:ascii="Lato" w:hAnsi="Lato"/>
                <w:sz w:val="22"/>
                <w:szCs w:val="22"/>
              </w:rPr>
              <w:t xml:space="preserve">  </w:t>
            </w:r>
            <w:r w:rsidR="00825022" w:rsidRPr="00CB1714">
              <w:rPr>
                <w:rFonts w:ascii="Lato" w:hAnsi="Lato"/>
                <w:sz w:val="22"/>
                <w:szCs w:val="22"/>
              </w:rPr>
              <w:t>(i)</w:t>
            </w:r>
          </w:p>
        </w:tc>
        <w:tc>
          <w:tcPr>
            <w:tcW w:w="5891" w:type="dxa"/>
            <w:tcBorders>
              <w:right w:val="single" w:sz="4" w:space="0" w:color="auto"/>
            </w:tcBorders>
          </w:tcPr>
          <w:p w14:paraId="5EDF341F" w14:textId="77777777" w:rsidR="00D760E3" w:rsidRPr="00CB1714" w:rsidRDefault="00D760E3" w:rsidP="00D760E3">
            <w:pPr>
              <w:rPr>
                <w:rFonts w:ascii="Lato" w:hAnsi="Lato"/>
                <w:sz w:val="22"/>
                <w:szCs w:val="22"/>
              </w:rPr>
            </w:pPr>
            <w:r w:rsidRPr="00CB1714">
              <w:rPr>
                <w:rFonts w:ascii="Lato" w:hAnsi="Lato"/>
                <w:sz w:val="22"/>
                <w:szCs w:val="22"/>
              </w:rPr>
              <w:t>Give an 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33DF83C5" w14:textId="77777777" w:rsidR="00D760E3" w:rsidRPr="00CB1714" w:rsidRDefault="00D760E3">
            <w:pPr>
              <w:ind w:firstLine="99"/>
              <w:rPr>
                <w:rFonts w:ascii="Lato" w:hAnsi="Lato"/>
                <w:sz w:val="22"/>
                <w:szCs w:val="22"/>
              </w:rPr>
            </w:pPr>
          </w:p>
        </w:tc>
      </w:tr>
      <w:tr w:rsidR="005C2825" w:rsidRPr="00CB1714" w14:paraId="33C7BF49" w14:textId="77777777" w:rsidTr="00990D73">
        <w:tc>
          <w:tcPr>
            <w:tcW w:w="1316" w:type="dxa"/>
          </w:tcPr>
          <w:p w14:paraId="3EB5E69E" w14:textId="77777777" w:rsidR="005C2825" w:rsidRPr="00CB1714" w:rsidRDefault="005C2825">
            <w:pPr>
              <w:rPr>
                <w:rFonts w:ascii="Lato" w:hAnsi="Lato"/>
                <w:sz w:val="22"/>
                <w:szCs w:val="22"/>
              </w:rPr>
            </w:pPr>
          </w:p>
        </w:tc>
        <w:tc>
          <w:tcPr>
            <w:tcW w:w="5891" w:type="dxa"/>
          </w:tcPr>
          <w:p w14:paraId="635D1383" w14:textId="77777777" w:rsidR="005C2825" w:rsidRPr="00CB1714" w:rsidRDefault="005C2825">
            <w:pPr>
              <w:rPr>
                <w:rFonts w:ascii="Lato" w:hAnsi="Lato"/>
                <w:sz w:val="22"/>
                <w:szCs w:val="22"/>
              </w:rPr>
            </w:pPr>
          </w:p>
        </w:tc>
        <w:tc>
          <w:tcPr>
            <w:tcW w:w="3188" w:type="dxa"/>
            <w:tcBorders>
              <w:top w:val="single" w:sz="4" w:space="0" w:color="auto"/>
              <w:bottom w:val="single" w:sz="4" w:space="0" w:color="auto"/>
            </w:tcBorders>
          </w:tcPr>
          <w:p w14:paraId="04C279CF" w14:textId="77777777" w:rsidR="005C2825" w:rsidRPr="00CB1714" w:rsidRDefault="005C2825">
            <w:pPr>
              <w:ind w:firstLine="99"/>
              <w:rPr>
                <w:rFonts w:ascii="Lato" w:hAnsi="Lato"/>
                <w:sz w:val="22"/>
                <w:szCs w:val="22"/>
              </w:rPr>
            </w:pPr>
          </w:p>
        </w:tc>
      </w:tr>
      <w:tr w:rsidR="00E0074D" w:rsidRPr="00CB1714" w14:paraId="16FF67A7" w14:textId="77777777" w:rsidTr="00990D73">
        <w:tc>
          <w:tcPr>
            <w:tcW w:w="1316" w:type="dxa"/>
          </w:tcPr>
          <w:p w14:paraId="11021922" w14:textId="77777777" w:rsidR="00E0074D" w:rsidRPr="00CB1714" w:rsidRDefault="00E0074D" w:rsidP="00441CAE">
            <w:pPr>
              <w:rPr>
                <w:rFonts w:ascii="Lato" w:hAnsi="Lato"/>
                <w:sz w:val="22"/>
                <w:szCs w:val="22"/>
              </w:rPr>
            </w:pPr>
            <w:r w:rsidRPr="00CB1714">
              <w:rPr>
                <w:rFonts w:ascii="Lato" w:hAnsi="Lato"/>
                <w:sz w:val="22"/>
                <w:szCs w:val="22"/>
              </w:rPr>
              <w:t>2.1.</w:t>
            </w:r>
            <w:r w:rsidR="00430598" w:rsidRPr="00CB1714">
              <w:rPr>
                <w:rFonts w:ascii="Lato" w:hAnsi="Lato"/>
                <w:sz w:val="22"/>
                <w:szCs w:val="22"/>
              </w:rPr>
              <w:t>6</w:t>
            </w:r>
          </w:p>
        </w:tc>
        <w:tc>
          <w:tcPr>
            <w:tcW w:w="5891" w:type="dxa"/>
            <w:tcBorders>
              <w:right w:val="single" w:sz="4" w:space="0" w:color="auto"/>
            </w:tcBorders>
          </w:tcPr>
          <w:p w14:paraId="188AD704" w14:textId="77777777" w:rsidR="00E0074D" w:rsidRPr="00CB1714" w:rsidRDefault="00E0074D">
            <w:pPr>
              <w:rPr>
                <w:rFonts w:ascii="Lato" w:hAnsi="Lato"/>
                <w:sz w:val="22"/>
                <w:szCs w:val="22"/>
              </w:rPr>
            </w:pPr>
            <w:r w:rsidRPr="00CB1714">
              <w:rPr>
                <w:rFonts w:ascii="Lato" w:hAnsi="Lato"/>
                <w:sz w:val="22"/>
                <w:szCs w:val="22"/>
              </w:rPr>
              <w:t>Name and address of the auditor</w:t>
            </w:r>
          </w:p>
        </w:tc>
        <w:tc>
          <w:tcPr>
            <w:tcW w:w="3188" w:type="dxa"/>
            <w:tcBorders>
              <w:top w:val="single" w:sz="4" w:space="0" w:color="auto"/>
              <w:left w:val="single" w:sz="4" w:space="0" w:color="auto"/>
              <w:bottom w:val="single" w:sz="4" w:space="0" w:color="auto"/>
              <w:right w:val="single" w:sz="4" w:space="0" w:color="auto"/>
            </w:tcBorders>
          </w:tcPr>
          <w:p w14:paraId="216767A2" w14:textId="77777777" w:rsidR="00E0074D" w:rsidRPr="00CB1714" w:rsidRDefault="00E0074D">
            <w:pPr>
              <w:ind w:firstLine="99"/>
              <w:rPr>
                <w:rFonts w:ascii="Lato" w:hAnsi="Lato"/>
                <w:sz w:val="22"/>
                <w:szCs w:val="22"/>
              </w:rPr>
            </w:pPr>
          </w:p>
        </w:tc>
      </w:tr>
      <w:tr w:rsidR="00E0074D" w:rsidRPr="00CB1714" w14:paraId="2A94E8B7" w14:textId="77777777" w:rsidTr="00990D73">
        <w:tc>
          <w:tcPr>
            <w:tcW w:w="1316" w:type="dxa"/>
          </w:tcPr>
          <w:p w14:paraId="5F38352D" w14:textId="77777777" w:rsidR="00E0074D" w:rsidRPr="00CB1714" w:rsidRDefault="00E0074D">
            <w:pPr>
              <w:rPr>
                <w:rFonts w:ascii="Lato" w:hAnsi="Lato"/>
                <w:sz w:val="22"/>
                <w:szCs w:val="22"/>
              </w:rPr>
            </w:pPr>
          </w:p>
        </w:tc>
        <w:tc>
          <w:tcPr>
            <w:tcW w:w="5891" w:type="dxa"/>
          </w:tcPr>
          <w:p w14:paraId="0A5CF271" w14:textId="77777777" w:rsidR="00E0074D" w:rsidRPr="00CB1714" w:rsidRDefault="00E0074D">
            <w:pPr>
              <w:rPr>
                <w:rFonts w:ascii="Lato" w:hAnsi="Lato"/>
                <w:sz w:val="22"/>
                <w:szCs w:val="22"/>
              </w:rPr>
            </w:pPr>
          </w:p>
        </w:tc>
        <w:tc>
          <w:tcPr>
            <w:tcW w:w="3188" w:type="dxa"/>
            <w:tcBorders>
              <w:bottom w:val="single" w:sz="4" w:space="0" w:color="auto"/>
            </w:tcBorders>
          </w:tcPr>
          <w:p w14:paraId="2ACD8C87" w14:textId="77777777" w:rsidR="00E0074D" w:rsidRPr="00CB1714" w:rsidRDefault="00E0074D">
            <w:pPr>
              <w:ind w:firstLine="99"/>
              <w:rPr>
                <w:rFonts w:ascii="Lato" w:hAnsi="Lato"/>
                <w:sz w:val="22"/>
                <w:szCs w:val="22"/>
              </w:rPr>
            </w:pPr>
          </w:p>
        </w:tc>
      </w:tr>
      <w:tr w:rsidR="00E0074D" w:rsidRPr="00CB1714" w14:paraId="3B9C31FC" w14:textId="77777777" w:rsidTr="00990D73">
        <w:trPr>
          <w:cantSplit/>
          <w:trHeight w:val="255"/>
        </w:trPr>
        <w:tc>
          <w:tcPr>
            <w:tcW w:w="1316" w:type="dxa"/>
            <w:vMerge w:val="restart"/>
          </w:tcPr>
          <w:p w14:paraId="2DB08DDF" w14:textId="77777777" w:rsidR="00E0074D" w:rsidRPr="00CB1714" w:rsidRDefault="00E0074D" w:rsidP="002B7055">
            <w:pPr>
              <w:rPr>
                <w:rFonts w:ascii="Lato" w:hAnsi="Lato"/>
                <w:sz w:val="22"/>
                <w:szCs w:val="22"/>
              </w:rPr>
            </w:pPr>
            <w:r w:rsidRPr="00CB1714">
              <w:rPr>
                <w:rFonts w:ascii="Lato" w:hAnsi="Lato"/>
                <w:sz w:val="22"/>
                <w:szCs w:val="22"/>
              </w:rPr>
              <w:t>2.1.</w:t>
            </w:r>
            <w:r w:rsidR="00430598" w:rsidRPr="00CB1714">
              <w:rPr>
                <w:rFonts w:ascii="Lato" w:hAnsi="Lato"/>
                <w:sz w:val="22"/>
                <w:szCs w:val="22"/>
              </w:rPr>
              <w:t>7</w:t>
            </w:r>
          </w:p>
        </w:tc>
        <w:tc>
          <w:tcPr>
            <w:tcW w:w="5891" w:type="dxa"/>
            <w:vMerge w:val="restart"/>
            <w:tcBorders>
              <w:right w:val="single" w:sz="4" w:space="0" w:color="auto"/>
            </w:tcBorders>
          </w:tcPr>
          <w:p w14:paraId="693F723C" w14:textId="77777777" w:rsidR="00E0074D" w:rsidRPr="00CB1714" w:rsidRDefault="00E0074D">
            <w:pPr>
              <w:rPr>
                <w:rFonts w:ascii="Lato" w:hAnsi="Lato"/>
                <w:sz w:val="22"/>
                <w:szCs w:val="22"/>
              </w:rPr>
            </w:pPr>
            <w:r w:rsidRPr="00CB1714">
              <w:rPr>
                <w:rFonts w:ascii="Lato" w:hAnsi="Lato"/>
                <w:sz w:val="22"/>
                <w:szCs w:val="22"/>
              </w:rPr>
              <w:t>If applicable, the stock exchange(s)</w:t>
            </w:r>
            <w:r w:rsidR="00310EB2" w:rsidRPr="00CB1714">
              <w:rPr>
                <w:rFonts w:ascii="Lato" w:hAnsi="Lato"/>
                <w:sz w:val="22"/>
                <w:szCs w:val="22"/>
              </w:rPr>
              <w:t xml:space="preserve"> or markets</w:t>
            </w:r>
            <w:r w:rsidRPr="00CB1714">
              <w:rPr>
                <w:rFonts w:ascii="Lato" w:hAnsi="Lato"/>
                <w:sz w:val="22"/>
                <w:szCs w:val="22"/>
              </w:rPr>
              <w:t xml:space="preserve"> on which the units</w:t>
            </w:r>
            <w:r w:rsidRPr="00CB1714">
              <w:rPr>
                <w:rFonts w:ascii="Lato" w:hAnsi="Lato"/>
                <w:b/>
                <w:bCs/>
                <w:sz w:val="22"/>
                <w:szCs w:val="22"/>
              </w:rPr>
              <w:t xml:space="preserve"> </w:t>
            </w:r>
            <w:r w:rsidRPr="00CB1714">
              <w:rPr>
                <w:rFonts w:ascii="Lato" w:hAnsi="Lato"/>
                <w:sz w:val="22"/>
                <w:szCs w:val="22"/>
              </w:rPr>
              <w:t>in the</w:t>
            </w:r>
            <w:r w:rsidRPr="00CB1714">
              <w:rPr>
                <w:rFonts w:ascii="Lato" w:hAnsi="Lato"/>
                <w:b/>
                <w:bCs/>
                <w:sz w:val="22"/>
                <w:szCs w:val="22"/>
              </w:rPr>
              <w:t xml:space="preserve"> </w:t>
            </w:r>
            <w:r w:rsidR="00EB593B" w:rsidRPr="00CB1714">
              <w:rPr>
                <w:rFonts w:ascii="Lato" w:hAnsi="Lato"/>
                <w:sz w:val="22"/>
                <w:szCs w:val="22"/>
              </w:rPr>
              <w:t xml:space="preserve">Qualifying Investor </w:t>
            </w:r>
            <w:r w:rsidR="00D6477D" w:rsidRPr="00CB1714">
              <w:rPr>
                <w:rFonts w:ascii="Lato" w:hAnsi="Lato"/>
                <w:sz w:val="22"/>
                <w:szCs w:val="22"/>
              </w:rPr>
              <w:t>AIF</w:t>
            </w:r>
            <w:r w:rsidRPr="00CB1714">
              <w:rPr>
                <w:rFonts w:ascii="Lato" w:hAnsi="Lato"/>
                <w:sz w:val="22"/>
                <w:szCs w:val="22"/>
              </w:rPr>
              <w:t xml:space="preserve"> will be listed</w:t>
            </w:r>
            <w:r w:rsidR="00310EB2" w:rsidRPr="00CB1714">
              <w:rPr>
                <w:rFonts w:ascii="Lato" w:hAnsi="Lato"/>
                <w:sz w:val="22"/>
                <w:szCs w:val="22"/>
              </w:rPr>
              <w:t xml:space="preserve"> or dealt in</w:t>
            </w:r>
          </w:p>
        </w:tc>
        <w:tc>
          <w:tcPr>
            <w:tcW w:w="3188" w:type="dxa"/>
            <w:tcBorders>
              <w:top w:val="single" w:sz="4" w:space="0" w:color="auto"/>
              <w:left w:val="single" w:sz="4" w:space="0" w:color="auto"/>
              <w:bottom w:val="single" w:sz="4" w:space="0" w:color="auto"/>
              <w:right w:val="single" w:sz="4" w:space="0" w:color="auto"/>
            </w:tcBorders>
          </w:tcPr>
          <w:p w14:paraId="420E59EA" w14:textId="77777777" w:rsidR="00E0074D" w:rsidRPr="00CB1714" w:rsidRDefault="00E0074D">
            <w:pPr>
              <w:ind w:firstLine="99"/>
              <w:rPr>
                <w:rFonts w:ascii="Lato" w:hAnsi="Lato"/>
                <w:sz w:val="22"/>
                <w:szCs w:val="22"/>
              </w:rPr>
            </w:pPr>
          </w:p>
        </w:tc>
      </w:tr>
      <w:tr w:rsidR="00E0074D" w:rsidRPr="00CB1714" w14:paraId="1DF91A99" w14:textId="77777777" w:rsidTr="00990D73">
        <w:trPr>
          <w:cantSplit/>
          <w:trHeight w:val="254"/>
        </w:trPr>
        <w:tc>
          <w:tcPr>
            <w:tcW w:w="1316" w:type="dxa"/>
            <w:vMerge/>
          </w:tcPr>
          <w:p w14:paraId="7236716D" w14:textId="77777777" w:rsidR="00E0074D" w:rsidRPr="00CB1714" w:rsidRDefault="00E0074D">
            <w:pPr>
              <w:rPr>
                <w:rFonts w:ascii="Lato" w:hAnsi="Lato"/>
                <w:sz w:val="22"/>
                <w:szCs w:val="22"/>
              </w:rPr>
            </w:pPr>
          </w:p>
        </w:tc>
        <w:tc>
          <w:tcPr>
            <w:tcW w:w="5891" w:type="dxa"/>
            <w:vMerge/>
          </w:tcPr>
          <w:p w14:paraId="2DAA5D7B" w14:textId="77777777" w:rsidR="00E0074D" w:rsidRPr="00CB1714" w:rsidRDefault="00E0074D">
            <w:pPr>
              <w:rPr>
                <w:rFonts w:ascii="Lato" w:hAnsi="Lato"/>
                <w:sz w:val="22"/>
                <w:szCs w:val="22"/>
              </w:rPr>
            </w:pPr>
          </w:p>
        </w:tc>
        <w:tc>
          <w:tcPr>
            <w:tcW w:w="3188" w:type="dxa"/>
            <w:tcBorders>
              <w:top w:val="single" w:sz="4" w:space="0" w:color="auto"/>
            </w:tcBorders>
          </w:tcPr>
          <w:p w14:paraId="7BD10D53" w14:textId="77777777" w:rsidR="00E0074D" w:rsidRPr="00CB1714" w:rsidRDefault="00E0074D">
            <w:pPr>
              <w:ind w:firstLine="99"/>
              <w:rPr>
                <w:rFonts w:ascii="Lato" w:hAnsi="Lato"/>
                <w:sz w:val="22"/>
                <w:szCs w:val="22"/>
              </w:rPr>
            </w:pPr>
          </w:p>
        </w:tc>
      </w:tr>
      <w:tr w:rsidR="00E0074D" w:rsidRPr="00CB1714" w14:paraId="261B5373" w14:textId="77777777" w:rsidTr="00990D73">
        <w:tc>
          <w:tcPr>
            <w:tcW w:w="1316" w:type="dxa"/>
          </w:tcPr>
          <w:p w14:paraId="787E135B" w14:textId="77777777" w:rsidR="00E0074D" w:rsidRPr="00CB1714" w:rsidRDefault="00E0074D">
            <w:pPr>
              <w:rPr>
                <w:rFonts w:ascii="Lato" w:hAnsi="Lato"/>
                <w:sz w:val="22"/>
                <w:szCs w:val="22"/>
              </w:rPr>
            </w:pPr>
          </w:p>
        </w:tc>
        <w:tc>
          <w:tcPr>
            <w:tcW w:w="5891" w:type="dxa"/>
          </w:tcPr>
          <w:p w14:paraId="17B9779B" w14:textId="77777777" w:rsidR="00E0074D" w:rsidRPr="00CB1714" w:rsidRDefault="00E0074D">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412E3E5D" w14:textId="77777777" w:rsidR="00E0074D" w:rsidRPr="00CB1714" w:rsidRDefault="00E0074D">
            <w:pPr>
              <w:ind w:firstLine="99"/>
              <w:rPr>
                <w:rFonts w:ascii="Lato" w:hAnsi="Lato"/>
                <w:sz w:val="22"/>
                <w:szCs w:val="22"/>
              </w:rPr>
            </w:pPr>
          </w:p>
        </w:tc>
      </w:tr>
      <w:tr w:rsidR="00E0074D" w:rsidRPr="00CB1714" w14:paraId="4FB4A3C1" w14:textId="77777777" w:rsidTr="00990D73">
        <w:trPr>
          <w:cantSplit/>
          <w:trHeight w:val="257"/>
        </w:trPr>
        <w:tc>
          <w:tcPr>
            <w:tcW w:w="1316" w:type="dxa"/>
          </w:tcPr>
          <w:p w14:paraId="015D1835" w14:textId="77777777" w:rsidR="00E0074D" w:rsidRPr="00CB1714" w:rsidRDefault="00E0074D" w:rsidP="002B7055">
            <w:pPr>
              <w:rPr>
                <w:rFonts w:ascii="Lato" w:hAnsi="Lato"/>
                <w:sz w:val="22"/>
                <w:szCs w:val="22"/>
              </w:rPr>
            </w:pPr>
            <w:r w:rsidRPr="00CB1714">
              <w:rPr>
                <w:rFonts w:ascii="Lato" w:hAnsi="Lato"/>
                <w:sz w:val="22"/>
                <w:szCs w:val="22"/>
              </w:rPr>
              <w:t>2.1.</w:t>
            </w:r>
            <w:r w:rsidR="00430598" w:rsidRPr="00CB1714">
              <w:rPr>
                <w:rFonts w:ascii="Lato" w:hAnsi="Lato"/>
                <w:sz w:val="22"/>
                <w:szCs w:val="22"/>
              </w:rPr>
              <w:t>8</w:t>
            </w:r>
          </w:p>
        </w:tc>
        <w:tc>
          <w:tcPr>
            <w:tcW w:w="5891" w:type="dxa"/>
            <w:tcBorders>
              <w:right w:val="single" w:sz="4" w:space="0" w:color="auto"/>
            </w:tcBorders>
          </w:tcPr>
          <w:p w14:paraId="6B7649EC" w14:textId="77777777" w:rsidR="00E0074D" w:rsidRPr="00CB1714" w:rsidRDefault="00E0074D" w:rsidP="00CB1714">
            <w:pPr>
              <w:pStyle w:val="Heading3"/>
              <w:spacing w:before="0" w:after="0" w:line="240" w:lineRule="auto"/>
              <w:rPr>
                <w:rFonts w:ascii="Lato" w:hAnsi="Lato"/>
                <w:b w:val="0"/>
                <w:bCs/>
                <w:color w:val="auto"/>
                <w:sz w:val="22"/>
                <w:szCs w:val="22"/>
              </w:rPr>
            </w:pPr>
            <w:r w:rsidRPr="00CB1714">
              <w:rPr>
                <w:rFonts w:ascii="Lato" w:hAnsi="Lato"/>
                <w:b w:val="0"/>
                <w:bCs/>
                <w:color w:val="auto"/>
                <w:sz w:val="22"/>
                <w:szCs w:val="22"/>
              </w:rPr>
              <w:t xml:space="preserve">Statement indicating the persons who accept responsibility </w:t>
            </w:r>
          </w:p>
        </w:tc>
        <w:tc>
          <w:tcPr>
            <w:tcW w:w="3188" w:type="dxa"/>
            <w:tcBorders>
              <w:top w:val="single" w:sz="4" w:space="0" w:color="auto"/>
              <w:left w:val="single" w:sz="4" w:space="0" w:color="auto"/>
              <w:bottom w:val="single" w:sz="4" w:space="0" w:color="auto"/>
              <w:right w:val="single" w:sz="4" w:space="0" w:color="auto"/>
            </w:tcBorders>
          </w:tcPr>
          <w:p w14:paraId="33FEC412" w14:textId="77777777" w:rsidR="00E0074D" w:rsidRPr="00CB1714" w:rsidRDefault="00E0074D">
            <w:pPr>
              <w:ind w:firstLine="99"/>
              <w:rPr>
                <w:rFonts w:ascii="Lato" w:hAnsi="Lato"/>
                <w:sz w:val="22"/>
                <w:szCs w:val="22"/>
              </w:rPr>
            </w:pPr>
          </w:p>
        </w:tc>
      </w:tr>
      <w:tr w:rsidR="002B7055" w:rsidRPr="00CB1714" w14:paraId="5CEB05EE" w14:textId="77777777" w:rsidTr="00990D73">
        <w:trPr>
          <w:cantSplit/>
          <w:trHeight w:val="257"/>
        </w:trPr>
        <w:tc>
          <w:tcPr>
            <w:tcW w:w="1316" w:type="dxa"/>
          </w:tcPr>
          <w:p w14:paraId="5FFB0C50" w14:textId="77777777" w:rsidR="002B7055" w:rsidRPr="00CB1714" w:rsidRDefault="002B7055" w:rsidP="002B7055">
            <w:pPr>
              <w:rPr>
                <w:rFonts w:ascii="Lato" w:hAnsi="Lato"/>
                <w:sz w:val="22"/>
                <w:szCs w:val="22"/>
              </w:rPr>
            </w:pPr>
          </w:p>
        </w:tc>
        <w:tc>
          <w:tcPr>
            <w:tcW w:w="5891" w:type="dxa"/>
          </w:tcPr>
          <w:p w14:paraId="3D1433CD" w14:textId="77777777" w:rsidR="002B7055" w:rsidRPr="00CB1714" w:rsidRDefault="00D04504" w:rsidP="006D7C05">
            <w:pPr>
              <w:pStyle w:val="Heading3"/>
              <w:spacing w:before="0" w:after="0" w:line="240" w:lineRule="auto"/>
              <w:rPr>
                <w:rFonts w:ascii="Lato" w:hAnsi="Lato"/>
                <w:b w:val="0"/>
                <w:bCs/>
                <w:color w:val="auto"/>
                <w:sz w:val="22"/>
                <w:szCs w:val="22"/>
              </w:rPr>
            </w:pPr>
            <w:r w:rsidRPr="00F72ED7">
              <w:rPr>
                <w:rFonts w:ascii="Lato" w:hAnsi="Lato"/>
                <w:b w:val="0"/>
                <w:bCs/>
                <w:color w:val="auto"/>
                <w:sz w:val="22"/>
                <w:szCs w:val="22"/>
              </w:rPr>
              <w:t>for</w:t>
            </w:r>
            <w:r w:rsidRPr="00CB1714">
              <w:rPr>
                <w:rFonts w:ascii="Lato" w:hAnsi="Lato"/>
                <w:b w:val="0"/>
                <w:bCs/>
                <w:color w:val="auto"/>
                <w:sz w:val="22"/>
                <w:szCs w:val="22"/>
              </w:rPr>
              <w:t xml:space="preserve"> </w:t>
            </w:r>
            <w:r w:rsidR="002B7055" w:rsidRPr="00CB1714">
              <w:rPr>
                <w:rFonts w:ascii="Lato" w:hAnsi="Lato"/>
                <w:b w:val="0"/>
                <w:bCs/>
                <w:color w:val="auto"/>
                <w:sz w:val="22"/>
                <w:szCs w:val="22"/>
              </w:rPr>
              <w:t>the</w:t>
            </w:r>
            <w:r w:rsidR="002B7055" w:rsidRPr="00CB1714">
              <w:rPr>
                <w:rFonts w:ascii="Lato" w:hAnsi="Lato"/>
                <w:color w:val="auto"/>
                <w:sz w:val="22"/>
                <w:szCs w:val="22"/>
              </w:rPr>
              <w:t xml:space="preserve"> </w:t>
            </w:r>
            <w:r w:rsidR="002B7055" w:rsidRPr="00CB1714">
              <w:rPr>
                <w:rFonts w:ascii="Lato" w:hAnsi="Lato"/>
                <w:b w:val="0"/>
                <w:bCs/>
                <w:color w:val="auto"/>
                <w:sz w:val="22"/>
                <w:szCs w:val="22"/>
              </w:rPr>
              <w:t>information contained in the prospectus</w:t>
            </w:r>
            <w:r w:rsidR="006D7C05" w:rsidRPr="00CB1714">
              <w:rPr>
                <w:rFonts w:ascii="Lato" w:hAnsi="Lato"/>
                <w:b w:val="0"/>
                <w:bCs/>
                <w:color w:val="auto"/>
                <w:sz w:val="22"/>
                <w:szCs w:val="22"/>
              </w:rPr>
              <w:t xml:space="preserve"> (i.e. the Directors of the investment company</w:t>
            </w:r>
            <w:r w:rsidR="00D144C7" w:rsidRPr="00CB1714">
              <w:rPr>
                <w:rFonts w:ascii="Lato" w:hAnsi="Lato"/>
                <w:b w:val="0"/>
                <w:bCs/>
                <w:color w:val="auto"/>
                <w:sz w:val="22"/>
                <w:szCs w:val="22"/>
              </w:rPr>
              <w:t>/ICAV</w:t>
            </w:r>
            <w:r w:rsidR="006D7C05" w:rsidRPr="00CB1714">
              <w:rPr>
                <w:rFonts w:ascii="Lato" w:hAnsi="Lato"/>
                <w:b w:val="0"/>
                <w:bCs/>
                <w:color w:val="auto"/>
                <w:sz w:val="22"/>
                <w:szCs w:val="22"/>
              </w:rPr>
              <w:t xml:space="preserve"> or of the management company in the case of a unit trust/common contractual fund)</w:t>
            </w:r>
          </w:p>
        </w:tc>
        <w:tc>
          <w:tcPr>
            <w:tcW w:w="3188" w:type="dxa"/>
            <w:tcBorders>
              <w:top w:val="single" w:sz="4" w:space="0" w:color="auto"/>
            </w:tcBorders>
          </w:tcPr>
          <w:p w14:paraId="4B14180A" w14:textId="77777777" w:rsidR="002B7055" w:rsidRPr="00CB1714" w:rsidRDefault="002B7055">
            <w:pPr>
              <w:ind w:firstLine="99"/>
              <w:rPr>
                <w:rFonts w:ascii="Lato" w:hAnsi="Lato"/>
                <w:sz w:val="22"/>
                <w:szCs w:val="22"/>
              </w:rPr>
            </w:pPr>
          </w:p>
        </w:tc>
      </w:tr>
      <w:tr w:rsidR="006D7C05" w:rsidRPr="00CB1714" w14:paraId="5723B2A8" w14:textId="77777777" w:rsidTr="00990D73">
        <w:trPr>
          <w:cantSplit/>
          <w:trHeight w:val="257"/>
        </w:trPr>
        <w:tc>
          <w:tcPr>
            <w:tcW w:w="1316" w:type="dxa"/>
          </w:tcPr>
          <w:p w14:paraId="3F4F748C" w14:textId="77777777" w:rsidR="006D7C05" w:rsidRPr="00CB1714" w:rsidRDefault="006D7C05" w:rsidP="002B7055">
            <w:pPr>
              <w:rPr>
                <w:rFonts w:ascii="Lato" w:hAnsi="Lato"/>
                <w:sz w:val="22"/>
                <w:szCs w:val="22"/>
              </w:rPr>
            </w:pPr>
          </w:p>
        </w:tc>
        <w:tc>
          <w:tcPr>
            <w:tcW w:w="5891" w:type="dxa"/>
          </w:tcPr>
          <w:p w14:paraId="6636E6B7" w14:textId="77777777" w:rsidR="006D7C05" w:rsidRPr="00CB1714" w:rsidRDefault="006D7C05" w:rsidP="002B7055">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33DDBBC" w14:textId="77777777" w:rsidR="006D7C05" w:rsidRPr="00CB1714" w:rsidRDefault="006D7C05">
            <w:pPr>
              <w:ind w:firstLine="99"/>
              <w:rPr>
                <w:rFonts w:ascii="Lato" w:hAnsi="Lato"/>
                <w:sz w:val="22"/>
                <w:szCs w:val="22"/>
              </w:rPr>
            </w:pPr>
          </w:p>
        </w:tc>
      </w:tr>
      <w:tr w:rsidR="002B7055" w:rsidRPr="00CB1714" w14:paraId="46CD9CA8" w14:textId="77777777" w:rsidTr="00990D73">
        <w:trPr>
          <w:cantSplit/>
          <w:trHeight w:val="257"/>
        </w:trPr>
        <w:tc>
          <w:tcPr>
            <w:tcW w:w="1316" w:type="dxa"/>
          </w:tcPr>
          <w:p w14:paraId="0F89BE70" w14:textId="77777777" w:rsidR="002B7055" w:rsidRPr="00CB1714" w:rsidRDefault="00430598" w:rsidP="002B7055">
            <w:pPr>
              <w:rPr>
                <w:rFonts w:ascii="Lato" w:hAnsi="Lato"/>
                <w:sz w:val="22"/>
                <w:szCs w:val="22"/>
              </w:rPr>
            </w:pPr>
            <w:r w:rsidRPr="00CB1714">
              <w:rPr>
                <w:rFonts w:ascii="Lato" w:hAnsi="Lato"/>
                <w:sz w:val="22"/>
                <w:szCs w:val="22"/>
              </w:rPr>
              <w:t>2.1.9</w:t>
            </w:r>
          </w:p>
        </w:tc>
        <w:tc>
          <w:tcPr>
            <w:tcW w:w="5891" w:type="dxa"/>
            <w:tcBorders>
              <w:right w:val="single" w:sz="4" w:space="0" w:color="auto"/>
            </w:tcBorders>
          </w:tcPr>
          <w:p w14:paraId="325B7547" w14:textId="77777777" w:rsidR="002B7055" w:rsidRPr="00CB1714" w:rsidRDefault="002B7055" w:rsidP="00763102">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Disclose the base currency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79AEED2C" w14:textId="77777777" w:rsidR="002B7055" w:rsidRPr="00CB1714" w:rsidRDefault="002B7055">
            <w:pPr>
              <w:ind w:firstLine="99"/>
              <w:rPr>
                <w:rFonts w:ascii="Lato" w:hAnsi="Lato"/>
                <w:sz w:val="22"/>
                <w:szCs w:val="22"/>
              </w:rPr>
            </w:pPr>
          </w:p>
        </w:tc>
      </w:tr>
      <w:tr w:rsidR="00763102" w:rsidRPr="00CB1714" w14:paraId="59B213FB" w14:textId="77777777" w:rsidTr="00990D73">
        <w:trPr>
          <w:cantSplit/>
          <w:trHeight w:val="257"/>
        </w:trPr>
        <w:tc>
          <w:tcPr>
            <w:tcW w:w="1316" w:type="dxa"/>
          </w:tcPr>
          <w:p w14:paraId="58FFB39E" w14:textId="77777777" w:rsidR="00763102" w:rsidRPr="00CB1714" w:rsidRDefault="00763102" w:rsidP="00D760E3">
            <w:pPr>
              <w:rPr>
                <w:rFonts w:ascii="Lato" w:hAnsi="Lato"/>
                <w:sz w:val="22"/>
                <w:szCs w:val="22"/>
              </w:rPr>
            </w:pPr>
          </w:p>
        </w:tc>
        <w:tc>
          <w:tcPr>
            <w:tcW w:w="5891" w:type="dxa"/>
          </w:tcPr>
          <w:p w14:paraId="649AA563" w14:textId="77777777" w:rsidR="00BB6E71" w:rsidRPr="00CB1714" w:rsidRDefault="00BB6E71" w:rsidP="007E3170">
            <w:pPr>
              <w:rPr>
                <w:rFonts w:ascii="Lato" w:hAnsi="Lato"/>
                <w:sz w:val="22"/>
                <w:szCs w:val="22"/>
              </w:rPr>
            </w:pPr>
          </w:p>
        </w:tc>
        <w:tc>
          <w:tcPr>
            <w:tcW w:w="3188" w:type="dxa"/>
            <w:tcBorders>
              <w:top w:val="single" w:sz="4" w:space="0" w:color="auto"/>
            </w:tcBorders>
          </w:tcPr>
          <w:p w14:paraId="1BC7C3DF" w14:textId="77777777" w:rsidR="00763102" w:rsidRPr="00CB1714" w:rsidRDefault="00763102">
            <w:pPr>
              <w:ind w:firstLine="99"/>
              <w:rPr>
                <w:rFonts w:ascii="Lato" w:hAnsi="Lato"/>
                <w:sz w:val="22"/>
                <w:szCs w:val="22"/>
              </w:rPr>
            </w:pPr>
          </w:p>
        </w:tc>
      </w:tr>
      <w:tr w:rsidR="00E0074D" w:rsidRPr="00CB1714" w14:paraId="24396BEF" w14:textId="77777777" w:rsidTr="00990D73">
        <w:trPr>
          <w:cantSplit/>
        </w:trPr>
        <w:tc>
          <w:tcPr>
            <w:tcW w:w="1316" w:type="dxa"/>
          </w:tcPr>
          <w:p w14:paraId="1FB57973" w14:textId="77777777" w:rsidR="00E0074D" w:rsidRPr="00CB1714" w:rsidRDefault="00E0074D" w:rsidP="002B7055">
            <w:pPr>
              <w:rPr>
                <w:rFonts w:ascii="Lato" w:hAnsi="Lato"/>
                <w:sz w:val="22"/>
                <w:szCs w:val="22"/>
              </w:rPr>
            </w:pPr>
            <w:r w:rsidRPr="00CB1714">
              <w:rPr>
                <w:rFonts w:ascii="Lato" w:hAnsi="Lato"/>
                <w:sz w:val="22"/>
                <w:szCs w:val="22"/>
              </w:rPr>
              <w:t>2.1.</w:t>
            </w:r>
            <w:r w:rsidR="00D760E3" w:rsidRPr="00CB1714">
              <w:rPr>
                <w:rFonts w:ascii="Lato" w:hAnsi="Lato"/>
                <w:sz w:val="22"/>
                <w:szCs w:val="22"/>
              </w:rPr>
              <w:t>1</w:t>
            </w:r>
            <w:r w:rsidR="00430598" w:rsidRPr="00CB1714">
              <w:rPr>
                <w:rFonts w:ascii="Lato" w:hAnsi="Lato"/>
                <w:sz w:val="22"/>
                <w:szCs w:val="22"/>
              </w:rPr>
              <w:t>0</w:t>
            </w:r>
          </w:p>
        </w:tc>
        <w:tc>
          <w:tcPr>
            <w:tcW w:w="5891" w:type="dxa"/>
          </w:tcPr>
          <w:p w14:paraId="1000EE86" w14:textId="77777777" w:rsidR="00E0074D" w:rsidRPr="00CB1714" w:rsidRDefault="00E0074D">
            <w:pPr>
              <w:rPr>
                <w:rFonts w:ascii="Lato" w:hAnsi="Lato"/>
                <w:sz w:val="22"/>
                <w:szCs w:val="22"/>
              </w:rPr>
            </w:pPr>
            <w:r w:rsidRPr="00CB1714">
              <w:rPr>
                <w:rFonts w:ascii="Lato" w:hAnsi="Lato"/>
                <w:sz w:val="22"/>
                <w:szCs w:val="22"/>
              </w:rPr>
              <w:t xml:space="preserve">The following statements in a </w:t>
            </w:r>
            <w:r w:rsidRPr="00CB1714">
              <w:rPr>
                <w:rFonts w:ascii="Lato" w:hAnsi="Lato"/>
                <w:sz w:val="22"/>
                <w:szCs w:val="22"/>
                <w:u w:val="single"/>
              </w:rPr>
              <w:t>prominent position</w:t>
            </w:r>
            <w:r w:rsidRPr="00CB1714">
              <w:rPr>
                <w:rFonts w:ascii="Lato" w:hAnsi="Lato"/>
                <w:sz w:val="22"/>
                <w:szCs w:val="22"/>
              </w:rPr>
              <w:t xml:space="preserve"> in bold:</w:t>
            </w:r>
          </w:p>
        </w:tc>
        <w:tc>
          <w:tcPr>
            <w:tcW w:w="3188" w:type="dxa"/>
          </w:tcPr>
          <w:p w14:paraId="0ECB3192" w14:textId="77777777" w:rsidR="00E0074D" w:rsidRPr="00CB1714" w:rsidRDefault="00E0074D">
            <w:pPr>
              <w:rPr>
                <w:rFonts w:ascii="Lato" w:hAnsi="Lato"/>
                <w:sz w:val="22"/>
                <w:szCs w:val="22"/>
              </w:rPr>
            </w:pPr>
          </w:p>
        </w:tc>
      </w:tr>
      <w:tr w:rsidR="00E0074D" w:rsidRPr="00CB1714" w14:paraId="353DF7C1" w14:textId="77777777" w:rsidTr="00990D73">
        <w:trPr>
          <w:cantSplit/>
        </w:trPr>
        <w:tc>
          <w:tcPr>
            <w:tcW w:w="1316" w:type="dxa"/>
          </w:tcPr>
          <w:p w14:paraId="49EE64A6" w14:textId="77777777" w:rsidR="00E0074D" w:rsidRPr="00CB1714" w:rsidRDefault="00E0074D">
            <w:pPr>
              <w:rPr>
                <w:rFonts w:ascii="Lato" w:hAnsi="Lato"/>
                <w:sz w:val="22"/>
                <w:szCs w:val="22"/>
              </w:rPr>
            </w:pPr>
          </w:p>
        </w:tc>
        <w:tc>
          <w:tcPr>
            <w:tcW w:w="5891" w:type="dxa"/>
          </w:tcPr>
          <w:p w14:paraId="59981051" w14:textId="77777777" w:rsidR="00E0074D" w:rsidRPr="00CB1714" w:rsidRDefault="00E0074D">
            <w:pPr>
              <w:rPr>
                <w:rFonts w:ascii="Lato" w:hAnsi="Lato"/>
                <w:sz w:val="22"/>
                <w:szCs w:val="22"/>
              </w:rPr>
            </w:pPr>
          </w:p>
        </w:tc>
        <w:tc>
          <w:tcPr>
            <w:tcW w:w="3188" w:type="dxa"/>
            <w:tcBorders>
              <w:bottom w:val="single" w:sz="4" w:space="0" w:color="auto"/>
            </w:tcBorders>
          </w:tcPr>
          <w:p w14:paraId="39B6CF5D" w14:textId="77777777" w:rsidR="00E0074D" w:rsidRPr="00CB1714" w:rsidRDefault="00E0074D">
            <w:pPr>
              <w:rPr>
                <w:rFonts w:ascii="Lato" w:hAnsi="Lato"/>
                <w:sz w:val="22"/>
                <w:szCs w:val="22"/>
              </w:rPr>
            </w:pPr>
          </w:p>
        </w:tc>
      </w:tr>
      <w:tr w:rsidR="00E0074D" w:rsidRPr="00CB1714" w14:paraId="3DBD3E57" w14:textId="77777777" w:rsidTr="00990D73">
        <w:trPr>
          <w:cantSplit/>
        </w:trPr>
        <w:tc>
          <w:tcPr>
            <w:tcW w:w="1316" w:type="dxa"/>
          </w:tcPr>
          <w:p w14:paraId="25568034" w14:textId="77777777" w:rsidR="00E0074D" w:rsidRPr="00CB1714" w:rsidRDefault="00441CAE">
            <w:pPr>
              <w:jc w:val="right"/>
              <w:rPr>
                <w:rFonts w:ascii="Lato" w:hAnsi="Lato"/>
                <w:sz w:val="22"/>
                <w:szCs w:val="22"/>
              </w:rPr>
            </w:pPr>
            <w:r w:rsidRPr="00CB1714">
              <w:rPr>
                <w:rFonts w:ascii="Lato" w:hAnsi="Lato"/>
                <w:sz w:val="22"/>
                <w:szCs w:val="22"/>
              </w:rPr>
              <w:t>a</w:t>
            </w:r>
            <w:r w:rsidR="00E0074D" w:rsidRPr="00CB1714">
              <w:rPr>
                <w:rFonts w:ascii="Lato" w:hAnsi="Lato"/>
                <w:sz w:val="22"/>
                <w:szCs w:val="22"/>
              </w:rPr>
              <w:t>)</w:t>
            </w:r>
          </w:p>
        </w:tc>
        <w:tc>
          <w:tcPr>
            <w:tcW w:w="5891" w:type="dxa"/>
            <w:vMerge w:val="restart"/>
            <w:tcBorders>
              <w:right w:val="single" w:sz="4" w:space="0" w:color="auto"/>
            </w:tcBorders>
          </w:tcPr>
          <w:p w14:paraId="0281239C" w14:textId="77777777" w:rsidR="00E0074D" w:rsidRPr="00CB1714" w:rsidRDefault="00E0074D" w:rsidP="00414CCF">
            <w:pPr>
              <w:rPr>
                <w:rFonts w:ascii="Lato" w:hAnsi="Lato"/>
                <w:b/>
                <w:sz w:val="22"/>
                <w:szCs w:val="22"/>
              </w:rPr>
            </w:pPr>
            <w:r w:rsidRPr="00CB1714">
              <w:rPr>
                <w:rFonts w:ascii="Lato" w:hAnsi="Lato"/>
                <w:b/>
                <w:sz w:val="22"/>
                <w:szCs w:val="22"/>
              </w:rPr>
              <w:t xml:space="preserve">Authorisation of the </w:t>
            </w:r>
            <w:r w:rsidR="00EB593B" w:rsidRPr="00CB1714">
              <w:rPr>
                <w:rFonts w:ascii="Lato" w:hAnsi="Lato"/>
                <w:b/>
                <w:sz w:val="22"/>
                <w:szCs w:val="22"/>
              </w:rPr>
              <w:t xml:space="preserve">Qualifying Investor </w:t>
            </w:r>
            <w:r w:rsidR="00D6477D" w:rsidRPr="00CB1714">
              <w:rPr>
                <w:rFonts w:ascii="Lato" w:hAnsi="Lato"/>
                <w:b/>
                <w:sz w:val="22"/>
                <w:szCs w:val="22"/>
              </w:rPr>
              <w:t>AIF</w:t>
            </w:r>
            <w:r w:rsidRPr="00CB1714">
              <w:rPr>
                <w:rFonts w:ascii="Lato" w:hAnsi="Lato"/>
                <w:b/>
                <w:sz w:val="22"/>
                <w:szCs w:val="22"/>
              </w:rPr>
              <w:t xml:space="preserve"> is not an endorsement or</w:t>
            </w:r>
            <w:r w:rsidR="00F25936" w:rsidRPr="00CB1714">
              <w:rPr>
                <w:rFonts w:ascii="Lato" w:hAnsi="Lato"/>
                <w:b/>
                <w:sz w:val="22"/>
                <w:szCs w:val="22"/>
              </w:rPr>
              <w:t xml:space="preserve">guarantee of </w:t>
            </w:r>
            <w:r w:rsidRPr="00CB1714">
              <w:rPr>
                <w:rFonts w:ascii="Lato" w:hAnsi="Lato"/>
                <w:b/>
                <w:sz w:val="22"/>
                <w:szCs w:val="22"/>
              </w:rPr>
              <w:t xml:space="preserve">the </w:t>
            </w:r>
            <w:r w:rsidR="00EB593B" w:rsidRPr="00CB1714">
              <w:rPr>
                <w:rFonts w:ascii="Lato" w:hAnsi="Lato"/>
                <w:b/>
                <w:sz w:val="22"/>
                <w:szCs w:val="22"/>
              </w:rPr>
              <w:t xml:space="preserve">Qualifying Investor </w:t>
            </w:r>
            <w:r w:rsidR="00D6477D" w:rsidRPr="00CB1714">
              <w:rPr>
                <w:rFonts w:ascii="Lato" w:hAnsi="Lato"/>
                <w:b/>
                <w:sz w:val="22"/>
                <w:szCs w:val="22"/>
              </w:rPr>
              <w:t>AIF</w:t>
            </w:r>
            <w:r w:rsidRPr="00CB1714">
              <w:rPr>
                <w:rFonts w:ascii="Lato" w:hAnsi="Lato"/>
                <w:b/>
                <w:sz w:val="22"/>
                <w:szCs w:val="22"/>
              </w:rPr>
              <w:t xml:space="preserve"> by the </w:t>
            </w:r>
            <w:r w:rsidR="008F37E1" w:rsidRPr="00CB1714">
              <w:rPr>
                <w:rFonts w:ascii="Lato" w:hAnsi="Lato"/>
                <w:b/>
                <w:sz w:val="22"/>
                <w:szCs w:val="22"/>
              </w:rPr>
              <w:t xml:space="preserve">Central Bank </w:t>
            </w:r>
            <w:r w:rsidRPr="00CB1714">
              <w:rPr>
                <w:rFonts w:ascii="Lato" w:hAnsi="Lato"/>
                <w:b/>
                <w:sz w:val="22"/>
                <w:szCs w:val="22"/>
              </w:rPr>
              <w:t xml:space="preserve">nor is the </w:t>
            </w:r>
            <w:r w:rsidR="008F37E1" w:rsidRPr="00CB1714">
              <w:rPr>
                <w:rFonts w:ascii="Lato" w:hAnsi="Lato"/>
                <w:b/>
                <w:sz w:val="22"/>
                <w:szCs w:val="22"/>
              </w:rPr>
              <w:t xml:space="preserve">Central Bank </w:t>
            </w:r>
            <w:r w:rsidRPr="00CB1714">
              <w:rPr>
                <w:rFonts w:ascii="Lato" w:hAnsi="Lato"/>
                <w:b/>
                <w:sz w:val="22"/>
                <w:szCs w:val="22"/>
              </w:rPr>
              <w:t>responsible for the contents of the Prospectus;</w:t>
            </w:r>
          </w:p>
        </w:tc>
        <w:tc>
          <w:tcPr>
            <w:tcW w:w="3188" w:type="dxa"/>
            <w:tcBorders>
              <w:top w:val="single" w:sz="4" w:space="0" w:color="auto"/>
              <w:left w:val="single" w:sz="4" w:space="0" w:color="auto"/>
              <w:bottom w:val="single" w:sz="4" w:space="0" w:color="auto"/>
              <w:right w:val="single" w:sz="4" w:space="0" w:color="auto"/>
            </w:tcBorders>
          </w:tcPr>
          <w:p w14:paraId="2F3FCD8C" w14:textId="77777777" w:rsidR="00E0074D" w:rsidRPr="00CB1714" w:rsidRDefault="00E0074D">
            <w:pPr>
              <w:rPr>
                <w:rFonts w:ascii="Lato" w:hAnsi="Lato"/>
                <w:sz w:val="22"/>
                <w:szCs w:val="22"/>
              </w:rPr>
            </w:pPr>
          </w:p>
        </w:tc>
      </w:tr>
      <w:tr w:rsidR="00E0074D" w:rsidRPr="00CB1714" w14:paraId="2FBB7A71" w14:textId="77777777" w:rsidTr="00990D73">
        <w:trPr>
          <w:cantSplit/>
        </w:trPr>
        <w:tc>
          <w:tcPr>
            <w:tcW w:w="1316" w:type="dxa"/>
          </w:tcPr>
          <w:p w14:paraId="200D6F37" w14:textId="77777777" w:rsidR="00E0074D" w:rsidRPr="00CB1714" w:rsidRDefault="00E0074D">
            <w:pPr>
              <w:rPr>
                <w:rFonts w:ascii="Lato" w:hAnsi="Lato"/>
                <w:sz w:val="22"/>
                <w:szCs w:val="22"/>
              </w:rPr>
            </w:pPr>
          </w:p>
        </w:tc>
        <w:tc>
          <w:tcPr>
            <w:tcW w:w="5891" w:type="dxa"/>
            <w:vMerge/>
          </w:tcPr>
          <w:p w14:paraId="3E706221" w14:textId="77777777" w:rsidR="00E0074D" w:rsidRPr="00CB1714" w:rsidRDefault="00E0074D">
            <w:pPr>
              <w:rPr>
                <w:rFonts w:ascii="Lato" w:hAnsi="Lato"/>
                <w:b/>
                <w:sz w:val="22"/>
                <w:szCs w:val="22"/>
              </w:rPr>
            </w:pPr>
          </w:p>
        </w:tc>
        <w:tc>
          <w:tcPr>
            <w:tcW w:w="3188" w:type="dxa"/>
            <w:tcBorders>
              <w:top w:val="single" w:sz="4" w:space="0" w:color="auto"/>
            </w:tcBorders>
          </w:tcPr>
          <w:p w14:paraId="78715AF6" w14:textId="77777777" w:rsidR="00E0074D" w:rsidRPr="00CB1714" w:rsidRDefault="00E0074D">
            <w:pPr>
              <w:rPr>
                <w:rFonts w:ascii="Lato" w:hAnsi="Lato"/>
                <w:sz w:val="22"/>
                <w:szCs w:val="22"/>
              </w:rPr>
            </w:pPr>
          </w:p>
        </w:tc>
      </w:tr>
      <w:tr w:rsidR="00E0074D" w:rsidRPr="00CB1714" w14:paraId="3097550A" w14:textId="77777777" w:rsidTr="00990D73">
        <w:trPr>
          <w:cantSplit/>
        </w:trPr>
        <w:tc>
          <w:tcPr>
            <w:tcW w:w="1316" w:type="dxa"/>
          </w:tcPr>
          <w:p w14:paraId="46550A41" w14:textId="77777777" w:rsidR="00E0074D" w:rsidRPr="00CB1714" w:rsidRDefault="00E0074D">
            <w:pPr>
              <w:rPr>
                <w:rFonts w:ascii="Lato" w:hAnsi="Lato"/>
                <w:sz w:val="22"/>
                <w:szCs w:val="22"/>
              </w:rPr>
            </w:pPr>
          </w:p>
        </w:tc>
        <w:tc>
          <w:tcPr>
            <w:tcW w:w="5891" w:type="dxa"/>
            <w:vMerge/>
          </w:tcPr>
          <w:p w14:paraId="47774B36" w14:textId="77777777" w:rsidR="00E0074D" w:rsidRPr="00CB1714" w:rsidRDefault="00E0074D">
            <w:pPr>
              <w:rPr>
                <w:rFonts w:ascii="Lato" w:hAnsi="Lato"/>
                <w:b/>
                <w:sz w:val="22"/>
                <w:szCs w:val="22"/>
              </w:rPr>
            </w:pPr>
          </w:p>
        </w:tc>
        <w:tc>
          <w:tcPr>
            <w:tcW w:w="3188" w:type="dxa"/>
            <w:tcBorders>
              <w:bottom w:val="single" w:sz="4" w:space="0" w:color="auto"/>
            </w:tcBorders>
          </w:tcPr>
          <w:p w14:paraId="468D2A2A" w14:textId="77777777" w:rsidR="00E0074D" w:rsidRPr="00CB1714" w:rsidRDefault="00E0074D">
            <w:pPr>
              <w:rPr>
                <w:rFonts w:ascii="Lato" w:hAnsi="Lato"/>
                <w:sz w:val="22"/>
                <w:szCs w:val="22"/>
              </w:rPr>
            </w:pPr>
          </w:p>
        </w:tc>
      </w:tr>
      <w:tr w:rsidR="00E93F31" w:rsidRPr="00CB1714" w14:paraId="409FC92E" w14:textId="77777777" w:rsidTr="00990D73">
        <w:trPr>
          <w:cantSplit/>
        </w:trPr>
        <w:tc>
          <w:tcPr>
            <w:tcW w:w="1316" w:type="dxa"/>
          </w:tcPr>
          <w:p w14:paraId="38A63AEC" w14:textId="77777777" w:rsidR="00E93F31" w:rsidRPr="00CB1714" w:rsidRDefault="00441CAE" w:rsidP="00441CAE">
            <w:pPr>
              <w:jc w:val="right"/>
              <w:rPr>
                <w:rFonts w:ascii="Lato" w:hAnsi="Lato"/>
                <w:sz w:val="22"/>
                <w:szCs w:val="22"/>
              </w:rPr>
            </w:pPr>
            <w:r w:rsidRPr="00CB1714">
              <w:rPr>
                <w:rFonts w:ascii="Lato" w:hAnsi="Lato"/>
                <w:sz w:val="22"/>
                <w:szCs w:val="22"/>
              </w:rPr>
              <w:t>b</w:t>
            </w:r>
            <w:r w:rsidR="00E93F31" w:rsidRPr="00CB1714">
              <w:rPr>
                <w:rFonts w:ascii="Lato" w:hAnsi="Lato"/>
                <w:sz w:val="22"/>
                <w:szCs w:val="22"/>
              </w:rPr>
              <w:t>)</w:t>
            </w:r>
          </w:p>
        </w:tc>
        <w:tc>
          <w:tcPr>
            <w:tcW w:w="5891" w:type="dxa"/>
            <w:tcBorders>
              <w:right w:val="single" w:sz="4" w:space="0" w:color="auto"/>
            </w:tcBorders>
          </w:tcPr>
          <w:p w14:paraId="5C2F44DA" w14:textId="77777777" w:rsidR="00E93F31" w:rsidRPr="00CB1714" w:rsidRDefault="00E93F31" w:rsidP="00414CCF">
            <w:pPr>
              <w:rPr>
                <w:rFonts w:ascii="Lato" w:hAnsi="Lato"/>
                <w:b/>
                <w:sz w:val="22"/>
                <w:szCs w:val="22"/>
              </w:rPr>
            </w:pPr>
            <w:r w:rsidRPr="00CB1714">
              <w:rPr>
                <w:rFonts w:ascii="Lato" w:hAnsi="Lato"/>
                <w:b/>
                <w:sz w:val="22"/>
                <w:szCs w:val="22"/>
              </w:rPr>
              <w:t xml:space="preserve">The Central Bank shall not be liable by virtue of its </w:t>
            </w:r>
          </w:p>
        </w:tc>
        <w:tc>
          <w:tcPr>
            <w:tcW w:w="3188" w:type="dxa"/>
            <w:tcBorders>
              <w:top w:val="single" w:sz="4" w:space="0" w:color="auto"/>
              <w:left w:val="single" w:sz="4" w:space="0" w:color="auto"/>
              <w:bottom w:val="single" w:sz="4" w:space="0" w:color="auto"/>
              <w:right w:val="single" w:sz="4" w:space="0" w:color="auto"/>
            </w:tcBorders>
          </w:tcPr>
          <w:p w14:paraId="1C714639" w14:textId="77777777" w:rsidR="00E93F31" w:rsidRPr="00CB1714" w:rsidRDefault="00E93F31">
            <w:pPr>
              <w:rPr>
                <w:rFonts w:ascii="Lato" w:hAnsi="Lato"/>
                <w:sz w:val="22"/>
                <w:szCs w:val="22"/>
              </w:rPr>
            </w:pPr>
          </w:p>
        </w:tc>
      </w:tr>
      <w:tr w:rsidR="00414CCF" w:rsidRPr="00CB1714" w14:paraId="2B7C5DDF" w14:textId="77777777" w:rsidTr="00990D73">
        <w:trPr>
          <w:cantSplit/>
        </w:trPr>
        <w:tc>
          <w:tcPr>
            <w:tcW w:w="1316" w:type="dxa"/>
          </w:tcPr>
          <w:p w14:paraId="4CF5C6B2" w14:textId="77777777" w:rsidR="00414CCF" w:rsidRPr="00CB1714" w:rsidRDefault="00414CCF" w:rsidP="00441CAE">
            <w:pPr>
              <w:jc w:val="right"/>
              <w:rPr>
                <w:rFonts w:ascii="Lato" w:hAnsi="Lato"/>
                <w:sz w:val="22"/>
                <w:szCs w:val="22"/>
              </w:rPr>
            </w:pPr>
          </w:p>
        </w:tc>
        <w:tc>
          <w:tcPr>
            <w:tcW w:w="5891" w:type="dxa"/>
          </w:tcPr>
          <w:p w14:paraId="0BD48477" w14:textId="77777777" w:rsidR="00414CCF" w:rsidRPr="00CB1714" w:rsidRDefault="00414CCF">
            <w:pPr>
              <w:rPr>
                <w:rFonts w:ascii="Lato" w:hAnsi="Lato"/>
                <w:b/>
                <w:sz w:val="22"/>
                <w:szCs w:val="22"/>
              </w:rPr>
            </w:pPr>
            <w:r w:rsidRPr="00CB1714">
              <w:rPr>
                <w:rFonts w:ascii="Lato" w:hAnsi="Lato"/>
                <w:b/>
                <w:sz w:val="22"/>
                <w:szCs w:val="22"/>
              </w:rPr>
              <w:t>Authorisation of this  Qualifying Investor AIF or by</w:t>
            </w:r>
          </w:p>
        </w:tc>
        <w:tc>
          <w:tcPr>
            <w:tcW w:w="3188" w:type="dxa"/>
            <w:tcBorders>
              <w:top w:val="single" w:sz="4" w:space="0" w:color="auto"/>
            </w:tcBorders>
          </w:tcPr>
          <w:p w14:paraId="72EA8EFC" w14:textId="77777777" w:rsidR="00414CCF" w:rsidRPr="00CB1714" w:rsidRDefault="00414CCF">
            <w:pPr>
              <w:rPr>
                <w:rFonts w:ascii="Lato" w:hAnsi="Lato"/>
                <w:sz w:val="22"/>
                <w:szCs w:val="22"/>
              </w:rPr>
            </w:pPr>
          </w:p>
        </w:tc>
      </w:tr>
      <w:tr w:rsidR="00E93F31" w:rsidRPr="00CB1714" w14:paraId="341CBA26" w14:textId="77777777" w:rsidTr="00990D73">
        <w:trPr>
          <w:cantSplit/>
        </w:trPr>
        <w:tc>
          <w:tcPr>
            <w:tcW w:w="1316" w:type="dxa"/>
          </w:tcPr>
          <w:p w14:paraId="5D2A0575" w14:textId="77777777" w:rsidR="00E93F31" w:rsidRPr="00CB1714" w:rsidRDefault="00E93F31">
            <w:pPr>
              <w:rPr>
                <w:rFonts w:ascii="Lato" w:hAnsi="Lato"/>
                <w:sz w:val="22"/>
                <w:szCs w:val="22"/>
              </w:rPr>
            </w:pPr>
          </w:p>
        </w:tc>
        <w:tc>
          <w:tcPr>
            <w:tcW w:w="5891" w:type="dxa"/>
          </w:tcPr>
          <w:p w14:paraId="3020445A" w14:textId="77777777" w:rsidR="00E93F31" w:rsidRPr="00CB1714" w:rsidRDefault="00E93F31" w:rsidP="00EB593B">
            <w:pPr>
              <w:rPr>
                <w:rFonts w:ascii="Lato" w:hAnsi="Lato"/>
                <w:b/>
                <w:sz w:val="22"/>
                <w:szCs w:val="22"/>
              </w:rPr>
            </w:pPr>
            <w:r w:rsidRPr="00CB1714">
              <w:rPr>
                <w:rFonts w:ascii="Lato" w:hAnsi="Lato"/>
                <w:b/>
                <w:sz w:val="22"/>
                <w:szCs w:val="22"/>
              </w:rPr>
              <w:t xml:space="preserve">reason of its exercise of the functions conferred on it by legislation in relation to the </w:t>
            </w:r>
            <w:r w:rsidR="00EB593B" w:rsidRPr="00CB1714">
              <w:rPr>
                <w:rFonts w:ascii="Lato" w:hAnsi="Lato"/>
                <w:b/>
                <w:sz w:val="22"/>
                <w:szCs w:val="22"/>
              </w:rPr>
              <w:t xml:space="preserve"> Qualifying Investor </w:t>
            </w:r>
            <w:r w:rsidRPr="00CB1714">
              <w:rPr>
                <w:rFonts w:ascii="Lato" w:hAnsi="Lato"/>
                <w:b/>
                <w:sz w:val="22"/>
                <w:szCs w:val="22"/>
              </w:rPr>
              <w:t xml:space="preserve">AIF for any default of the </w:t>
            </w:r>
            <w:r w:rsidR="00EB593B" w:rsidRPr="00CB1714">
              <w:rPr>
                <w:rFonts w:ascii="Lato" w:hAnsi="Lato"/>
                <w:b/>
                <w:sz w:val="22"/>
                <w:szCs w:val="22"/>
              </w:rPr>
              <w:t xml:space="preserve"> Qualifying Investor </w:t>
            </w:r>
            <w:r w:rsidRPr="00CB1714">
              <w:rPr>
                <w:rFonts w:ascii="Lato" w:hAnsi="Lato"/>
                <w:b/>
                <w:sz w:val="22"/>
                <w:szCs w:val="22"/>
              </w:rPr>
              <w:t>AIF.  Authorisation</w:t>
            </w:r>
            <w:r w:rsidR="00A66131" w:rsidRPr="00CB1714">
              <w:rPr>
                <w:rFonts w:ascii="Lato" w:hAnsi="Lato"/>
                <w:b/>
                <w:sz w:val="22"/>
                <w:szCs w:val="22"/>
              </w:rPr>
              <w:t xml:space="preserve"> of this Qualifying Investor AIF</w:t>
            </w:r>
            <w:r w:rsidRPr="00CB1714">
              <w:rPr>
                <w:rFonts w:ascii="Lato" w:hAnsi="Lato"/>
                <w:b/>
                <w:sz w:val="22"/>
                <w:szCs w:val="22"/>
              </w:rPr>
              <w:t xml:space="preserve"> does not constitute a warranty by the Central Bank as to the credit worthiness or financial standing of the various parties to the </w:t>
            </w:r>
            <w:r w:rsidR="00EB593B" w:rsidRPr="00CB1714">
              <w:rPr>
                <w:rFonts w:ascii="Lato" w:hAnsi="Lato"/>
                <w:b/>
                <w:sz w:val="22"/>
                <w:szCs w:val="22"/>
              </w:rPr>
              <w:t xml:space="preserve"> Qualifying Investor </w:t>
            </w:r>
            <w:r w:rsidRPr="00CB1714">
              <w:rPr>
                <w:rFonts w:ascii="Lato" w:hAnsi="Lato"/>
                <w:b/>
                <w:sz w:val="22"/>
                <w:szCs w:val="22"/>
              </w:rPr>
              <w:t>AIF</w:t>
            </w:r>
            <w:r w:rsidR="00F25936" w:rsidRPr="00CB1714">
              <w:rPr>
                <w:rFonts w:ascii="Lato" w:hAnsi="Lato"/>
                <w:b/>
                <w:sz w:val="22"/>
                <w:szCs w:val="22"/>
              </w:rPr>
              <w:t>;</w:t>
            </w:r>
          </w:p>
        </w:tc>
        <w:tc>
          <w:tcPr>
            <w:tcW w:w="3188" w:type="dxa"/>
            <w:tcBorders>
              <w:bottom w:val="single" w:sz="4" w:space="0" w:color="auto"/>
            </w:tcBorders>
          </w:tcPr>
          <w:p w14:paraId="60EB0B48" w14:textId="77777777" w:rsidR="00E93F31" w:rsidRPr="00CB1714" w:rsidRDefault="00E93F31">
            <w:pPr>
              <w:rPr>
                <w:rFonts w:ascii="Lato" w:hAnsi="Lato"/>
                <w:sz w:val="22"/>
                <w:szCs w:val="22"/>
              </w:rPr>
            </w:pPr>
          </w:p>
        </w:tc>
      </w:tr>
      <w:tr w:rsidR="00E93F31" w:rsidRPr="00CB1714" w14:paraId="78CDEEE6" w14:textId="77777777" w:rsidTr="00990D73">
        <w:trPr>
          <w:cantSplit/>
        </w:trPr>
        <w:tc>
          <w:tcPr>
            <w:tcW w:w="1316" w:type="dxa"/>
          </w:tcPr>
          <w:p w14:paraId="4D1E1A59" w14:textId="77777777" w:rsidR="00E93F31" w:rsidRPr="00CB1714" w:rsidRDefault="00441CAE" w:rsidP="00441CAE">
            <w:pPr>
              <w:jc w:val="right"/>
              <w:rPr>
                <w:rFonts w:ascii="Lato" w:hAnsi="Lato"/>
                <w:sz w:val="22"/>
                <w:szCs w:val="22"/>
              </w:rPr>
            </w:pPr>
            <w:r w:rsidRPr="00CB1714">
              <w:rPr>
                <w:rFonts w:ascii="Lato" w:hAnsi="Lato"/>
                <w:sz w:val="22"/>
                <w:szCs w:val="22"/>
              </w:rPr>
              <w:t>c</w:t>
            </w:r>
            <w:r w:rsidR="00E93F31" w:rsidRPr="00CB1714">
              <w:rPr>
                <w:rFonts w:ascii="Lato" w:hAnsi="Lato"/>
                <w:sz w:val="22"/>
                <w:szCs w:val="22"/>
              </w:rPr>
              <w:t>)</w:t>
            </w:r>
          </w:p>
        </w:tc>
        <w:tc>
          <w:tcPr>
            <w:tcW w:w="5891" w:type="dxa"/>
            <w:tcBorders>
              <w:right w:val="single" w:sz="4" w:space="0" w:color="auto"/>
            </w:tcBorders>
          </w:tcPr>
          <w:p w14:paraId="16E59A4E" w14:textId="77777777" w:rsidR="00E93F31" w:rsidRPr="00CB1714" w:rsidRDefault="00F25936" w:rsidP="00414CCF">
            <w:pPr>
              <w:rPr>
                <w:rFonts w:ascii="Lato" w:hAnsi="Lato"/>
                <w:b/>
                <w:sz w:val="22"/>
                <w:szCs w:val="22"/>
              </w:rPr>
            </w:pPr>
            <w:r w:rsidRPr="00CB1714">
              <w:rPr>
                <w:rFonts w:ascii="Lato" w:hAnsi="Lato"/>
                <w:b/>
                <w:sz w:val="22"/>
                <w:szCs w:val="22"/>
              </w:rPr>
              <w:t xml:space="preserve">The Qualifying Investor AIF has been authorised by the </w:t>
            </w:r>
          </w:p>
        </w:tc>
        <w:tc>
          <w:tcPr>
            <w:tcW w:w="3188" w:type="dxa"/>
            <w:tcBorders>
              <w:top w:val="single" w:sz="4" w:space="0" w:color="auto"/>
              <w:left w:val="single" w:sz="4" w:space="0" w:color="auto"/>
              <w:bottom w:val="single" w:sz="4" w:space="0" w:color="auto"/>
              <w:right w:val="single" w:sz="4" w:space="0" w:color="auto"/>
            </w:tcBorders>
          </w:tcPr>
          <w:p w14:paraId="015D713D" w14:textId="77777777" w:rsidR="00E93F31" w:rsidRPr="00CB1714" w:rsidRDefault="00E93F31">
            <w:pPr>
              <w:rPr>
                <w:rFonts w:ascii="Lato" w:hAnsi="Lato"/>
                <w:sz w:val="22"/>
                <w:szCs w:val="22"/>
              </w:rPr>
            </w:pPr>
          </w:p>
        </w:tc>
      </w:tr>
      <w:tr w:rsidR="00414CCF" w:rsidRPr="00CB1714" w14:paraId="15FEEB61" w14:textId="77777777" w:rsidTr="0042571B">
        <w:trPr>
          <w:cantSplit/>
        </w:trPr>
        <w:tc>
          <w:tcPr>
            <w:tcW w:w="1316" w:type="dxa"/>
          </w:tcPr>
          <w:p w14:paraId="0F52E12C" w14:textId="77777777" w:rsidR="00414CCF" w:rsidRPr="00CB1714" w:rsidRDefault="00414CCF" w:rsidP="00441CAE">
            <w:pPr>
              <w:jc w:val="right"/>
              <w:rPr>
                <w:rFonts w:ascii="Lato" w:hAnsi="Lato"/>
                <w:sz w:val="22"/>
                <w:szCs w:val="22"/>
              </w:rPr>
            </w:pPr>
          </w:p>
        </w:tc>
        <w:tc>
          <w:tcPr>
            <w:tcW w:w="5891" w:type="dxa"/>
          </w:tcPr>
          <w:p w14:paraId="79951E7C" w14:textId="77777777" w:rsidR="00414CCF" w:rsidRPr="00CB1714" w:rsidRDefault="00414CCF" w:rsidP="00F25936">
            <w:pPr>
              <w:rPr>
                <w:rFonts w:ascii="Lato" w:hAnsi="Lato"/>
                <w:b/>
                <w:sz w:val="22"/>
                <w:szCs w:val="22"/>
              </w:rPr>
            </w:pPr>
            <w:r w:rsidRPr="00CB1714">
              <w:rPr>
                <w:rFonts w:ascii="Lato" w:hAnsi="Lato"/>
                <w:b/>
                <w:sz w:val="22"/>
                <w:szCs w:val="22"/>
              </w:rPr>
              <w:t>Central Bank for marketing solely to qualifying investors ;</w:t>
            </w:r>
          </w:p>
        </w:tc>
        <w:tc>
          <w:tcPr>
            <w:tcW w:w="3188" w:type="dxa"/>
            <w:tcBorders>
              <w:top w:val="single" w:sz="4" w:space="0" w:color="auto"/>
            </w:tcBorders>
          </w:tcPr>
          <w:p w14:paraId="68BF8284" w14:textId="77777777" w:rsidR="00414CCF" w:rsidRPr="00CB1714" w:rsidRDefault="00414CCF">
            <w:pPr>
              <w:rPr>
                <w:rFonts w:ascii="Lato" w:hAnsi="Lato"/>
                <w:sz w:val="22"/>
                <w:szCs w:val="22"/>
              </w:rPr>
            </w:pPr>
          </w:p>
        </w:tc>
      </w:tr>
      <w:tr w:rsidR="00F25936" w:rsidRPr="00CB1714" w14:paraId="6966490C" w14:textId="77777777" w:rsidTr="0042571B">
        <w:trPr>
          <w:cantSplit/>
        </w:trPr>
        <w:tc>
          <w:tcPr>
            <w:tcW w:w="1316" w:type="dxa"/>
          </w:tcPr>
          <w:p w14:paraId="6F98B184" w14:textId="77777777" w:rsidR="00F25936" w:rsidRPr="00CB1714" w:rsidRDefault="00441CAE" w:rsidP="004009A0">
            <w:pPr>
              <w:jc w:val="right"/>
              <w:rPr>
                <w:rFonts w:ascii="Lato" w:hAnsi="Lato"/>
                <w:sz w:val="22"/>
                <w:szCs w:val="22"/>
              </w:rPr>
            </w:pPr>
            <w:r w:rsidRPr="00CB1714">
              <w:rPr>
                <w:rFonts w:ascii="Lato" w:hAnsi="Lato"/>
                <w:sz w:val="22"/>
                <w:szCs w:val="22"/>
              </w:rPr>
              <w:t>d</w:t>
            </w:r>
            <w:r w:rsidR="00F25936" w:rsidRPr="00CB1714">
              <w:rPr>
                <w:rFonts w:ascii="Lato" w:hAnsi="Lato"/>
                <w:sz w:val="22"/>
                <w:szCs w:val="22"/>
              </w:rPr>
              <w:t>)</w:t>
            </w:r>
          </w:p>
        </w:tc>
        <w:tc>
          <w:tcPr>
            <w:tcW w:w="5891" w:type="dxa"/>
          </w:tcPr>
          <w:p w14:paraId="4FDF0785" w14:textId="77777777" w:rsidR="00F25936" w:rsidRPr="00CB1714" w:rsidRDefault="00F25936" w:rsidP="00EB593B">
            <w:pPr>
              <w:rPr>
                <w:rFonts w:ascii="Lato" w:hAnsi="Lato"/>
                <w:b/>
                <w:sz w:val="22"/>
                <w:szCs w:val="22"/>
              </w:rPr>
            </w:pPr>
            <w:r w:rsidRPr="00CB1714">
              <w:rPr>
                <w:rFonts w:ascii="Lato" w:hAnsi="Lato"/>
                <w:b/>
                <w:sz w:val="22"/>
                <w:szCs w:val="22"/>
              </w:rPr>
              <w:t xml:space="preserve">The </w:t>
            </w:r>
            <w:r w:rsidR="00EB593B" w:rsidRPr="00CB1714">
              <w:rPr>
                <w:rFonts w:ascii="Lato" w:hAnsi="Lato"/>
                <w:b/>
                <w:sz w:val="22"/>
                <w:szCs w:val="22"/>
              </w:rPr>
              <w:t xml:space="preserve"> Qualifying Investor </w:t>
            </w:r>
            <w:r w:rsidRPr="00CB1714">
              <w:rPr>
                <w:rFonts w:ascii="Lato" w:hAnsi="Lato"/>
                <w:b/>
                <w:sz w:val="22"/>
                <w:szCs w:val="22"/>
              </w:rPr>
              <w:t>AIF must specify its minimum subscription</w:t>
            </w:r>
            <w:r w:rsidR="00A66131" w:rsidRPr="00CB1714">
              <w:rPr>
                <w:rFonts w:ascii="Lato" w:hAnsi="Lato"/>
                <w:b/>
                <w:sz w:val="22"/>
                <w:szCs w:val="22"/>
              </w:rPr>
              <w:t xml:space="preserve"> (which must be at least €100,</w:t>
            </w:r>
            <w:r w:rsidR="00781051" w:rsidRPr="00CB1714">
              <w:rPr>
                <w:rFonts w:ascii="Lato" w:hAnsi="Lato"/>
                <w:b/>
                <w:sz w:val="22"/>
                <w:szCs w:val="22"/>
              </w:rPr>
              <w:t>0</w:t>
            </w:r>
            <w:r w:rsidR="00A66131" w:rsidRPr="00CB1714">
              <w:rPr>
                <w:rFonts w:ascii="Lato" w:hAnsi="Lato"/>
                <w:b/>
                <w:sz w:val="22"/>
                <w:szCs w:val="22"/>
              </w:rPr>
              <w:t xml:space="preserve">00) </w:t>
            </w:r>
            <w:r w:rsidRPr="00CB1714">
              <w:rPr>
                <w:rFonts w:ascii="Lato" w:hAnsi="Lato"/>
                <w:b/>
                <w:sz w:val="22"/>
                <w:szCs w:val="22"/>
              </w:rPr>
              <w:t xml:space="preserve"> requirements and add the following:</w:t>
            </w:r>
          </w:p>
        </w:tc>
        <w:tc>
          <w:tcPr>
            <w:tcW w:w="3188" w:type="dxa"/>
            <w:tcBorders>
              <w:bottom w:val="single" w:sz="4" w:space="0" w:color="auto"/>
            </w:tcBorders>
          </w:tcPr>
          <w:p w14:paraId="3A3048D1" w14:textId="77777777" w:rsidR="00F25936" w:rsidRPr="00CB1714" w:rsidRDefault="00F25936">
            <w:pPr>
              <w:rPr>
                <w:rFonts w:ascii="Lato" w:hAnsi="Lato"/>
                <w:sz w:val="22"/>
                <w:szCs w:val="22"/>
              </w:rPr>
            </w:pPr>
          </w:p>
        </w:tc>
      </w:tr>
      <w:tr w:rsidR="00414CCF" w:rsidRPr="00CB1714" w14:paraId="5F3A3FF2" w14:textId="77777777" w:rsidTr="0042571B">
        <w:trPr>
          <w:cantSplit/>
        </w:trPr>
        <w:tc>
          <w:tcPr>
            <w:tcW w:w="1316" w:type="dxa"/>
          </w:tcPr>
          <w:p w14:paraId="140D4A5F" w14:textId="77777777" w:rsidR="00414CCF" w:rsidRPr="00CB1714" w:rsidRDefault="00414CCF" w:rsidP="004009A0">
            <w:pPr>
              <w:jc w:val="right"/>
              <w:rPr>
                <w:rFonts w:ascii="Lato" w:hAnsi="Lato"/>
                <w:sz w:val="22"/>
                <w:szCs w:val="22"/>
              </w:rPr>
            </w:pPr>
          </w:p>
        </w:tc>
        <w:tc>
          <w:tcPr>
            <w:tcW w:w="5891" w:type="dxa"/>
            <w:tcBorders>
              <w:right w:val="single" w:sz="4" w:space="0" w:color="auto"/>
            </w:tcBorders>
          </w:tcPr>
          <w:p w14:paraId="5CEADF66" w14:textId="77777777" w:rsidR="00414CCF" w:rsidRPr="00CB1714" w:rsidRDefault="00414CCF" w:rsidP="00EB593B">
            <w:pPr>
              <w:rPr>
                <w:rFonts w:ascii="Lato" w:hAnsi="Lato"/>
                <w:b/>
                <w:sz w:val="22"/>
                <w:szCs w:val="22"/>
              </w:rPr>
            </w:pPr>
            <w:r w:rsidRPr="00CB1714">
              <w:rPr>
                <w:rFonts w:ascii="Lato" w:hAnsi="Lato"/>
                <w:b/>
                <w:sz w:val="22"/>
                <w:szCs w:val="22"/>
              </w:rPr>
              <w:t>While this Qualying  Investor AIF is authorised by the</w:t>
            </w:r>
          </w:p>
        </w:tc>
        <w:tc>
          <w:tcPr>
            <w:tcW w:w="3188" w:type="dxa"/>
            <w:tcBorders>
              <w:top w:val="single" w:sz="4" w:space="0" w:color="auto"/>
              <w:left w:val="single" w:sz="4" w:space="0" w:color="auto"/>
              <w:bottom w:val="single" w:sz="4" w:space="0" w:color="auto"/>
              <w:right w:val="single" w:sz="4" w:space="0" w:color="auto"/>
            </w:tcBorders>
          </w:tcPr>
          <w:p w14:paraId="3989316F" w14:textId="77777777" w:rsidR="00414CCF" w:rsidRPr="00CB1714" w:rsidRDefault="00414CCF">
            <w:pPr>
              <w:rPr>
                <w:rFonts w:ascii="Lato" w:hAnsi="Lato"/>
                <w:sz w:val="22"/>
                <w:szCs w:val="22"/>
              </w:rPr>
            </w:pPr>
          </w:p>
        </w:tc>
      </w:tr>
      <w:tr w:rsidR="00414CCF" w:rsidRPr="00CB1714" w14:paraId="4D52759A" w14:textId="77777777" w:rsidTr="00990D73">
        <w:trPr>
          <w:cantSplit/>
        </w:trPr>
        <w:tc>
          <w:tcPr>
            <w:tcW w:w="1316" w:type="dxa"/>
          </w:tcPr>
          <w:p w14:paraId="58B411D6" w14:textId="77777777" w:rsidR="00414CCF" w:rsidRPr="00CB1714" w:rsidRDefault="00414CCF" w:rsidP="004009A0">
            <w:pPr>
              <w:jc w:val="right"/>
              <w:rPr>
                <w:rFonts w:ascii="Lato" w:hAnsi="Lato"/>
                <w:sz w:val="22"/>
                <w:szCs w:val="22"/>
              </w:rPr>
            </w:pPr>
          </w:p>
        </w:tc>
        <w:tc>
          <w:tcPr>
            <w:tcW w:w="5891" w:type="dxa"/>
          </w:tcPr>
          <w:p w14:paraId="0F1D204D" w14:textId="77777777" w:rsidR="00414CCF" w:rsidRPr="00CB1714" w:rsidRDefault="00414CCF" w:rsidP="00EB593B">
            <w:pPr>
              <w:rPr>
                <w:rFonts w:ascii="Lato" w:hAnsi="Lato"/>
                <w:b/>
                <w:sz w:val="22"/>
                <w:szCs w:val="22"/>
              </w:rPr>
            </w:pPr>
            <w:r w:rsidRPr="00CB1714">
              <w:rPr>
                <w:rFonts w:ascii="Lato" w:hAnsi="Lato"/>
                <w:b/>
                <w:sz w:val="22"/>
                <w:szCs w:val="22"/>
              </w:rPr>
              <w:t xml:space="preserve">Central Bank, </w:t>
            </w:r>
            <w:r w:rsidRPr="00CB1714">
              <w:rPr>
                <w:rFonts w:ascii="Lato" w:hAnsi="Lato"/>
                <w:b/>
                <w:sz w:val="22"/>
                <w:szCs w:val="22"/>
                <w:u w:val="single"/>
              </w:rPr>
              <w:t>the Central Bank has not set any limits</w:t>
            </w:r>
          </w:p>
        </w:tc>
        <w:tc>
          <w:tcPr>
            <w:tcW w:w="3188" w:type="dxa"/>
            <w:tcBorders>
              <w:top w:val="single" w:sz="4" w:space="0" w:color="auto"/>
            </w:tcBorders>
          </w:tcPr>
          <w:p w14:paraId="6B6CF07A" w14:textId="77777777" w:rsidR="00414CCF" w:rsidRPr="00CB1714" w:rsidRDefault="00414CCF">
            <w:pPr>
              <w:rPr>
                <w:rFonts w:ascii="Lato" w:hAnsi="Lato"/>
                <w:sz w:val="22"/>
                <w:szCs w:val="22"/>
              </w:rPr>
            </w:pPr>
          </w:p>
        </w:tc>
      </w:tr>
      <w:tr w:rsidR="00414CCF" w:rsidRPr="00CB1714" w14:paraId="506B8E72" w14:textId="77777777" w:rsidTr="00990D73">
        <w:trPr>
          <w:cantSplit/>
        </w:trPr>
        <w:tc>
          <w:tcPr>
            <w:tcW w:w="1316" w:type="dxa"/>
          </w:tcPr>
          <w:p w14:paraId="6F766365" w14:textId="77777777" w:rsidR="00414CCF" w:rsidRPr="00CB1714" w:rsidRDefault="00414CCF" w:rsidP="004009A0">
            <w:pPr>
              <w:jc w:val="right"/>
              <w:rPr>
                <w:rFonts w:ascii="Lato" w:hAnsi="Lato"/>
                <w:sz w:val="22"/>
                <w:szCs w:val="22"/>
              </w:rPr>
            </w:pPr>
          </w:p>
        </w:tc>
        <w:tc>
          <w:tcPr>
            <w:tcW w:w="5891" w:type="dxa"/>
          </w:tcPr>
          <w:p w14:paraId="2BCFFA5A" w14:textId="77777777" w:rsidR="00414CCF" w:rsidRPr="00CB1714" w:rsidRDefault="00414CCF" w:rsidP="00EB593B">
            <w:pPr>
              <w:rPr>
                <w:rFonts w:ascii="Lato" w:hAnsi="Lato"/>
                <w:b/>
                <w:sz w:val="22"/>
                <w:szCs w:val="22"/>
              </w:rPr>
            </w:pPr>
            <w:r w:rsidRPr="00CB1714">
              <w:rPr>
                <w:rFonts w:ascii="Lato" w:hAnsi="Lato"/>
                <w:b/>
                <w:sz w:val="22"/>
                <w:szCs w:val="22"/>
                <w:u w:val="single"/>
              </w:rPr>
              <w:t>or other restrictions on the investment objectives, the</w:t>
            </w:r>
          </w:p>
        </w:tc>
        <w:tc>
          <w:tcPr>
            <w:tcW w:w="3188" w:type="dxa"/>
          </w:tcPr>
          <w:p w14:paraId="64C40E75" w14:textId="77777777" w:rsidR="00414CCF" w:rsidRPr="00CB1714" w:rsidRDefault="00414CCF">
            <w:pPr>
              <w:rPr>
                <w:rFonts w:ascii="Lato" w:hAnsi="Lato"/>
                <w:sz w:val="22"/>
                <w:szCs w:val="22"/>
              </w:rPr>
            </w:pPr>
          </w:p>
        </w:tc>
      </w:tr>
      <w:tr w:rsidR="00414CCF" w:rsidRPr="00CB1714" w14:paraId="1FD52466" w14:textId="77777777" w:rsidTr="00990D73">
        <w:trPr>
          <w:cantSplit/>
        </w:trPr>
        <w:tc>
          <w:tcPr>
            <w:tcW w:w="1316" w:type="dxa"/>
          </w:tcPr>
          <w:p w14:paraId="4944937D" w14:textId="77777777" w:rsidR="00414CCF" w:rsidRPr="00CB1714" w:rsidRDefault="00414CCF" w:rsidP="004009A0">
            <w:pPr>
              <w:jc w:val="right"/>
              <w:rPr>
                <w:rFonts w:ascii="Lato" w:hAnsi="Lato"/>
                <w:sz w:val="22"/>
                <w:szCs w:val="22"/>
              </w:rPr>
            </w:pPr>
          </w:p>
        </w:tc>
        <w:tc>
          <w:tcPr>
            <w:tcW w:w="5891" w:type="dxa"/>
          </w:tcPr>
          <w:p w14:paraId="66DB07B6" w14:textId="77777777" w:rsidR="00414CCF" w:rsidRPr="00CB1714" w:rsidRDefault="00414CCF" w:rsidP="00CB1714">
            <w:pPr>
              <w:rPr>
                <w:rFonts w:ascii="Lato" w:hAnsi="Lato"/>
                <w:b/>
                <w:sz w:val="22"/>
                <w:szCs w:val="22"/>
              </w:rPr>
            </w:pPr>
            <w:r w:rsidRPr="00CB1714">
              <w:rPr>
                <w:rFonts w:ascii="Lato" w:hAnsi="Lato"/>
                <w:b/>
                <w:sz w:val="22"/>
                <w:szCs w:val="22"/>
                <w:u w:val="single"/>
              </w:rPr>
              <w:t xml:space="preserve">investment policies or on the degree of leverage which </w:t>
            </w:r>
          </w:p>
        </w:tc>
        <w:tc>
          <w:tcPr>
            <w:tcW w:w="3188" w:type="dxa"/>
          </w:tcPr>
          <w:p w14:paraId="7BC3C122" w14:textId="77777777" w:rsidR="00414CCF" w:rsidRPr="00CB1714" w:rsidRDefault="00414CCF">
            <w:pPr>
              <w:rPr>
                <w:rFonts w:ascii="Lato" w:hAnsi="Lato"/>
                <w:sz w:val="22"/>
                <w:szCs w:val="22"/>
              </w:rPr>
            </w:pPr>
          </w:p>
        </w:tc>
      </w:tr>
      <w:tr w:rsidR="00414CCF" w:rsidRPr="00CB1714" w14:paraId="47692288" w14:textId="77777777" w:rsidTr="00990D73">
        <w:trPr>
          <w:cantSplit/>
        </w:trPr>
        <w:tc>
          <w:tcPr>
            <w:tcW w:w="1316" w:type="dxa"/>
          </w:tcPr>
          <w:p w14:paraId="4EE21806" w14:textId="77777777" w:rsidR="00414CCF" w:rsidRPr="00CB1714" w:rsidRDefault="00414CCF" w:rsidP="004009A0">
            <w:pPr>
              <w:jc w:val="right"/>
              <w:rPr>
                <w:rFonts w:ascii="Lato" w:hAnsi="Lato"/>
                <w:sz w:val="22"/>
                <w:szCs w:val="22"/>
              </w:rPr>
            </w:pPr>
          </w:p>
        </w:tc>
        <w:tc>
          <w:tcPr>
            <w:tcW w:w="5891" w:type="dxa"/>
          </w:tcPr>
          <w:p w14:paraId="52C07625" w14:textId="77777777" w:rsidR="00414CCF" w:rsidRPr="00CB1714" w:rsidRDefault="00DC6E90" w:rsidP="00EB593B">
            <w:pPr>
              <w:rPr>
                <w:rFonts w:ascii="Lato" w:hAnsi="Lato"/>
                <w:b/>
                <w:sz w:val="22"/>
                <w:szCs w:val="22"/>
              </w:rPr>
            </w:pPr>
            <w:r w:rsidRPr="00F72ED7">
              <w:rPr>
                <w:rFonts w:ascii="Lato" w:hAnsi="Lato"/>
                <w:b/>
                <w:sz w:val="22"/>
                <w:szCs w:val="22"/>
                <w:u w:val="single"/>
              </w:rPr>
              <w:t>may</w:t>
            </w:r>
            <w:r w:rsidRPr="00CB1714">
              <w:rPr>
                <w:rFonts w:ascii="Lato" w:hAnsi="Lato"/>
                <w:b/>
                <w:sz w:val="22"/>
                <w:szCs w:val="22"/>
                <w:u w:val="single"/>
              </w:rPr>
              <w:t xml:space="preserve"> </w:t>
            </w:r>
            <w:r w:rsidR="00414CCF" w:rsidRPr="00CB1714">
              <w:rPr>
                <w:rFonts w:ascii="Lato" w:hAnsi="Lato"/>
                <w:b/>
                <w:sz w:val="22"/>
                <w:szCs w:val="22"/>
                <w:u w:val="single"/>
              </w:rPr>
              <w:t>be employed by the Q</w:t>
            </w:r>
            <w:r w:rsidR="00564C30" w:rsidRPr="00CB1714">
              <w:rPr>
                <w:rFonts w:ascii="Lato" w:hAnsi="Lato"/>
                <w:b/>
                <w:sz w:val="22"/>
                <w:szCs w:val="22"/>
                <w:u w:val="single"/>
              </w:rPr>
              <w:t xml:space="preserve">ualifying </w:t>
            </w:r>
            <w:r w:rsidR="00414CCF" w:rsidRPr="00CB1714">
              <w:rPr>
                <w:rFonts w:ascii="Lato" w:hAnsi="Lato"/>
                <w:b/>
                <w:sz w:val="22"/>
                <w:szCs w:val="22"/>
                <w:u w:val="single"/>
              </w:rPr>
              <w:t>I</w:t>
            </w:r>
            <w:r w:rsidR="00564C30" w:rsidRPr="00CB1714">
              <w:rPr>
                <w:rFonts w:ascii="Lato" w:hAnsi="Lato"/>
                <w:b/>
                <w:sz w:val="22"/>
                <w:szCs w:val="22"/>
                <w:u w:val="single"/>
              </w:rPr>
              <w:t>nvestor</w:t>
            </w:r>
            <w:r w:rsidR="00A153DD" w:rsidRPr="00CB1714">
              <w:rPr>
                <w:rFonts w:ascii="Lato" w:hAnsi="Lato"/>
                <w:b/>
                <w:sz w:val="22"/>
                <w:szCs w:val="22"/>
                <w:u w:val="single"/>
              </w:rPr>
              <w:t xml:space="preserve"> </w:t>
            </w:r>
            <w:r w:rsidR="00414CCF" w:rsidRPr="00CB1714">
              <w:rPr>
                <w:rFonts w:ascii="Lato" w:hAnsi="Lato"/>
                <w:b/>
                <w:sz w:val="22"/>
                <w:szCs w:val="22"/>
                <w:u w:val="single"/>
              </w:rPr>
              <w:t>AIF</w:t>
            </w:r>
            <w:r w:rsidR="00414CCF" w:rsidRPr="00CB1714">
              <w:rPr>
                <w:rFonts w:ascii="Lato" w:hAnsi="Lato"/>
                <w:b/>
                <w:sz w:val="22"/>
                <w:szCs w:val="22"/>
              </w:rPr>
              <w:t>; and</w:t>
            </w:r>
          </w:p>
        </w:tc>
        <w:tc>
          <w:tcPr>
            <w:tcW w:w="3188" w:type="dxa"/>
            <w:tcBorders>
              <w:bottom w:val="single" w:sz="4" w:space="0" w:color="auto"/>
            </w:tcBorders>
          </w:tcPr>
          <w:p w14:paraId="3C814CB9" w14:textId="77777777" w:rsidR="00414CCF" w:rsidRPr="00CB1714" w:rsidRDefault="00414CCF">
            <w:pPr>
              <w:rPr>
                <w:rFonts w:ascii="Lato" w:hAnsi="Lato"/>
                <w:sz w:val="22"/>
                <w:szCs w:val="22"/>
              </w:rPr>
            </w:pPr>
          </w:p>
        </w:tc>
      </w:tr>
      <w:tr w:rsidR="00414CCF" w:rsidRPr="00CB1714" w14:paraId="73B50CF2" w14:textId="77777777" w:rsidTr="00990D73">
        <w:trPr>
          <w:cantSplit/>
        </w:trPr>
        <w:tc>
          <w:tcPr>
            <w:tcW w:w="1316" w:type="dxa"/>
          </w:tcPr>
          <w:p w14:paraId="275EA6A1" w14:textId="77777777" w:rsidR="00414CCF" w:rsidRPr="00CB1714" w:rsidRDefault="00414CCF" w:rsidP="004009A0">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752B458D" w14:textId="77777777" w:rsidR="00414CCF" w:rsidRPr="00CB1714" w:rsidRDefault="00414CCF" w:rsidP="00EB593B">
            <w:pPr>
              <w:rPr>
                <w:rFonts w:ascii="Lato" w:hAnsi="Lato"/>
                <w:b/>
                <w:sz w:val="22"/>
                <w:szCs w:val="22"/>
              </w:rPr>
            </w:pPr>
            <w:r w:rsidRPr="00CB1714">
              <w:rPr>
                <w:rFonts w:ascii="Lato" w:hAnsi="Lato"/>
                <w:b/>
                <w:sz w:val="22"/>
                <w:szCs w:val="22"/>
              </w:rPr>
              <w:t>The  Qualifying Investor AIF must comply with the aim of</w:t>
            </w:r>
          </w:p>
        </w:tc>
        <w:tc>
          <w:tcPr>
            <w:tcW w:w="3188" w:type="dxa"/>
            <w:tcBorders>
              <w:top w:val="single" w:sz="4" w:space="0" w:color="auto"/>
              <w:left w:val="single" w:sz="4" w:space="0" w:color="auto"/>
              <w:bottom w:val="single" w:sz="4" w:space="0" w:color="auto"/>
              <w:right w:val="single" w:sz="4" w:space="0" w:color="auto"/>
            </w:tcBorders>
          </w:tcPr>
          <w:p w14:paraId="181834FA" w14:textId="77777777" w:rsidR="00414CCF" w:rsidRPr="00CB1714" w:rsidRDefault="00414CCF">
            <w:pPr>
              <w:rPr>
                <w:rFonts w:ascii="Lato" w:hAnsi="Lato"/>
                <w:sz w:val="22"/>
                <w:szCs w:val="22"/>
              </w:rPr>
            </w:pPr>
          </w:p>
        </w:tc>
      </w:tr>
      <w:tr w:rsidR="00414CCF" w:rsidRPr="00CB1714" w14:paraId="08166A1B" w14:textId="77777777" w:rsidTr="00990D73">
        <w:trPr>
          <w:cantSplit/>
        </w:trPr>
        <w:tc>
          <w:tcPr>
            <w:tcW w:w="1316" w:type="dxa"/>
          </w:tcPr>
          <w:p w14:paraId="03BE8D9D" w14:textId="77777777" w:rsidR="00414CCF" w:rsidRPr="00CB1714" w:rsidRDefault="00414CCF" w:rsidP="004009A0">
            <w:pPr>
              <w:jc w:val="right"/>
              <w:rPr>
                <w:rFonts w:ascii="Lato" w:hAnsi="Lato"/>
                <w:sz w:val="22"/>
                <w:szCs w:val="22"/>
              </w:rPr>
            </w:pPr>
          </w:p>
        </w:tc>
        <w:tc>
          <w:tcPr>
            <w:tcW w:w="5891" w:type="dxa"/>
          </w:tcPr>
          <w:p w14:paraId="404B7084" w14:textId="77777777" w:rsidR="00414CCF" w:rsidRPr="00CB1714" w:rsidRDefault="00414CCF" w:rsidP="00EB593B">
            <w:pPr>
              <w:rPr>
                <w:rFonts w:ascii="Lato" w:hAnsi="Lato"/>
                <w:b/>
                <w:sz w:val="22"/>
                <w:szCs w:val="22"/>
              </w:rPr>
            </w:pPr>
            <w:r w:rsidRPr="00CB1714">
              <w:rPr>
                <w:rFonts w:ascii="Lato" w:hAnsi="Lato"/>
                <w:b/>
                <w:sz w:val="22"/>
                <w:szCs w:val="22"/>
              </w:rPr>
              <w:t>spreading investment risk in accordance with Section</w:t>
            </w:r>
          </w:p>
        </w:tc>
        <w:tc>
          <w:tcPr>
            <w:tcW w:w="3188" w:type="dxa"/>
            <w:tcBorders>
              <w:top w:val="single" w:sz="4" w:space="0" w:color="auto"/>
            </w:tcBorders>
          </w:tcPr>
          <w:p w14:paraId="29283F70" w14:textId="77777777" w:rsidR="00414CCF" w:rsidRPr="00CB1714" w:rsidRDefault="00414CCF">
            <w:pPr>
              <w:rPr>
                <w:rFonts w:ascii="Lato" w:hAnsi="Lato"/>
                <w:sz w:val="22"/>
                <w:szCs w:val="22"/>
              </w:rPr>
            </w:pPr>
          </w:p>
        </w:tc>
      </w:tr>
      <w:tr w:rsidR="00414CCF" w:rsidRPr="00CB1714" w14:paraId="6CDCB9DC" w14:textId="77777777" w:rsidTr="00990D73">
        <w:trPr>
          <w:cantSplit/>
        </w:trPr>
        <w:tc>
          <w:tcPr>
            <w:tcW w:w="1316" w:type="dxa"/>
          </w:tcPr>
          <w:p w14:paraId="5EF14D0C" w14:textId="77777777" w:rsidR="00414CCF" w:rsidRPr="00CB1714" w:rsidRDefault="00414CCF" w:rsidP="004009A0">
            <w:pPr>
              <w:jc w:val="right"/>
              <w:rPr>
                <w:rFonts w:ascii="Lato" w:hAnsi="Lato"/>
                <w:sz w:val="22"/>
                <w:szCs w:val="22"/>
              </w:rPr>
            </w:pPr>
          </w:p>
        </w:tc>
        <w:tc>
          <w:tcPr>
            <w:tcW w:w="5891" w:type="dxa"/>
          </w:tcPr>
          <w:p w14:paraId="6A25AAE3" w14:textId="77777777" w:rsidR="00414CCF" w:rsidRPr="00CB1714" w:rsidRDefault="00414CCF" w:rsidP="00EB593B">
            <w:pPr>
              <w:rPr>
                <w:rFonts w:ascii="Lato" w:hAnsi="Lato"/>
                <w:b/>
                <w:sz w:val="22"/>
                <w:szCs w:val="22"/>
              </w:rPr>
            </w:pPr>
            <w:r w:rsidRPr="00CB1714">
              <w:rPr>
                <w:rFonts w:ascii="Lato" w:hAnsi="Lato"/>
                <w:b/>
                <w:sz w:val="22"/>
                <w:szCs w:val="22"/>
              </w:rPr>
              <w:t>253 (2)(a) of the Companies Act, 1990 Part XIII</w:t>
            </w:r>
          </w:p>
        </w:tc>
        <w:tc>
          <w:tcPr>
            <w:tcW w:w="3188" w:type="dxa"/>
          </w:tcPr>
          <w:p w14:paraId="4219A506" w14:textId="77777777" w:rsidR="00414CCF" w:rsidRPr="00CB1714" w:rsidRDefault="00414CCF">
            <w:pPr>
              <w:rPr>
                <w:rFonts w:ascii="Lato" w:hAnsi="Lato"/>
                <w:sz w:val="22"/>
                <w:szCs w:val="22"/>
              </w:rPr>
            </w:pPr>
          </w:p>
        </w:tc>
      </w:tr>
      <w:tr w:rsidR="00414CCF" w:rsidRPr="00CB1714" w14:paraId="74FFFC30" w14:textId="77777777" w:rsidTr="00990D73">
        <w:trPr>
          <w:cantSplit/>
        </w:trPr>
        <w:tc>
          <w:tcPr>
            <w:tcW w:w="1316" w:type="dxa"/>
          </w:tcPr>
          <w:p w14:paraId="6AD30F3A" w14:textId="77777777" w:rsidR="00414CCF" w:rsidRPr="00CB1714" w:rsidRDefault="00414CCF" w:rsidP="004009A0">
            <w:pPr>
              <w:jc w:val="right"/>
              <w:rPr>
                <w:rFonts w:ascii="Lato" w:hAnsi="Lato"/>
                <w:sz w:val="22"/>
                <w:szCs w:val="22"/>
              </w:rPr>
            </w:pPr>
          </w:p>
        </w:tc>
        <w:tc>
          <w:tcPr>
            <w:tcW w:w="5891" w:type="dxa"/>
          </w:tcPr>
          <w:p w14:paraId="3DFC09E6" w14:textId="77777777" w:rsidR="00414CCF" w:rsidRPr="00CB1714" w:rsidRDefault="00414CCF" w:rsidP="00EB593B">
            <w:pPr>
              <w:rPr>
                <w:rFonts w:ascii="Lato" w:hAnsi="Lato"/>
                <w:b/>
                <w:sz w:val="22"/>
                <w:szCs w:val="22"/>
              </w:rPr>
            </w:pPr>
          </w:p>
        </w:tc>
        <w:tc>
          <w:tcPr>
            <w:tcW w:w="3188" w:type="dxa"/>
          </w:tcPr>
          <w:p w14:paraId="091490B4" w14:textId="77777777" w:rsidR="00414CCF" w:rsidRPr="00CB1714" w:rsidRDefault="00414CCF">
            <w:pPr>
              <w:rPr>
                <w:rFonts w:ascii="Lato" w:hAnsi="Lato"/>
                <w:sz w:val="22"/>
                <w:szCs w:val="22"/>
              </w:rPr>
            </w:pPr>
          </w:p>
        </w:tc>
      </w:tr>
      <w:tr w:rsidR="00E0074D" w:rsidRPr="00CB1714" w14:paraId="316DE983" w14:textId="77777777" w:rsidTr="00990D73">
        <w:tc>
          <w:tcPr>
            <w:tcW w:w="1316" w:type="dxa"/>
          </w:tcPr>
          <w:p w14:paraId="1B7AC37D" w14:textId="77777777" w:rsidR="00E0074D" w:rsidRPr="00CB1714" w:rsidRDefault="00E0074D" w:rsidP="004351C8">
            <w:pPr>
              <w:rPr>
                <w:rFonts w:ascii="Lato" w:hAnsi="Lato"/>
                <w:sz w:val="22"/>
                <w:szCs w:val="22"/>
              </w:rPr>
            </w:pPr>
            <w:r w:rsidRPr="00CB1714">
              <w:rPr>
                <w:rFonts w:ascii="Lato" w:hAnsi="Lato"/>
                <w:sz w:val="22"/>
                <w:szCs w:val="22"/>
              </w:rPr>
              <w:t>2.1.</w:t>
            </w:r>
            <w:r w:rsidR="00D760E3" w:rsidRPr="00CB1714">
              <w:rPr>
                <w:rFonts w:ascii="Lato" w:hAnsi="Lato"/>
                <w:sz w:val="22"/>
                <w:szCs w:val="22"/>
              </w:rPr>
              <w:t>1</w:t>
            </w:r>
            <w:r w:rsidR="00430598" w:rsidRPr="00CB1714">
              <w:rPr>
                <w:rFonts w:ascii="Lato" w:hAnsi="Lato"/>
                <w:sz w:val="22"/>
                <w:szCs w:val="22"/>
              </w:rPr>
              <w:t>1</w:t>
            </w:r>
          </w:p>
        </w:tc>
        <w:tc>
          <w:tcPr>
            <w:tcW w:w="5891" w:type="dxa"/>
          </w:tcPr>
          <w:p w14:paraId="4FAA443D" w14:textId="77777777" w:rsidR="00E0074D" w:rsidRPr="00CB1714" w:rsidRDefault="00E0074D">
            <w:pPr>
              <w:jc w:val="both"/>
              <w:rPr>
                <w:rFonts w:ascii="Lato" w:hAnsi="Lato"/>
                <w:sz w:val="22"/>
                <w:szCs w:val="22"/>
              </w:rPr>
            </w:pPr>
            <w:r w:rsidRPr="00CB1714">
              <w:rPr>
                <w:rFonts w:ascii="Lato" w:hAnsi="Lato"/>
                <w:sz w:val="22"/>
                <w:szCs w:val="22"/>
              </w:rPr>
              <w:t>Where a subscription and/or redemption charge is provided for, the applicant should consider whether or not the following warning is appropriate:</w:t>
            </w:r>
          </w:p>
        </w:tc>
        <w:tc>
          <w:tcPr>
            <w:tcW w:w="3188" w:type="dxa"/>
            <w:tcBorders>
              <w:bottom w:val="single" w:sz="4" w:space="0" w:color="auto"/>
            </w:tcBorders>
          </w:tcPr>
          <w:p w14:paraId="5208A9FB" w14:textId="77777777" w:rsidR="00E0074D" w:rsidRPr="00CB1714" w:rsidRDefault="00E0074D">
            <w:pPr>
              <w:rPr>
                <w:rFonts w:ascii="Lato" w:hAnsi="Lato"/>
                <w:sz w:val="22"/>
                <w:szCs w:val="22"/>
              </w:rPr>
            </w:pPr>
          </w:p>
        </w:tc>
      </w:tr>
      <w:tr w:rsidR="00E0074D" w:rsidRPr="00CB1714" w14:paraId="6B62C803" w14:textId="77777777" w:rsidTr="00990D73">
        <w:trPr>
          <w:cantSplit/>
          <w:trHeight w:val="253"/>
        </w:trPr>
        <w:tc>
          <w:tcPr>
            <w:tcW w:w="1316" w:type="dxa"/>
            <w:vMerge w:val="restart"/>
          </w:tcPr>
          <w:p w14:paraId="60A40C92" w14:textId="77777777" w:rsidR="00E0074D" w:rsidRPr="00CB1714" w:rsidRDefault="00E0074D">
            <w:pPr>
              <w:jc w:val="right"/>
              <w:rPr>
                <w:rFonts w:ascii="Lato" w:hAnsi="Lato"/>
                <w:sz w:val="22"/>
                <w:szCs w:val="22"/>
              </w:rPr>
            </w:pPr>
          </w:p>
        </w:tc>
        <w:tc>
          <w:tcPr>
            <w:tcW w:w="5891" w:type="dxa"/>
            <w:vMerge w:val="restart"/>
            <w:tcBorders>
              <w:right w:val="single" w:sz="4" w:space="0" w:color="auto"/>
            </w:tcBorders>
          </w:tcPr>
          <w:p w14:paraId="10832FE8" w14:textId="77777777" w:rsidR="00E0074D" w:rsidRPr="00CB1714" w:rsidRDefault="00E0074D" w:rsidP="00441CAE">
            <w:pPr>
              <w:rPr>
                <w:rFonts w:ascii="Lato" w:hAnsi="Lato"/>
                <w:sz w:val="22"/>
                <w:szCs w:val="22"/>
              </w:rPr>
            </w:pPr>
            <w:r w:rsidRPr="00CB1714">
              <w:rPr>
                <w:rFonts w:ascii="Lato" w:hAnsi="Lato"/>
                <w:sz w:val="22"/>
                <w:szCs w:val="22"/>
              </w:rPr>
              <w:t xml:space="preserve">The difference at any one time between the sale and repurchase price of units/shares in the </w:t>
            </w:r>
            <w:r w:rsidR="00D6477D" w:rsidRPr="00CB1714">
              <w:rPr>
                <w:rFonts w:ascii="Lato" w:hAnsi="Lato"/>
                <w:sz w:val="22"/>
                <w:szCs w:val="22"/>
              </w:rPr>
              <w:t>Q</w:t>
            </w:r>
            <w:r w:rsidR="00564C30" w:rsidRPr="00CB1714">
              <w:rPr>
                <w:rFonts w:ascii="Lato" w:hAnsi="Lato"/>
                <w:sz w:val="22"/>
                <w:szCs w:val="22"/>
              </w:rPr>
              <w:t xml:space="preserve">ualifying </w:t>
            </w:r>
            <w:r w:rsidR="00D6477D" w:rsidRPr="00CB1714">
              <w:rPr>
                <w:rFonts w:ascii="Lato" w:hAnsi="Lato"/>
                <w:sz w:val="22"/>
                <w:szCs w:val="22"/>
              </w:rPr>
              <w:t>I</w:t>
            </w:r>
            <w:r w:rsidR="00564C30" w:rsidRPr="00CB1714">
              <w:rPr>
                <w:rFonts w:ascii="Lato" w:hAnsi="Lato"/>
                <w:sz w:val="22"/>
                <w:szCs w:val="22"/>
              </w:rPr>
              <w:t>nvestor</w:t>
            </w:r>
            <w:r w:rsidR="00D6477D" w:rsidRPr="00CB1714">
              <w:rPr>
                <w:rFonts w:ascii="Lato" w:hAnsi="Lato"/>
                <w:sz w:val="22"/>
                <w:szCs w:val="22"/>
              </w:rPr>
              <w:t>AIF</w:t>
            </w:r>
            <w:r w:rsidRPr="00CB1714">
              <w:rPr>
                <w:rFonts w:ascii="Lato" w:hAnsi="Lato"/>
                <w:sz w:val="22"/>
                <w:szCs w:val="22"/>
              </w:rPr>
              <w:t xml:space="preserve"> means that the investment should be viewed as medium to long term</w:t>
            </w:r>
            <w:r w:rsidR="00CC6317" w:rsidRPr="00CB1714">
              <w:rPr>
                <w:rFonts w:ascii="Lato" w:hAnsi="Lato"/>
                <w:sz w:val="22"/>
                <w:szCs w:val="22"/>
              </w:rPr>
              <w:t xml:space="preserve"> </w:t>
            </w:r>
          </w:p>
        </w:tc>
        <w:tc>
          <w:tcPr>
            <w:tcW w:w="3188" w:type="dxa"/>
            <w:tcBorders>
              <w:top w:val="single" w:sz="4" w:space="0" w:color="auto"/>
              <w:left w:val="single" w:sz="4" w:space="0" w:color="auto"/>
              <w:bottom w:val="single" w:sz="4" w:space="0" w:color="auto"/>
              <w:right w:val="single" w:sz="4" w:space="0" w:color="auto"/>
            </w:tcBorders>
          </w:tcPr>
          <w:p w14:paraId="13D19C38" w14:textId="77777777" w:rsidR="00E0074D" w:rsidRPr="00CB1714" w:rsidRDefault="00E0074D">
            <w:pPr>
              <w:rPr>
                <w:rFonts w:ascii="Lato" w:hAnsi="Lato"/>
                <w:sz w:val="22"/>
                <w:szCs w:val="22"/>
              </w:rPr>
            </w:pPr>
          </w:p>
        </w:tc>
      </w:tr>
      <w:tr w:rsidR="00E0074D" w:rsidRPr="00CB1714" w14:paraId="6BBB9B96" w14:textId="77777777" w:rsidTr="00990D73">
        <w:trPr>
          <w:cantSplit/>
          <w:trHeight w:val="251"/>
        </w:trPr>
        <w:tc>
          <w:tcPr>
            <w:tcW w:w="1316" w:type="dxa"/>
            <w:vMerge/>
          </w:tcPr>
          <w:p w14:paraId="47A019B8" w14:textId="77777777" w:rsidR="00E0074D" w:rsidRPr="00CB1714" w:rsidRDefault="00E0074D">
            <w:pPr>
              <w:jc w:val="right"/>
              <w:rPr>
                <w:rFonts w:ascii="Lato" w:hAnsi="Lato"/>
                <w:sz w:val="22"/>
                <w:szCs w:val="22"/>
              </w:rPr>
            </w:pPr>
          </w:p>
        </w:tc>
        <w:tc>
          <w:tcPr>
            <w:tcW w:w="5891" w:type="dxa"/>
            <w:vMerge/>
          </w:tcPr>
          <w:p w14:paraId="640780C8" w14:textId="77777777" w:rsidR="00E0074D" w:rsidRPr="00CB1714" w:rsidRDefault="00E0074D">
            <w:pPr>
              <w:rPr>
                <w:rFonts w:ascii="Lato" w:hAnsi="Lato"/>
                <w:sz w:val="22"/>
                <w:szCs w:val="22"/>
              </w:rPr>
            </w:pPr>
          </w:p>
        </w:tc>
        <w:tc>
          <w:tcPr>
            <w:tcW w:w="3188" w:type="dxa"/>
            <w:tcBorders>
              <w:top w:val="single" w:sz="4" w:space="0" w:color="auto"/>
            </w:tcBorders>
          </w:tcPr>
          <w:p w14:paraId="0EE469CD" w14:textId="77777777" w:rsidR="00E0074D" w:rsidRPr="00CB1714" w:rsidRDefault="00E0074D">
            <w:pPr>
              <w:rPr>
                <w:rFonts w:ascii="Lato" w:hAnsi="Lato"/>
                <w:sz w:val="22"/>
                <w:szCs w:val="22"/>
              </w:rPr>
            </w:pPr>
          </w:p>
        </w:tc>
      </w:tr>
      <w:tr w:rsidR="00E0074D" w:rsidRPr="00CB1714" w14:paraId="18DEE0A2" w14:textId="77777777" w:rsidTr="00990D73">
        <w:trPr>
          <w:cantSplit/>
          <w:trHeight w:val="251"/>
        </w:trPr>
        <w:tc>
          <w:tcPr>
            <w:tcW w:w="1316" w:type="dxa"/>
            <w:vMerge/>
          </w:tcPr>
          <w:p w14:paraId="174CB996" w14:textId="77777777" w:rsidR="00E0074D" w:rsidRPr="00CB1714" w:rsidRDefault="00E0074D">
            <w:pPr>
              <w:jc w:val="right"/>
              <w:rPr>
                <w:rFonts w:ascii="Lato" w:hAnsi="Lato"/>
                <w:sz w:val="22"/>
                <w:szCs w:val="22"/>
              </w:rPr>
            </w:pPr>
          </w:p>
        </w:tc>
        <w:tc>
          <w:tcPr>
            <w:tcW w:w="5891" w:type="dxa"/>
            <w:vMerge/>
          </w:tcPr>
          <w:p w14:paraId="75787F23" w14:textId="77777777" w:rsidR="00E0074D" w:rsidRPr="00CB1714" w:rsidRDefault="00E0074D">
            <w:pPr>
              <w:rPr>
                <w:rFonts w:ascii="Lato" w:hAnsi="Lato"/>
                <w:sz w:val="22"/>
                <w:szCs w:val="22"/>
              </w:rPr>
            </w:pPr>
          </w:p>
        </w:tc>
        <w:tc>
          <w:tcPr>
            <w:tcW w:w="3188" w:type="dxa"/>
          </w:tcPr>
          <w:p w14:paraId="2AB26524" w14:textId="77777777" w:rsidR="00E0074D" w:rsidRPr="00CB1714" w:rsidRDefault="00E0074D">
            <w:pPr>
              <w:rPr>
                <w:rFonts w:ascii="Lato" w:hAnsi="Lato"/>
                <w:sz w:val="22"/>
                <w:szCs w:val="22"/>
              </w:rPr>
            </w:pPr>
          </w:p>
        </w:tc>
      </w:tr>
      <w:tr w:rsidR="00E0074D" w:rsidRPr="00CB1714" w14:paraId="53921B47" w14:textId="77777777" w:rsidTr="00990D73">
        <w:tc>
          <w:tcPr>
            <w:tcW w:w="1316" w:type="dxa"/>
          </w:tcPr>
          <w:p w14:paraId="395C766D" w14:textId="77777777" w:rsidR="00E0074D" w:rsidRPr="00CB1714" w:rsidRDefault="00E0074D">
            <w:pPr>
              <w:rPr>
                <w:rFonts w:ascii="Lato" w:hAnsi="Lato"/>
                <w:sz w:val="22"/>
                <w:szCs w:val="22"/>
              </w:rPr>
            </w:pPr>
          </w:p>
        </w:tc>
        <w:tc>
          <w:tcPr>
            <w:tcW w:w="5891" w:type="dxa"/>
          </w:tcPr>
          <w:p w14:paraId="2B3809B1" w14:textId="77777777" w:rsidR="00E0074D" w:rsidRPr="00CB1714" w:rsidRDefault="00E0074D">
            <w:pPr>
              <w:rPr>
                <w:rFonts w:ascii="Lato" w:hAnsi="Lato"/>
                <w:sz w:val="22"/>
                <w:szCs w:val="22"/>
              </w:rPr>
            </w:pPr>
          </w:p>
        </w:tc>
        <w:tc>
          <w:tcPr>
            <w:tcW w:w="3188" w:type="dxa"/>
          </w:tcPr>
          <w:p w14:paraId="1FD899D4" w14:textId="77777777" w:rsidR="00E0074D" w:rsidRPr="00CB1714" w:rsidRDefault="00E0074D">
            <w:pPr>
              <w:rPr>
                <w:rFonts w:ascii="Lato" w:hAnsi="Lato"/>
                <w:sz w:val="22"/>
                <w:szCs w:val="22"/>
              </w:rPr>
            </w:pPr>
          </w:p>
        </w:tc>
      </w:tr>
      <w:tr w:rsidR="00E0074D" w:rsidRPr="00CB1714" w14:paraId="2059D076" w14:textId="77777777" w:rsidTr="00990D73">
        <w:tc>
          <w:tcPr>
            <w:tcW w:w="1316" w:type="dxa"/>
          </w:tcPr>
          <w:p w14:paraId="272D54A7" w14:textId="77777777" w:rsidR="00E0074D" w:rsidRPr="00CB1714" w:rsidRDefault="00E0074D">
            <w:pPr>
              <w:rPr>
                <w:rFonts w:ascii="Lato" w:hAnsi="Lato"/>
                <w:b/>
                <w:bCs/>
                <w:sz w:val="22"/>
                <w:szCs w:val="22"/>
              </w:rPr>
            </w:pPr>
            <w:r w:rsidRPr="00CB1714">
              <w:rPr>
                <w:rFonts w:ascii="Lato" w:hAnsi="Lato"/>
                <w:b/>
                <w:bCs/>
                <w:sz w:val="22"/>
                <w:szCs w:val="22"/>
              </w:rPr>
              <w:t>2.2</w:t>
            </w:r>
          </w:p>
        </w:tc>
        <w:tc>
          <w:tcPr>
            <w:tcW w:w="5891" w:type="dxa"/>
          </w:tcPr>
          <w:p w14:paraId="111546B0" w14:textId="77777777" w:rsidR="00E0074D" w:rsidRPr="00CB1714" w:rsidRDefault="00E0074D">
            <w:pPr>
              <w:rPr>
                <w:rFonts w:ascii="Lato" w:hAnsi="Lato"/>
                <w:b/>
                <w:bCs/>
                <w:sz w:val="22"/>
                <w:szCs w:val="22"/>
              </w:rPr>
            </w:pPr>
            <w:r w:rsidRPr="00CB1714">
              <w:rPr>
                <w:rFonts w:ascii="Lato" w:hAnsi="Lato"/>
                <w:b/>
                <w:bCs/>
                <w:sz w:val="22"/>
                <w:szCs w:val="22"/>
              </w:rPr>
              <w:t>Investment Objective and Policy</w:t>
            </w:r>
          </w:p>
        </w:tc>
        <w:tc>
          <w:tcPr>
            <w:tcW w:w="3188" w:type="dxa"/>
          </w:tcPr>
          <w:p w14:paraId="7845945E" w14:textId="77777777" w:rsidR="00E0074D" w:rsidRPr="00CB1714" w:rsidRDefault="00E0074D">
            <w:pPr>
              <w:rPr>
                <w:rFonts w:ascii="Lato" w:hAnsi="Lato"/>
                <w:b/>
                <w:bCs/>
                <w:sz w:val="22"/>
                <w:szCs w:val="22"/>
              </w:rPr>
            </w:pPr>
          </w:p>
        </w:tc>
      </w:tr>
      <w:tr w:rsidR="00E0074D" w:rsidRPr="00CB1714" w14:paraId="31270BAC" w14:textId="77777777" w:rsidTr="00990D73">
        <w:tc>
          <w:tcPr>
            <w:tcW w:w="1316" w:type="dxa"/>
          </w:tcPr>
          <w:p w14:paraId="309F1184" w14:textId="77777777" w:rsidR="00E0074D" w:rsidRPr="00CB1714" w:rsidRDefault="00E0074D">
            <w:pPr>
              <w:rPr>
                <w:rFonts w:ascii="Lato" w:hAnsi="Lato"/>
                <w:sz w:val="22"/>
                <w:szCs w:val="22"/>
              </w:rPr>
            </w:pPr>
          </w:p>
        </w:tc>
        <w:tc>
          <w:tcPr>
            <w:tcW w:w="5891" w:type="dxa"/>
          </w:tcPr>
          <w:p w14:paraId="616FB5D7" w14:textId="77777777" w:rsidR="00E0074D" w:rsidRPr="00CB1714" w:rsidRDefault="00E0074D" w:rsidP="00FD764E">
            <w:pPr>
              <w:rPr>
                <w:rFonts w:ascii="Lato" w:hAnsi="Lato"/>
                <w:b/>
                <w:bCs/>
                <w:sz w:val="22"/>
                <w:szCs w:val="22"/>
              </w:rPr>
            </w:pPr>
            <w:r w:rsidRPr="00CB1714">
              <w:rPr>
                <w:rFonts w:ascii="Lato" w:hAnsi="Lato"/>
                <w:b/>
                <w:bCs/>
                <w:sz w:val="22"/>
                <w:szCs w:val="22"/>
                <w:u w:val="single"/>
              </w:rPr>
              <w:t>Note:</w:t>
            </w:r>
            <w:r w:rsidRPr="00CB1714">
              <w:rPr>
                <w:rFonts w:ascii="Lato" w:hAnsi="Lato"/>
                <w:b/>
                <w:bCs/>
                <w:sz w:val="22"/>
                <w:szCs w:val="22"/>
              </w:rPr>
              <w:t xml:space="preserve">  The following general requirements apply together with requirements in relation to the particular asset class</w:t>
            </w:r>
            <w:r w:rsidR="00FD764E" w:rsidRPr="00CB1714">
              <w:rPr>
                <w:rFonts w:ascii="Lato" w:hAnsi="Lato"/>
                <w:b/>
                <w:bCs/>
                <w:sz w:val="22"/>
                <w:szCs w:val="22"/>
              </w:rPr>
              <w:t xml:space="preserve">(es) </w:t>
            </w:r>
          </w:p>
        </w:tc>
        <w:tc>
          <w:tcPr>
            <w:tcW w:w="3188" w:type="dxa"/>
            <w:tcBorders>
              <w:bottom w:val="single" w:sz="4" w:space="0" w:color="auto"/>
            </w:tcBorders>
          </w:tcPr>
          <w:p w14:paraId="159FDE7D" w14:textId="77777777" w:rsidR="00E0074D" w:rsidRPr="00CB1714" w:rsidRDefault="00E0074D">
            <w:pPr>
              <w:rPr>
                <w:rFonts w:ascii="Lato" w:hAnsi="Lato"/>
                <w:sz w:val="22"/>
                <w:szCs w:val="22"/>
              </w:rPr>
            </w:pPr>
          </w:p>
        </w:tc>
      </w:tr>
      <w:tr w:rsidR="00E0074D" w:rsidRPr="00CB1714" w14:paraId="213C36A3" w14:textId="77777777" w:rsidTr="00990D73">
        <w:trPr>
          <w:cantSplit/>
          <w:trHeight w:val="256"/>
        </w:trPr>
        <w:tc>
          <w:tcPr>
            <w:tcW w:w="1316" w:type="dxa"/>
            <w:vMerge w:val="restart"/>
          </w:tcPr>
          <w:p w14:paraId="41F78A0B" w14:textId="77777777" w:rsidR="00E0074D" w:rsidRPr="00CB1714" w:rsidRDefault="00E0074D">
            <w:pPr>
              <w:rPr>
                <w:rFonts w:ascii="Lato" w:hAnsi="Lato"/>
                <w:sz w:val="22"/>
                <w:szCs w:val="22"/>
              </w:rPr>
            </w:pPr>
            <w:r w:rsidRPr="00CB1714">
              <w:rPr>
                <w:rFonts w:ascii="Lato" w:hAnsi="Lato"/>
                <w:sz w:val="22"/>
                <w:szCs w:val="22"/>
              </w:rPr>
              <w:t>2.2.1    a)</w:t>
            </w:r>
          </w:p>
        </w:tc>
        <w:tc>
          <w:tcPr>
            <w:tcW w:w="5891" w:type="dxa"/>
            <w:vMerge w:val="restart"/>
            <w:tcBorders>
              <w:right w:val="single" w:sz="4" w:space="0" w:color="auto"/>
            </w:tcBorders>
          </w:tcPr>
          <w:p w14:paraId="5077A98D" w14:textId="77777777" w:rsidR="00E0074D" w:rsidRPr="00CB1714" w:rsidRDefault="00E0074D">
            <w:pPr>
              <w:jc w:val="both"/>
              <w:rPr>
                <w:rFonts w:ascii="Lato" w:hAnsi="Lato"/>
                <w:sz w:val="22"/>
                <w:szCs w:val="22"/>
              </w:rPr>
            </w:pPr>
            <w:r w:rsidRPr="00CB1714">
              <w:rPr>
                <w:rFonts w:ascii="Lato" w:hAnsi="Lato"/>
                <w:sz w:val="22"/>
                <w:szCs w:val="22"/>
              </w:rPr>
              <w:t xml:space="preserve">A description of the investment objectives and policies of the </w:t>
            </w:r>
            <w:r w:rsidR="00D6477D" w:rsidRPr="00CB1714">
              <w:rPr>
                <w:rFonts w:ascii="Lato" w:hAnsi="Lato"/>
                <w:sz w:val="22"/>
                <w:szCs w:val="22"/>
              </w:rPr>
              <w:t>Q</w:t>
            </w:r>
            <w:r w:rsidR="00564C30" w:rsidRPr="00CB1714">
              <w:rPr>
                <w:rFonts w:ascii="Lato" w:hAnsi="Lato"/>
                <w:sz w:val="22"/>
                <w:szCs w:val="22"/>
              </w:rPr>
              <w:t xml:space="preserve">ualifying </w:t>
            </w:r>
            <w:r w:rsidR="00D6477D" w:rsidRPr="00CB1714">
              <w:rPr>
                <w:rFonts w:ascii="Lato" w:hAnsi="Lato"/>
                <w:sz w:val="22"/>
                <w:szCs w:val="22"/>
              </w:rPr>
              <w:t>I</w:t>
            </w:r>
            <w:r w:rsidR="00564C30" w:rsidRPr="00CB1714">
              <w:rPr>
                <w:rFonts w:ascii="Lato" w:hAnsi="Lato"/>
                <w:sz w:val="22"/>
                <w:szCs w:val="22"/>
              </w:rPr>
              <w:t xml:space="preserve">nvestor </w:t>
            </w:r>
            <w:r w:rsidR="00D6477D" w:rsidRPr="00CB1714">
              <w:rPr>
                <w:rFonts w:ascii="Lato" w:hAnsi="Lato"/>
                <w:sz w:val="22"/>
                <w:szCs w:val="22"/>
              </w:rPr>
              <w:t>AIF</w:t>
            </w:r>
            <w:r w:rsidRPr="00CB1714">
              <w:rPr>
                <w:rFonts w:ascii="Lato" w:hAnsi="Lato"/>
                <w:sz w:val="22"/>
                <w:szCs w:val="22"/>
              </w:rPr>
              <w:t xml:space="preserve"> and these descriptions must be comprehensive and accurate, readily comprehensive to investors and be sufficient to enable investors make an informed judgement on the investment proposed to them. </w:t>
            </w:r>
          </w:p>
        </w:tc>
        <w:tc>
          <w:tcPr>
            <w:tcW w:w="3188" w:type="dxa"/>
            <w:tcBorders>
              <w:top w:val="single" w:sz="4" w:space="0" w:color="auto"/>
              <w:left w:val="single" w:sz="4" w:space="0" w:color="auto"/>
              <w:bottom w:val="single" w:sz="4" w:space="0" w:color="auto"/>
              <w:right w:val="single" w:sz="4" w:space="0" w:color="auto"/>
            </w:tcBorders>
          </w:tcPr>
          <w:p w14:paraId="19B07319" w14:textId="77777777" w:rsidR="00E0074D" w:rsidRPr="00CB1714" w:rsidRDefault="00E0074D">
            <w:pPr>
              <w:rPr>
                <w:rFonts w:ascii="Lato" w:hAnsi="Lato"/>
                <w:sz w:val="22"/>
                <w:szCs w:val="22"/>
              </w:rPr>
            </w:pPr>
          </w:p>
        </w:tc>
      </w:tr>
      <w:tr w:rsidR="00E0074D" w:rsidRPr="00CB1714" w14:paraId="5C87060D" w14:textId="77777777" w:rsidTr="00990D73">
        <w:trPr>
          <w:cantSplit/>
          <w:trHeight w:val="252"/>
        </w:trPr>
        <w:tc>
          <w:tcPr>
            <w:tcW w:w="1316" w:type="dxa"/>
            <w:vMerge/>
          </w:tcPr>
          <w:p w14:paraId="1E08D9AB" w14:textId="77777777" w:rsidR="00E0074D" w:rsidRPr="00CB1714" w:rsidRDefault="00E0074D">
            <w:pPr>
              <w:rPr>
                <w:rFonts w:ascii="Lato" w:hAnsi="Lato"/>
                <w:sz w:val="22"/>
                <w:szCs w:val="22"/>
              </w:rPr>
            </w:pPr>
          </w:p>
        </w:tc>
        <w:tc>
          <w:tcPr>
            <w:tcW w:w="5891" w:type="dxa"/>
            <w:vMerge/>
          </w:tcPr>
          <w:p w14:paraId="54932F6A" w14:textId="77777777" w:rsidR="00E0074D" w:rsidRPr="00CB1714" w:rsidRDefault="00E0074D">
            <w:pPr>
              <w:rPr>
                <w:rFonts w:ascii="Lato" w:hAnsi="Lato"/>
                <w:sz w:val="22"/>
                <w:szCs w:val="22"/>
              </w:rPr>
            </w:pPr>
          </w:p>
        </w:tc>
        <w:tc>
          <w:tcPr>
            <w:tcW w:w="3188" w:type="dxa"/>
            <w:tcBorders>
              <w:top w:val="single" w:sz="4" w:space="0" w:color="auto"/>
            </w:tcBorders>
          </w:tcPr>
          <w:p w14:paraId="2D8EDB7D" w14:textId="77777777" w:rsidR="00E0074D" w:rsidRPr="00CB1714" w:rsidRDefault="00E0074D">
            <w:pPr>
              <w:rPr>
                <w:rFonts w:ascii="Lato" w:hAnsi="Lato"/>
                <w:sz w:val="22"/>
                <w:szCs w:val="22"/>
              </w:rPr>
            </w:pPr>
          </w:p>
        </w:tc>
      </w:tr>
      <w:tr w:rsidR="00E0074D" w:rsidRPr="00CB1714" w14:paraId="430B9D51" w14:textId="77777777" w:rsidTr="00990D73">
        <w:trPr>
          <w:cantSplit/>
          <w:trHeight w:val="252"/>
        </w:trPr>
        <w:tc>
          <w:tcPr>
            <w:tcW w:w="1316" w:type="dxa"/>
            <w:vMerge/>
          </w:tcPr>
          <w:p w14:paraId="4300110A" w14:textId="77777777" w:rsidR="00E0074D" w:rsidRPr="00CB1714" w:rsidRDefault="00E0074D">
            <w:pPr>
              <w:rPr>
                <w:rFonts w:ascii="Lato" w:hAnsi="Lato"/>
                <w:sz w:val="22"/>
                <w:szCs w:val="22"/>
              </w:rPr>
            </w:pPr>
          </w:p>
        </w:tc>
        <w:tc>
          <w:tcPr>
            <w:tcW w:w="5891" w:type="dxa"/>
            <w:vMerge/>
          </w:tcPr>
          <w:p w14:paraId="749A912F" w14:textId="77777777" w:rsidR="00E0074D" w:rsidRPr="00CB1714" w:rsidRDefault="00E0074D">
            <w:pPr>
              <w:rPr>
                <w:rFonts w:ascii="Lato" w:hAnsi="Lato"/>
                <w:sz w:val="22"/>
                <w:szCs w:val="22"/>
              </w:rPr>
            </w:pPr>
          </w:p>
        </w:tc>
        <w:tc>
          <w:tcPr>
            <w:tcW w:w="3188" w:type="dxa"/>
          </w:tcPr>
          <w:p w14:paraId="68C0AF22" w14:textId="77777777" w:rsidR="00E0074D" w:rsidRPr="00CB1714" w:rsidRDefault="00E0074D">
            <w:pPr>
              <w:rPr>
                <w:rFonts w:ascii="Lato" w:hAnsi="Lato"/>
                <w:sz w:val="22"/>
                <w:szCs w:val="22"/>
              </w:rPr>
            </w:pPr>
          </w:p>
        </w:tc>
      </w:tr>
      <w:tr w:rsidR="00E0074D" w:rsidRPr="00CB1714" w14:paraId="2C41A785" w14:textId="77777777" w:rsidTr="00990D73">
        <w:trPr>
          <w:cantSplit/>
          <w:trHeight w:val="252"/>
        </w:trPr>
        <w:tc>
          <w:tcPr>
            <w:tcW w:w="1316" w:type="dxa"/>
            <w:vMerge/>
          </w:tcPr>
          <w:p w14:paraId="2F9F10D5" w14:textId="77777777" w:rsidR="00E0074D" w:rsidRPr="00CB1714" w:rsidRDefault="00E0074D">
            <w:pPr>
              <w:rPr>
                <w:rFonts w:ascii="Lato" w:hAnsi="Lato"/>
                <w:sz w:val="22"/>
                <w:szCs w:val="22"/>
              </w:rPr>
            </w:pPr>
          </w:p>
        </w:tc>
        <w:tc>
          <w:tcPr>
            <w:tcW w:w="5891" w:type="dxa"/>
            <w:vMerge/>
          </w:tcPr>
          <w:p w14:paraId="04557E25" w14:textId="77777777" w:rsidR="00E0074D" w:rsidRPr="00CB1714" w:rsidRDefault="00E0074D">
            <w:pPr>
              <w:rPr>
                <w:rFonts w:ascii="Lato" w:hAnsi="Lato"/>
                <w:sz w:val="22"/>
                <w:szCs w:val="22"/>
              </w:rPr>
            </w:pPr>
          </w:p>
        </w:tc>
        <w:tc>
          <w:tcPr>
            <w:tcW w:w="3188" w:type="dxa"/>
          </w:tcPr>
          <w:p w14:paraId="5ED4FED9" w14:textId="77777777" w:rsidR="00E0074D" w:rsidRPr="00CB1714" w:rsidRDefault="00E0074D">
            <w:pPr>
              <w:rPr>
                <w:rFonts w:ascii="Lato" w:hAnsi="Lato"/>
                <w:sz w:val="22"/>
                <w:szCs w:val="22"/>
              </w:rPr>
            </w:pPr>
          </w:p>
        </w:tc>
      </w:tr>
      <w:tr w:rsidR="00E0074D" w:rsidRPr="00CB1714" w14:paraId="328FCB03" w14:textId="77777777" w:rsidTr="00990D73">
        <w:trPr>
          <w:cantSplit/>
          <w:trHeight w:val="252"/>
        </w:trPr>
        <w:tc>
          <w:tcPr>
            <w:tcW w:w="1316" w:type="dxa"/>
            <w:vMerge/>
          </w:tcPr>
          <w:p w14:paraId="6DC4673D" w14:textId="77777777" w:rsidR="00E0074D" w:rsidRPr="00CB1714" w:rsidRDefault="00E0074D">
            <w:pPr>
              <w:rPr>
                <w:rFonts w:ascii="Lato" w:hAnsi="Lato"/>
                <w:sz w:val="22"/>
                <w:szCs w:val="22"/>
              </w:rPr>
            </w:pPr>
          </w:p>
        </w:tc>
        <w:tc>
          <w:tcPr>
            <w:tcW w:w="5891" w:type="dxa"/>
            <w:vMerge/>
          </w:tcPr>
          <w:p w14:paraId="22B98BC5" w14:textId="77777777" w:rsidR="00E0074D" w:rsidRPr="00CB1714" w:rsidRDefault="00E0074D">
            <w:pPr>
              <w:rPr>
                <w:rFonts w:ascii="Lato" w:hAnsi="Lato"/>
                <w:sz w:val="22"/>
                <w:szCs w:val="22"/>
              </w:rPr>
            </w:pPr>
          </w:p>
        </w:tc>
        <w:tc>
          <w:tcPr>
            <w:tcW w:w="3188" w:type="dxa"/>
          </w:tcPr>
          <w:p w14:paraId="4333BABD" w14:textId="77777777" w:rsidR="004A7549" w:rsidRPr="00CB1714" w:rsidRDefault="004A7549">
            <w:pPr>
              <w:rPr>
                <w:rFonts w:ascii="Lato" w:hAnsi="Lato"/>
                <w:sz w:val="22"/>
                <w:szCs w:val="22"/>
              </w:rPr>
            </w:pPr>
          </w:p>
        </w:tc>
      </w:tr>
      <w:tr w:rsidR="004A7549" w:rsidRPr="00CB1714" w14:paraId="2040D3D3" w14:textId="77777777" w:rsidTr="00990D73">
        <w:trPr>
          <w:cantSplit/>
          <w:trHeight w:val="252"/>
        </w:trPr>
        <w:tc>
          <w:tcPr>
            <w:tcW w:w="1316" w:type="dxa"/>
          </w:tcPr>
          <w:p w14:paraId="516C1093" w14:textId="77777777" w:rsidR="004A7549" w:rsidRPr="00CB1714" w:rsidRDefault="004A7549">
            <w:pPr>
              <w:rPr>
                <w:rFonts w:ascii="Lato" w:hAnsi="Lato"/>
                <w:sz w:val="22"/>
                <w:szCs w:val="22"/>
              </w:rPr>
            </w:pPr>
          </w:p>
        </w:tc>
        <w:tc>
          <w:tcPr>
            <w:tcW w:w="5891" w:type="dxa"/>
          </w:tcPr>
          <w:p w14:paraId="39C4B31E" w14:textId="77777777" w:rsidR="004A7549" w:rsidRPr="00CB1714" w:rsidRDefault="004A7549">
            <w:pPr>
              <w:rPr>
                <w:rFonts w:ascii="Lato" w:hAnsi="Lato"/>
                <w:sz w:val="22"/>
                <w:szCs w:val="22"/>
              </w:rPr>
            </w:pPr>
          </w:p>
        </w:tc>
        <w:tc>
          <w:tcPr>
            <w:tcW w:w="3188" w:type="dxa"/>
          </w:tcPr>
          <w:p w14:paraId="4A1845F6" w14:textId="77777777" w:rsidR="004A7549" w:rsidRPr="00CB1714" w:rsidRDefault="004A7549">
            <w:pPr>
              <w:rPr>
                <w:rFonts w:ascii="Lato" w:hAnsi="Lato"/>
                <w:sz w:val="22"/>
                <w:szCs w:val="22"/>
              </w:rPr>
            </w:pPr>
          </w:p>
        </w:tc>
      </w:tr>
      <w:tr w:rsidR="004A7549" w:rsidRPr="00CB1714" w14:paraId="22477B2A" w14:textId="77777777" w:rsidTr="0042571B">
        <w:trPr>
          <w:cantSplit/>
          <w:trHeight w:val="252"/>
        </w:trPr>
        <w:tc>
          <w:tcPr>
            <w:tcW w:w="1316" w:type="dxa"/>
          </w:tcPr>
          <w:p w14:paraId="720AF6E1" w14:textId="77777777" w:rsidR="004A7549" w:rsidRPr="00CB1714" w:rsidRDefault="004A7549">
            <w:pPr>
              <w:rPr>
                <w:rFonts w:ascii="Lato" w:hAnsi="Lato"/>
                <w:sz w:val="22"/>
                <w:szCs w:val="22"/>
              </w:rPr>
            </w:pPr>
          </w:p>
        </w:tc>
        <w:tc>
          <w:tcPr>
            <w:tcW w:w="5891" w:type="dxa"/>
          </w:tcPr>
          <w:p w14:paraId="29ADFC8B" w14:textId="77777777" w:rsidR="004A7549" w:rsidRPr="00CB1714" w:rsidRDefault="004A7549" w:rsidP="004A7549">
            <w:pPr>
              <w:rPr>
                <w:rFonts w:ascii="Lato" w:hAnsi="Lato"/>
                <w:sz w:val="22"/>
                <w:szCs w:val="22"/>
              </w:rPr>
            </w:pPr>
            <w:r w:rsidRPr="00CB1714">
              <w:rPr>
                <w:rFonts w:ascii="Lato" w:hAnsi="Lato"/>
                <w:sz w:val="22"/>
                <w:szCs w:val="22"/>
              </w:rPr>
              <w:t>This description should include:</w:t>
            </w:r>
          </w:p>
        </w:tc>
        <w:tc>
          <w:tcPr>
            <w:tcW w:w="3188" w:type="dxa"/>
            <w:tcBorders>
              <w:bottom w:val="single" w:sz="4" w:space="0" w:color="auto"/>
            </w:tcBorders>
          </w:tcPr>
          <w:p w14:paraId="12BE1C11" w14:textId="77777777" w:rsidR="004A7549" w:rsidRPr="00CB1714" w:rsidRDefault="004A3EEC" w:rsidP="003D4596">
            <w:pPr>
              <w:rPr>
                <w:rFonts w:ascii="Lato" w:hAnsi="Lato"/>
                <w:sz w:val="22"/>
                <w:szCs w:val="22"/>
              </w:rPr>
            </w:pPr>
            <w:r w:rsidRPr="00CB1714">
              <w:rPr>
                <w:rFonts w:ascii="Lato" w:hAnsi="Lato"/>
                <w:sz w:val="22"/>
                <w:szCs w:val="22"/>
              </w:rPr>
              <w:t xml:space="preserve"> </w:t>
            </w:r>
          </w:p>
        </w:tc>
      </w:tr>
      <w:tr w:rsidR="004A7549" w:rsidRPr="00CB1714" w14:paraId="2561886C" w14:textId="77777777" w:rsidTr="0042571B">
        <w:trPr>
          <w:cantSplit/>
          <w:trHeight w:val="252"/>
        </w:trPr>
        <w:tc>
          <w:tcPr>
            <w:tcW w:w="1316" w:type="dxa"/>
          </w:tcPr>
          <w:p w14:paraId="2B4CBC92" w14:textId="77777777" w:rsidR="004A7549" w:rsidRPr="00CB1714" w:rsidRDefault="004A7549" w:rsidP="006E2C63">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39EAFD5D" w14:textId="77777777" w:rsidR="004A7549" w:rsidRPr="00CB1714" w:rsidRDefault="006E2C63" w:rsidP="0042571B">
            <w:pPr>
              <w:rPr>
                <w:rFonts w:ascii="Lato" w:hAnsi="Lato"/>
                <w:sz w:val="22"/>
                <w:szCs w:val="22"/>
              </w:rPr>
            </w:pPr>
            <w:r w:rsidRPr="00CB1714">
              <w:rPr>
                <w:rFonts w:ascii="Lato" w:hAnsi="Lato"/>
                <w:sz w:val="22"/>
                <w:szCs w:val="22"/>
              </w:rPr>
              <w:t>I</w:t>
            </w:r>
            <w:r w:rsidR="004A7549" w:rsidRPr="00CB1714">
              <w:rPr>
                <w:rFonts w:ascii="Lato" w:hAnsi="Lato"/>
                <w:sz w:val="22"/>
                <w:szCs w:val="22"/>
              </w:rPr>
              <w:t xml:space="preserve">nformation on where any master </w:t>
            </w:r>
            <w:r w:rsidRPr="00CB1714">
              <w:rPr>
                <w:rFonts w:ascii="Lato" w:hAnsi="Lato"/>
                <w:sz w:val="22"/>
                <w:szCs w:val="22"/>
              </w:rPr>
              <w:t>Q</w:t>
            </w:r>
            <w:r w:rsidR="00A153DD" w:rsidRPr="00CB1714">
              <w:rPr>
                <w:rFonts w:ascii="Lato" w:hAnsi="Lato"/>
                <w:sz w:val="22"/>
                <w:szCs w:val="22"/>
              </w:rPr>
              <w:t xml:space="preserve">ualifying </w:t>
            </w:r>
            <w:r w:rsidRPr="00CB1714">
              <w:rPr>
                <w:rFonts w:ascii="Lato" w:hAnsi="Lato"/>
                <w:sz w:val="22"/>
                <w:szCs w:val="22"/>
              </w:rPr>
              <w:t>I</w:t>
            </w:r>
            <w:r w:rsidR="00A153DD" w:rsidRPr="00CB1714">
              <w:rPr>
                <w:rFonts w:ascii="Lato" w:hAnsi="Lato"/>
                <w:sz w:val="22"/>
                <w:szCs w:val="22"/>
              </w:rPr>
              <w:t xml:space="preserve">nvestor </w:t>
            </w:r>
            <w:r w:rsidR="004A7549" w:rsidRPr="00CB1714">
              <w:rPr>
                <w:rFonts w:ascii="Lato" w:hAnsi="Lato"/>
                <w:sz w:val="22"/>
                <w:szCs w:val="22"/>
              </w:rPr>
              <w:t xml:space="preserve">AIF is </w:t>
            </w:r>
          </w:p>
        </w:tc>
        <w:tc>
          <w:tcPr>
            <w:tcW w:w="3188" w:type="dxa"/>
            <w:tcBorders>
              <w:top w:val="single" w:sz="4" w:space="0" w:color="auto"/>
              <w:left w:val="single" w:sz="4" w:space="0" w:color="auto"/>
              <w:bottom w:val="single" w:sz="4" w:space="0" w:color="auto"/>
              <w:right w:val="single" w:sz="4" w:space="0" w:color="auto"/>
            </w:tcBorders>
          </w:tcPr>
          <w:p w14:paraId="0706A7D7" w14:textId="77777777" w:rsidR="004A7549" w:rsidRPr="00CB1714" w:rsidRDefault="004A7549">
            <w:pPr>
              <w:rPr>
                <w:rFonts w:ascii="Lato" w:hAnsi="Lato"/>
                <w:sz w:val="22"/>
                <w:szCs w:val="22"/>
              </w:rPr>
            </w:pPr>
          </w:p>
        </w:tc>
      </w:tr>
      <w:tr w:rsidR="0042571B" w:rsidRPr="00CB1714" w14:paraId="18F7309B" w14:textId="77777777" w:rsidTr="0042571B">
        <w:trPr>
          <w:cantSplit/>
          <w:trHeight w:val="252"/>
        </w:trPr>
        <w:tc>
          <w:tcPr>
            <w:tcW w:w="1316" w:type="dxa"/>
          </w:tcPr>
          <w:p w14:paraId="29BB5C3F" w14:textId="77777777" w:rsidR="0042571B" w:rsidRPr="00CB1714" w:rsidRDefault="0042571B" w:rsidP="006E2C63">
            <w:pPr>
              <w:jc w:val="right"/>
              <w:rPr>
                <w:rFonts w:ascii="Lato" w:hAnsi="Lato"/>
                <w:sz w:val="22"/>
                <w:szCs w:val="22"/>
              </w:rPr>
            </w:pPr>
          </w:p>
        </w:tc>
        <w:tc>
          <w:tcPr>
            <w:tcW w:w="5891" w:type="dxa"/>
          </w:tcPr>
          <w:p w14:paraId="13CE9B88" w14:textId="77777777" w:rsidR="0042571B" w:rsidRPr="00CB1714" w:rsidRDefault="0042571B" w:rsidP="004A7549">
            <w:pPr>
              <w:rPr>
                <w:rFonts w:ascii="Lato" w:hAnsi="Lato"/>
                <w:sz w:val="22"/>
                <w:szCs w:val="22"/>
              </w:rPr>
            </w:pPr>
            <w:r w:rsidRPr="00CB1714">
              <w:rPr>
                <w:rFonts w:ascii="Lato" w:hAnsi="Lato"/>
                <w:sz w:val="22"/>
                <w:szCs w:val="22"/>
              </w:rPr>
              <w:t>established and,</w:t>
            </w:r>
          </w:p>
        </w:tc>
        <w:tc>
          <w:tcPr>
            <w:tcW w:w="3188" w:type="dxa"/>
            <w:tcBorders>
              <w:top w:val="single" w:sz="4" w:space="0" w:color="auto"/>
            </w:tcBorders>
          </w:tcPr>
          <w:p w14:paraId="78315E2F" w14:textId="77777777" w:rsidR="0042571B" w:rsidRPr="00CB1714" w:rsidRDefault="0042571B">
            <w:pPr>
              <w:rPr>
                <w:rFonts w:ascii="Lato" w:hAnsi="Lato"/>
                <w:sz w:val="22"/>
                <w:szCs w:val="22"/>
              </w:rPr>
            </w:pPr>
          </w:p>
        </w:tc>
      </w:tr>
      <w:tr w:rsidR="004A7549" w:rsidRPr="00CB1714" w14:paraId="364828C0" w14:textId="77777777" w:rsidTr="0042571B">
        <w:trPr>
          <w:cantSplit/>
          <w:trHeight w:val="252"/>
        </w:trPr>
        <w:tc>
          <w:tcPr>
            <w:tcW w:w="1316" w:type="dxa"/>
          </w:tcPr>
          <w:p w14:paraId="5E1063C7" w14:textId="77777777" w:rsidR="004A7549" w:rsidRPr="00CB1714" w:rsidRDefault="004A7549" w:rsidP="006E2C63">
            <w:pPr>
              <w:jc w:val="right"/>
              <w:rPr>
                <w:rFonts w:ascii="Lato" w:hAnsi="Lato"/>
                <w:sz w:val="22"/>
                <w:szCs w:val="22"/>
              </w:rPr>
            </w:pPr>
          </w:p>
        </w:tc>
        <w:tc>
          <w:tcPr>
            <w:tcW w:w="5891" w:type="dxa"/>
          </w:tcPr>
          <w:p w14:paraId="35D0AF59" w14:textId="77777777" w:rsidR="004A7549" w:rsidRPr="00CB1714" w:rsidRDefault="004A7549" w:rsidP="004A7549">
            <w:pPr>
              <w:rPr>
                <w:rFonts w:ascii="Lato" w:hAnsi="Lato"/>
                <w:sz w:val="22"/>
                <w:szCs w:val="22"/>
              </w:rPr>
            </w:pPr>
          </w:p>
        </w:tc>
        <w:tc>
          <w:tcPr>
            <w:tcW w:w="3188" w:type="dxa"/>
            <w:tcBorders>
              <w:bottom w:val="single" w:sz="4" w:space="0" w:color="auto"/>
            </w:tcBorders>
          </w:tcPr>
          <w:p w14:paraId="21E3ABF2" w14:textId="77777777" w:rsidR="004A7549" w:rsidRPr="00CB1714" w:rsidRDefault="004A7549">
            <w:pPr>
              <w:rPr>
                <w:rFonts w:ascii="Lato" w:hAnsi="Lato"/>
                <w:sz w:val="22"/>
                <w:szCs w:val="22"/>
              </w:rPr>
            </w:pPr>
          </w:p>
        </w:tc>
      </w:tr>
      <w:tr w:rsidR="004A7549" w:rsidRPr="00CB1714" w14:paraId="289EEFBE" w14:textId="77777777" w:rsidTr="00990D73">
        <w:trPr>
          <w:cantSplit/>
          <w:trHeight w:val="252"/>
        </w:trPr>
        <w:tc>
          <w:tcPr>
            <w:tcW w:w="1316" w:type="dxa"/>
          </w:tcPr>
          <w:p w14:paraId="09500C52" w14:textId="77777777" w:rsidR="004A7549" w:rsidRPr="00CB1714" w:rsidRDefault="004A7549" w:rsidP="006E2C63">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5EF54C9A" w14:textId="77777777" w:rsidR="004A7549" w:rsidRPr="00CB1714" w:rsidRDefault="006E2C63" w:rsidP="00CB1714">
            <w:pPr>
              <w:rPr>
                <w:rFonts w:ascii="Lato" w:hAnsi="Lato"/>
                <w:sz w:val="22"/>
                <w:szCs w:val="22"/>
              </w:rPr>
            </w:pPr>
            <w:r w:rsidRPr="00CB1714">
              <w:rPr>
                <w:rFonts w:ascii="Lato" w:hAnsi="Lato"/>
                <w:sz w:val="22"/>
                <w:szCs w:val="22"/>
              </w:rPr>
              <w:t>W</w:t>
            </w:r>
            <w:r w:rsidR="004A7549" w:rsidRPr="00CB1714">
              <w:rPr>
                <w:rFonts w:ascii="Lato" w:hAnsi="Lato"/>
                <w:sz w:val="22"/>
                <w:szCs w:val="22"/>
              </w:rPr>
              <w:t xml:space="preserve">here the underlying funds are established if the </w:t>
            </w:r>
          </w:p>
        </w:tc>
        <w:tc>
          <w:tcPr>
            <w:tcW w:w="3188" w:type="dxa"/>
            <w:tcBorders>
              <w:top w:val="single" w:sz="4" w:space="0" w:color="auto"/>
              <w:left w:val="single" w:sz="4" w:space="0" w:color="auto"/>
              <w:bottom w:val="single" w:sz="4" w:space="0" w:color="auto"/>
              <w:right w:val="single" w:sz="4" w:space="0" w:color="auto"/>
            </w:tcBorders>
          </w:tcPr>
          <w:p w14:paraId="03888D3C" w14:textId="77777777" w:rsidR="004A7549" w:rsidRPr="00CB1714" w:rsidRDefault="004A7549">
            <w:pPr>
              <w:rPr>
                <w:rFonts w:ascii="Lato" w:hAnsi="Lato"/>
                <w:sz w:val="22"/>
                <w:szCs w:val="22"/>
              </w:rPr>
            </w:pPr>
          </w:p>
        </w:tc>
      </w:tr>
      <w:tr w:rsidR="004A7549" w:rsidRPr="00CB1714" w14:paraId="19F6E587" w14:textId="77777777" w:rsidTr="00990D73">
        <w:trPr>
          <w:cantSplit/>
          <w:trHeight w:val="252"/>
        </w:trPr>
        <w:tc>
          <w:tcPr>
            <w:tcW w:w="1316" w:type="dxa"/>
          </w:tcPr>
          <w:p w14:paraId="746027A8" w14:textId="77777777" w:rsidR="004A7549" w:rsidRPr="00CB1714" w:rsidRDefault="004A7549" w:rsidP="006E2C63">
            <w:pPr>
              <w:jc w:val="right"/>
              <w:rPr>
                <w:rFonts w:ascii="Lato" w:hAnsi="Lato"/>
                <w:sz w:val="22"/>
                <w:szCs w:val="22"/>
              </w:rPr>
            </w:pPr>
          </w:p>
        </w:tc>
        <w:tc>
          <w:tcPr>
            <w:tcW w:w="5891" w:type="dxa"/>
          </w:tcPr>
          <w:p w14:paraId="27DE5DDB" w14:textId="77777777" w:rsidR="004A7549" w:rsidRPr="00CB1714" w:rsidRDefault="00DC6E90">
            <w:pPr>
              <w:rPr>
                <w:rFonts w:ascii="Lato" w:hAnsi="Lato"/>
                <w:sz w:val="22"/>
                <w:szCs w:val="22"/>
              </w:rPr>
            </w:pPr>
            <w:r w:rsidRPr="00F72ED7">
              <w:rPr>
                <w:rFonts w:ascii="Lato" w:hAnsi="Lato"/>
                <w:sz w:val="22"/>
                <w:szCs w:val="22"/>
              </w:rPr>
              <w:t xml:space="preserve">Qualifying </w:t>
            </w:r>
            <w:r w:rsidR="003D4596" w:rsidRPr="00CB1714">
              <w:rPr>
                <w:rFonts w:ascii="Lato" w:hAnsi="Lato"/>
                <w:sz w:val="22"/>
                <w:szCs w:val="22"/>
              </w:rPr>
              <w:t xml:space="preserve">Investor AIF is a </w:t>
            </w:r>
            <w:r w:rsidR="006E2C63" w:rsidRPr="00CB1714">
              <w:rPr>
                <w:rFonts w:ascii="Lato" w:hAnsi="Lato"/>
                <w:sz w:val="22"/>
                <w:szCs w:val="22"/>
              </w:rPr>
              <w:t xml:space="preserve">fund of </w:t>
            </w:r>
            <w:r w:rsidR="004A7549" w:rsidRPr="00CB1714">
              <w:rPr>
                <w:rFonts w:ascii="Lato" w:hAnsi="Lato"/>
                <w:sz w:val="22"/>
                <w:szCs w:val="22"/>
              </w:rPr>
              <w:t>funds</w:t>
            </w:r>
          </w:p>
        </w:tc>
        <w:tc>
          <w:tcPr>
            <w:tcW w:w="3188" w:type="dxa"/>
            <w:tcBorders>
              <w:top w:val="single" w:sz="4" w:space="0" w:color="auto"/>
            </w:tcBorders>
          </w:tcPr>
          <w:p w14:paraId="18C35DEC" w14:textId="77777777" w:rsidR="004A7549" w:rsidRPr="00CB1714" w:rsidRDefault="004A7549">
            <w:pPr>
              <w:rPr>
                <w:rFonts w:ascii="Lato" w:hAnsi="Lato"/>
                <w:sz w:val="22"/>
                <w:szCs w:val="22"/>
              </w:rPr>
            </w:pPr>
          </w:p>
        </w:tc>
      </w:tr>
      <w:tr w:rsidR="004A7549" w:rsidRPr="00CB1714" w14:paraId="7F473780" w14:textId="77777777" w:rsidTr="00990D73">
        <w:trPr>
          <w:cantSplit/>
          <w:trHeight w:val="252"/>
        </w:trPr>
        <w:tc>
          <w:tcPr>
            <w:tcW w:w="1316" w:type="dxa"/>
          </w:tcPr>
          <w:p w14:paraId="2FD027C3" w14:textId="77777777" w:rsidR="004A7549" w:rsidRPr="00CB1714" w:rsidRDefault="004A7549" w:rsidP="006E2C63">
            <w:pPr>
              <w:jc w:val="right"/>
              <w:rPr>
                <w:rFonts w:ascii="Lato" w:hAnsi="Lato"/>
                <w:sz w:val="22"/>
                <w:szCs w:val="22"/>
              </w:rPr>
            </w:pPr>
          </w:p>
        </w:tc>
        <w:tc>
          <w:tcPr>
            <w:tcW w:w="5891" w:type="dxa"/>
          </w:tcPr>
          <w:p w14:paraId="5F9234C3" w14:textId="77777777" w:rsidR="004A7549" w:rsidRPr="00CB1714" w:rsidRDefault="004A7549">
            <w:pPr>
              <w:rPr>
                <w:rFonts w:ascii="Lato" w:hAnsi="Lato"/>
                <w:sz w:val="22"/>
                <w:szCs w:val="22"/>
              </w:rPr>
            </w:pPr>
          </w:p>
        </w:tc>
        <w:tc>
          <w:tcPr>
            <w:tcW w:w="3188" w:type="dxa"/>
            <w:tcBorders>
              <w:bottom w:val="single" w:sz="4" w:space="0" w:color="auto"/>
            </w:tcBorders>
          </w:tcPr>
          <w:p w14:paraId="06FEFD47" w14:textId="77777777" w:rsidR="004A7549" w:rsidRPr="00CB1714" w:rsidRDefault="004A7549">
            <w:pPr>
              <w:rPr>
                <w:rFonts w:ascii="Lato" w:hAnsi="Lato"/>
                <w:sz w:val="22"/>
                <w:szCs w:val="22"/>
              </w:rPr>
            </w:pPr>
          </w:p>
        </w:tc>
      </w:tr>
      <w:tr w:rsidR="004A7549" w:rsidRPr="00CB1714" w14:paraId="3E3F85C0" w14:textId="77777777" w:rsidTr="00990D73">
        <w:trPr>
          <w:cantSplit/>
          <w:trHeight w:val="252"/>
        </w:trPr>
        <w:tc>
          <w:tcPr>
            <w:tcW w:w="1316" w:type="dxa"/>
          </w:tcPr>
          <w:p w14:paraId="6A2917DE" w14:textId="77777777" w:rsidR="004A7549" w:rsidRPr="00CB1714" w:rsidRDefault="006E2C63" w:rsidP="006E2C63">
            <w:pPr>
              <w:jc w:val="right"/>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45858EEB" w14:textId="77777777" w:rsidR="004A7549" w:rsidRPr="00CB1714" w:rsidRDefault="006E2C63" w:rsidP="00044B9D">
            <w:pPr>
              <w:rPr>
                <w:rFonts w:ascii="Lato" w:hAnsi="Lato"/>
                <w:sz w:val="22"/>
                <w:szCs w:val="22"/>
              </w:rPr>
            </w:pPr>
            <w:r w:rsidRPr="00CB1714">
              <w:rPr>
                <w:rFonts w:ascii="Lato" w:hAnsi="Lato"/>
                <w:sz w:val="22"/>
                <w:szCs w:val="22"/>
              </w:rPr>
              <w:t>A</w:t>
            </w:r>
            <w:r w:rsidR="004A7549" w:rsidRPr="00CB1714">
              <w:rPr>
                <w:rFonts w:ascii="Lato" w:hAnsi="Lato"/>
                <w:sz w:val="22"/>
                <w:szCs w:val="22"/>
              </w:rPr>
              <w:t xml:space="preserve"> description of the types of assets in which the Q</w:t>
            </w:r>
            <w:r w:rsidR="00044B9D" w:rsidRPr="00CB1714">
              <w:rPr>
                <w:rFonts w:ascii="Lato" w:hAnsi="Lato"/>
                <w:sz w:val="22"/>
                <w:szCs w:val="22"/>
              </w:rPr>
              <w:t xml:space="preserve">ualifying </w:t>
            </w:r>
          </w:p>
        </w:tc>
        <w:tc>
          <w:tcPr>
            <w:tcW w:w="3188" w:type="dxa"/>
            <w:tcBorders>
              <w:top w:val="single" w:sz="4" w:space="0" w:color="auto"/>
              <w:left w:val="single" w:sz="4" w:space="0" w:color="auto"/>
              <w:bottom w:val="single" w:sz="4" w:space="0" w:color="auto"/>
              <w:right w:val="single" w:sz="4" w:space="0" w:color="auto"/>
            </w:tcBorders>
          </w:tcPr>
          <w:p w14:paraId="2FC89D19" w14:textId="77777777" w:rsidR="004A7549" w:rsidRPr="00CB1714" w:rsidRDefault="004A7549">
            <w:pPr>
              <w:rPr>
                <w:rFonts w:ascii="Lato" w:hAnsi="Lato"/>
                <w:sz w:val="22"/>
                <w:szCs w:val="22"/>
              </w:rPr>
            </w:pPr>
          </w:p>
        </w:tc>
      </w:tr>
      <w:tr w:rsidR="004A7549" w:rsidRPr="00CB1714" w14:paraId="23B121A1" w14:textId="77777777" w:rsidTr="00521989">
        <w:trPr>
          <w:cantSplit/>
          <w:trHeight w:val="252"/>
        </w:trPr>
        <w:tc>
          <w:tcPr>
            <w:tcW w:w="1316" w:type="dxa"/>
          </w:tcPr>
          <w:p w14:paraId="25FADD09" w14:textId="77777777" w:rsidR="004A7549" w:rsidRPr="00CB1714" w:rsidRDefault="004A7549" w:rsidP="006E2C63">
            <w:pPr>
              <w:jc w:val="right"/>
              <w:rPr>
                <w:rFonts w:ascii="Lato" w:hAnsi="Lato"/>
                <w:sz w:val="22"/>
                <w:szCs w:val="22"/>
              </w:rPr>
            </w:pPr>
          </w:p>
        </w:tc>
        <w:tc>
          <w:tcPr>
            <w:tcW w:w="5891" w:type="dxa"/>
          </w:tcPr>
          <w:p w14:paraId="23FE6449" w14:textId="77777777" w:rsidR="004A7549" w:rsidRPr="00CB1714" w:rsidRDefault="00044B9D" w:rsidP="00044B9D">
            <w:pPr>
              <w:rPr>
                <w:rFonts w:ascii="Lato" w:hAnsi="Lato"/>
                <w:sz w:val="22"/>
                <w:szCs w:val="22"/>
              </w:rPr>
            </w:pPr>
            <w:r w:rsidRPr="00CB1714">
              <w:rPr>
                <w:rFonts w:ascii="Lato" w:hAnsi="Lato"/>
                <w:sz w:val="22"/>
                <w:szCs w:val="22"/>
              </w:rPr>
              <w:t xml:space="preserve">Investor AIF may </w:t>
            </w:r>
            <w:r w:rsidR="004A7549" w:rsidRPr="00CB1714">
              <w:rPr>
                <w:rFonts w:ascii="Lato" w:hAnsi="Lato"/>
                <w:sz w:val="22"/>
                <w:szCs w:val="22"/>
              </w:rPr>
              <w:t>invest,</w:t>
            </w:r>
          </w:p>
        </w:tc>
        <w:tc>
          <w:tcPr>
            <w:tcW w:w="3188" w:type="dxa"/>
            <w:tcBorders>
              <w:top w:val="single" w:sz="4" w:space="0" w:color="auto"/>
            </w:tcBorders>
          </w:tcPr>
          <w:p w14:paraId="7159F8F7" w14:textId="77777777" w:rsidR="004A7549" w:rsidRPr="00CB1714" w:rsidRDefault="004A7549">
            <w:pPr>
              <w:rPr>
                <w:rFonts w:ascii="Lato" w:hAnsi="Lato"/>
                <w:sz w:val="22"/>
                <w:szCs w:val="22"/>
              </w:rPr>
            </w:pPr>
          </w:p>
        </w:tc>
      </w:tr>
      <w:tr w:rsidR="007E3170" w:rsidRPr="00CB1714" w14:paraId="5E958610" w14:textId="77777777" w:rsidTr="00521989">
        <w:trPr>
          <w:cantSplit/>
          <w:trHeight w:val="252"/>
        </w:trPr>
        <w:tc>
          <w:tcPr>
            <w:tcW w:w="1316" w:type="dxa"/>
          </w:tcPr>
          <w:p w14:paraId="5D63E7BE" w14:textId="77777777" w:rsidR="00044B9D" w:rsidRPr="00CB1714" w:rsidRDefault="00044B9D" w:rsidP="006E2C63">
            <w:pPr>
              <w:jc w:val="right"/>
              <w:rPr>
                <w:rFonts w:ascii="Lato" w:hAnsi="Lato"/>
                <w:sz w:val="22"/>
                <w:szCs w:val="22"/>
              </w:rPr>
            </w:pPr>
          </w:p>
        </w:tc>
        <w:tc>
          <w:tcPr>
            <w:tcW w:w="5891" w:type="dxa"/>
          </w:tcPr>
          <w:p w14:paraId="5CBE3E16" w14:textId="77777777" w:rsidR="00044B9D" w:rsidRPr="00CB1714" w:rsidRDefault="00044B9D">
            <w:pPr>
              <w:rPr>
                <w:rFonts w:ascii="Lato" w:hAnsi="Lato"/>
                <w:sz w:val="22"/>
                <w:szCs w:val="22"/>
              </w:rPr>
            </w:pPr>
          </w:p>
        </w:tc>
        <w:tc>
          <w:tcPr>
            <w:tcW w:w="3188" w:type="dxa"/>
            <w:tcBorders>
              <w:bottom w:val="single" w:sz="4" w:space="0" w:color="auto"/>
            </w:tcBorders>
          </w:tcPr>
          <w:p w14:paraId="0960B893" w14:textId="77777777" w:rsidR="00044B9D" w:rsidRPr="00CB1714" w:rsidRDefault="00044B9D">
            <w:pPr>
              <w:rPr>
                <w:rFonts w:ascii="Lato" w:hAnsi="Lato"/>
                <w:sz w:val="22"/>
                <w:szCs w:val="22"/>
              </w:rPr>
            </w:pPr>
          </w:p>
        </w:tc>
      </w:tr>
      <w:tr w:rsidR="007E3170" w:rsidRPr="00CB1714" w14:paraId="7DB9E34A" w14:textId="77777777" w:rsidTr="00521989">
        <w:trPr>
          <w:cantSplit/>
          <w:trHeight w:val="252"/>
        </w:trPr>
        <w:tc>
          <w:tcPr>
            <w:tcW w:w="1316" w:type="dxa"/>
          </w:tcPr>
          <w:p w14:paraId="29450987" w14:textId="77777777" w:rsidR="00044B9D" w:rsidRPr="00CB1714" w:rsidRDefault="00044B9D" w:rsidP="006E2C63">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588B413B" w14:textId="77777777" w:rsidR="00044B9D" w:rsidRPr="00CB1714" w:rsidRDefault="00A153DD">
            <w:pPr>
              <w:rPr>
                <w:rFonts w:ascii="Lato" w:hAnsi="Lato"/>
                <w:sz w:val="22"/>
                <w:szCs w:val="22"/>
              </w:rPr>
            </w:pPr>
            <w:r w:rsidRPr="00CB1714">
              <w:rPr>
                <w:rFonts w:ascii="Lato" w:hAnsi="Lato"/>
                <w:sz w:val="22"/>
                <w:szCs w:val="22"/>
              </w:rPr>
              <w:t>T</w:t>
            </w:r>
            <w:r w:rsidR="00044B9D" w:rsidRPr="00CB1714">
              <w:rPr>
                <w:rFonts w:ascii="Lato" w:hAnsi="Lato"/>
                <w:sz w:val="22"/>
                <w:szCs w:val="22"/>
              </w:rPr>
              <w:t>he techniques it may employ and all associated risks</w:t>
            </w:r>
          </w:p>
        </w:tc>
        <w:tc>
          <w:tcPr>
            <w:tcW w:w="3188" w:type="dxa"/>
            <w:tcBorders>
              <w:top w:val="single" w:sz="4" w:space="0" w:color="auto"/>
              <w:left w:val="single" w:sz="4" w:space="0" w:color="auto"/>
              <w:bottom w:val="single" w:sz="4" w:space="0" w:color="auto"/>
              <w:right w:val="single" w:sz="4" w:space="0" w:color="auto"/>
            </w:tcBorders>
          </w:tcPr>
          <w:p w14:paraId="71524F52" w14:textId="77777777" w:rsidR="00044B9D" w:rsidRPr="00CB1714" w:rsidRDefault="00044B9D">
            <w:pPr>
              <w:rPr>
                <w:rFonts w:ascii="Lato" w:hAnsi="Lato"/>
                <w:sz w:val="22"/>
                <w:szCs w:val="22"/>
              </w:rPr>
            </w:pPr>
          </w:p>
        </w:tc>
      </w:tr>
      <w:tr w:rsidR="006E2C63" w:rsidRPr="00CB1714" w14:paraId="157BE665" w14:textId="77777777" w:rsidTr="00990D73">
        <w:trPr>
          <w:trHeight w:val="156"/>
        </w:trPr>
        <w:tc>
          <w:tcPr>
            <w:tcW w:w="1316" w:type="dxa"/>
          </w:tcPr>
          <w:p w14:paraId="5F517A4D" w14:textId="77777777" w:rsidR="006E2C63" w:rsidRPr="00CB1714" w:rsidRDefault="006E2C63">
            <w:pPr>
              <w:rPr>
                <w:rFonts w:ascii="Lato" w:hAnsi="Lato"/>
                <w:sz w:val="22"/>
                <w:szCs w:val="22"/>
              </w:rPr>
            </w:pPr>
          </w:p>
        </w:tc>
        <w:tc>
          <w:tcPr>
            <w:tcW w:w="5891" w:type="dxa"/>
          </w:tcPr>
          <w:p w14:paraId="53CDD5E1" w14:textId="77777777" w:rsidR="006E2C63" w:rsidRPr="00CB1714" w:rsidRDefault="006E2C63">
            <w:pPr>
              <w:rPr>
                <w:rFonts w:ascii="Lato" w:hAnsi="Lato"/>
                <w:sz w:val="22"/>
                <w:szCs w:val="22"/>
              </w:rPr>
            </w:pPr>
          </w:p>
        </w:tc>
        <w:tc>
          <w:tcPr>
            <w:tcW w:w="3188" w:type="dxa"/>
            <w:tcBorders>
              <w:bottom w:val="single" w:sz="4" w:space="0" w:color="auto"/>
            </w:tcBorders>
          </w:tcPr>
          <w:p w14:paraId="1A9306E3" w14:textId="77777777" w:rsidR="006E2C63" w:rsidRPr="00CB1714" w:rsidRDefault="006E2C63">
            <w:pPr>
              <w:rPr>
                <w:rFonts w:ascii="Lato" w:hAnsi="Lato"/>
                <w:b/>
                <w:bCs/>
                <w:sz w:val="22"/>
                <w:szCs w:val="22"/>
                <w:u w:val="single"/>
              </w:rPr>
            </w:pPr>
          </w:p>
        </w:tc>
      </w:tr>
      <w:tr w:rsidR="006E2C63" w:rsidRPr="00CB1714" w14:paraId="7A640BAA" w14:textId="77777777" w:rsidTr="00990D73">
        <w:trPr>
          <w:trHeight w:val="156"/>
        </w:trPr>
        <w:tc>
          <w:tcPr>
            <w:tcW w:w="1316" w:type="dxa"/>
          </w:tcPr>
          <w:p w14:paraId="4D425F72" w14:textId="77777777" w:rsidR="006E2C63" w:rsidRPr="00CB1714" w:rsidRDefault="006E2C63" w:rsidP="003F2184">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06547F72" w14:textId="77777777" w:rsidR="006E2C63" w:rsidRPr="00CB1714" w:rsidRDefault="006E2C63" w:rsidP="00CB1714">
            <w:pPr>
              <w:rPr>
                <w:rFonts w:ascii="Lato" w:hAnsi="Lato"/>
                <w:sz w:val="22"/>
                <w:szCs w:val="22"/>
              </w:rPr>
            </w:pPr>
            <w:r w:rsidRPr="00CB1714">
              <w:rPr>
                <w:rFonts w:ascii="Lato" w:hAnsi="Lato"/>
                <w:bCs/>
                <w:sz w:val="22"/>
                <w:szCs w:val="22"/>
              </w:rPr>
              <w:t xml:space="preserve">In the case of securities, give an indication of whether listed </w:t>
            </w:r>
          </w:p>
        </w:tc>
        <w:tc>
          <w:tcPr>
            <w:tcW w:w="3188" w:type="dxa"/>
            <w:tcBorders>
              <w:top w:val="single" w:sz="4" w:space="0" w:color="auto"/>
              <w:left w:val="single" w:sz="4" w:space="0" w:color="auto"/>
              <w:bottom w:val="single" w:sz="4" w:space="0" w:color="auto"/>
              <w:right w:val="single" w:sz="4" w:space="0" w:color="auto"/>
            </w:tcBorders>
          </w:tcPr>
          <w:p w14:paraId="72A9E285" w14:textId="77777777" w:rsidR="006E2C63" w:rsidRPr="00CB1714" w:rsidRDefault="006E2C63">
            <w:pPr>
              <w:rPr>
                <w:rFonts w:ascii="Lato" w:hAnsi="Lato"/>
                <w:b/>
                <w:bCs/>
                <w:sz w:val="22"/>
                <w:szCs w:val="22"/>
                <w:u w:val="single"/>
              </w:rPr>
            </w:pPr>
          </w:p>
        </w:tc>
      </w:tr>
      <w:tr w:rsidR="006E2C63" w:rsidRPr="00CB1714" w14:paraId="1E85B5BE" w14:textId="77777777" w:rsidTr="00521989">
        <w:trPr>
          <w:trHeight w:val="156"/>
        </w:trPr>
        <w:tc>
          <w:tcPr>
            <w:tcW w:w="1316" w:type="dxa"/>
          </w:tcPr>
          <w:p w14:paraId="6B2062A1" w14:textId="77777777" w:rsidR="006E2C63" w:rsidRPr="00CB1714" w:rsidRDefault="006E2C63" w:rsidP="004009A0">
            <w:pPr>
              <w:jc w:val="right"/>
              <w:rPr>
                <w:rFonts w:ascii="Lato" w:hAnsi="Lato"/>
                <w:sz w:val="22"/>
                <w:szCs w:val="22"/>
              </w:rPr>
            </w:pPr>
          </w:p>
        </w:tc>
        <w:tc>
          <w:tcPr>
            <w:tcW w:w="5891" w:type="dxa"/>
          </w:tcPr>
          <w:p w14:paraId="5474ADA7" w14:textId="77777777" w:rsidR="006E2C63" w:rsidRPr="00CB1714" w:rsidRDefault="00DC6E90">
            <w:pPr>
              <w:rPr>
                <w:rFonts w:ascii="Lato" w:hAnsi="Lato"/>
                <w:bCs/>
                <w:sz w:val="22"/>
                <w:szCs w:val="22"/>
              </w:rPr>
            </w:pPr>
            <w:r w:rsidRPr="00F72ED7">
              <w:rPr>
                <w:rFonts w:ascii="Lato" w:hAnsi="Lato"/>
                <w:bCs/>
                <w:sz w:val="22"/>
                <w:szCs w:val="22"/>
              </w:rPr>
              <w:t xml:space="preserve">or </w:t>
            </w:r>
            <w:r w:rsidR="006E2C63" w:rsidRPr="00CB1714">
              <w:rPr>
                <w:rFonts w:ascii="Lato" w:hAnsi="Lato"/>
                <w:bCs/>
                <w:sz w:val="22"/>
                <w:szCs w:val="22"/>
              </w:rPr>
              <w:t>unlisted and geographical spread</w:t>
            </w:r>
          </w:p>
        </w:tc>
        <w:tc>
          <w:tcPr>
            <w:tcW w:w="3188" w:type="dxa"/>
            <w:tcBorders>
              <w:top w:val="single" w:sz="4" w:space="0" w:color="auto"/>
              <w:bottom w:val="single" w:sz="4" w:space="0" w:color="auto"/>
            </w:tcBorders>
          </w:tcPr>
          <w:p w14:paraId="1B36C08E" w14:textId="77777777" w:rsidR="006E2C63" w:rsidRPr="00CB1714" w:rsidRDefault="006E2C63">
            <w:pPr>
              <w:rPr>
                <w:rFonts w:ascii="Lato" w:hAnsi="Lato"/>
                <w:b/>
                <w:bCs/>
                <w:sz w:val="22"/>
                <w:szCs w:val="22"/>
                <w:u w:val="single"/>
              </w:rPr>
            </w:pPr>
          </w:p>
        </w:tc>
      </w:tr>
      <w:tr w:rsidR="00FD764E" w:rsidRPr="00CB1714" w14:paraId="6D29BB8F" w14:textId="77777777" w:rsidTr="00521989">
        <w:trPr>
          <w:trHeight w:val="156"/>
        </w:trPr>
        <w:tc>
          <w:tcPr>
            <w:tcW w:w="1316" w:type="dxa"/>
          </w:tcPr>
          <w:p w14:paraId="0A9A0FAC" w14:textId="77777777" w:rsidR="00FD764E" w:rsidRPr="00CB1714" w:rsidRDefault="00FD764E" w:rsidP="004009A0">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5357DE33" w14:textId="77777777" w:rsidR="00FD764E" w:rsidRPr="00CB1714" w:rsidRDefault="00FD764E" w:rsidP="00521989">
            <w:pPr>
              <w:rPr>
                <w:rFonts w:ascii="Lato" w:hAnsi="Lato"/>
                <w:bCs/>
                <w:sz w:val="22"/>
                <w:szCs w:val="22"/>
              </w:rPr>
            </w:pPr>
            <w:r w:rsidRPr="00CB1714">
              <w:rPr>
                <w:rFonts w:ascii="Lato" w:hAnsi="Lato"/>
                <w:sz w:val="22"/>
                <w:szCs w:val="22"/>
              </w:rPr>
              <w:t xml:space="preserve">In the case of open-ended collective investment schemes </w:t>
            </w:r>
          </w:p>
        </w:tc>
        <w:tc>
          <w:tcPr>
            <w:tcW w:w="3188" w:type="dxa"/>
            <w:tcBorders>
              <w:top w:val="single" w:sz="4" w:space="0" w:color="auto"/>
              <w:left w:val="single" w:sz="4" w:space="0" w:color="auto"/>
              <w:bottom w:val="single" w:sz="4" w:space="0" w:color="auto"/>
              <w:right w:val="single" w:sz="4" w:space="0" w:color="auto"/>
            </w:tcBorders>
          </w:tcPr>
          <w:p w14:paraId="6CF42484" w14:textId="77777777" w:rsidR="00FD764E" w:rsidRPr="00CB1714" w:rsidRDefault="00FD764E">
            <w:pPr>
              <w:rPr>
                <w:rFonts w:ascii="Lato" w:hAnsi="Lato"/>
                <w:b/>
                <w:bCs/>
                <w:sz w:val="22"/>
                <w:szCs w:val="22"/>
                <w:u w:val="single"/>
              </w:rPr>
            </w:pPr>
          </w:p>
        </w:tc>
      </w:tr>
      <w:tr w:rsidR="00FD764E" w:rsidRPr="00CB1714" w14:paraId="1B10779B" w14:textId="77777777" w:rsidTr="00521989">
        <w:trPr>
          <w:trHeight w:val="156"/>
        </w:trPr>
        <w:tc>
          <w:tcPr>
            <w:tcW w:w="1316" w:type="dxa"/>
          </w:tcPr>
          <w:p w14:paraId="750D5475" w14:textId="77777777" w:rsidR="00FD764E" w:rsidRPr="00CB1714" w:rsidRDefault="00FD764E" w:rsidP="004009A0">
            <w:pPr>
              <w:jc w:val="right"/>
              <w:rPr>
                <w:rFonts w:ascii="Lato" w:hAnsi="Lato"/>
                <w:sz w:val="22"/>
                <w:szCs w:val="22"/>
              </w:rPr>
            </w:pPr>
          </w:p>
        </w:tc>
        <w:tc>
          <w:tcPr>
            <w:tcW w:w="5891" w:type="dxa"/>
          </w:tcPr>
          <w:p w14:paraId="1B6E01EB" w14:textId="77777777" w:rsidR="00FD764E" w:rsidRPr="00CB1714" w:rsidRDefault="00521989" w:rsidP="00CB1714">
            <w:pPr>
              <w:rPr>
                <w:rFonts w:ascii="Lato" w:hAnsi="Lato"/>
                <w:bCs/>
                <w:sz w:val="22"/>
                <w:szCs w:val="22"/>
              </w:rPr>
            </w:pPr>
            <w:r w:rsidRPr="00CB1714">
              <w:rPr>
                <w:rFonts w:ascii="Lato" w:hAnsi="Lato"/>
                <w:sz w:val="22"/>
                <w:szCs w:val="22"/>
              </w:rPr>
              <w:t xml:space="preserve">("CIS") </w:t>
            </w:r>
            <w:r w:rsidR="00FD764E" w:rsidRPr="00CB1714">
              <w:rPr>
                <w:rFonts w:ascii="Lato" w:hAnsi="Lato"/>
                <w:sz w:val="22"/>
                <w:szCs w:val="22"/>
              </w:rPr>
              <w:t xml:space="preserve">set out the principal underlying exposures and </w:t>
            </w:r>
          </w:p>
        </w:tc>
        <w:tc>
          <w:tcPr>
            <w:tcW w:w="3188" w:type="dxa"/>
            <w:tcBorders>
              <w:top w:val="single" w:sz="4" w:space="0" w:color="auto"/>
            </w:tcBorders>
          </w:tcPr>
          <w:p w14:paraId="664C601F" w14:textId="77777777" w:rsidR="00FD764E" w:rsidRPr="00CB1714" w:rsidRDefault="00FD764E">
            <w:pPr>
              <w:rPr>
                <w:rFonts w:ascii="Lato" w:hAnsi="Lato"/>
                <w:b/>
                <w:bCs/>
                <w:sz w:val="22"/>
                <w:szCs w:val="22"/>
                <w:u w:val="single"/>
              </w:rPr>
            </w:pPr>
          </w:p>
        </w:tc>
      </w:tr>
      <w:tr w:rsidR="00FD764E" w:rsidRPr="00CB1714" w14:paraId="26A882AA" w14:textId="77777777" w:rsidTr="00521989">
        <w:trPr>
          <w:trHeight w:val="156"/>
        </w:trPr>
        <w:tc>
          <w:tcPr>
            <w:tcW w:w="1316" w:type="dxa"/>
          </w:tcPr>
          <w:p w14:paraId="61C92FD3" w14:textId="77777777" w:rsidR="00FD764E" w:rsidRPr="00CB1714" w:rsidRDefault="00FD764E" w:rsidP="004009A0">
            <w:pPr>
              <w:jc w:val="right"/>
              <w:rPr>
                <w:rFonts w:ascii="Lato" w:hAnsi="Lato"/>
                <w:sz w:val="22"/>
                <w:szCs w:val="22"/>
              </w:rPr>
            </w:pPr>
          </w:p>
        </w:tc>
        <w:tc>
          <w:tcPr>
            <w:tcW w:w="5891" w:type="dxa"/>
          </w:tcPr>
          <w:p w14:paraId="7E3CAC88" w14:textId="77777777" w:rsidR="00FD764E" w:rsidRPr="00CB1714" w:rsidRDefault="00DC6E90">
            <w:pPr>
              <w:rPr>
                <w:rFonts w:ascii="Lato" w:hAnsi="Lato"/>
                <w:bCs/>
                <w:sz w:val="22"/>
                <w:szCs w:val="22"/>
              </w:rPr>
            </w:pPr>
            <w:r w:rsidRPr="00F72ED7">
              <w:rPr>
                <w:rFonts w:ascii="Lato" w:hAnsi="Lato"/>
                <w:sz w:val="22"/>
                <w:szCs w:val="22"/>
              </w:rPr>
              <w:t>whether</w:t>
            </w:r>
            <w:r w:rsidRPr="00CB1714">
              <w:rPr>
                <w:rFonts w:ascii="Lato" w:hAnsi="Lato"/>
                <w:sz w:val="22"/>
                <w:szCs w:val="22"/>
              </w:rPr>
              <w:t xml:space="preserve"> </w:t>
            </w:r>
            <w:r w:rsidR="00521989" w:rsidRPr="00CB1714">
              <w:rPr>
                <w:rFonts w:ascii="Lato" w:hAnsi="Lato"/>
                <w:sz w:val="22"/>
                <w:szCs w:val="22"/>
              </w:rPr>
              <w:t xml:space="preserve">regulated </w:t>
            </w:r>
            <w:r w:rsidR="00FD764E" w:rsidRPr="00CB1714">
              <w:rPr>
                <w:rFonts w:ascii="Lato" w:hAnsi="Lato"/>
                <w:sz w:val="22"/>
                <w:szCs w:val="22"/>
              </w:rPr>
              <w:t>or unregulated</w:t>
            </w:r>
          </w:p>
        </w:tc>
        <w:tc>
          <w:tcPr>
            <w:tcW w:w="3188" w:type="dxa"/>
          </w:tcPr>
          <w:p w14:paraId="78B3D969" w14:textId="77777777" w:rsidR="00FD764E" w:rsidRPr="00CB1714" w:rsidRDefault="00FD764E">
            <w:pPr>
              <w:rPr>
                <w:rFonts w:ascii="Lato" w:hAnsi="Lato"/>
                <w:b/>
                <w:bCs/>
                <w:sz w:val="22"/>
                <w:szCs w:val="22"/>
                <w:u w:val="single"/>
              </w:rPr>
            </w:pPr>
          </w:p>
        </w:tc>
      </w:tr>
      <w:tr w:rsidR="003956E9" w:rsidRPr="00CB1714" w14:paraId="2235333D" w14:textId="77777777" w:rsidTr="00521989">
        <w:trPr>
          <w:trHeight w:val="156"/>
        </w:trPr>
        <w:tc>
          <w:tcPr>
            <w:tcW w:w="1316" w:type="dxa"/>
          </w:tcPr>
          <w:p w14:paraId="29A96E6E" w14:textId="77777777" w:rsidR="003956E9" w:rsidRPr="00CB1714" w:rsidRDefault="003956E9" w:rsidP="004009A0">
            <w:pPr>
              <w:jc w:val="right"/>
              <w:rPr>
                <w:rFonts w:ascii="Lato" w:hAnsi="Lato"/>
                <w:sz w:val="22"/>
                <w:szCs w:val="22"/>
              </w:rPr>
            </w:pPr>
          </w:p>
        </w:tc>
        <w:tc>
          <w:tcPr>
            <w:tcW w:w="5891" w:type="dxa"/>
          </w:tcPr>
          <w:p w14:paraId="63FE2E0D" w14:textId="77777777" w:rsidR="003956E9" w:rsidRPr="00CB1714" w:rsidRDefault="003956E9">
            <w:pPr>
              <w:rPr>
                <w:rFonts w:ascii="Lato" w:hAnsi="Lato"/>
                <w:sz w:val="22"/>
                <w:szCs w:val="22"/>
              </w:rPr>
            </w:pPr>
          </w:p>
        </w:tc>
        <w:tc>
          <w:tcPr>
            <w:tcW w:w="3188" w:type="dxa"/>
            <w:tcBorders>
              <w:bottom w:val="single" w:sz="4" w:space="0" w:color="auto"/>
            </w:tcBorders>
          </w:tcPr>
          <w:p w14:paraId="29399C7D" w14:textId="77777777" w:rsidR="003956E9" w:rsidRPr="00CB1714" w:rsidRDefault="003956E9">
            <w:pPr>
              <w:rPr>
                <w:rFonts w:ascii="Lato" w:hAnsi="Lato"/>
                <w:b/>
                <w:bCs/>
                <w:sz w:val="22"/>
                <w:szCs w:val="22"/>
                <w:u w:val="single"/>
              </w:rPr>
            </w:pPr>
          </w:p>
        </w:tc>
      </w:tr>
      <w:tr w:rsidR="003956E9" w:rsidRPr="00CB1714" w14:paraId="6B97C1AF" w14:textId="77777777" w:rsidTr="00521989">
        <w:trPr>
          <w:trHeight w:val="156"/>
        </w:trPr>
        <w:tc>
          <w:tcPr>
            <w:tcW w:w="1316" w:type="dxa"/>
          </w:tcPr>
          <w:p w14:paraId="6DFB7E1A" w14:textId="77777777" w:rsidR="003956E9" w:rsidRPr="00CB1714" w:rsidRDefault="003956E9" w:rsidP="004009A0">
            <w:pPr>
              <w:jc w:val="right"/>
              <w:rPr>
                <w:rFonts w:ascii="Lato" w:hAnsi="Lato"/>
                <w:sz w:val="22"/>
                <w:szCs w:val="22"/>
              </w:rPr>
            </w:pPr>
            <w:r w:rsidRPr="00CB1714">
              <w:rPr>
                <w:rFonts w:ascii="Lato" w:hAnsi="Lato"/>
                <w:sz w:val="22"/>
                <w:szCs w:val="22"/>
              </w:rPr>
              <w:t>2.2.1 (</w:t>
            </w:r>
            <w:r w:rsidR="00430598" w:rsidRPr="00CB1714">
              <w:rPr>
                <w:rFonts w:ascii="Lato" w:hAnsi="Lato"/>
                <w:sz w:val="22"/>
                <w:szCs w:val="22"/>
              </w:rPr>
              <w:t>d</w:t>
            </w:r>
            <w:r w:rsidRPr="00CB1714">
              <w:rPr>
                <w:rFonts w:ascii="Lato" w:hAnsi="Lato"/>
                <w:sz w:val="22"/>
                <w:szCs w:val="22"/>
              </w:rPr>
              <w:t>)</w:t>
            </w:r>
          </w:p>
        </w:tc>
        <w:tc>
          <w:tcPr>
            <w:tcW w:w="5891" w:type="dxa"/>
            <w:tcBorders>
              <w:right w:val="single" w:sz="4" w:space="0" w:color="auto"/>
            </w:tcBorders>
          </w:tcPr>
          <w:p w14:paraId="6421AE91" w14:textId="77777777" w:rsidR="003956E9" w:rsidRPr="00CB1714" w:rsidRDefault="003956E9" w:rsidP="00CB1714">
            <w:pPr>
              <w:rPr>
                <w:rFonts w:ascii="Lato" w:hAnsi="Lato"/>
                <w:sz w:val="22"/>
                <w:szCs w:val="22"/>
              </w:rPr>
            </w:pPr>
            <w:r w:rsidRPr="00CB1714">
              <w:rPr>
                <w:rFonts w:ascii="Lato" w:hAnsi="Lato"/>
                <w:sz w:val="22"/>
                <w:szCs w:val="22"/>
              </w:rPr>
              <w:t xml:space="preserve">Include details of derogations that have been granted by </w:t>
            </w:r>
          </w:p>
        </w:tc>
        <w:tc>
          <w:tcPr>
            <w:tcW w:w="3188" w:type="dxa"/>
            <w:tcBorders>
              <w:top w:val="single" w:sz="4" w:space="0" w:color="auto"/>
              <w:left w:val="single" w:sz="4" w:space="0" w:color="auto"/>
              <w:bottom w:val="single" w:sz="4" w:space="0" w:color="auto"/>
              <w:right w:val="single" w:sz="4" w:space="0" w:color="auto"/>
            </w:tcBorders>
          </w:tcPr>
          <w:p w14:paraId="7B32EC14" w14:textId="77777777" w:rsidR="003956E9" w:rsidRPr="00CB1714" w:rsidRDefault="003956E9">
            <w:pPr>
              <w:rPr>
                <w:rFonts w:ascii="Lato" w:hAnsi="Lato"/>
                <w:b/>
                <w:bCs/>
                <w:sz w:val="22"/>
                <w:szCs w:val="22"/>
                <w:u w:val="single"/>
              </w:rPr>
            </w:pPr>
          </w:p>
        </w:tc>
      </w:tr>
      <w:tr w:rsidR="00FD764E" w:rsidRPr="00CB1714" w14:paraId="09A68198" w14:textId="77777777" w:rsidTr="00521989">
        <w:trPr>
          <w:trHeight w:val="156"/>
        </w:trPr>
        <w:tc>
          <w:tcPr>
            <w:tcW w:w="1316" w:type="dxa"/>
          </w:tcPr>
          <w:p w14:paraId="37EE51AF" w14:textId="77777777" w:rsidR="00FD764E" w:rsidRPr="00CB1714" w:rsidRDefault="00FD764E" w:rsidP="004009A0">
            <w:pPr>
              <w:jc w:val="right"/>
              <w:rPr>
                <w:rFonts w:ascii="Lato" w:hAnsi="Lato"/>
                <w:sz w:val="22"/>
                <w:szCs w:val="22"/>
              </w:rPr>
            </w:pPr>
          </w:p>
        </w:tc>
        <w:tc>
          <w:tcPr>
            <w:tcW w:w="5891" w:type="dxa"/>
          </w:tcPr>
          <w:p w14:paraId="4CC06AD5" w14:textId="77777777" w:rsidR="00FD764E" w:rsidRPr="00CB1714" w:rsidRDefault="00DC6E90" w:rsidP="003956E9">
            <w:pPr>
              <w:rPr>
                <w:rFonts w:ascii="Lato" w:hAnsi="Lato"/>
                <w:bCs/>
                <w:sz w:val="22"/>
                <w:szCs w:val="22"/>
              </w:rPr>
            </w:pPr>
            <w:r w:rsidRPr="00F72ED7">
              <w:rPr>
                <w:rFonts w:ascii="Lato" w:hAnsi="Lato"/>
                <w:sz w:val="22"/>
                <w:szCs w:val="22"/>
              </w:rPr>
              <w:t xml:space="preserve">the </w:t>
            </w:r>
            <w:r w:rsidR="003956E9" w:rsidRPr="00CB1714">
              <w:rPr>
                <w:rFonts w:ascii="Lato" w:hAnsi="Lato"/>
                <w:bCs/>
                <w:sz w:val="22"/>
                <w:szCs w:val="22"/>
              </w:rPr>
              <w:t xml:space="preserve">Central Bank </w:t>
            </w:r>
          </w:p>
        </w:tc>
        <w:tc>
          <w:tcPr>
            <w:tcW w:w="3188" w:type="dxa"/>
            <w:tcBorders>
              <w:top w:val="single" w:sz="4" w:space="0" w:color="auto"/>
            </w:tcBorders>
          </w:tcPr>
          <w:p w14:paraId="0CCF596E" w14:textId="77777777" w:rsidR="00FD764E" w:rsidRPr="00CB1714" w:rsidRDefault="00FD764E">
            <w:pPr>
              <w:rPr>
                <w:rFonts w:ascii="Lato" w:hAnsi="Lato"/>
                <w:b/>
                <w:bCs/>
                <w:sz w:val="22"/>
                <w:szCs w:val="22"/>
                <w:u w:val="single"/>
              </w:rPr>
            </w:pPr>
          </w:p>
        </w:tc>
      </w:tr>
      <w:tr w:rsidR="003956E9" w:rsidRPr="00CB1714" w14:paraId="4AAF8643" w14:textId="77777777" w:rsidTr="00990D73">
        <w:trPr>
          <w:trHeight w:val="156"/>
        </w:trPr>
        <w:tc>
          <w:tcPr>
            <w:tcW w:w="1316" w:type="dxa"/>
          </w:tcPr>
          <w:p w14:paraId="53C65346" w14:textId="77777777" w:rsidR="003956E9" w:rsidRPr="00CB1714" w:rsidRDefault="003956E9" w:rsidP="004009A0">
            <w:pPr>
              <w:jc w:val="right"/>
              <w:rPr>
                <w:rFonts w:ascii="Lato" w:hAnsi="Lato"/>
                <w:sz w:val="22"/>
                <w:szCs w:val="22"/>
              </w:rPr>
            </w:pPr>
          </w:p>
        </w:tc>
        <w:tc>
          <w:tcPr>
            <w:tcW w:w="5891" w:type="dxa"/>
          </w:tcPr>
          <w:p w14:paraId="7A7580F6" w14:textId="77777777" w:rsidR="003956E9" w:rsidRPr="00CB1714" w:rsidRDefault="003956E9">
            <w:pPr>
              <w:rPr>
                <w:rFonts w:ascii="Lato" w:hAnsi="Lato"/>
                <w:bCs/>
                <w:sz w:val="22"/>
                <w:szCs w:val="22"/>
              </w:rPr>
            </w:pPr>
          </w:p>
        </w:tc>
        <w:tc>
          <w:tcPr>
            <w:tcW w:w="3188" w:type="dxa"/>
          </w:tcPr>
          <w:p w14:paraId="08E16A16" w14:textId="77777777" w:rsidR="003956E9" w:rsidRPr="00CB1714" w:rsidRDefault="003956E9">
            <w:pPr>
              <w:rPr>
                <w:rFonts w:ascii="Lato" w:hAnsi="Lato"/>
                <w:b/>
                <w:bCs/>
                <w:sz w:val="22"/>
                <w:szCs w:val="22"/>
                <w:u w:val="single"/>
              </w:rPr>
            </w:pPr>
          </w:p>
        </w:tc>
      </w:tr>
      <w:tr w:rsidR="007E3170" w:rsidRPr="00CB1714" w14:paraId="09EA2149" w14:textId="77777777" w:rsidTr="007E3170">
        <w:trPr>
          <w:trHeight w:val="156"/>
        </w:trPr>
        <w:tc>
          <w:tcPr>
            <w:tcW w:w="1316" w:type="dxa"/>
          </w:tcPr>
          <w:p w14:paraId="4ABEA1FD" w14:textId="77777777" w:rsidR="00EC7CDC" w:rsidRPr="00CB1714" w:rsidRDefault="00EC7CDC" w:rsidP="004009A0">
            <w:pPr>
              <w:jc w:val="right"/>
              <w:rPr>
                <w:rFonts w:ascii="Lato" w:hAnsi="Lato"/>
                <w:sz w:val="22"/>
                <w:szCs w:val="22"/>
              </w:rPr>
            </w:pPr>
            <w:r w:rsidRPr="00CB1714">
              <w:rPr>
                <w:rFonts w:ascii="Lato" w:hAnsi="Lato"/>
                <w:sz w:val="22"/>
                <w:szCs w:val="22"/>
              </w:rPr>
              <w:t xml:space="preserve">2.2.2           </w:t>
            </w:r>
          </w:p>
        </w:tc>
        <w:tc>
          <w:tcPr>
            <w:tcW w:w="5891" w:type="dxa"/>
          </w:tcPr>
          <w:p w14:paraId="0E594519" w14:textId="77777777" w:rsidR="00EC7CDC" w:rsidRPr="00CB1714" w:rsidRDefault="00EC7CDC">
            <w:pPr>
              <w:rPr>
                <w:rFonts w:ascii="Lato" w:hAnsi="Lato"/>
                <w:b/>
                <w:bCs/>
                <w:sz w:val="22"/>
                <w:szCs w:val="22"/>
              </w:rPr>
            </w:pPr>
            <w:r w:rsidRPr="00CB1714">
              <w:rPr>
                <w:rFonts w:ascii="Lato" w:hAnsi="Lato"/>
                <w:b/>
                <w:bCs/>
                <w:sz w:val="22"/>
                <w:szCs w:val="22"/>
              </w:rPr>
              <w:t>Investment restrictions</w:t>
            </w:r>
          </w:p>
        </w:tc>
        <w:tc>
          <w:tcPr>
            <w:tcW w:w="3188" w:type="dxa"/>
            <w:tcBorders>
              <w:bottom w:val="single" w:sz="4" w:space="0" w:color="auto"/>
            </w:tcBorders>
          </w:tcPr>
          <w:p w14:paraId="11BC8FED" w14:textId="77777777" w:rsidR="00EC7CDC" w:rsidRPr="00CB1714" w:rsidRDefault="00EC7CDC">
            <w:pPr>
              <w:rPr>
                <w:rFonts w:ascii="Lato" w:hAnsi="Lato"/>
                <w:b/>
                <w:bCs/>
                <w:sz w:val="22"/>
                <w:szCs w:val="22"/>
                <w:u w:val="single"/>
              </w:rPr>
            </w:pPr>
          </w:p>
        </w:tc>
      </w:tr>
      <w:tr w:rsidR="007E3170" w:rsidRPr="00CB1714" w14:paraId="1D9CC3D4" w14:textId="77777777" w:rsidTr="007E3170">
        <w:trPr>
          <w:trHeight w:val="156"/>
        </w:trPr>
        <w:tc>
          <w:tcPr>
            <w:tcW w:w="1316" w:type="dxa"/>
          </w:tcPr>
          <w:p w14:paraId="760BAB1C" w14:textId="77777777" w:rsidR="009B74AB" w:rsidRPr="00CB1714" w:rsidRDefault="009B74AB" w:rsidP="004009A0">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38B036DA" w14:textId="77777777" w:rsidR="009B74AB" w:rsidRPr="00CB1714" w:rsidRDefault="00730689" w:rsidP="00730689">
            <w:pPr>
              <w:rPr>
                <w:rFonts w:ascii="Lato" w:hAnsi="Lato"/>
                <w:bCs/>
                <w:sz w:val="22"/>
                <w:szCs w:val="22"/>
              </w:rPr>
            </w:pPr>
            <w:r w:rsidRPr="00CB1714">
              <w:rPr>
                <w:rFonts w:ascii="Lato" w:hAnsi="Lato"/>
                <w:bCs/>
                <w:sz w:val="22"/>
                <w:szCs w:val="22"/>
              </w:rPr>
              <w:t>Disclose applicable investment</w:t>
            </w:r>
            <w:r w:rsidR="009B74AB" w:rsidRPr="00CB1714">
              <w:rPr>
                <w:rFonts w:ascii="Lato" w:hAnsi="Lato"/>
                <w:bCs/>
                <w:sz w:val="22"/>
                <w:szCs w:val="22"/>
              </w:rPr>
              <w:t xml:space="preserve"> restrictions</w:t>
            </w:r>
          </w:p>
        </w:tc>
        <w:tc>
          <w:tcPr>
            <w:tcW w:w="3188" w:type="dxa"/>
            <w:tcBorders>
              <w:top w:val="single" w:sz="4" w:space="0" w:color="auto"/>
              <w:left w:val="single" w:sz="4" w:space="0" w:color="auto"/>
              <w:bottom w:val="single" w:sz="4" w:space="0" w:color="auto"/>
              <w:right w:val="single" w:sz="4" w:space="0" w:color="auto"/>
            </w:tcBorders>
          </w:tcPr>
          <w:p w14:paraId="5B350F67" w14:textId="77777777" w:rsidR="009B74AB" w:rsidRPr="00CB1714" w:rsidRDefault="009B74AB">
            <w:pPr>
              <w:rPr>
                <w:rFonts w:ascii="Lato" w:hAnsi="Lato"/>
                <w:b/>
                <w:bCs/>
                <w:sz w:val="22"/>
                <w:szCs w:val="22"/>
                <w:u w:val="single"/>
              </w:rPr>
            </w:pPr>
          </w:p>
        </w:tc>
      </w:tr>
      <w:tr w:rsidR="009B74AB" w:rsidRPr="00CB1714" w14:paraId="53BD86D9" w14:textId="77777777" w:rsidTr="00990D73">
        <w:trPr>
          <w:trHeight w:val="156"/>
        </w:trPr>
        <w:tc>
          <w:tcPr>
            <w:tcW w:w="1316" w:type="dxa"/>
          </w:tcPr>
          <w:p w14:paraId="22115497" w14:textId="77777777" w:rsidR="009B74AB" w:rsidRPr="00CB1714" w:rsidRDefault="009B74AB" w:rsidP="004009A0">
            <w:pPr>
              <w:jc w:val="right"/>
              <w:rPr>
                <w:rFonts w:ascii="Lato" w:hAnsi="Lato"/>
                <w:sz w:val="22"/>
                <w:szCs w:val="22"/>
              </w:rPr>
            </w:pPr>
          </w:p>
        </w:tc>
        <w:tc>
          <w:tcPr>
            <w:tcW w:w="5891" w:type="dxa"/>
          </w:tcPr>
          <w:p w14:paraId="0DE6DDA8" w14:textId="77777777" w:rsidR="009B74AB" w:rsidRPr="00CB1714" w:rsidRDefault="009B74AB">
            <w:pPr>
              <w:rPr>
                <w:rFonts w:ascii="Lato" w:hAnsi="Lato"/>
                <w:b/>
                <w:bCs/>
                <w:sz w:val="22"/>
                <w:szCs w:val="22"/>
              </w:rPr>
            </w:pPr>
          </w:p>
        </w:tc>
        <w:tc>
          <w:tcPr>
            <w:tcW w:w="3188" w:type="dxa"/>
            <w:tcBorders>
              <w:bottom w:val="single" w:sz="4" w:space="0" w:color="auto"/>
            </w:tcBorders>
          </w:tcPr>
          <w:p w14:paraId="6CD21D5E" w14:textId="77777777" w:rsidR="009B74AB" w:rsidRPr="00CB1714" w:rsidRDefault="009B74AB">
            <w:pPr>
              <w:rPr>
                <w:rFonts w:ascii="Lato" w:hAnsi="Lato"/>
                <w:b/>
                <w:bCs/>
                <w:sz w:val="22"/>
                <w:szCs w:val="22"/>
                <w:u w:val="single"/>
              </w:rPr>
            </w:pPr>
          </w:p>
        </w:tc>
      </w:tr>
      <w:tr w:rsidR="00EC7CDC" w:rsidRPr="00CB1714" w14:paraId="5A0D8383" w14:textId="77777777" w:rsidTr="00990D73">
        <w:trPr>
          <w:trHeight w:val="156"/>
        </w:trPr>
        <w:tc>
          <w:tcPr>
            <w:tcW w:w="1316" w:type="dxa"/>
          </w:tcPr>
          <w:p w14:paraId="28EB1BA9" w14:textId="77777777" w:rsidR="00EC7CDC" w:rsidRPr="00CB1714" w:rsidRDefault="00A153DD" w:rsidP="004009A0">
            <w:pPr>
              <w:ind w:left="360"/>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5E90DA4A" w14:textId="77777777" w:rsidR="00EC7CDC" w:rsidRPr="00CB1714" w:rsidRDefault="00D2369B" w:rsidP="0042571B">
            <w:pPr>
              <w:rPr>
                <w:rFonts w:ascii="Lato" w:hAnsi="Lato"/>
                <w:bCs/>
                <w:sz w:val="22"/>
                <w:szCs w:val="22"/>
              </w:rPr>
            </w:pPr>
            <w:r w:rsidRPr="00CB1714">
              <w:rPr>
                <w:rFonts w:ascii="Lato" w:hAnsi="Lato"/>
                <w:sz w:val="22"/>
                <w:szCs w:val="22"/>
              </w:rPr>
              <w:t xml:space="preserve">The Qualifying Investor AIF shall not, nor shall it appoint a </w:t>
            </w:r>
          </w:p>
        </w:tc>
        <w:tc>
          <w:tcPr>
            <w:tcW w:w="3188" w:type="dxa"/>
            <w:tcBorders>
              <w:top w:val="single" w:sz="4" w:space="0" w:color="auto"/>
              <w:left w:val="single" w:sz="4" w:space="0" w:color="auto"/>
              <w:bottom w:val="single" w:sz="4" w:space="0" w:color="auto"/>
              <w:right w:val="single" w:sz="4" w:space="0" w:color="auto"/>
            </w:tcBorders>
          </w:tcPr>
          <w:p w14:paraId="7613360D" w14:textId="77777777" w:rsidR="00EC7CDC" w:rsidRPr="00CB1714" w:rsidRDefault="00EC7CDC">
            <w:pPr>
              <w:rPr>
                <w:rFonts w:ascii="Lato" w:hAnsi="Lato"/>
                <w:b/>
                <w:bCs/>
                <w:sz w:val="22"/>
                <w:szCs w:val="22"/>
                <w:u w:val="single"/>
              </w:rPr>
            </w:pPr>
          </w:p>
        </w:tc>
      </w:tr>
      <w:tr w:rsidR="00EC7CDC" w:rsidRPr="00CB1714" w14:paraId="44606423" w14:textId="77777777" w:rsidTr="00990D73">
        <w:trPr>
          <w:trHeight w:val="156"/>
        </w:trPr>
        <w:tc>
          <w:tcPr>
            <w:tcW w:w="1316" w:type="dxa"/>
          </w:tcPr>
          <w:p w14:paraId="537B1CEB" w14:textId="77777777" w:rsidR="00EC7CDC" w:rsidRPr="00CB1714" w:rsidRDefault="00EC7CDC" w:rsidP="004009A0">
            <w:pPr>
              <w:jc w:val="right"/>
              <w:rPr>
                <w:rFonts w:ascii="Lato" w:hAnsi="Lato"/>
                <w:sz w:val="22"/>
                <w:szCs w:val="22"/>
              </w:rPr>
            </w:pPr>
          </w:p>
        </w:tc>
        <w:tc>
          <w:tcPr>
            <w:tcW w:w="5891" w:type="dxa"/>
          </w:tcPr>
          <w:p w14:paraId="35114587" w14:textId="77777777" w:rsidR="00EC7CDC" w:rsidRPr="00CB1714" w:rsidRDefault="0042571B" w:rsidP="00CB1714">
            <w:pPr>
              <w:rPr>
                <w:rFonts w:ascii="Lato" w:hAnsi="Lato"/>
                <w:bCs/>
                <w:sz w:val="22"/>
                <w:szCs w:val="22"/>
              </w:rPr>
            </w:pPr>
            <w:r w:rsidRPr="00CB1714">
              <w:rPr>
                <w:rFonts w:ascii="Lato" w:hAnsi="Lato"/>
                <w:sz w:val="22"/>
                <w:szCs w:val="22"/>
              </w:rPr>
              <w:t xml:space="preserve">management company or general partner or AIFM, which </w:t>
            </w:r>
            <w:r w:rsidR="00D2369B" w:rsidRPr="00CB1714">
              <w:rPr>
                <w:rFonts w:ascii="Lato" w:hAnsi="Lato"/>
                <w:sz w:val="22"/>
                <w:szCs w:val="22"/>
              </w:rPr>
              <w:t>would</w:t>
            </w:r>
            <w:r w:rsidR="00EC7CDC" w:rsidRPr="00CB1714">
              <w:rPr>
                <w:rFonts w:ascii="Lato" w:hAnsi="Lato"/>
                <w:sz w:val="22"/>
                <w:szCs w:val="22"/>
              </w:rPr>
              <w:t xml:space="preserve"> acquire any shares carrying voting rights</w:t>
            </w:r>
            <w:r w:rsidRPr="00CB1714">
              <w:rPr>
                <w:rFonts w:ascii="Lato" w:hAnsi="Lato"/>
                <w:sz w:val="22"/>
                <w:szCs w:val="22"/>
              </w:rPr>
              <w:t xml:space="preserve"> which </w:t>
            </w:r>
          </w:p>
        </w:tc>
        <w:tc>
          <w:tcPr>
            <w:tcW w:w="3188" w:type="dxa"/>
          </w:tcPr>
          <w:p w14:paraId="72A523EE" w14:textId="77777777" w:rsidR="00EC7CDC" w:rsidRPr="00CB1714" w:rsidRDefault="00EC7CDC">
            <w:pPr>
              <w:rPr>
                <w:rFonts w:ascii="Lato" w:hAnsi="Lato"/>
                <w:b/>
                <w:bCs/>
                <w:sz w:val="22"/>
                <w:szCs w:val="22"/>
                <w:u w:val="single"/>
              </w:rPr>
            </w:pPr>
          </w:p>
        </w:tc>
      </w:tr>
      <w:tr w:rsidR="00EC7CDC" w:rsidRPr="00CB1714" w14:paraId="0F4B33AB" w14:textId="77777777" w:rsidTr="00990D73">
        <w:trPr>
          <w:trHeight w:val="156"/>
        </w:trPr>
        <w:tc>
          <w:tcPr>
            <w:tcW w:w="1316" w:type="dxa"/>
          </w:tcPr>
          <w:p w14:paraId="40EE642A" w14:textId="77777777" w:rsidR="00EC7CDC" w:rsidRPr="00CB1714" w:rsidRDefault="00EC7CDC" w:rsidP="004009A0">
            <w:pPr>
              <w:jc w:val="right"/>
              <w:rPr>
                <w:rFonts w:ascii="Lato" w:hAnsi="Lato"/>
                <w:sz w:val="22"/>
                <w:szCs w:val="22"/>
              </w:rPr>
            </w:pPr>
          </w:p>
        </w:tc>
        <w:tc>
          <w:tcPr>
            <w:tcW w:w="5891" w:type="dxa"/>
          </w:tcPr>
          <w:p w14:paraId="148563BF" w14:textId="77777777" w:rsidR="00EC7CDC" w:rsidRPr="00CB1714" w:rsidRDefault="00DC6E90" w:rsidP="0042571B">
            <w:pPr>
              <w:rPr>
                <w:rFonts w:ascii="Lato" w:hAnsi="Lato"/>
                <w:bCs/>
                <w:sz w:val="22"/>
                <w:szCs w:val="22"/>
              </w:rPr>
            </w:pPr>
            <w:r w:rsidRPr="00F72ED7">
              <w:rPr>
                <w:rFonts w:ascii="Lato" w:hAnsi="Lato"/>
                <w:sz w:val="22"/>
                <w:szCs w:val="22"/>
              </w:rPr>
              <w:t>would</w:t>
            </w:r>
            <w:r w:rsidRPr="00CB1714">
              <w:rPr>
                <w:rFonts w:ascii="Lato" w:hAnsi="Lato"/>
                <w:sz w:val="22"/>
                <w:szCs w:val="22"/>
              </w:rPr>
              <w:t xml:space="preserve"> </w:t>
            </w:r>
            <w:r w:rsidR="00EC7CDC" w:rsidRPr="00CB1714">
              <w:rPr>
                <w:rFonts w:ascii="Lato" w:hAnsi="Lato"/>
                <w:sz w:val="22"/>
                <w:szCs w:val="22"/>
              </w:rPr>
              <w:t>enable it to exercise significant influence over the</w:t>
            </w:r>
            <w:r w:rsidR="0042571B" w:rsidRPr="00CB1714">
              <w:rPr>
                <w:rFonts w:ascii="Lato" w:hAnsi="Lato"/>
                <w:sz w:val="22"/>
                <w:szCs w:val="22"/>
              </w:rPr>
              <w:t xml:space="preserve"> management of an issuing body</w:t>
            </w:r>
          </w:p>
        </w:tc>
        <w:tc>
          <w:tcPr>
            <w:tcW w:w="3188" w:type="dxa"/>
          </w:tcPr>
          <w:p w14:paraId="5C504A9C" w14:textId="77777777" w:rsidR="00EC7CDC" w:rsidRPr="00CB1714" w:rsidRDefault="00EC7CDC">
            <w:pPr>
              <w:rPr>
                <w:rFonts w:ascii="Lato" w:hAnsi="Lato"/>
                <w:b/>
                <w:bCs/>
                <w:sz w:val="22"/>
                <w:szCs w:val="22"/>
                <w:u w:val="single"/>
              </w:rPr>
            </w:pPr>
          </w:p>
        </w:tc>
      </w:tr>
      <w:tr w:rsidR="00EC7CDC" w:rsidRPr="00CB1714" w14:paraId="6F233FAA" w14:textId="77777777" w:rsidTr="00990D73">
        <w:trPr>
          <w:trHeight w:val="156"/>
        </w:trPr>
        <w:tc>
          <w:tcPr>
            <w:tcW w:w="1316" w:type="dxa"/>
          </w:tcPr>
          <w:p w14:paraId="5309D74D" w14:textId="77777777" w:rsidR="00EC7CDC" w:rsidRPr="00CB1714" w:rsidRDefault="00EC7CDC" w:rsidP="004009A0">
            <w:pPr>
              <w:jc w:val="right"/>
              <w:rPr>
                <w:rFonts w:ascii="Lato" w:hAnsi="Lato"/>
                <w:sz w:val="22"/>
                <w:szCs w:val="22"/>
              </w:rPr>
            </w:pPr>
          </w:p>
        </w:tc>
        <w:tc>
          <w:tcPr>
            <w:tcW w:w="5891" w:type="dxa"/>
          </w:tcPr>
          <w:p w14:paraId="3B9576F2" w14:textId="77777777" w:rsidR="00D010A4" w:rsidRPr="00CB1714" w:rsidRDefault="00D010A4" w:rsidP="0042571B">
            <w:pPr>
              <w:rPr>
                <w:rFonts w:ascii="Lato" w:hAnsi="Lato"/>
                <w:sz w:val="22"/>
                <w:szCs w:val="22"/>
              </w:rPr>
            </w:pPr>
          </w:p>
        </w:tc>
        <w:tc>
          <w:tcPr>
            <w:tcW w:w="3188" w:type="dxa"/>
          </w:tcPr>
          <w:p w14:paraId="7000F0D0" w14:textId="77777777" w:rsidR="00EC7CDC" w:rsidRPr="00CB1714" w:rsidRDefault="00EC7CDC">
            <w:pPr>
              <w:rPr>
                <w:rFonts w:ascii="Lato" w:hAnsi="Lato"/>
                <w:b/>
                <w:bCs/>
                <w:sz w:val="22"/>
                <w:szCs w:val="22"/>
                <w:u w:val="single"/>
              </w:rPr>
            </w:pPr>
          </w:p>
        </w:tc>
      </w:tr>
      <w:tr w:rsidR="00EC7CDC" w:rsidRPr="00CB1714" w14:paraId="09490462" w14:textId="77777777" w:rsidTr="00990D73">
        <w:trPr>
          <w:trHeight w:val="156"/>
        </w:trPr>
        <w:tc>
          <w:tcPr>
            <w:tcW w:w="1316" w:type="dxa"/>
          </w:tcPr>
          <w:p w14:paraId="364E5060" w14:textId="77777777" w:rsidR="00EC7CDC" w:rsidRPr="00CB1714" w:rsidRDefault="00A153DD" w:rsidP="004009A0">
            <w:pPr>
              <w:jc w:val="right"/>
              <w:rPr>
                <w:rFonts w:ascii="Lato" w:hAnsi="Lato"/>
                <w:sz w:val="22"/>
                <w:szCs w:val="22"/>
              </w:rPr>
            </w:pPr>
            <w:r w:rsidRPr="00CB1714">
              <w:rPr>
                <w:rFonts w:ascii="Lato" w:hAnsi="Lato"/>
                <w:sz w:val="22"/>
                <w:szCs w:val="22"/>
              </w:rPr>
              <w:t>(c</w:t>
            </w:r>
            <w:r w:rsidR="00EC7CDC" w:rsidRPr="00CB1714">
              <w:rPr>
                <w:rFonts w:ascii="Lato" w:hAnsi="Lato"/>
                <w:sz w:val="22"/>
                <w:szCs w:val="22"/>
              </w:rPr>
              <w:t>)</w:t>
            </w:r>
          </w:p>
        </w:tc>
        <w:tc>
          <w:tcPr>
            <w:tcW w:w="5891" w:type="dxa"/>
            <w:tcBorders>
              <w:right w:val="single" w:sz="4" w:space="0" w:color="auto"/>
            </w:tcBorders>
          </w:tcPr>
          <w:p w14:paraId="756E30D6" w14:textId="77777777" w:rsidR="00EC7CDC" w:rsidRPr="00CB1714" w:rsidRDefault="00EC7CDC" w:rsidP="00CB1714">
            <w:pPr>
              <w:rPr>
                <w:rFonts w:ascii="Lato" w:hAnsi="Lato"/>
                <w:bCs/>
                <w:sz w:val="22"/>
                <w:szCs w:val="22"/>
              </w:rPr>
            </w:pPr>
            <w:r w:rsidRPr="00CB1714">
              <w:rPr>
                <w:rFonts w:ascii="Lato" w:hAnsi="Lato"/>
                <w:sz w:val="22"/>
                <w:szCs w:val="22"/>
              </w:rPr>
              <w:t xml:space="preserve">State that the limits on investments set down in the </w:t>
            </w:r>
          </w:p>
        </w:tc>
        <w:tc>
          <w:tcPr>
            <w:tcW w:w="3188" w:type="dxa"/>
            <w:tcBorders>
              <w:top w:val="single" w:sz="4" w:space="0" w:color="auto"/>
              <w:left w:val="single" w:sz="4" w:space="0" w:color="auto"/>
              <w:bottom w:val="single" w:sz="4" w:space="0" w:color="auto"/>
              <w:right w:val="single" w:sz="4" w:space="0" w:color="auto"/>
            </w:tcBorders>
          </w:tcPr>
          <w:p w14:paraId="1F548A44" w14:textId="77777777" w:rsidR="00EC7CDC" w:rsidRPr="00CB1714" w:rsidRDefault="00EC7CDC">
            <w:pPr>
              <w:rPr>
                <w:rFonts w:ascii="Lato" w:hAnsi="Lato"/>
                <w:b/>
                <w:bCs/>
                <w:sz w:val="22"/>
                <w:szCs w:val="22"/>
                <w:u w:val="single"/>
              </w:rPr>
            </w:pPr>
          </w:p>
        </w:tc>
      </w:tr>
      <w:tr w:rsidR="00EC7CDC" w:rsidRPr="00CB1714" w14:paraId="241AAB66" w14:textId="77777777" w:rsidTr="00990D73">
        <w:trPr>
          <w:trHeight w:val="156"/>
        </w:trPr>
        <w:tc>
          <w:tcPr>
            <w:tcW w:w="1316" w:type="dxa"/>
          </w:tcPr>
          <w:p w14:paraId="5139E77C" w14:textId="77777777" w:rsidR="00EC7CDC" w:rsidRPr="00CB1714" w:rsidRDefault="00EC7CDC" w:rsidP="004009A0">
            <w:pPr>
              <w:jc w:val="right"/>
              <w:rPr>
                <w:rFonts w:ascii="Lato" w:hAnsi="Lato"/>
                <w:sz w:val="22"/>
                <w:szCs w:val="22"/>
              </w:rPr>
            </w:pPr>
          </w:p>
        </w:tc>
        <w:tc>
          <w:tcPr>
            <w:tcW w:w="5891" w:type="dxa"/>
          </w:tcPr>
          <w:p w14:paraId="35726F9E" w14:textId="77777777" w:rsidR="00EC7CDC" w:rsidRPr="00CB1714" w:rsidRDefault="00DC6E90" w:rsidP="00CB1714">
            <w:pPr>
              <w:rPr>
                <w:rFonts w:ascii="Lato" w:hAnsi="Lato"/>
                <w:bCs/>
                <w:sz w:val="22"/>
                <w:szCs w:val="22"/>
              </w:rPr>
            </w:pPr>
            <w:r w:rsidRPr="00F72ED7">
              <w:rPr>
                <w:rFonts w:ascii="Lato" w:hAnsi="Lato"/>
                <w:sz w:val="22"/>
                <w:szCs w:val="22"/>
              </w:rPr>
              <w:t>prospectus</w:t>
            </w:r>
            <w:r w:rsidRPr="00CB1714">
              <w:rPr>
                <w:rFonts w:ascii="Lato" w:hAnsi="Lato"/>
                <w:sz w:val="22"/>
                <w:szCs w:val="22"/>
              </w:rPr>
              <w:t xml:space="preserve"> </w:t>
            </w:r>
            <w:r w:rsidR="00EC7CDC" w:rsidRPr="00CB1714">
              <w:rPr>
                <w:rFonts w:ascii="Lato" w:hAnsi="Lato"/>
                <w:sz w:val="22"/>
                <w:szCs w:val="22"/>
              </w:rPr>
              <w:t xml:space="preserve">apply at time of purchase of investments.  If the </w:t>
            </w:r>
          </w:p>
        </w:tc>
        <w:tc>
          <w:tcPr>
            <w:tcW w:w="3188" w:type="dxa"/>
            <w:tcBorders>
              <w:top w:val="single" w:sz="4" w:space="0" w:color="auto"/>
            </w:tcBorders>
          </w:tcPr>
          <w:p w14:paraId="0230C5A3" w14:textId="77777777" w:rsidR="00EC7CDC" w:rsidRPr="00CB1714" w:rsidRDefault="00EC7CDC">
            <w:pPr>
              <w:rPr>
                <w:rFonts w:ascii="Lato" w:hAnsi="Lato"/>
                <w:b/>
                <w:bCs/>
                <w:sz w:val="22"/>
                <w:szCs w:val="22"/>
                <w:u w:val="single"/>
              </w:rPr>
            </w:pPr>
          </w:p>
        </w:tc>
      </w:tr>
      <w:tr w:rsidR="00EC7CDC" w:rsidRPr="00CB1714" w14:paraId="0FE7E8A5" w14:textId="77777777" w:rsidTr="00990D73">
        <w:trPr>
          <w:trHeight w:val="156"/>
        </w:trPr>
        <w:tc>
          <w:tcPr>
            <w:tcW w:w="1316" w:type="dxa"/>
          </w:tcPr>
          <w:p w14:paraId="2E2E2FD7" w14:textId="77777777" w:rsidR="00EC7CDC" w:rsidRPr="00CB1714" w:rsidRDefault="00EC7CDC" w:rsidP="004009A0">
            <w:pPr>
              <w:jc w:val="right"/>
              <w:rPr>
                <w:rFonts w:ascii="Lato" w:hAnsi="Lato"/>
                <w:sz w:val="22"/>
                <w:szCs w:val="22"/>
              </w:rPr>
            </w:pPr>
          </w:p>
        </w:tc>
        <w:tc>
          <w:tcPr>
            <w:tcW w:w="5891" w:type="dxa"/>
          </w:tcPr>
          <w:p w14:paraId="3CEE1609" w14:textId="77777777" w:rsidR="00EC7CDC" w:rsidRPr="00CB1714" w:rsidRDefault="00DC6E90" w:rsidP="00CB1714">
            <w:pPr>
              <w:rPr>
                <w:rFonts w:ascii="Lato" w:hAnsi="Lato"/>
                <w:bCs/>
                <w:sz w:val="22"/>
                <w:szCs w:val="22"/>
              </w:rPr>
            </w:pPr>
            <w:r w:rsidRPr="00F72ED7">
              <w:rPr>
                <w:rFonts w:ascii="Lato" w:hAnsi="Lato"/>
                <w:sz w:val="22"/>
                <w:szCs w:val="22"/>
              </w:rPr>
              <w:t>set limits are</w:t>
            </w:r>
            <w:r w:rsidRPr="00CB1714">
              <w:rPr>
                <w:rFonts w:ascii="Lato" w:hAnsi="Lato"/>
                <w:sz w:val="22"/>
                <w:szCs w:val="22"/>
              </w:rPr>
              <w:t xml:space="preserve"> </w:t>
            </w:r>
            <w:r w:rsidR="00EC7CDC" w:rsidRPr="00CB1714">
              <w:rPr>
                <w:rFonts w:ascii="Lato" w:hAnsi="Lato"/>
                <w:sz w:val="22"/>
                <w:szCs w:val="22"/>
              </w:rPr>
              <w:t xml:space="preserve">subsequently exceeded for reasons beyond </w:t>
            </w:r>
          </w:p>
        </w:tc>
        <w:tc>
          <w:tcPr>
            <w:tcW w:w="3188" w:type="dxa"/>
          </w:tcPr>
          <w:p w14:paraId="14D02353" w14:textId="77777777" w:rsidR="00EC7CDC" w:rsidRPr="00CB1714" w:rsidRDefault="00EC7CDC">
            <w:pPr>
              <w:rPr>
                <w:rFonts w:ascii="Lato" w:hAnsi="Lato"/>
                <w:b/>
                <w:bCs/>
                <w:sz w:val="22"/>
                <w:szCs w:val="22"/>
                <w:u w:val="single"/>
              </w:rPr>
            </w:pPr>
          </w:p>
        </w:tc>
      </w:tr>
      <w:tr w:rsidR="00EC7CDC" w:rsidRPr="00CB1714" w14:paraId="79B1E523" w14:textId="77777777" w:rsidTr="00990D73">
        <w:trPr>
          <w:trHeight w:val="156"/>
        </w:trPr>
        <w:tc>
          <w:tcPr>
            <w:tcW w:w="1316" w:type="dxa"/>
          </w:tcPr>
          <w:p w14:paraId="4ED4ABFA" w14:textId="77777777" w:rsidR="00EC7CDC" w:rsidRPr="00CB1714" w:rsidRDefault="00EC7CDC" w:rsidP="004009A0">
            <w:pPr>
              <w:jc w:val="right"/>
              <w:rPr>
                <w:rFonts w:ascii="Lato" w:hAnsi="Lato"/>
                <w:sz w:val="22"/>
                <w:szCs w:val="22"/>
              </w:rPr>
            </w:pPr>
          </w:p>
        </w:tc>
        <w:tc>
          <w:tcPr>
            <w:tcW w:w="5891" w:type="dxa"/>
          </w:tcPr>
          <w:p w14:paraId="4FD66BD6" w14:textId="77777777" w:rsidR="00EC7CDC" w:rsidRPr="00CB1714" w:rsidRDefault="00DC6E90" w:rsidP="00CB1714">
            <w:pPr>
              <w:rPr>
                <w:rFonts w:ascii="Lato" w:hAnsi="Lato"/>
                <w:bCs/>
                <w:sz w:val="22"/>
                <w:szCs w:val="22"/>
              </w:rPr>
            </w:pPr>
            <w:r w:rsidRPr="00F72ED7">
              <w:rPr>
                <w:rFonts w:ascii="Lato" w:hAnsi="Lato"/>
                <w:sz w:val="22"/>
                <w:szCs w:val="22"/>
              </w:rPr>
              <w:t xml:space="preserve">control of the </w:t>
            </w:r>
            <w:r w:rsidR="00A75241" w:rsidRPr="00CB1714">
              <w:rPr>
                <w:rFonts w:ascii="Lato" w:hAnsi="Lato"/>
                <w:bCs/>
                <w:sz w:val="22"/>
                <w:szCs w:val="22"/>
              </w:rPr>
              <w:t xml:space="preserve">Qualifying Investor AIF </w:t>
            </w:r>
            <w:r w:rsidR="00A75241" w:rsidRPr="00CB1714">
              <w:rPr>
                <w:rFonts w:ascii="Lato" w:hAnsi="Lato"/>
                <w:sz w:val="22"/>
                <w:szCs w:val="22"/>
              </w:rPr>
              <w:t xml:space="preserve">or as a result of the </w:t>
            </w:r>
          </w:p>
        </w:tc>
        <w:tc>
          <w:tcPr>
            <w:tcW w:w="3188" w:type="dxa"/>
          </w:tcPr>
          <w:p w14:paraId="6FF3DEA9" w14:textId="77777777" w:rsidR="00EC7CDC" w:rsidRPr="00CB1714" w:rsidRDefault="00EC7CDC">
            <w:pPr>
              <w:rPr>
                <w:rFonts w:ascii="Lato" w:hAnsi="Lato"/>
                <w:b/>
                <w:bCs/>
                <w:sz w:val="22"/>
                <w:szCs w:val="22"/>
                <w:u w:val="single"/>
              </w:rPr>
            </w:pPr>
          </w:p>
        </w:tc>
      </w:tr>
      <w:tr w:rsidR="00EC7CDC" w:rsidRPr="00CB1714" w14:paraId="5107022B" w14:textId="77777777" w:rsidTr="00990D73">
        <w:trPr>
          <w:trHeight w:val="156"/>
        </w:trPr>
        <w:tc>
          <w:tcPr>
            <w:tcW w:w="1316" w:type="dxa"/>
          </w:tcPr>
          <w:p w14:paraId="38B077B6" w14:textId="77777777" w:rsidR="00EC7CDC" w:rsidRPr="00CB1714" w:rsidRDefault="00EC7CDC" w:rsidP="004009A0">
            <w:pPr>
              <w:jc w:val="right"/>
              <w:rPr>
                <w:rFonts w:ascii="Lato" w:hAnsi="Lato"/>
                <w:sz w:val="22"/>
                <w:szCs w:val="22"/>
              </w:rPr>
            </w:pPr>
          </w:p>
        </w:tc>
        <w:tc>
          <w:tcPr>
            <w:tcW w:w="5891" w:type="dxa"/>
          </w:tcPr>
          <w:p w14:paraId="64ED4EAB" w14:textId="77777777" w:rsidR="00EC7CDC" w:rsidRPr="00CB1714" w:rsidRDefault="00DC6E90" w:rsidP="00CB1714">
            <w:pPr>
              <w:rPr>
                <w:rFonts w:ascii="Lato" w:hAnsi="Lato"/>
                <w:sz w:val="22"/>
                <w:szCs w:val="22"/>
              </w:rPr>
            </w:pPr>
            <w:r w:rsidRPr="00F72ED7">
              <w:rPr>
                <w:rFonts w:ascii="Lato" w:hAnsi="Lato"/>
                <w:sz w:val="22"/>
                <w:szCs w:val="22"/>
              </w:rPr>
              <w:t>exercise of</w:t>
            </w:r>
            <w:r w:rsidRPr="00CB1714">
              <w:rPr>
                <w:rFonts w:ascii="Lato" w:hAnsi="Lato"/>
                <w:sz w:val="22"/>
                <w:szCs w:val="22"/>
              </w:rPr>
              <w:t xml:space="preserve"> </w:t>
            </w:r>
            <w:r w:rsidR="00A75241" w:rsidRPr="00CB1714">
              <w:rPr>
                <w:rFonts w:ascii="Lato" w:hAnsi="Lato"/>
                <w:sz w:val="22"/>
                <w:szCs w:val="22"/>
              </w:rPr>
              <w:t xml:space="preserve">subscription rights, the Qualifying Investor AIF </w:t>
            </w:r>
          </w:p>
        </w:tc>
        <w:tc>
          <w:tcPr>
            <w:tcW w:w="3188" w:type="dxa"/>
          </w:tcPr>
          <w:p w14:paraId="7EEFCFE2" w14:textId="77777777" w:rsidR="00EC7CDC" w:rsidRPr="00CB1714" w:rsidRDefault="00EC7CDC">
            <w:pPr>
              <w:rPr>
                <w:rFonts w:ascii="Lato" w:hAnsi="Lato"/>
                <w:b/>
                <w:bCs/>
                <w:sz w:val="22"/>
                <w:szCs w:val="22"/>
                <w:u w:val="single"/>
              </w:rPr>
            </w:pPr>
          </w:p>
        </w:tc>
      </w:tr>
      <w:tr w:rsidR="00EC7CDC" w:rsidRPr="00CB1714" w14:paraId="0832310C" w14:textId="77777777" w:rsidTr="00990D73">
        <w:trPr>
          <w:trHeight w:val="156"/>
        </w:trPr>
        <w:tc>
          <w:tcPr>
            <w:tcW w:w="1316" w:type="dxa"/>
          </w:tcPr>
          <w:p w14:paraId="14EB0936" w14:textId="77777777" w:rsidR="00EC7CDC" w:rsidRPr="00CB1714" w:rsidRDefault="00EC7CDC" w:rsidP="004009A0">
            <w:pPr>
              <w:jc w:val="right"/>
              <w:rPr>
                <w:rFonts w:ascii="Lato" w:hAnsi="Lato"/>
                <w:sz w:val="22"/>
                <w:szCs w:val="22"/>
              </w:rPr>
            </w:pPr>
          </w:p>
        </w:tc>
        <w:tc>
          <w:tcPr>
            <w:tcW w:w="5891" w:type="dxa"/>
          </w:tcPr>
          <w:p w14:paraId="17CD0B13" w14:textId="77777777" w:rsidR="00EC7CDC" w:rsidRPr="00CB1714" w:rsidRDefault="00DC6E90" w:rsidP="00CB1714">
            <w:pPr>
              <w:rPr>
                <w:rFonts w:ascii="Lato" w:hAnsi="Lato"/>
                <w:sz w:val="22"/>
                <w:szCs w:val="22"/>
              </w:rPr>
            </w:pPr>
            <w:r w:rsidRPr="00F72ED7">
              <w:rPr>
                <w:rFonts w:ascii="Lato" w:hAnsi="Lato"/>
                <w:sz w:val="22"/>
                <w:szCs w:val="22"/>
              </w:rPr>
              <w:t>will adopt as a</w:t>
            </w:r>
            <w:r w:rsidRPr="00CB1714">
              <w:rPr>
                <w:rFonts w:ascii="Lato" w:hAnsi="Lato"/>
                <w:sz w:val="22"/>
                <w:szCs w:val="22"/>
              </w:rPr>
              <w:t xml:space="preserve"> </w:t>
            </w:r>
            <w:r w:rsidR="00A75241" w:rsidRPr="00CB1714">
              <w:rPr>
                <w:rFonts w:ascii="Lato" w:hAnsi="Lato"/>
                <w:sz w:val="22"/>
                <w:szCs w:val="22"/>
              </w:rPr>
              <w:t xml:space="preserve">priority objective the remedying of that </w:t>
            </w:r>
          </w:p>
        </w:tc>
        <w:tc>
          <w:tcPr>
            <w:tcW w:w="3188" w:type="dxa"/>
          </w:tcPr>
          <w:p w14:paraId="302EA30F" w14:textId="77777777" w:rsidR="00EC7CDC" w:rsidRPr="00CB1714" w:rsidRDefault="00EC7CDC">
            <w:pPr>
              <w:rPr>
                <w:rFonts w:ascii="Lato" w:hAnsi="Lato"/>
                <w:b/>
                <w:bCs/>
                <w:sz w:val="22"/>
                <w:szCs w:val="22"/>
                <w:u w:val="single"/>
              </w:rPr>
            </w:pPr>
          </w:p>
        </w:tc>
      </w:tr>
      <w:tr w:rsidR="00A75241" w:rsidRPr="00CB1714" w14:paraId="61F6D03D" w14:textId="77777777" w:rsidTr="00990D73">
        <w:trPr>
          <w:trHeight w:val="156"/>
        </w:trPr>
        <w:tc>
          <w:tcPr>
            <w:tcW w:w="1316" w:type="dxa"/>
          </w:tcPr>
          <w:p w14:paraId="08904E7D" w14:textId="77777777" w:rsidR="00A75241" w:rsidRPr="00CB1714" w:rsidRDefault="00A75241" w:rsidP="004009A0">
            <w:pPr>
              <w:jc w:val="right"/>
              <w:rPr>
                <w:rFonts w:ascii="Lato" w:hAnsi="Lato"/>
                <w:sz w:val="22"/>
                <w:szCs w:val="22"/>
              </w:rPr>
            </w:pPr>
          </w:p>
        </w:tc>
        <w:tc>
          <w:tcPr>
            <w:tcW w:w="5891" w:type="dxa"/>
          </w:tcPr>
          <w:p w14:paraId="231FBC92" w14:textId="77777777" w:rsidR="00A75241" w:rsidRPr="00CB1714" w:rsidRDefault="00DC6E90">
            <w:pPr>
              <w:rPr>
                <w:rFonts w:ascii="Lato" w:hAnsi="Lato"/>
                <w:sz w:val="22"/>
                <w:szCs w:val="22"/>
              </w:rPr>
            </w:pPr>
            <w:r w:rsidRPr="00F72ED7">
              <w:rPr>
                <w:rFonts w:ascii="Lato" w:hAnsi="Lato"/>
                <w:sz w:val="22"/>
                <w:szCs w:val="22"/>
              </w:rPr>
              <w:t>situation taking due</w:t>
            </w:r>
            <w:r w:rsidRPr="00CB1714">
              <w:rPr>
                <w:rFonts w:ascii="Lato" w:hAnsi="Lato"/>
                <w:sz w:val="22"/>
                <w:szCs w:val="22"/>
              </w:rPr>
              <w:t xml:space="preserve"> </w:t>
            </w:r>
            <w:r w:rsidR="00A75241" w:rsidRPr="00CB1714">
              <w:rPr>
                <w:rFonts w:ascii="Lato" w:hAnsi="Lato"/>
                <w:sz w:val="22"/>
                <w:szCs w:val="22"/>
              </w:rPr>
              <w:t>account of the interests of unitholders</w:t>
            </w:r>
          </w:p>
        </w:tc>
        <w:tc>
          <w:tcPr>
            <w:tcW w:w="3188" w:type="dxa"/>
          </w:tcPr>
          <w:p w14:paraId="1391F87F" w14:textId="77777777" w:rsidR="00A75241" w:rsidRPr="00CB1714" w:rsidRDefault="00A75241">
            <w:pPr>
              <w:rPr>
                <w:rFonts w:ascii="Lato" w:hAnsi="Lato"/>
                <w:b/>
                <w:bCs/>
                <w:sz w:val="22"/>
                <w:szCs w:val="22"/>
                <w:u w:val="single"/>
              </w:rPr>
            </w:pPr>
          </w:p>
        </w:tc>
      </w:tr>
      <w:tr w:rsidR="00A75241" w:rsidRPr="00CB1714" w14:paraId="39D56145" w14:textId="77777777" w:rsidTr="00990D73">
        <w:trPr>
          <w:trHeight w:val="156"/>
        </w:trPr>
        <w:tc>
          <w:tcPr>
            <w:tcW w:w="1316" w:type="dxa"/>
          </w:tcPr>
          <w:p w14:paraId="549FA587" w14:textId="77777777" w:rsidR="00A75241" w:rsidRPr="00CB1714" w:rsidRDefault="00A75241" w:rsidP="004009A0">
            <w:pPr>
              <w:jc w:val="right"/>
              <w:rPr>
                <w:rFonts w:ascii="Lato" w:hAnsi="Lato"/>
                <w:sz w:val="22"/>
                <w:szCs w:val="22"/>
              </w:rPr>
            </w:pPr>
          </w:p>
        </w:tc>
        <w:tc>
          <w:tcPr>
            <w:tcW w:w="5891" w:type="dxa"/>
          </w:tcPr>
          <w:p w14:paraId="0B9DFF11" w14:textId="77777777" w:rsidR="00A75241" w:rsidRPr="00CB1714" w:rsidRDefault="00A75241">
            <w:pPr>
              <w:rPr>
                <w:rFonts w:ascii="Lato" w:hAnsi="Lato"/>
                <w:sz w:val="22"/>
                <w:szCs w:val="22"/>
              </w:rPr>
            </w:pPr>
          </w:p>
        </w:tc>
        <w:tc>
          <w:tcPr>
            <w:tcW w:w="3188" w:type="dxa"/>
          </w:tcPr>
          <w:p w14:paraId="474EEC8B" w14:textId="77777777" w:rsidR="00A75241" w:rsidRPr="00CB1714" w:rsidRDefault="00A75241">
            <w:pPr>
              <w:rPr>
                <w:rFonts w:ascii="Lato" w:hAnsi="Lato"/>
                <w:b/>
                <w:bCs/>
                <w:sz w:val="22"/>
                <w:szCs w:val="22"/>
                <w:u w:val="single"/>
              </w:rPr>
            </w:pPr>
          </w:p>
        </w:tc>
      </w:tr>
      <w:tr w:rsidR="00FD764E" w:rsidRPr="00CB1714" w14:paraId="1912ED43" w14:textId="77777777" w:rsidTr="00990D73">
        <w:trPr>
          <w:trHeight w:val="156"/>
        </w:trPr>
        <w:tc>
          <w:tcPr>
            <w:tcW w:w="1316" w:type="dxa"/>
          </w:tcPr>
          <w:p w14:paraId="4A016690" w14:textId="77777777" w:rsidR="00FD764E" w:rsidRPr="00CB1714" w:rsidRDefault="000269DC" w:rsidP="00A75241">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2.2.</w:t>
            </w:r>
            <w:r w:rsidR="00A75241" w:rsidRPr="00CB1714">
              <w:rPr>
                <w:rFonts w:ascii="Lato" w:hAnsi="Lato"/>
                <w:b w:val="0"/>
                <w:color w:val="auto"/>
                <w:sz w:val="22"/>
                <w:szCs w:val="22"/>
              </w:rPr>
              <w:t>3</w:t>
            </w:r>
          </w:p>
        </w:tc>
        <w:tc>
          <w:tcPr>
            <w:tcW w:w="5891" w:type="dxa"/>
          </w:tcPr>
          <w:p w14:paraId="32C87BA1" w14:textId="77777777" w:rsidR="00FD764E" w:rsidRPr="00CB1714" w:rsidRDefault="00FD764E" w:rsidP="00FD764E">
            <w:pPr>
              <w:pStyle w:val="Heading3"/>
              <w:spacing w:before="0" w:after="0" w:line="240" w:lineRule="auto"/>
              <w:jc w:val="both"/>
              <w:rPr>
                <w:rFonts w:ascii="Lato" w:hAnsi="Lato"/>
                <w:b w:val="0"/>
                <w:bCs/>
                <w:i/>
                <w:iCs/>
                <w:color w:val="auto"/>
                <w:sz w:val="22"/>
                <w:szCs w:val="22"/>
              </w:rPr>
            </w:pPr>
            <w:r w:rsidRPr="00CB1714">
              <w:rPr>
                <w:rFonts w:ascii="Lato" w:hAnsi="Lato"/>
                <w:color w:val="auto"/>
                <w:sz w:val="22"/>
                <w:szCs w:val="22"/>
              </w:rPr>
              <w:t>Investment in other investment funds</w:t>
            </w:r>
          </w:p>
        </w:tc>
        <w:tc>
          <w:tcPr>
            <w:tcW w:w="3188" w:type="dxa"/>
          </w:tcPr>
          <w:p w14:paraId="503B96BF" w14:textId="77777777" w:rsidR="00FD764E" w:rsidRPr="00CB1714" w:rsidRDefault="00FD764E" w:rsidP="00FD764E">
            <w:pPr>
              <w:rPr>
                <w:rFonts w:ascii="Lato" w:hAnsi="Lato"/>
                <w:sz w:val="22"/>
                <w:szCs w:val="22"/>
              </w:rPr>
            </w:pPr>
          </w:p>
        </w:tc>
      </w:tr>
      <w:tr w:rsidR="000269DC" w:rsidRPr="00CB1714" w14:paraId="3CF896F9" w14:textId="77777777" w:rsidTr="00990D73">
        <w:trPr>
          <w:trHeight w:val="156"/>
        </w:trPr>
        <w:tc>
          <w:tcPr>
            <w:tcW w:w="1316" w:type="dxa"/>
          </w:tcPr>
          <w:p w14:paraId="0624EEF2" w14:textId="77777777" w:rsidR="000269DC" w:rsidRPr="00CB1714" w:rsidRDefault="000269DC" w:rsidP="00971795">
            <w:pPr>
              <w:pStyle w:val="Heading3"/>
              <w:spacing w:before="0" w:after="0" w:line="240" w:lineRule="auto"/>
              <w:jc w:val="right"/>
              <w:rPr>
                <w:rFonts w:ascii="Lato" w:hAnsi="Lato"/>
                <w:b w:val="0"/>
                <w:color w:val="auto"/>
                <w:sz w:val="22"/>
                <w:szCs w:val="22"/>
              </w:rPr>
            </w:pPr>
          </w:p>
        </w:tc>
        <w:tc>
          <w:tcPr>
            <w:tcW w:w="5891" w:type="dxa"/>
          </w:tcPr>
          <w:p w14:paraId="51EF77F4" w14:textId="77777777" w:rsidR="000269DC" w:rsidRPr="00CB1714" w:rsidRDefault="000269DC" w:rsidP="00F02990">
            <w:pPr>
              <w:pStyle w:val="Heading3"/>
              <w:spacing w:before="0" w:after="0" w:line="240" w:lineRule="auto"/>
              <w:jc w:val="both"/>
              <w:rPr>
                <w:rFonts w:ascii="Lato" w:hAnsi="Lato"/>
                <w:b w:val="0"/>
                <w:color w:val="auto"/>
                <w:sz w:val="22"/>
                <w:szCs w:val="22"/>
              </w:rPr>
            </w:pPr>
            <w:r w:rsidRPr="00CB1714">
              <w:rPr>
                <w:rFonts w:ascii="Lato" w:hAnsi="Lato"/>
                <w:b w:val="0"/>
                <w:color w:val="auto"/>
                <w:sz w:val="22"/>
                <w:szCs w:val="22"/>
              </w:rPr>
              <w:t>Fees</w:t>
            </w:r>
            <w:r w:rsidR="00F02990" w:rsidRPr="00CB1714">
              <w:rPr>
                <w:rFonts w:ascii="Lato" w:hAnsi="Lato"/>
                <w:b w:val="0"/>
                <w:color w:val="auto"/>
                <w:sz w:val="22"/>
                <w:szCs w:val="22"/>
              </w:rPr>
              <w:t xml:space="preserve"> &amp;</w:t>
            </w:r>
            <w:r w:rsidRPr="00CB1714">
              <w:rPr>
                <w:rFonts w:ascii="Lato" w:hAnsi="Lato"/>
                <w:b w:val="0"/>
                <w:color w:val="auto"/>
                <w:sz w:val="22"/>
                <w:szCs w:val="22"/>
              </w:rPr>
              <w:t xml:space="preserve"> Expenses </w:t>
            </w:r>
          </w:p>
        </w:tc>
        <w:tc>
          <w:tcPr>
            <w:tcW w:w="3188" w:type="dxa"/>
            <w:tcBorders>
              <w:bottom w:val="single" w:sz="4" w:space="0" w:color="auto"/>
            </w:tcBorders>
          </w:tcPr>
          <w:p w14:paraId="6AD9B4C3" w14:textId="77777777" w:rsidR="000269DC" w:rsidRPr="00CB1714" w:rsidRDefault="000269DC" w:rsidP="00FD764E">
            <w:pPr>
              <w:rPr>
                <w:rFonts w:ascii="Lato" w:hAnsi="Lato"/>
                <w:sz w:val="22"/>
                <w:szCs w:val="22"/>
              </w:rPr>
            </w:pPr>
          </w:p>
        </w:tc>
      </w:tr>
      <w:tr w:rsidR="000269DC" w:rsidRPr="00CB1714" w14:paraId="0B106D33" w14:textId="77777777" w:rsidTr="00990D73">
        <w:trPr>
          <w:trHeight w:val="156"/>
        </w:trPr>
        <w:tc>
          <w:tcPr>
            <w:tcW w:w="1316" w:type="dxa"/>
          </w:tcPr>
          <w:p w14:paraId="27C4AB4C" w14:textId="77777777" w:rsidR="000269DC" w:rsidRPr="00CB1714" w:rsidRDefault="000269DC" w:rsidP="00971795">
            <w:pPr>
              <w:pStyle w:val="Heading3"/>
              <w:spacing w:before="0" w:after="0" w:line="240" w:lineRule="auto"/>
              <w:jc w:val="right"/>
              <w:rPr>
                <w:rFonts w:ascii="Lato" w:hAnsi="Lato"/>
                <w:b w:val="0"/>
                <w:color w:val="auto"/>
                <w:sz w:val="22"/>
                <w:szCs w:val="22"/>
              </w:rPr>
            </w:pPr>
            <w:r w:rsidRPr="00CB1714">
              <w:rPr>
                <w:rFonts w:ascii="Lato" w:hAnsi="Lato"/>
                <w:b w:val="0"/>
                <w:color w:val="auto"/>
                <w:sz w:val="22"/>
                <w:szCs w:val="22"/>
              </w:rPr>
              <w:t>(i)</w:t>
            </w:r>
          </w:p>
        </w:tc>
        <w:tc>
          <w:tcPr>
            <w:tcW w:w="5891" w:type="dxa"/>
            <w:tcBorders>
              <w:right w:val="single" w:sz="4" w:space="0" w:color="auto"/>
            </w:tcBorders>
          </w:tcPr>
          <w:p w14:paraId="3EEC381C" w14:textId="77777777" w:rsidR="000269DC" w:rsidRPr="00CB1714" w:rsidRDefault="00005BC9" w:rsidP="00005BC9">
            <w:pPr>
              <w:pStyle w:val="Heading3"/>
              <w:spacing w:before="0" w:after="0" w:line="240" w:lineRule="auto"/>
              <w:jc w:val="both"/>
              <w:rPr>
                <w:rFonts w:ascii="Lato" w:hAnsi="Lato"/>
                <w:b w:val="0"/>
                <w:color w:val="auto"/>
                <w:sz w:val="22"/>
                <w:szCs w:val="22"/>
              </w:rPr>
            </w:pPr>
            <w:r w:rsidRPr="00CB1714">
              <w:rPr>
                <w:rFonts w:ascii="Lato" w:hAnsi="Lato"/>
                <w:b w:val="0"/>
                <w:color w:val="auto"/>
                <w:sz w:val="22"/>
                <w:szCs w:val="22"/>
              </w:rPr>
              <w:t>The</w:t>
            </w:r>
            <w:r w:rsidR="000269DC" w:rsidRPr="00CB1714">
              <w:rPr>
                <w:rFonts w:ascii="Lato" w:hAnsi="Lato"/>
                <w:b w:val="0"/>
                <w:color w:val="auto"/>
                <w:sz w:val="22"/>
                <w:szCs w:val="22"/>
              </w:rPr>
              <w:t xml:space="preserve"> Qualifying Investor AIF</w:t>
            </w:r>
            <w:r w:rsidRPr="00CB1714">
              <w:rPr>
                <w:rFonts w:ascii="Lato" w:hAnsi="Lato"/>
                <w:b w:val="0"/>
                <w:color w:val="auto"/>
                <w:sz w:val="22"/>
                <w:szCs w:val="22"/>
              </w:rPr>
              <w:t xml:space="preserve"> shall only invest </w:t>
            </w:r>
            <w:r w:rsidR="000269DC" w:rsidRPr="00CB1714">
              <w:rPr>
                <w:rFonts w:ascii="Lato" w:hAnsi="Lato"/>
                <w:b w:val="0"/>
                <w:color w:val="auto"/>
                <w:sz w:val="22"/>
                <w:szCs w:val="22"/>
              </w:rPr>
              <w:t xml:space="preserve"> in units of a</w:t>
            </w:r>
          </w:p>
        </w:tc>
        <w:tc>
          <w:tcPr>
            <w:tcW w:w="3188" w:type="dxa"/>
            <w:tcBorders>
              <w:top w:val="single" w:sz="4" w:space="0" w:color="auto"/>
              <w:left w:val="single" w:sz="4" w:space="0" w:color="auto"/>
              <w:bottom w:val="single" w:sz="4" w:space="0" w:color="auto"/>
              <w:right w:val="single" w:sz="4" w:space="0" w:color="auto"/>
            </w:tcBorders>
          </w:tcPr>
          <w:p w14:paraId="0731582D" w14:textId="77777777" w:rsidR="000269DC" w:rsidRPr="00CB1714" w:rsidRDefault="000269DC" w:rsidP="00FD764E">
            <w:pPr>
              <w:rPr>
                <w:rFonts w:ascii="Lato" w:hAnsi="Lato"/>
                <w:sz w:val="22"/>
                <w:szCs w:val="22"/>
              </w:rPr>
            </w:pPr>
          </w:p>
        </w:tc>
      </w:tr>
      <w:tr w:rsidR="000269DC" w:rsidRPr="00CB1714" w14:paraId="59747490" w14:textId="77777777" w:rsidTr="00990D73">
        <w:trPr>
          <w:trHeight w:val="156"/>
        </w:trPr>
        <w:tc>
          <w:tcPr>
            <w:tcW w:w="1316" w:type="dxa"/>
          </w:tcPr>
          <w:p w14:paraId="1039EF82" w14:textId="77777777" w:rsidR="000269DC" w:rsidRPr="00CB1714" w:rsidRDefault="000269DC" w:rsidP="00971795">
            <w:pPr>
              <w:pStyle w:val="Heading3"/>
              <w:spacing w:before="0" w:after="0" w:line="240" w:lineRule="auto"/>
              <w:jc w:val="right"/>
              <w:rPr>
                <w:rFonts w:ascii="Lato" w:hAnsi="Lato"/>
                <w:color w:val="auto"/>
                <w:sz w:val="22"/>
                <w:szCs w:val="22"/>
              </w:rPr>
            </w:pPr>
          </w:p>
        </w:tc>
        <w:tc>
          <w:tcPr>
            <w:tcW w:w="5891" w:type="dxa"/>
          </w:tcPr>
          <w:p w14:paraId="19A607A0" w14:textId="77777777" w:rsidR="000269DC" w:rsidRPr="00CB1714" w:rsidRDefault="000269DC" w:rsidP="00005BC9">
            <w:pPr>
              <w:pStyle w:val="Heading3"/>
              <w:spacing w:before="0" w:after="0" w:line="240" w:lineRule="auto"/>
              <w:jc w:val="both"/>
              <w:rPr>
                <w:rFonts w:ascii="Lato" w:hAnsi="Lato"/>
                <w:b w:val="0"/>
                <w:color w:val="auto"/>
                <w:sz w:val="22"/>
                <w:szCs w:val="22"/>
              </w:rPr>
            </w:pPr>
            <w:r w:rsidRPr="00CB1714">
              <w:rPr>
                <w:rFonts w:ascii="Lato" w:hAnsi="Lato"/>
                <w:b w:val="0"/>
                <w:color w:val="auto"/>
                <w:sz w:val="22"/>
                <w:szCs w:val="22"/>
              </w:rPr>
              <w:t xml:space="preserve">investment fund managed by </w:t>
            </w:r>
            <w:r w:rsidR="00005BC9" w:rsidRPr="00CB1714">
              <w:rPr>
                <w:rFonts w:ascii="Lato" w:hAnsi="Lato"/>
                <w:b w:val="0"/>
                <w:color w:val="auto"/>
                <w:sz w:val="22"/>
                <w:szCs w:val="22"/>
              </w:rPr>
              <w:t>its</w:t>
            </w:r>
            <w:r w:rsidRPr="00CB1714">
              <w:rPr>
                <w:rFonts w:ascii="Lato" w:hAnsi="Lato"/>
                <w:b w:val="0"/>
                <w:color w:val="auto"/>
                <w:sz w:val="22"/>
                <w:szCs w:val="22"/>
              </w:rPr>
              <w:t xml:space="preserve"> management company</w:t>
            </w:r>
            <w:r w:rsidR="006D7CBB" w:rsidRPr="00CB1714">
              <w:rPr>
                <w:rFonts w:ascii="Lato" w:hAnsi="Lato"/>
                <w:b w:val="0"/>
                <w:color w:val="auto"/>
                <w:sz w:val="22"/>
                <w:szCs w:val="22"/>
              </w:rPr>
              <w:t>, or AIFM</w:t>
            </w:r>
            <w:r w:rsidRPr="00CB1714">
              <w:rPr>
                <w:rFonts w:ascii="Lato" w:hAnsi="Lato"/>
                <w:b w:val="0"/>
                <w:color w:val="auto"/>
                <w:sz w:val="22"/>
                <w:szCs w:val="22"/>
              </w:rPr>
              <w:t xml:space="preserve"> or</w:t>
            </w:r>
            <w:r w:rsidR="00530C31" w:rsidRPr="00CB1714">
              <w:rPr>
                <w:rFonts w:ascii="Lato" w:hAnsi="Lato"/>
                <w:b w:val="0"/>
                <w:color w:val="auto"/>
                <w:sz w:val="22"/>
                <w:szCs w:val="22"/>
              </w:rPr>
              <w:t xml:space="preserve"> by an associated or related company of either</w:t>
            </w:r>
          </w:p>
        </w:tc>
        <w:tc>
          <w:tcPr>
            <w:tcW w:w="3188" w:type="dxa"/>
            <w:tcBorders>
              <w:top w:val="single" w:sz="4" w:space="0" w:color="auto"/>
            </w:tcBorders>
          </w:tcPr>
          <w:p w14:paraId="117F3DD9" w14:textId="77777777" w:rsidR="000269DC" w:rsidRPr="00CB1714" w:rsidRDefault="000269DC" w:rsidP="00FD764E">
            <w:pPr>
              <w:rPr>
                <w:rFonts w:ascii="Lato" w:hAnsi="Lato"/>
                <w:sz w:val="22"/>
                <w:szCs w:val="22"/>
              </w:rPr>
            </w:pPr>
          </w:p>
        </w:tc>
      </w:tr>
      <w:tr w:rsidR="000269DC" w:rsidRPr="00CB1714" w14:paraId="5C56BF06" w14:textId="77777777" w:rsidTr="00990D73">
        <w:trPr>
          <w:trHeight w:val="156"/>
        </w:trPr>
        <w:tc>
          <w:tcPr>
            <w:tcW w:w="1316" w:type="dxa"/>
          </w:tcPr>
          <w:p w14:paraId="63A8A422" w14:textId="77777777" w:rsidR="000269DC" w:rsidRPr="00CB1714" w:rsidRDefault="000269DC" w:rsidP="00971795">
            <w:pPr>
              <w:pStyle w:val="Heading3"/>
              <w:spacing w:before="0" w:after="0" w:line="240" w:lineRule="auto"/>
              <w:jc w:val="right"/>
              <w:rPr>
                <w:rFonts w:ascii="Lato" w:hAnsi="Lato"/>
                <w:color w:val="auto"/>
                <w:sz w:val="22"/>
                <w:szCs w:val="22"/>
              </w:rPr>
            </w:pPr>
          </w:p>
        </w:tc>
        <w:tc>
          <w:tcPr>
            <w:tcW w:w="5891" w:type="dxa"/>
          </w:tcPr>
          <w:p w14:paraId="57AD94CD" w14:textId="77777777" w:rsidR="000269DC" w:rsidRPr="00CB1714" w:rsidRDefault="006D7CBB" w:rsidP="00CB1714">
            <w:pPr>
              <w:pStyle w:val="Heading3"/>
              <w:spacing w:before="0" w:after="0" w:line="240" w:lineRule="auto"/>
              <w:jc w:val="both"/>
              <w:rPr>
                <w:rFonts w:ascii="Lato" w:hAnsi="Lato"/>
                <w:b w:val="0"/>
                <w:color w:val="auto"/>
                <w:sz w:val="22"/>
                <w:szCs w:val="22"/>
              </w:rPr>
            </w:pPr>
            <w:r w:rsidRPr="00CB1714">
              <w:rPr>
                <w:rFonts w:ascii="Lato" w:hAnsi="Lato"/>
                <w:b w:val="0"/>
                <w:color w:val="auto"/>
                <w:sz w:val="22"/>
                <w:szCs w:val="22"/>
              </w:rPr>
              <w:t>of these</w:t>
            </w:r>
            <w:r w:rsidR="00FE4486" w:rsidRPr="00CB1714">
              <w:rPr>
                <w:rFonts w:ascii="Lato" w:hAnsi="Lato"/>
                <w:b w:val="0"/>
                <w:color w:val="auto"/>
                <w:sz w:val="22"/>
                <w:szCs w:val="22"/>
              </w:rPr>
              <w:t xml:space="preserve"> </w:t>
            </w:r>
            <w:r w:rsidR="000B0206" w:rsidRPr="00CB1714">
              <w:rPr>
                <w:rFonts w:ascii="Lato" w:hAnsi="Lato"/>
                <w:b w:val="0"/>
                <w:color w:val="auto"/>
                <w:sz w:val="22"/>
                <w:szCs w:val="22"/>
              </w:rPr>
              <w:t>where</w:t>
            </w:r>
            <w:r w:rsidRPr="00CB1714">
              <w:rPr>
                <w:rFonts w:ascii="Lato" w:hAnsi="Lato"/>
                <w:b w:val="0"/>
                <w:color w:val="auto"/>
                <w:sz w:val="22"/>
                <w:szCs w:val="22"/>
              </w:rPr>
              <w:t xml:space="preserve"> </w:t>
            </w:r>
            <w:r w:rsidR="00530C31" w:rsidRPr="00CB1714">
              <w:rPr>
                <w:rFonts w:ascii="Lato" w:hAnsi="Lato"/>
                <w:b w:val="0"/>
                <w:color w:val="auto"/>
                <w:sz w:val="22"/>
                <w:szCs w:val="22"/>
              </w:rPr>
              <w:t>the management company</w:t>
            </w:r>
            <w:r w:rsidR="000269DC" w:rsidRPr="00CB1714">
              <w:rPr>
                <w:rFonts w:ascii="Lato" w:hAnsi="Lato"/>
                <w:b w:val="0"/>
                <w:color w:val="auto"/>
                <w:sz w:val="22"/>
                <w:szCs w:val="22"/>
              </w:rPr>
              <w:t xml:space="preserve"> of the</w:t>
            </w:r>
            <w:r w:rsidR="00530C31" w:rsidRPr="00CB1714">
              <w:rPr>
                <w:rFonts w:ascii="Lato" w:hAnsi="Lato"/>
                <w:b w:val="0"/>
                <w:color w:val="auto"/>
                <w:sz w:val="22"/>
                <w:szCs w:val="22"/>
              </w:rPr>
              <w:t xml:space="preserve"> </w:t>
            </w:r>
          </w:p>
        </w:tc>
        <w:tc>
          <w:tcPr>
            <w:tcW w:w="3188" w:type="dxa"/>
          </w:tcPr>
          <w:p w14:paraId="39325E41" w14:textId="77777777" w:rsidR="000269DC" w:rsidRPr="00CB1714" w:rsidRDefault="000269DC" w:rsidP="00FD764E">
            <w:pPr>
              <w:rPr>
                <w:rFonts w:ascii="Lato" w:hAnsi="Lato"/>
                <w:sz w:val="22"/>
                <w:szCs w:val="22"/>
              </w:rPr>
            </w:pPr>
          </w:p>
        </w:tc>
      </w:tr>
      <w:tr w:rsidR="000269DC" w:rsidRPr="00CB1714" w14:paraId="3D105126" w14:textId="77777777" w:rsidTr="00990D73">
        <w:trPr>
          <w:trHeight w:val="156"/>
        </w:trPr>
        <w:tc>
          <w:tcPr>
            <w:tcW w:w="1316" w:type="dxa"/>
          </w:tcPr>
          <w:p w14:paraId="06EB3A1A" w14:textId="77777777" w:rsidR="000269DC" w:rsidRPr="00CB1714" w:rsidRDefault="000269DC" w:rsidP="00971795">
            <w:pPr>
              <w:pStyle w:val="Heading3"/>
              <w:spacing w:before="0" w:after="0" w:line="240" w:lineRule="auto"/>
              <w:jc w:val="right"/>
              <w:rPr>
                <w:rFonts w:ascii="Lato" w:hAnsi="Lato"/>
                <w:color w:val="auto"/>
                <w:sz w:val="22"/>
                <w:szCs w:val="22"/>
              </w:rPr>
            </w:pPr>
          </w:p>
        </w:tc>
        <w:tc>
          <w:tcPr>
            <w:tcW w:w="5891" w:type="dxa"/>
          </w:tcPr>
          <w:p w14:paraId="0920A0A9" w14:textId="77777777" w:rsidR="000269DC" w:rsidRPr="00CB1714" w:rsidRDefault="00DC6E90" w:rsidP="00CB1714">
            <w:pPr>
              <w:pStyle w:val="Heading3"/>
              <w:spacing w:before="0" w:after="0" w:line="240" w:lineRule="auto"/>
              <w:jc w:val="both"/>
              <w:rPr>
                <w:rFonts w:ascii="Lato" w:hAnsi="Lato"/>
                <w:b w:val="0"/>
                <w:color w:val="auto"/>
                <w:sz w:val="22"/>
                <w:szCs w:val="22"/>
              </w:rPr>
            </w:pPr>
            <w:r w:rsidRPr="00F72ED7">
              <w:rPr>
                <w:rFonts w:ascii="Lato" w:hAnsi="Lato"/>
                <w:b w:val="0"/>
                <w:color w:val="auto"/>
                <w:sz w:val="22"/>
                <w:szCs w:val="22"/>
              </w:rPr>
              <w:t xml:space="preserve">investment </w:t>
            </w:r>
            <w:r w:rsidR="00530C31" w:rsidRPr="00CB1714">
              <w:rPr>
                <w:rFonts w:ascii="Lato" w:hAnsi="Lato"/>
                <w:b w:val="0"/>
                <w:color w:val="auto"/>
                <w:sz w:val="22"/>
                <w:szCs w:val="22"/>
              </w:rPr>
              <w:t xml:space="preserve">fund in </w:t>
            </w:r>
            <w:r w:rsidR="000269DC" w:rsidRPr="00CB1714">
              <w:rPr>
                <w:rFonts w:ascii="Lato" w:hAnsi="Lato"/>
                <w:b w:val="0"/>
                <w:color w:val="auto"/>
                <w:sz w:val="22"/>
                <w:szCs w:val="22"/>
              </w:rPr>
              <w:t xml:space="preserve">which the investment is being made </w:t>
            </w:r>
            <w:r w:rsidR="006D7CBB" w:rsidRPr="00CB1714">
              <w:rPr>
                <w:rFonts w:ascii="Lato" w:hAnsi="Lato"/>
                <w:b w:val="0"/>
                <w:color w:val="auto"/>
                <w:sz w:val="22"/>
                <w:szCs w:val="22"/>
              </w:rPr>
              <w:t>has</w:t>
            </w:r>
            <w:r w:rsidR="00530C31" w:rsidRPr="00CB1714">
              <w:rPr>
                <w:rFonts w:ascii="Lato" w:hAnsi="Lato"/>
                <w:b w:val="0"/>
                <w:color w:val="auto"/>
                <w:sz w:val="22"/>
                <w:szCs w:val="22"/>
              </w:rPr>
              <w:t xml:space="preserve"> </w:t>
            </w:r>
          </w:p>
        </w:tc>
        <w:tc>
          <w:tcPr>
            <w:tcW w:w="3188" w:type="dxa"/>
          </w:tcPr>
          <w:p w14:paraId="43C02320" w14:textId="77777777" w:rsidR="000269DC" w:rsidRPr="00CB1714" w:rsidRDefault="000269DC" w:rsidP="00FD764E">
            <w:pPr>
              <w:rPr>
                <w:rFonts w:ascii="Lato" w:hAnsi="Lato"/>
                <w:sz w:val="22"/>
                <w:szCs w:val="22"/>
              </w:rPr>
            </w:pPr>
          </w:p>
        </w:tc>
      </w:tr>
      <w:tr w:rsidR="00FD764E" w:rsidRPr="00CB1714" w14:paraId="1964A422" w14:textId="77777777" w:rsidTr="00990D73">
        <w:trPr>
          <w:trHeight w:val="156"/>
        </w:trPr>
        <w:tc>
          <w:tcPr>
            <w:tcW w:w="1316" w:type="dxa"/>
          </w:tcPr>
          <w:p w14:paraId="3606066E" w14:textId="77777777" w:rsidR="00FD764E" w:rsidRPr="00CB1714" w:rsidRDefault="00FD764E" w:rsidP="00971795">
            <w:pPr>
              <w:pStyle w:val="Heading3"/>
              <w:spacing w:before="0" w:after="0" w:line="240" w:lineRule="auto"/>
              <w:jc w:val="right"/>
              <w:rPr>
                <w:rFonts w:ascii="Lato" w:hAnsi="Lato"/>
                <w:color w:val="auto"/>
                <w:sz w:val="22"/>
                <w:szCs w:val="22"/>
              </w:rPr>
            </w:pPr>
          </w:p>
        </w:tc>
        <w:tc>
          <w:tcPr>
            <w:tcW w:w="5891" w:type="dxa"/>
          </w:tcPr>
          <w:p w14:paraId="20318BD2" w14:textId="77777777" w:rsidR="00FD764E" w:rsidRPr="00CB1714" w:rsidRDefault="00DC6E90" w:rsidP="00CB1714">
            <w:pPr>
              <w:pStyle w:val="Heading3"/>
              <w:spacing w:before="0" w:after="0" w:line="240" w:lineRule="auto"/>
              <w:jc w:val="both"/>
              <w:rPr>
                <w:rFonts w:ascii="Lato" w:hAnsi="Lato"/>
                <w:b w:val="0"/>
                <w:color w:val="auto"/>
                <w:sz w:val="22"/>
                <w:szCs w:val="22"/>
              </w:rPr>
            </w:pPr>
            <w:r w:rsidRPr="00F72ED7">
              <w:rPr>
                <w:rFonts w:ascii="Lato" w:hAnsi="Lato"/>
                <w:b w:val="0"/>
                <w:color w:val="auto"/>
                <w:sz w:val="22"/>
                <w:szCs w:val="22"/>
              </w:rPr>
              <w:t>waived the</w:t>
            </w:r>
            <w:r w:rsidRPr="00CB1714">
              <w:rPr>
                <w:rFonts w:ascii="Lato" w:hAnsi="Lato"/>
                <w:b w:val="0"/>
                <w:color w:val="auto"/>
                <w:sz w:val="22"/>
                <w:szCs w:val="22"/>
              </w:rPr>
              <w:t xml:space="preserve"> </w:t>
            </w:r>
            <w:r w:rsidR="00A153DD" w:rsidRPr="00CB1714">
              <w:rPr>
                <w:rFonts w:ascii="Lato" w:hAnsi="Lato"/>
                <w:b w:val="0"/>
                <w:color w:val="auto"/>
                <w:sz w:val="22"/>
                <w:szCs w:val="22"/>
              </w:rPr>
              <w:t>preliminary/initial/</w:t>
            </w:r>
            <w:r w:rsidR="000269DC" w:rsidRPr="00CB1714">
              <w:rPr>
                <w:rFonts w:ascii="Lato" w:hAnsi="Lato"/>
                <w:b w:val="0"/>
                <w:color w:val="auto"/>
                <w:sz w:val="22"/>
                <w:szCs w:val="22"/>
              </w:rPr>
              <w:t xml:space="preserve">redemption charge which it </w:t>
            </w:r>
          </w:p>
        </w:tc>
        <w:tc>
          <w:tcPr>
            <w:tcW w:w="3188" w:type="dxa"/>
          </w:tcPr>
          <w:p w14:paraId="27CDB34F" w14:textId="77777777" w:rsidR="00FD764E" w:rsidRPr="00CB1714" w:rsidRDefault="00FD764E" w:rsidP="00FD764E">
            <w:pPr>
              <w:rPr>
                <w:rFonts w:ascii="Lato" w:hAnsi="Lato"/>
                <w:sz w:val="22"/>
                <w:szCs w:val="22"/>
              </w:rPr>
            </w:pPr>
          </w:p>
        </w:tc>
      </w:tr>
      <w:tr w:rsidR="00FD764E" w:rsidRPr="00CB1714" w14:paraId="52ECC7CB" w14:textId="77777777" w:rsidTr="00990D73">
        <w:trPr>
          <w:trHeight w:val="156"/>
        </w:trPr>
        <w:tc>
          <w:tcPr>
            <w:tcW w:w="1316" w:type="dxa"/>
          </w:tcPr>
          <w:p w14:paraId="44F97C4D" w14:textId="77777777" w:rsidR="00FD764E" w:rsidRPr="00CB1714" w:rsidRDefault="00FD764E" w:rsidP="00971795">
            <w:pPr>
              <w:jc w:val="right"/>
              <w:rPr>
                <w:rFonts w:ascii="Lato" w:hAnsi="Lato"/>
                <w:sz w:val="22"/>
                <w:szCs w:val="22"/>
              </w:rPr>
            </w:pPr>
          </w:p>
        </w:tc>
        <w:tc>
          <w:tcPr>
            <w:tcW w:w="5891" w:type="dxa"/>
          </w:tcPr>
          <w:p w14:paraId="3222688B" w14:textId="77777777" w:rsidR="00FD764E" w:rsidRPr="00CB1714" w:rsidRDefault="00DC6E90" w:rsidP="00FD764E">
            <w:pPr>
              <w:pStyle w:val="Heading1"/>
              <w:spacing w:before="0" w:after="0" w:line="240" w:lineRule="auto"/>
              <w:jc w:val="both"/>
              <w:rPr>
                <w:rFonts w:ascii="Lato" w:hAnsi="Lato"/>
                <w:color w:val="auto"/>
                <w:sz w:val="22"/>
                <w:szCs w:val="22"/>
              </w:rPr>
            </w:pPr>
            <w:r w:rsidRPr="00F72ED7">
              <w:rPr>
                <w:rFonts w:ascii="Lato" w:hAnsi="Lato"/>
                <w:color w:val="auto"/>
                <w:sz w:val="22"/>
                <w:szCs w:val="22"/>
              </w:rPr>
              <w:t>would</w:t>
            </w:r>
            <w:r w:rsidRPr="00CB1714">
              <w:rPr>
                <w:rFonts w:ascii="Lato" w:hAnsi="Lato"/>
                <w:color w:val="auto"/>
                <w:sz w:val="22"/>
                <w:szCs w:val="22"/>
              </w:rPr>
              <w:t xml:space="preserve"> </w:t>
            </w:r>
            <w:r w:rsidR="000269DC" w:rsidRPr="00CB1714">
              <w:rPr>
                <w:rFonts w:ascii="Lato" w:hAnsi="Lato"/>
                <w:color w:val="auto"/>
                <w:sz w:val="22"/>
                <w:szCs w:val="22"/>
              </w:rPr>
              <w:t>normally charge</w:t>
            </w:r>
          </w:p>
        </w:tc>
        <w:tc>
          <w:tcPr>
            <w:tcW w:w="3188" w:type="dxa"/>
            <w:tcBorders>
              <w:bottom w:val="single" w:sz="4" w:space="0" w:color="auto"/>
            </w:tcBorders>
          </w:tcPr>
          <w:p w14:paraId="6D117CC7" w14:textId="77777777" w:rsidR="00FD764E" w:rsidRPr="00CB1714" w:rsidRDefault="00FD764E" w:rsidP="00FD764E">
            <w:pPr>
              <w:rPr>
                <w:rFonts w:ascii="Lato" w:hAnsi="Lato"/>
                <w:sz w:val="22"/>
                <w:szCs w:val="22"/>
              </w:rPr>
            </w:pPr>
          </w:p>
        </w:tc>
      </w:tr>
      <w:tr w:rsidR="00971795" w:rsidRPr="00CB1714" w14:paraId="403C2493" w14:textId="77777777" w:rsidTr="00990D73">
        <w:trPr>
          <w:trHeight w:val="156"/>
        </w:trPr>
        <w:tc>
          <w:tcPr>
            <w:tcW w:w="1316" w:type="dxa"/>
          </w:tcPr>
          <w:p w14:paraId="60B986FE" w14:textId="77777777" w:rsidR="00971795" w:rsidRPr="00CB1714" w:rsidRDefault="00971795" w:rsidP="00FD764E">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487CACB8" w14:textId="77777777" w:rsidR="00971795" w:rsidRPr="00CB1714" w:rsidRDefault="00971795" w:rsidP="00815384">
            <w:pPr>
              <w:pStyle w:val="Heading6"/>
              <w:jc w:val="both"/>
              <w:rPr>
                <w:rFonts w:ascii="Lato" w:hAnsi="Lato"/>
                <w:color w:val="auto"/>
                <w:szCs w:val="22"/>
                <w:u w:val="none"/>
              </w:rPr>
            </w:pPr>
            <w:r w:rsidRPr="00CB1714">
              <w:rPr>
                <w:rFonts w:ascii="Lato" w:hAnsi="Lato"/>
                <w:bCs/>
                <w:color w:val="auto"/>
                <w:szCs w:val="22"/>
                <w:u w:val="none"/>
              </w:rPr>
              <w:t xml:space="preserve">Outline the types of charges </w:t>
            </w:r>
            <w:r w:rsidR="00815384" w:rsidRPr="00CB1714">
              <w:rPr>
                <w:rFonts w:ascii="Lato" w:hAnsi="Lato"/>
                <w:bCs/>
                <w:color w:val="auto"/>
                <w:szCs w:val="22"/>
                <w:u w:val="none"/>
              </w:rPr>
              <w:t>and other costs relating to the</w:t>
            </w:r>
          </w:p>
        </w:tc>
        <w:tc>
          <w:tcPr>
            <w:tcW w:w="3188" w:type="dxa"/>
            <w:tcBorders>
              <w:top w:val="single" w:sz="4" w:space="0" w:color="auto"/>
              <w:left w:val="single" w:sz="4" w:space="0" w:color="auto"/>
              <w:bottom w:val="single" w:sz="4" w:space="0" w:color="auto"/>
              <w:right w:val="single" w:sz="4" w:space="0" w:color="auto"/>
            </w:tcBorders>
          </w:tcPr>
          <w:p w14:paraId="71FADEA4" w14:textId="77777777" w:rsidR="00971795" w:rsidRPr="00CB1714" w:rsidRDefault="00971795" w:rsidP="00EC7CDC">
            <w:pPr>
              <w:rPr>
                <w:rFonts w:ascii="Lato" w:hAnsi="Lato"/>
                <w:sz w:val="22"/>
                <w:szCs w:val="22"/>
              </w:rPr>
            </w:pPr>
          </w:p>
        </w:tc>
      </w:tr>
      <w:tr w:rsidR="00971795" w:rsidRPr="00CB1714" w14:paraId="55F0DD8D" w14:textId="77777777" w:rsidTr="00990D73">
        <w:trPr>
          <w:trHeight w:val="156"/>
        </w:trPr>
        <w:tc>
          <w:tcPr>
            <w:tcW w:w="1316" w:type="dxa"/>
          </w:tcPr>
          <w:p w14:paraId="5E5403ED" w14:textId="77777777" w:rsidR="00971795" w:rsidRPr="00CB1714" w:rsidRDefault="00971795" w:rsidP="00FD764E">
            <w:pPr>
              <w:jc w:val="right"/>
              <w:rPr>
                <w:rFonts w:ascii="Lato" w:hAnsi="Lato"/>
                <w:sz w:val="22"/>
                <w:szCs w:val="22"/>
              </w:rPr>
            </w:pPr>
          </w:p>
        </w:tc>
        <w:tc>
          <w:tcPr>
            <w:tcW w:w="5891" w:type="dxa"/>
          </w:tcPr>
          <w:p w14:paraId="582783D9" w14:textId="77777777" w:rsidR="00971795" w:rsidRPr="00CB1714" w:rsidRDefault="00815384" w:rsidP="006A1A8B">
            <w:pPr>
              <w:jc w:val="both"/>
              <w:rPr>
                <w:rFonts w:ascii="Lato" w:hAnsi="Lato"/>
                <w:sz w:val="22"/>
                <w:szCs w:val="22"/>
              </w:rPr>
            </w:pPr>
            <w:r w:rsidRPr="00CB1714">
              <w:rPr>
                <w:rFonts w:ascii="Lato" w:hAnsi="Lato"/>
                <w:bCs/>
                <w:sz w:val="22"/>
                <w:szCs w:val="22"/>
              </w:rPr>
              <w:t xml:space="preserve">underlying </w:t>
            </w:r>
            <w:r w:rsidR="006A1A8B" w:rsidRPr="00CB1714">
              <w:rPr>
                <w:rFonts w:ascii="Lato" w:hAnsi="Lato"/>
                <w:bCs/>
                <w:sz w:val="22"/>
                <w:szCs w:val="22"/>
              </w:rPr>
              <w:t>investment fund</w:t>
            </w:r>
            <w:r w:rsidRPr="00CB1714">
              <w:rPr>
                <w:rFonts w:ascii="Lato" w:hAnsi="Lato"/>
                <w:bCs/>
                <w:sz w:val="22"/>
                <w:szCs w:val="22"/>
              </w:rPr>
              <w:t xml:space="preserve"> which will be borne by the </w:t>
            </w:r>
          </w:p>
        </w:tc>
        <w:tc>
          <w:tcPr>
            <w:tcW w:w="3188" w:type="dxa"/>
            <w:tcBorders>
              <w:top w:val="single" w:sz="4" w:space="0" w:color="auto"/>
            </w:tcBorders>
          </w:tcPr>
          <w:p w14:paraId="7EF9F31F" w14:textId="77777777" w:rsidR="00971795" w:rsidRPr="00CB1714" w:rsidRDefault="00971795" w:rsidP="00FD764E">
            <w:pPr>
              <w:rPr>
                <w:rFonts w:ascii="Lato" w:hAnsi="Lato"/>
                <w:sz w:val="22"/>
                <w:szCs w:val="22"/>
              </w:rPr>
            </w:pPr>
          </w:p>
        </w:tc>
      </w:tr>
      <w:tr w:rsidR="00815384" w:rsidRPr="00CB1714" w14:paraId="0481D26D" w14:textId="77777777" w:rsidTr="00990D73">
        <w:trPr>
          <w:trHeight w:val="156"/>
        </w:trPr>
        <w:tc>
          <w:tcPr>
            <w:tcW w:w="1316" w:type="dxa"/>
          </w:tcPr>
          <w:p w14:paraId="14705CA4" w14:textId="77777777" w:rsidR="00815384" w:rsidRPr="00CB1714" w:rsidRDefault="00815384" w:rsidP="00FD764E">
            <w:pPr>
              <w:jc w:val="right"/>
              <w:rPr>
                <w:rFonts w:ascii="Lato" w:hAnsi="Lato"/>
                <w:sz w:val="22"/>
                <w:szCs w:val="22"/>
              </w:rPr>
            </w:pPr>
          </w:p>
        </w:tc>
        <w:tc>
          <w:tcPr>
            <w:tcW w:w="5891" w:type="dxa"/>
          </w:tcPr>
          <w:p w14:paraId="359EC111" w14:textId="77777777" w:rsidR="00815384" w:rsidRPr="00CB1714" w:rsidRDefault="006A1A8B" w:rsidP="00521989">
            <w:pPr>
              <w:jc w:val="both"/>
              <w:rPr>
                <w:rFonts w:ascii="Lato" w:hAnsi="Lato"/>
                <w:sz w:val="22"/>
                <w:szCs w:val="22"/>
              </w:rPr>
            </w:pPr>
            <w:r w:rsidRPr="00CB1714">
              <w:rPr>
                <w:rFonts w:ascii="Lato" w:hAnsi="Lato"/>
                <w:bCs/>
                <w:sz w:val="22"/>
                <w:szCs w:val="22"/>
              </w:rPr>
              <w:t xml:space="preserve">Qualifying </w:t>
            </w:r>
            <w:r w:rsidR="00815384" w:rsidRPr="00CB1714">
              <w:rPr>
                <w:rFonts w:ascii="Lato" w:hAnsi="Lato"/>
                <w:bCs/>
                <w:sz w:val="22"/>
                <w:szCs w:val="22"/>
              </w:rPr>
              <w:t>Investor AIF eg a description inves</w:t>
            </w:r>
            <w:r w:rsidR="00871403" w:rsidRPr="00CB1714">
              <w:rPr>
                <w:rFonts w:ascii="Lato" w:hAnsi="Lato"/>
                <w:bCs/>
                <w:sz w:val="22"/>
                <w:szCs w:val="22"/>
              </w:rPr>
              <w:t>tment</w:t>
            </w:r>
            <w:r w:rsidR="00815384" w:rsidRPr="00CB1714">
              <w:rPr>
                <w:rFonts w:ascii="Lato" w:hAnsi="Lato"/>
                <w:bCs/>
                <w:sz w:val="22"/>
                <w:szCs w:val="22"/>
              </w:rPr>
              <w:t xml:space="preserve"> </w:t>
            </w:r>
          </w:p>
        </w:tc>
        <w:tc>
          <w:tcPr>
            <w:tcW w:w="3188" w:type="dxa"/>
          </w:tcPr>
          <w:p w14:paraId="26617993" w14:textId="77777777" w:rsidR="00815384" w:rsidRPr="00CB1714" w:rsidRDefault="00815384" w:rsidP="00FD764E">
            <w:pPr>
              <w:rPr>
                <w:rFonts w:ascii="Lato" w:hAnsi="Lato"/>
                <w:sz w:val="22"/>
                <w:szCs w:val="22"/>
              </w:rPr>
            </w:pPr>
          </w:p>
        </w:tc>
      </w:tr>
      <w:tr w:rsidR="00815384" w:rsidRPr="00CB1714" w14:paraId="703C417E" w14:textId="77777777" w:rsidTr="00990D73">
        <w:trPr>
          <w:trHeight w:val="156"/>
        </w:trPr>
        <w:tc>
          <w:tcPr>
            <w:tcW w:w="1316" w:type="dxa"/>
          </w:tcPr>
          <w:p w14:paraId="037240CB" w14:textId="77777777" w:rsidR="00815384" w:rsidRPr="00CB1714" w:rsidRDefault="00815384" w:rsidP="00FD764E">
            <w:pPr>
              <w:jc w:val="right"/>
              <w:rPr>
                <w:rFonts w:ascii="Lato" w:hAnsi="Lato"/>
                <w:sz w:val="22"/>
                <w:szCs w:val="22"/>
              </w:rPr>
            </w:pPr>
          </w:p>
        </w:tc>
        <w:tc>
          <w:tcPr>
            <w:tcW w:w="5891" w:type="dxa"/>
          </w:tcPr>
          <w:p w14:paraId="512C7121" w14:textId="77777777" w:rsidR="00815384" w:rsidRPr="00CB1714" w:rsidRDefault="00521989" w:rsidP="00FD764E">
            <w:pPr>
              <w:jc w:val="both"/>
              <w:rPr>
                <w:rFonts w:ascii="Lato" w:hAnsi="Lato"/>
                <w:sz w:val="22"/>
                <w:szCs w:val="22"/>
              </w:rPr>
            </w:pPr>
            <w:r w:rsidRPr="00CB1714">
              <w:rPr>
                <w:rFonts w:ascii="Lato" w:hAnsi="Lato"/>
                <w:bCs/>
                <w:sz w:val="22"/>
                <w:szCs w:val="22"/>
              </w:rPr>
              <w:t xml:space="preserve">management </w:t>
            </w:r>
            <w:r w:rsidR="00815384" w:rsidRPr="00CB1714">
              <w:rPr>
                <w:rFonts w:ascii="Lato" w:hAnsi="Lato"/>
                <w:bCs/>
                <w:sz w:val="22"/>
                <w:szCs w:val="22"/>
              </w:rPr>
              <w:t>/performance fees and indicative amounts where possible</w:t>
            </w:r>
          </w:p>
        </w:tc>
        <w:tc>
          <w:tcPr>
            <w:tcW w:w="3188" w:type="dxa"/>
          </w:tcPr>
          <w:p w14:paraId="30FCE079" w14:textId="77777777" w:rsidR="00815384" w:rsidRPr="00CB1714" w:rsidRDefault="00815384" w:rsidP="00FD764E">
            <w:pPr>
              <w:rPr>
                <w:rFonts w:ascii="Lato" w:hAnsi="Lato"/>
                <w:sz w:val="22"/>
                <w:szCs w:val="22"/>
              </w:rPr>
            </w:pPr>
          </w:p>
        </w:tc>
      </w:tr>
      <w:tr w:rsidR="00971795" w:rsidRPr="00CB1714" w14:paraId="61C9739E" w14:textId="77777777" w:rsidTr="00990D73">
        <w:trPr>
          <w:trHeight w:val="156"/>
        </w:trPr>
        <w:tc>
          <w:tcPr>
            <w:tcW w:w="1316" w:type="dxa"/>
          </w:tcPr>
          <w:p w14:paraId="52A9802C" w14:textId="77777777" w:rsidR="00971795" w:rsidRPr="00CB1714" w:rsidRDefault="00971795" w:rsidP="00FD764E">
            <w:pPr>
              <w:jc w:val="right"/>
              <w:rPr>
                <w:rFonts w:ascii="Lato" w:hAnsi="Lato"/>
                <w:sz w:val="22"/>
                <w:szCs w:val="22"/>
              </w:rPr>
            </w:pPr>
          </w:p>
        </w:tc>
        <w:tc>
          <w:tcPr>
            <w:tcW w:w="5891" w:type="dxa"/>
          </w:tcPr>
          <w:p w14:paraId="4BA70C7F" w14:textId="77777777" w:rsidR="00971795" w:rsidRPr="00CB1714" w:rsidRDefault="00971795" w:rsidP="00FD764E">
            <w:pPr>
              <w:pStyle w:val="Heading6"/>
              <w:jc w:val="both"/>
              <w:rPr>
                <w:rFonts w:ascii="Lato" w:hAnsi="Lato"/>
                <w:color w:val="auto"/>
                <w:szCs w:val="22"/>
                <w:u w:val="none"/>
              </w:rPr>
            </w:pPr>
          </w:p>
        </w:tc>
        <w:tc>
          <w:tcPr>
            <w:tcW w:w="3188" w:type="dxa"/>
          </w:tcPr>
          <w:p w14:paraId="62974F48" w14:textId="77777777" w:rsidR="00971795" w:rsidRPr="00CB1714" w:rsidRDefault="00971795" w:rsidP="00FD764E">
            <w:pPr>
              <w:rPr>
                <w:rFonts w:ascii="Lato" w:hAnsi="Lato"/>
                <w:sz w:val="22"/>
                <w:szCs w:val="22"/>
              </w:rPr>
            </w:pPr>
          </w:p>
        </w:tc>
      </w:tr>
      <w:tr w:rsidR="00971795" w:rsidRPr="00CB1714" w14:paraId="23164CD7" w14:textId="77777777" w:rsidTr="00990D73">
        <w:trPr>
          <w:trHeight w:val="156"/>
        </w:trPr>
        <w:tc>
          <w:tcPr>
            <w:tcW w:w="1316" w:type="dxa"/>
          </w:tcPr>
          <w:p w14:paraId="086554E9" w14:textId="77777777" w:rsidR="00971795" w:rsidRPr="00CB1714" w:rsidRDefault="00971795" w:rsidP="00A75241">
            <w:pPr>
              <w:rPr>
                <w:rFonts w:ascii="Lato" w:hAnsi="Lato"/>
                <w:sz w:val="22"/>
                <w:szCs w:val="22"/>
              </w:rPr>
            </w:pPr>
            <w:r w:rsidRPr="00CB1714">
              <w:rPr>
                <w:rFonts w:ascii="Lato" w:hAnsi="Lato"/>
                <w:sz w:val="22"/>
                <w:szCs w:val="22"/>
              </w:rPr>
              <w:t>2.2.</w:t>
            </w:r>
            <w:r w:rsidR="00A75241" w:rsidRPr="00CB1714">
              <w:rPr>
                <w:rFonts w:ascii="Lato" w:hAnsi="Lato"/>
                <w:sz w:val="22"/>
                <w:szCs w:val="22"/>
              </w:rPr>
              <w:t>4</w:t>
            </w:r>
          </w:p>
        </w:tc>
        <w:tc>
          <w:tcPr>
            <w:tcW w:w="5891" w:type="dxa"/>
          </w:tcPr>
          <w:p w14:paraId="32772053" w14:textId="77777777" w:rsidR="00971795" w:rsidRPr="00CB1714" w:rsidRDefault="00971795" w:rsidP="00FD764E">
            <w:pPr>
              <w:pStyle w:val="Heading6"/>
              <w:jc w:val="both"/>
              <w:rPr>
                <w:rFonts w:ascii="Lato" w:hAnsi="Lato"/>
                <w:color w:val="auto"/>
                <w:szCs w:val="22"/>
              </w:rPr>
            </w:pPr>
          </w:p>
        </w:tc>
        <w:tc>
          <w:tcPr>
            <w:tcW w:w="3188" w:type="dxa"/>
            <w:tcBorders>
              <w:bottom w:val="single" w:sz="4" w:space="0" w:color="auto"/>
            </w:tcBorders>
          </w:tcPr>
          <w:p w14:paraId="1F1FD40A" w14:textId="77777777" w:rsidR="00971795" w:rsidRPr="00CB1714" w:rsidRDefault="00971795" w:rsidP="00FD764E">
            <w:pPr>
              <w:rPr>
                <w:rFonts w:ascii="Lato" w:hAnsi="Lato"/>
                <w:sz w:val="22"/>
                <w:szCs w:val="22"/>
              </w:rPr>
            </w:pPr>
          </w:p>
        </w:tc>
      </w:tr>
      <w:tr w:rsidR="00971795" w:rsidRPr="00CB1714" w14:paraId="49578991" w14:textId="77777777" w:rsidTr="00990D73">
        <w:trPr>
          <w:trHeight w:val="156"/>
        </w:trPr>
        <w:tc>
          <w:tcPr>
            <w:tcW w:w="1316" w:type="dxa"/>
          </w:tcPr>
          <w:p w14:paraId="298E9957" w14:textId="77777777" w:rsidR="00971795" w:rsidRPr="00CB1714" w:rsidRDefault="00971795" w:rsidP="00971795">
            <w:pPr>
              <w:jc w:val="right"/>
              <w:rPr>
                <w:rFonts w:ascii="Lato" w:hAnsi="Lato"/>
                <w:sz w:val="22"/>
                <w:szCs w:val="22"/>
              </w:rPr>
            </w:pPr>
            <w:r w:rsidRPr="00CB1714">
              <w:rPr>
                <w:rFonts w:ascii="Lato" w:hAnsi="Lato"/>
                <w:sz w:val="22"/>
                <w:szCs w:val="22"/>
              </w:rPr>
              <w:t>(i)</w:t>
            </w:r>
            <w:r w:rsidR="00206F79" w:rsidRPr="00CB1714">
              <w:rPr>
                <w:rFonts w:ascii="Lato" w:hAnsi="Lato"/>
                <w:sz w:val="22"/>
                <w:szCs w:val="22"/>
              </w:rPr>
              <w:t>(a)</w:t>
            </w:r>
          </w:p>
        </w:tc>
        <w:tc>
          <w:tcPr>
            <w:tcW w:w="5891" w:type="dxa"/>
            <w:tcBorders>
              <w:right w:val="single" w:sz="4" w:space="0" w:color="auto"/>
            </w:tcBorders>
          </w:tcPr>
          <w:p w14:paraId="5E9D7226" w14:textId="77777777" w:rsidR="00971795" w:rsidRPr="00CB1714" w:rsidRDefault="00971795" w:rsidP="00206F79">
            <w:pPr>
              <w:pStyle w:val="Heading6"/>
              <w:jc w:val="both"/>
              <w:rPr>
                <w:rFonts w:ascii="Lato" w:hAnsi="Lato"/>
                <w:color w:val="auto"/>
                <w:szCs w:val="22"/>
              </w:rPr>
            </w:pPr>
            <w:r w:rsidRPr="00CB1714">
              <w:rPr>
                <w:rFonts w:ascii="Lato" w:hAnsi="Lato"/>
                <w:color w:val="auto"/>
                <w:szCs w:val="22"/>
                <w:u w:val="none"/>
              </w:rPr>
              <w:t xml:space="preserve">Disclose </w:t>
            </w:r>
            <w:r w:rsidR="00206F79" w:rsidRPr="00CB1714">
              <w:rPr>
                <w:rFonts w:ascii="Lato" w:hAnsi="Lato"/>
                <w:color w:val="auto"/>
                <w:szCs w:val="22"/>
                <w:u w:val="none"/>
              </w:rPr>
              <w:t xml:space="preserve"> the extent to which it is intended to invest in </w:t>
            </w:r>
          </w:p>
        </w:tc>
        <w:tc>
          <w:tcPr>
            <w:tcW w:w="3188" w:type="dxa"/>
            <w:tcBorders>
              <w:top w:val="single" w:sz="4" w:space="0" w:color="auto"/>
              <w:left w:val="single" w:sz="4" w:space="0" w:color="auto"/>
              <w:bottom w:val="single" w:sz="4" w:space="0" w:color="auto"/>
              <w:right w:val="single" w:sz="4" w:space="0" w:color="auto"/>
            </w:tcBorders>
          </w:tcPr>
          <w:p w14:paraId="593109F3" w14:textId="77777777" w:rsidR="00971795" w:rsidRPr="00CB1714" w:rsidRDefault="00971795" w:rsidP="00FD764E">
            <w:pPr>
              <w:rPr>
                <w:rFonts w:ascii="Lato" w:hAnsi="Lato"/>
                <w:sz w:val="22"/>
                <w:szCs w:val="22"/>
              </w:rPr>
            </w:pPr>
          </w:p>
        </w:tc>
      </w:tr>
      <w:tr w:rsidR="00971795" w:rsidRPr="00CB1714" w14:paraId="637B5E67" w14:textId="77777777" w:rsidTr="00A70AEC">
        <w:trPr>
          <w:trHeight w:val="156"/>
        </w:trPr>
        <w:tc>
          <w:tcPr>
            <w:tcW w:w="1316" w:type="dxa"/>
          </w:tcPr>
          <w:p w14:paraId="3E4554CB" w14:textId="77777777" w:rsidR="00971795" w:rsidRPr="00CB1714" w:rsidRDefault="00971795" w:rsidP="00971795">
            <w:pPr>
              <w:jc w:val="right"/>
              <w:rPr>
                <w:rFonts w:ascii="Lato" w:hAnsi="Lato"/>
                <w:sz w:val="22"/>
                <w:szCs w:val="22"/>
              </w:rPr>
            </w:pPr>
          </w:p>
        </w:tc>
        <w:tc>
          <w:tcPr>
            <w:tcW w:w="5891" w:type="dxa"/>
          </w:tcPr>
          <w:p w14:paraId="04D2D6C7" w14:textId="77777777" w:rsidR="00971795" w:rsidRPr="00CB1714" w:rsidRDefault="00971795" w:rsidP="00206F79">
            <w:pPr>
              <w:pStyle w:val="Heading6"/>
              <w:jc w:val="both"/>
              <w:rPr>
                <w:rFonts w:ascii="Lato" w:hAnsi="Lato"/>
                <w:color w:val="auto"/>
                <w:szCs w:val="22"/>
              </w:rPr>
            </w:pPr>
            <w:r w:rsidRPr="00CB1714">
              <w:rPr>
                <w:rFonts w:ascii="Lato" w:hAnsi="Lato"/>
                <w:color w:val="auto"/>
                <w:szCs w:val="22"/>
                <w:u w:val="none"/>
              </w:rPr>
              <w:t>another investment fund</w:t>
            </w:r>
            <w:r w:rsidR="006A1A8B" w:rsidRPr="00CB1714">
              <w:rPr>
                <w:rFonts w:ascii="Lato" w:hAnsi="Lato"/>
                <w:color w:val="auto"/>
                <w:szCs w:val="22"/>
                <w:u w:val="none"/>
              </w:rPr>
              <w:t>s</w:t>
            </w:r>
          </w:p>
        </w:tc>
        <w:tc>
          <w:tcPr>
            <w:tcW w:w="3188" w:type="dxa"/>
            <w:tcBorders>
              <w:top w:val="single" w:sz="4" w:space="0" w:color="auto"/>
              <w:bottom w:val="single" w:sz="4" w:space="0" w:color="auto"/>
            </w:tcBorders>
          </w:tcPr>
          <w:p w14:paraId="27863A68" w14:textId="77777777" w:rsidR="00971795" w:rsidRPr="00CB1714" w:rsidRDefault="00971795" w:rsidP="00FD764E">
            <w:pPr>
              <w:rPr>
                <w:rFonts w:ascii="Lato" w:hAnsi="Lato"/>
                <w:sz w:val="22"/>
                <w:szCs w:val="22"/>
              </w:rPr>
            </w:pPr>
          </w:p>
        </w:tc>
      </w:tr>
      <w:tr w:rsidR="00206F79" w:rsidRPr="00CB1714" w14:paraId="4964B33A" w14:textId="77777777" w:rsidTr="00A70AEC">
        <w:trPr>
          <w:trHeight w:val="156"/>
        </w:trPr>
        <w:tc>
          <w:tcPr>
            <w:tcW w:w="1316" w:type="dxa"/>
          </w:tcPr>
          <w:p w14:paraId="0EE17F38" w14:textId="77777777" w:rsidR="00206F79" w:rsidRPr="00CB1714" w:rsidRDefault="00206F79" w:rsidP="00971795">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7BDA4D19" w14:textId="77777777" w:rsidR="00206F79" w:rsidRPr="00CB1714" w:rsidDel="00206F79" w:rsidRDefault="00206F79" w:rsidP="00206F79">
            <w:pPr>
              <w:pStyle w:val="Heading6"/>
              <w:jc w:val="both"/>
              <w:rPr>
                <w:rFonts w:ascii="Lato" w:hAnsi="Lato"/>
                <w:color w:val="auto"/>
                <w:szCs w:val="22"/>
                <w:u w:val="none"/>
              </w:rPr>
            </w:pPr>
            <w:r w:rsidRPr="00CB1714">
              <w:rPr>
                <w:rFonts w:ascii="Lato" w:hAnsi="Lato"/>
                <w:color w:val="auto"/>
                <w:szCs w:val="22"/>
                <w:u w:val="none"/>
              </w:rPr>
              <w:t>state that additional fees will arise from this investment policy</w:t>
            </w:r>
          </w:p>
        </w:tc>
        <w:tc>
          <w:tcPr>
            <w:tcW w:w="3188" w:type="dxa"/>
            <w:tcBorders>
              <w:top w:val="single" w:sz="4" w:space="0" w:color="auto"/>
              <w:left w:val="single" w:sz="4" w:space="0" w:color="auto"/>
              <w:bottom w:val="single" w:sz="4" w:space="0" w:color="auto"/>
              <w:right w:val="single" w:sz="4" w:space="0" w:color="auto"/>
            </w:tcBorders>
          </w:tcPr>
          <w:p w14:paraId="00CCBC69" w14:textId="77777777" w:rsidR="00206F79" w:rsidRPr="00CB1714" w:rsidRDefault="00206F79" w:rsidP="00FD764E">
            <w:pPr>
              <w:rPr>
                <w:rFonts w:ascii="Lato" w:hAnsi="Lato"/>
                <w:sz w:val="22"/>
                <w:szCs w:val="22"/>
              </w:rPr>
            </w:pPr>
          </w:p>
        </w:tc>
      </w:tr>
      <w:tr w:rsidR="00971795" w:rsidRPr="00CB1714" w14:paraId="40258473" w14:textId="77777777" w:rsidTr="00990D73">
        <w:trPr>
          <w:trHeight w:val="156"/>
        </w:trPr>
        <w:tc>
          <w:tcPr>
            <w:tcW w:w="1316" w:type="dxa"/>
          </w:tcPr>
          <w:p w14:paraId="373CA2EC" w14:textId="77777777" w:rsidR="00971795" w:rsidRPr="00CB1714" w:rsidRDefault="00971795" w:rsidP="00971795">
            <w:pPr>
              <w:jc w:val="right"/>
              <w:rPr>
                <w:rFonts w:ascii="Lato" w:hAnsi="Lato"/>
                <w:sz w:val="22"/>
                <w:szCs w:val="22"/>
              </w:rPr>
            </w:pPr>
          </w:p>
        </w:tc>
        <w:tc>
          <w:tcPr>
            <w:tcW w:w="5891" w:type="dxa"/>
          </w:tcPr>
          <w:p w14:paraId="2C42F76D" w14:textId="77777777" w:rsidR="00971795" w:rsidRPr="00CB1714" w:rsidRDefault="00971795" w:rsidP="00FD764E">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201AD336" w14:textId="77777777" w:rsidR="00971795" w:rsidRPr="00CB1714" w:rsidRDefault="00971795" w:rsidP="00FD764E">
            <w:pPr>
              <w:rPr>
                <w:rFonts w:ascii="Lato" w:hAnsi="Lato"/>
                <w:sz w:val="22"/>
                <w:szCs w:val="22"/>
              </w:rPr>
            </w:pPr>
          </w:p>
        </w:tc>
      </w:tr>
      <w:tr w:rsidR="00971795" w:rsidRPr="00CB1714" w14:paraId="76C1F982" w14:textId="77777777" w:rsidTr="00990D73">
        <w:trPr>
          <w:trHeight w:val="156"/>
        </w:trPr>
        <w:tc>
          <w:tcPr>
            <w:tcW w:w="1316" w:type="dxa"/>
          </w:tcPr>
          <w:p w14:paraId="7A5714B4" w14:textId="77777777" w:rsidR="00971795" w:rsidRPr="00CB1714" w:rsidRDefault="00971795" w:rsidP="00971795">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79C230ED" w14:textId="77777777" w:rsidR="00971795" w:rsidRPr="00CB1714" w:rsidRDefault="00206F79" w:rsidP="00FD764E">
            <w:pPr>
              <w:pStyle w:val="Heading6"/>
              <w:jc w:val="both"/>
              <w:rPr>
                <w:rFonts w:ascii="Lato" w:hAnsi="Lato"/>
                <w:color w:val="auto"/>
                <w:szCs w:val="22"/>
              </w:rPr>
            </w:pPr>
            <w:r w:rsidRPr="00CB1714">
              <w:rPr>
                <w:rFonts w:ascii="Lato" w:hAnsi="Lato"/>
                <w:color w:val="auto"/>
                <w:szCs w:val="22"/>
                <w:u w:val="none"/>
              </w:rPr>
              <w:t>Disclose and quantify to the extent possible</w:t>
            </w:r>
          </w:p>
        </w:tc>
        <w:tc>
          <w:tcPr>
            <w:tcW w:w="3188" w:type="dxa"/>
            <w:tcBorders>
              <w:top w:val="single" w:sz="4" w:space="0" w:color="auto"/>
              <w:left w:val="single" w:sz="4" w:space="0" w:color="auto"/>
              <w:bottom w:val="single" w:sz="4" w:space="0" w:color="auto"/>
              <w:right w:val="single" w:sz="4" w:space="0" w:color="auto"/>
            </w:tcBorders>
          </w:tcPr>
          <w:p w14:paraId="29DBF7E6" w14:textId="77777777" w:rsidR="00971795" w:rsidRPr="00CB1714" w:rsidRDefault="00971795" w:rsidP="00FD764E">
            <w:pPr>
              <w:rPr>
                <w:rFonts w:ascii="Lato" w:hAnsi="Lato"/>
                <w:sz w:val="22"/>
                <w:szCs w:val="22"/>
              </w:rPr>
            </w:pPr>
          </w:p>
        </w:tc>
      </w:tr>
      <w:tr w:rsidR="00971795" w:rsidRPr="00CB1714" w14:paraId="3515E2F4" w14:textId="77777777" w:rsidTr="00990D73">
        <w:trPr>
          <w:trHeight w:val="156"/>
        </w:trPr>
        <w:tc>
          <w:tcPr>
            <w:tcW w:w="1316" w:type="dxa"/>
          </w:tcPr>
          <w:p w14:paraId="0A8DF0F5" w14:textId="77777777" w:rsidR="00971795" w:rsidRPr="00CB1714" w:rsidRDefault="00971795" w:rsidP="00971795">
            <w:pPr>
              <w:jc w:val="right"/>
              <w:rPr>
                <w:rFonts w:ascii="Lato" w:hAnsi="Lato"/>
                <w:sz w:val="22"/>
                <w:szCs w:val="22"/>
              </w:rPr>
            </w:pPr>
          </w:p>
        </w:tc>
        <w:tc>
          <w:tcPr>
            <w:tcW w:w="5891" w:type="dxa"/>
          </w:tcPr>
          <w:p w14:paraId="02619CE2" w14:textId="77777777" w:rsidR="00971795" w:rsidRPr="00CB1714" w:rsidRDefault="00206F79" w:rsidP="00FD764E">
            <w:pPr>
              <w:pStyle w:val="Heading6"/>
              <w:jc w:val="both"/>
              <w:rPr>
                <w:rFonts w:ascii="Lato" w:hAnsi="Lato"/>
                <w:color w:val="auto"/>
                <w:szCs w:val="22"/>
              </w:rPr>
            </w:pPr>
            <w:r w:rsidRPr="00CB1714">
              <w:rPr>
                <w:rFonts w:ascii="Lato" w:hAnsi="Lato"/>
                <w:color w:val="auto"/>
                <w:szCs w:val="22"/>
                <w:u w:val="none"/>
              </w:rPr>
              <w:t xml:space="preserve"> the types of charges, and other costs, relating to the underlying investment funds which will be borne by the Qualifying Investor AIF</w:t>
            </w:r>
          </w:p>
        </w:tc>
        <w:tc>
          <w:tcPr>
            <w:tcW w:w="3188" w:type="dxa"/>
            <w:tcBorders>
              <w:top w:val="single" w:sz="4" w:space="0" w:color="auto"/>
            </w:tcBorders>
          </w:tcPr>
          <w:p w14:paraId="75CC2E37" w14:textId="77777777" w:rsidR="00971795" w:rsidRPr="00CB1714" w:rsidRDefault="00971795" w:rsidP="00FD764E">
            <w:pPr>
              <w:rPr>
                <w:rFonts w:ascii="Lato" w:hAnsi="Lato"/>
                <w:sz w:val="22"/>
                <w:szCs w:val="22"/>
              </w:rPr>
            </w:pPr>
          </w:p>
        </w:tc>
      </w:tr>
      <w:tr w:rsidR="00971795" w:rsidRPr="00CB1714" w14:paraId="51E24173" w14:textId="77777777" w:rsidTr="00990D73">
        <w:trPr>
          <w:trHeight w:val="156"/>
        </w:trPr>
        <w:tc>
          <w:tcPr>
            <w:tcW w:w="1316" w:type="dxa"/>
          </w:tcPr>
          <w:p w14:paraId="23B0757F" w14:textId="77777777" w:rsidR="00971795" w:rsidRPr="00CB1714" w:rsidRDefault="00971795" w:rsidP="00971795">
            <w:pPr>
              <w:jc w:val="right"/>
              <w:rPr>
                <w:rFonts w:ascii="Lato" w:hAnsi="Lato"/>
                <w:sz w:val="22"/>
                <w:szCs w:val="22"/>
              </w:rPr>
            </w:pPr>
          </w:p>
        </w:tc>
        <w:tc>
          <w:tcPr>
            <w:tcW w:w="5891" w:type="dxa"/>
          </w:tcPr>
          <w:p w14:paraId="43984E39" w14:textId="77777777" w:rsidR="00971795" w:rsidRPr="00CB1714" w:rsidRDefault="00971795" w:rsidP="00FD764E">
            <w:pPr>
              <w:pStyle w:val="Heading6"/>
              <w:jc w:val="both"/>
              <w:rPr>
                <w:rFonts w:ascii="Lato" w:hAnsi="Lato"/>
                <w:color w:val="auto"/>
                <w:szCs w:val="22"/>
              </w:rPr>
            </w:pPr>
          </w:p>
        </w:tc>
        <w:tc>
          <w:tcPr>
            <w:tcW w:w="3188" w:type="dxa"/>
          </w:tcPr>
          <w:p w14:paraId="44FDA651" w14:textId="77777777" w:rsidR="00971795" w:rsidRPr="00CB1714" w:rsidRDefault="00971795" w:rsidP="00FD764E">
            <w:pPr>
              <w:rPr>
                <w:rFonts w:ascii="Lato" w:hAnsi="Lato"/>
                <w:sz w:val="22"/>
                <w:szCs w:val="22"/>
              </w:rPr>
            </w:pPr>
          </w:p>
        </w:tc>
      </w:tr>
      <w:tr w:rsidR="00971795" w:rsidRPr="00CB1714" w14:paraId="0C93A79F" w14:textId="77777777" w:rsidTr="00990D73">
        <w:trPr>
          <w:trHeight w:val="156"/>
        </w:trPr>
        <w:tc>
          <w:tcPr>
            <w:tcW w:w="1316" w:type="dxa"/>
          </w:tcPr>
          <w:p w14:paraId="6FF5B250" w14:textId="77777777" w:rsidR="00971795" w:rsidRPr="00CB1714" w:rsidRDefault="00971795" w:rsidP="00971795">
            <w:pPr>
              <w:jc w:val="right"/>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3FC6A997" w14:textId="77777777" w:rsidR="00971795" w:rsidRPr="00CB1714" w:rsidRDefault="00971795" w:rsidP="00971795">
            <w:pPr>
              <w:pStyle w:val="Heading6"/>
              <w:jc w:val="both"/>
              <w:rPr>
                <w:rFonts w:ascii="Lato" w:hAnsi="Lato"/>
                <w:color w:val="auto"/>
                <w:szCs w:val="22"/>
                <w:u w:val="none"/>
              </w:rPr>
            </w:pPr>
            <w:r w:rsidRPr="00CB1714">
              <w:rPr>
                <w:rFonts w:ascii="Lato" w:hAnsi="Lato"/>
                <w:color w:val="auto"/>
                <w:szCs w:val="22"/>
                <w:u w:val="none"/>
              </w:rPr>
              <w:t>Disclose where the underlying funds are established</w:t>
            </w:r>
          </w:p>
        </w:tc>
        <w:tc>
          <w:tcPr>
            <w:tcW w:w="3188" w:type="dxa"/>
            <w:tcBorders>
              <w:top w:val="single" w:sz="4" w:space="0" w:color="auto"/>
              <w:left w:val="single" w:sz="4" w:space="0" w:color="auto"/>
              <w:bottom w:val="single" w:sz="4" w:space="0" w:color="auto"/>
              <w:right w:val="single" w:sz="4" w:space="0" w:color="auto"/>
            </w:tcBorders>
          </w:tcPr>
          <w:p w14:paraId="4364C984" w14:textId="77777777" w:rsidR="00971795" w:rsidRPr="00CB1714" w:rsidRDefault="00971795" w:rsidP="00FD764E">
            <w:pPr>
              <w:rPr>
                <w:rFonts w:ascii="Lato" w:hAnsi="Lato"/>
                <w:sz w:val="22"/>
                <w:szCs w:val="22"/>
              </w:rPr>
            </w:pPr>
          </w:p>
        </w:tc>
      </w:tr>
      <w:tr w:rsidR="00971795" w:rsidRPr="00CB1714" w14:paraId="5CC4687C" w14:textId="77777777" w:rsidTr="00990D73">
        <w:trPr>
          <w:trHeight w:val="156"/>
        </w:trPr>
        <w:tc>
          <w:tcPr>
            <w:tcW w:w="1316" w:type="dxa"/>
          </w:tcPr>
          <w:p w14:paraId="17922A00" w14:textId="77777777" w:rsidR="00971795" w:rsidRPr="00CB1714" w:rsidRDefault="00971795" w:rsidP="00971795">
            <w:pPr>
              <w:jc w:val="right"/>
              <w:rPr>
                <w:rFonts w:ascii="Lato" w:hAnsi="Lato"/>
                <w:sz w:val="22"/>
                <w:szCs w:val="22"/>
              </w:rPr>
            </w:pPr>
          </w:p>
        </w:tc>
        <w:tc>
          <w:tcPr>
            <w:tcW w:w="5891" w:type="dxa"/>
          </w:tcPr>
          <w:p w14:paraId="5D61EE0E" w14:textId="77777777" w:rsidR="00971795" w:rsidRPr="00CB1714" w:rsidRDefault="00971795" w:rsidP="00971795">
            <w:pPr>
              <w:pStyle w:val="Heading6"/>
              <w:jc w:val="both"/>
              <w:rPr>
                <w:rFonts w:ascii="Lato" w:hAnsi="Lato"/>
                <w:color w:val="auto"/>
                <w:szCs w:val="22"/>
                <w:u w:val="none"/>
              </w:rPr>
            </w:pPr>
          </w:p>
        </w:tc>
        <w:tc>
          <w:tcPr>
            <w:tcW w:w="3188" w:type="dxa"/>
            <w:tcBorders>
              <w:top w:val="single" w:sz="4" w:space="0" w:color="auto"/>
              <w:bottom w:val="single" w:sz="4" w:space="0" w:color="auto"/>
            </w:tcBorders>
          </w:tcPr>
          <w:p w14:paraId="10F687CC" w14:textId="77777777" w:rsidR="00971795" w:rsidRPr="00CB1714" w:rsidRDefault="00971795" w:rsidP="00FD764E">
            <w:pPr>
              <w:rPr>
                <w:rFonts w:ascii="Lato" w:hAnsi="Lato"/>
                <w:sz w:val="22"/>
                <w:szCs w:val="22"/>
              </w:rPr>
            </w:pPr>
          </w:p>
        </w:tc>
      </w:tr>
      <w:tr w:rsidR="00971795" w:rsidRPr="00CB1714" w14:paraId="0932D1DF" w14:textId="77777777" w:rsidTr="00990D73">
        <w:trPr>
          <w:trHeight w:val="156"/>
        </w:trPr>
        <w:tc>
          <w:tcPr>
            <w:tcW w:w="1316" w:type="dxa"/>
          </w:tcPr>
          <w:p w14:paraId="75E952E8" w14:textId="77777777" w:rsidR="00971795" w:rsidRPr="00CB1714" w:rsidRDefault="00971795" w:rsidP="00971795">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131E83C6" w14:textId="77777777" w:rsidR="00971795" w:rsidRPr="00CB1714" w:rsidRDefault="00971795" w:rsidP="00CB1714">
            <w:pPr>
              <w:pStyle w:val="Heading6"/>
              <w:jc w:val="both"/>
              <w:rPr>
                <w:rFonts w:ascii="Lato" w:hAnsi="Lato"/>
                <w:color w:val="auto"/>
                <w:szCs w:val="22"/>
                <w:u w:val="none"/>
              </w:rPr>
            </w:pPr>
            <w:r w:rsidRPr="00CB1714">
              <w:rPr>
                <w:rFonts w:ascii="Lato" w:hAnsi="Lato"/>
                <w:color w:val="auto"/>
                <w:szCs w:val="22"/>
                <w:u w:val="none"/>
              </w:rPr>
              <w:t xml:space="preserve">where a Qualifying investor AIF </w:t>
            </w:r>
            <w:r w:rsidR="007F094D" w:rsidRPr="00CB1714">
              <w:rPr>
                <w:rFonts w:ascii="Lato" w:hAnsi="Lato"/>
                <w:color w:val="auto"/>
                <w:szCs w:val="22"/>
                <w:u w:val="none"/>
              </w:rPr>
              <w:t xml:space="preserve">is a fund of funds it </w:t>
            </w:r>
            <w:r w:rsidRPr="00CB1714">
              <w:rPr>
                <w:rFonts w:ascii="Lato" w:hAnsi="Lato"/>
                <w:color w:val="auto"/>
                <w:szCs w:val="22"/>
                <w:u w:val="none"/>
              </w:rPr>
              <w:t>may</w:t>
            </w:r>
            <w:r w:rsidR="007F094D" w:rsidRPr="00CB1714">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14B1EF37" w14:textId="77777777" w:rsidR="00971795" w:rsidRPr="00CB1714" w:rsidRDefault="00971795" w:rsidP="00FD764E">
            <w:pPr>
              <w:rPr>
                <w:rFonts w:ascii="Lato" w:hAnsi="Lato"/>
                <w:sz w:val="22"/>
                <w:szCs w:val="22"/>
              </w:rPr>
            </w:pPr>
          </w:p>
        </w:tc>
      </w:tr>
      <w:tr w:rsidR="00971795" w:rsidRPr="00CB1714" w14:paraId="73685C44" w14:textId="77777777" w:rsidTr="00990D73">
        <w:trPr>
          <w:trHeight w:val="156"/>
        </w:trPr>
        <w:tc>
          <w:tcPr>
            <w:tcW w:w="1316" w:type="dxa"/>
          </w:tcPr>
          <w:p w14:paraId="7DAA1706" w14:textId="77777777" w:rsidR="00971795" w:rsidRPr="00CB1714" w:rsidRDefault="00971795" w:rsidP="00971795">
            <w:pPr>
              <w:jc w:val="right"/>
              <w:rPr>
                <w:rFonts w:ascii="Lato" w:hAnsi="Lato"/>
                <w:sz w:val="22"/>
                <w:szCs w:val="22"/>
              </w:rPr>
            </w:pPr>
          </w:p>
        </w:tc>
        <w:tc>
          <w:tcPr>
            <w:tcW w:w="5891" w:type="dxa"/>
          </w:tcPr>
          <w:p w14:paraId="0142382C" w14:textId="77777777" w:rsidR="00971795"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only</w:t>
            </w:r>
            <w:r w:rsidRPr="00CB1714">
              <w:rPr>
                <w:rFonts w:ascii="Lato" w:hAnsi="Lato"/>
                <w:color w:val="auto"/>
                <w:szCs w:val="22"/>
                <w:u w:val="none"/>
              </w:rPr>
              <w:t xml:space="preserve"> </w:t>
            </w:r>
            <w:r w:rsidR="00F24645" w:rsidRPr="00CB1714">
              <w:rPr>
                <w:rFonts w:ascii="Lato" w:hAnsi="Lato"/>
                <w:color w:val="auto"/>
                <w:szCs w:val="22"/>
                <w:u w:val="none"/>
              </w:rPr>
              <w:t xml:space="preserve">invest in other </w:t>
            </w:r>
            <w:r w:rsidR="00971795" w:rsidRPr="00CB1714">
              <w:rPr>
                <w:rFonts w:ascii="Lato" w:hAnsi="Lato"/>
                <w:color w:val="auto"/>
                <w:szCs w:val="22"/>
                <w:u w:val="none"/>
              </w:rPr>
              <w:t>investment fund which itself invests more than 50% of net</w:t>
            </w:r>
            <w:r w:rsidR="00650A88" w:rsidRPr="00CB1714">
              <w:rPr>
                <w:rFonts w:ascii="Lato" w:hAnsi="Lato"/>
                <w:color w:val="auto"/>
                <w:szCs w:val="22"/>
                <w:u w:val="none"/>
              </w:rPr>
              <w:t xml:space="preserve"> assets in other investment funds, </w:t>
            </w:r>
          </w:p>
        </w:tc>
        <w:tc>
          <w:tcPr>
            <w:tcW w:w="3188" w:type="dxa"/>
            <w:tcBorders>
              <w:top w:val="single" w:sz="4" w:space="0" w:color="auto"/>
            </w:tcBorders>
          </w:tcPr>
          <w:p w14:paraId="64718E2E" w14:textId="77777777" w:rsidR="00971795" w:rsidRPr="00CB1714" w:rsidRDefault="00971795" w:rsidP="00FD764E">
            <w:pPr>
              <w:rPr>
                <w:rFonts w:ascii="Lato" w:hAnsi="Lato"/>
                <w:sz w:val="22"/>
                <w:szCs w:val="22"/>
              </w:rPr>
            </w:pPr>
          </w:p>
        </w:tc>
      </w:tr>
      <w:tr w:rsidR="00971795" w:rsidRPr="00CB1714" w14:paraId="62857A9F" w14:textId="77777777" w:rsidTr="00990D73">
        <w:trPr>
          <w:trHeight w:val="156"/>
        </w:trPr>
        <w:tc>
          <w:tcPr>
            <w:tcW w:w="1316" w:type="dxa"/>
          </w:tcPr>
          <w:p w14:paraId="05A8950B" w14:textId="77777777" w:rsidR="00971795" w:rsidRPr="00CB1714" w:rsidRDefault="00971795" w:rsidP="00971795">
            <w:pPr>
              <w:jc w:val="right"/>
              <w:rPr>
                <w:rFonts w:ascii="Lato" w:hAnsi="Lato"/>
                <w:sz w:val="22"/>
                <w:szCs w:val="22"/>
              </w:rPr>
            </w:pPr>
          </w:p>
        </w:tc>
        <w:tc>
          <w:tcPr>
            <w:tcW w:w="5891" w:type="dxa"/>
          </w:tcPr>
          <w:p w14:paraId="2F6A6FAF" w14:textId="77777777" w:rsidR="00971795"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provide clear</w:t>
            </w:r>
            <w:r w:rsidRPr="00CB1714">
              <w:rPr>
                <w:rFonts w:ascii="Lato" w:hAnsi="Lato"/>
                <w:color w:val="auto"/>
                <w:szCs w:val="22"/>
                <w:u w:val="none"/>
              </w:rPr>
              <w:t xml:space="preserve"> </w:t>
            </w:r>
            <w:r w:rsidR="00971795" w:rsidRPr="00CB1714">
              <w:rPr>
                <w:rFonts w:ascii="Lato" w:hAnsi="Lato"/>
                <w:color w:val="auto"/>
                <w:szCs w:val="22"/>
                <w:u w:val="none"/>
              </w:rPr>
              <w:t>disclosure</w:t>
            </w:r>
            <w:r w:rsidR="00650A88" w:rsidRPr="00CB1714">
              <w:rPr>
                <w:rFonts w:ascii="Lato" w:hAnsi="Lato"/>
                <w:color w:val="auto"/>
                <w:szCs w:val="22"/>
                <w:u w:val="none"/>
              </w:rPr>
              <w:t xml:space="preserve"> regarding increased costs and lack </w:t>
            </w:r>
          </w:p>
        </w:tc>
        <w:tc>
          <w:tcPr>
            <w:tcW w:w="3188" w:type="dxa"/>
          </w:tcPr>
          <w:p w14:paraId="214B5841" w14:textId="77777777" w:rsidR="00971795" w:rsidRPr="00CB1714" w:rsidRDefault="00971795" w:rsidP="00FD764E">
            <w:pPr>
              <w:rPr>
                <w:rFonts w:ascii="Lato" w:hAnsi="Lato"/>
                <w:sz w:val="22"/>
                <w:szCs w:val="22"/>
              </w:rPr>
            </w:pPr>
          </w:p>
        </w:tc>
      </w:tr>
      <w:tr w:rsidR="00971795" w:rsidRPr="00CB1714" w14:paraId="21EC37D3" w14:textId="77777777" w:rsidTr="00990D73">
        <w:trPr>
          <w:trHeight w:val="156"/>
        </w:trPr>
        <w:tc>
          <w:tcPr>
            <w:tcW w:w="1316" w:type="dxa"/>
          </w:tcPr>
          <w:p w14:paraId="35BE0AC4" w14:textId="77777777" w:rsidR="00971795" w:rsidRPr="00CB1714" w:rsidRDefault="00971795" w:rsidP="00971795">
            <w:pPr>
              <w:jc w:val="right"/>
              <w:rPr>
                <w:rFonts w:ascii="Lato" w:hAnsi="Lato"/>
                <w:sz w:val="22"/>
                <w:szCs w:val="22"/>
              </w:rPr>
            </w:pPr>
          </w:p>
        </w:tc>
        <w:tc>
          <w:tcPr>
            <w:tcW w:w="5891" w:type="dxa"/>
          </w:tcPr>
          <w:p w14:paraId="56AFD559" w14:textId="77777777" w:rsidR="00971795"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of transparency</w:t>
            </w:r>
            <w:r w:rsidRPr="00CB1714">
              <w:rPr>
                <w:rFonts w:ascii="Lato" w:hAnsi="Lato"/>
                <w:color w:val="auto"/>
                <w:szCs w:val="22"/>
                <w:u w:val="none"/>
              </w:rPr>
              <w:t xml:space="preserve"> </w:t>
            </w:r>
            <w:r w:rsidR="007F094D" w:rsidRPr="00CB1714">
              <w:rPr>
                <w:rFonts w:ascii="Lato" w:hAnsi="Lato"/>
                <w:color w:val="auto"/>
                <w:szCs w:val="22"/>
                <w:u w:val="none"/>
              </w:rPr>
              <w:t>concerning</w:t>
            </w:r>
            <w:r w:rsidR="00650A88" w:rsidRPr="00CB1714">
              <w:rPr>
                <w:rFonts w:ascii="Lato" w:hAnsi="Lato"/>
                <w:color w:val="auto"/>
                <w:szCs w:val="22"/>
                <w:u w:val="none"/>
              </w:rPr>
              <w:t xml:space="preserve"> the ultimate exposure  (Any </w:t>
            </w:r>
          </w:p>
        </w:tc>
        <w:tc>
          <w:tcPr>
            <w:tcW w:w="3188" w:type="dxa"/>
          </w:tcPr>
          <w:p w14:paraId="3298907F" w14:textId="77777777" w:rsidR="00971795" w:rsidRPr="00CB1714" w:rsidRDefault="00971795" w:rsidP="00FD764E">
            <w:pPr>
              <w:rPr>
                <w:rFonts w:ascii="Lato" w:hAnsi="Lato"/>
                <w:sz w:val="22"/>
                <w:szCs w:val="22"/>
              </w:rPr>
            </w:pPr>
          </w:p>
        </w:tc>
      </w:tr>
      <w:tr w:rsidR="007F094D" w:rsidRPr="00CB1714" w14:paraId="0B893075" w14:textId="77777777" w:rsidTr="00990D73">
        <w:trPr>
          <w:trHeight w:val="156"/>
        </w:trPr>
        <w:tc>
          <w:tcPr>
            <w:tcW w:w="1316" w:type="dxa"/>
          </w:tcPr>
          <w:p w14:paraId="7E264B67" w14:textId="77777777" w:rsidR="007F094D" w:rsidRPr="00CB1714" w:rsidRDefault="007F094D" w:rsidP="00971795">
            <w:pPr>
              <w:jc w:val="right"/>
              <w:rPr>
                <w:rFonts w:ascii="Lato" w:hAnsi="Lato"/>
                <w:sz w:val="22"/>
                <w:szCs w:val="22"/>
              </w:rPr>
            </w:pPr>
          </w:p>
        </w:tc>
        <w:tc>
          <w:tcPr>
            <w:tcW w:w="5891" w:type="dxa"/>
          </w:tcPr>
          <w:p w14:paraId="1E279FA3" w14:textId="77777777" w:rsidR="007F094D" w:rsidRPr="00CB1714" w:rsidRDefault="00DC6E90" w:rsidP="00C41DD8">
            <w:pPr>
              <w:pStyle w:val="Heading6"/>
              <w:jc w:val="both"/>
              <w:rPr>
                <w:rFonts w:ascii="Lato" w:hAnsi="Lato"/>
                <w:color w:val="auto"/>
                <w:szCs w:val="22"/>
                <w:u w:val="none"/>
              </w:rPr>
            </w:pPr>
            <w:r w:rsidRPr="00F72ED7">
              <w:rPr>
                <w:rFonts w:ascii="Lato" w:hAnsi="Lato"/>
                <w:color w:val="auto"/>
                <w:szCs w:val="22"/>
                <w:u w:val="none"/>
              </w:rPr>
              <w:t xml:space="preserve">such investments must </w:t>
            </w:r>
            <w:r w:rsidR="00650A88" w:rsidRPr="00CB1714">
              <w:rPr>
                <w:rFonts w:ascii="Lato" w:hAnsi="Lato"/>
                <w:color w:val="auto"/>
                <w:szCs w:val="22"/>
                <w:u w:val="none"/>
              </w:rPr>
              <w:t xml:space="preserve">not </w:t>
            </w:r>
            <w:r w:rsidR="00AF504A" w:rsidRPr="00CB1714">
              <w:rPr>
                <w:rFonts w:ascii="Lato" w:hAnsi="Lato"/>
                <w:color w:val="auto"/>
                <w:szCs w:val="22"/>
                <w:u w:val="none"/>
              </w:rPr>
              <w:t>be made for the purpose of duplicating management and/or investment management fees</w:t>
            </w:r>
            <w:r w:rsidR="00C41DD8" w:rsidRPr="00CB1714">
              <w:rPr>
                <w:rFonts w:ascii="Lato" w:hAnsi="Lato"/>
                <w:color w:val="auto"/>
                <w:szCs w:val="22"/>
                <w:u w:val="none"/>
              </w:rPr>
              <w:t>)</w:t>
            </w:r>
          </w:p>
        </w:tc>
        <w:tc>
          <w:tcPr>
            <w:tcW w:w="3188" w:type="dxa"/>
          </w:tcPr>
          <w:p w14:paraId="7123F55F" w14:textId="77777777" w:rsidR="007F094D" w:rsidRPr="00CB1714" w:rsidRDefault="007F094D" w:rsidP="00FD764E">
            <w:pPr>
              <w:rPr>
                <w:rFonts w:ascii="Lato" w:hAnsi="Lato"/>
                <w:sz w:val="22"/>
                <w:szCs w:val="22"/>
              </w:rPr>
            </w:pPr>
          </w:p>
        </w:tc>
      </w:tr>
      <w:tr w:rsidR="00971795" w:rsidRPr="00CB1714" w14:paraId="6EF80A31" w14:textId="77777777" w:rsidTr="00990D73">
        <w:trPr>
          <w:trHeight w:val="156"/>
        </w:trPr>
        <w:tc>
          <w:tcPr>
            <w:tcW w:w="1316" w:type="dxa"/>
          </w:tcPr>
          <w:p w14:paraId="29149E32" w14:textId="77777777" w:rsidR="00971795" w:rsidRPr="00CB1714" w:rsidRDefault="00971795" w:rsidP="00971795">
            <w:pPr>
              <w:jc w:val="right"/>
              <w:rPr>
                <w:rFonts w:ascii="Lato" w:hAnsi="Lato"/>
                <w:sz w:val="22"/>
                <w:szCs w:val="22"/>
              </w:rPr>
            </w:pPr>
          </w:p>
        </w:tc>
        <w:tc>
          <w:tcPr>
            <w:tcW w:w="5891" w:type="dxa"/>
          </w:tcPr>
          <w:p w14:paraId="1705A5A7" w14:textId="77777777" w:rsidR="00971795" w:rsidRPr="00CB1714" w:rsidRDefault="00971795" w:rsidP="00971795">
            <w:pPr>
              <w:pStyle w:val="Heading6"/>
              <w:jc w:val="both"/>
              <w:rPr>
                <w:rFonts w:ascii="Lato" w:hAnsi="Lato"/>
                <w:color w:val="auto"/>
                <w:szCs w:val="22"/>
                <w:u w:val="none"/>
              </w:rPr>
            </w:pPr>
          </w:p>
        </w:tc>
        <w:tc>
          <w:tcPr>
            <w:tcW w:w="3188" w:type="dxa"/>
            <w:tcBorders>
              <w:bottom w:val="single" w:sz="4" w:space="0" w:color="auto"/>
            </w:tcBorders>
          </w:tcPr>
          <w:p w14:paraId="4EB0C811" w14:textId="77777777" w:rsidR="00971795" w:rsidRPr="00CB1714" w:rsidRDefault="00971795" w:rsidP="00FD764E">
            <w:pPr>
              <w:rPr>
                <w:rFonts w:ascii="Lato" w:hAnsi="Lato"/>
                <w:sz w:val="22"/>
                <w:szCs w:val="22"/>
              </w:rPr>
            </w:pPr>
          </w:p>
        </w:tc>
      </w:tr>
      <w:tr w:rsidR="00AC48D2" w:rsidRPr="00CB1714" w14:paraId="4536DE09" w14:textId="77777777" w:rsidTr="00990D73">
        <w:trPr>
          <w:trHeight w:val="156"/>
        </w:trPr>
        <w:tc>
          <w:tcPr>
            <w:tcW w:w="1316" w:type="dxa"/>
          </w:tcPr>
          <w:p w14:paraId="3CABE7B9" w14:textId="77777777" w:rsidR="00AC48D2" w:rsidRPr="00CB1714" w:rsidRDefault="00E81A3D" w:rsidP="00971795">
            <w:pPr>
              <w:jc w:val="right"/>
              <w:rPr>
                <w:rFonts w:ascii="Lato" w:hAnsi="Lato"/>
                <w:sz w:val="22"/>
                <w:szCs w:val="22"/>
              </w:rPr>
            </w:pPr>
            <w:r w:rsidRPr="00CB1714">
              <w:rPr>
                <w:rFonts w:ascii="Lato" w:hAnsi="Lato"/>
                <w:sz w:val="22"/>
                <w:szCs w:val="22"/>
              </w:rPr>
              <w:t>(v</w:t>
            </w:r>
            <w:r w:rsidR="00AC48D2" w:rsidRPr="00CB1714">
              <w:rPr>
                <w:rFonts w:ascii="Lato" w:hAnsi="Lato"/>
                <w:sz w:val="22"/>
                <w:szCs w:val="22"/>
              </w:rPr>
              <w:t>)</w:t>
            </w:r>
          </w:p>
        </w:tc>
        <w:tc>
          <w:tcPr>
            <w:tcW w:w="5891" w:type="dxa"/>
            <w:tcBorders>
              <w:right w:val="single" w:sz="4" w:space="0" w:color="auto"/>
            </w:tcBorders>
          </w:tcPr>
          <w:p w14:paraId="29E569AB" w14:textId="77777777" w:rsidR="00AC48D2" w:rsidRPr="00CB1714" w:rsidRDefault="00AC48D2" w:rsidP="001E0BA6">
            <w:pPr>
              <w:pStyle w:val="Heading6"/>
              <w:jc w:val="both"/>
              <w:rPr>
                <w:rFonts w:ascii="Lato" w:hAnsi="Lato"/>
                <w:color w:val="auto"/>
                <w:szCs w:val="22"/>
                <w:u w:val="none"/>
              </w:rPr>
            </w:pPr>
            <w:r w:rsidRPr="00CB1714">
              <w:rPr>
                <w:rFonts w:ascii="Lato" w:hAnsi="Lato"/>
                <w:color w:val="auto"/>
                <w:szCs w:val="22"/>
                <w:u w:val="none"/>
              </w:rPr>
              <w:t xml:space="preserve">Provide that the Qualifying Investor AIF may </w:t>
            </w:r>
            <w:r w:rsidR="001E0BA6" w:rsidRPr="00CB1714">
              <w:rPr>
                <w:rFonts w:ascii="Lato" w:hAnsi="Lato"/>
                <w:color w:val="auto"/>
                <w:szCs w:val="22"/>
                <w:u w:val="none"/>
              </w:rPr>
              <w:t>only retain</w:t>
            </w:r>
            <w:r w:rsidRPr="00CB1714">
              <w:rPr>
                <w:rFonts w:ascii="Lato" w:hAnsi="Lato"/>
                <w:color w:val="auto"/>
                <w:szCs w:val="22"/>
                <w:u w:val="none"/>
              </w:rPr>
              <w:t xml:space="preserve"> </w:t>
            </w:r>
          </w:p>
        </w:tc>
        <w:tc>
          <w:tcPr>
            <w:tcW w:w="3188" w:type="dxa"/>
            <w:tcBorders>
              <w:top w:val="single" w:sz="4" w:space="0" w:color="auto"/>
              <w:left w:val="single" w:sz="4" w:space="0" w:color="auto"/>
              <w:bottom w:val="single" w:sz="4" w:space="0" w:color="auto"/>
              <w:right w:val="single" w:sz="4" w:space="0" w:color="auto"/>
            </w:tcBorders>
          </w:tcPr>
          <w:p w14:paraId="61138735" w14:textId="77777777" w:rsidR="00AC48D2" w:rsidRPr="00CB1714" w:rsidRDefault="00AC48D2" w:rsidP="00FD764E">
            <w:pPr>
              <w:rPr>
                <w:rFonts w:ascii="Lato" w:hAnsi="Lato"/>
                <w:sz w:val="22"/>
                <w:szCs w:val="22"/>
              </w:rPr>
            </w:pPr>
          </w:p>
        </w:tc>
      </w:tr>
      <w:tr w:rsidR="00AC48D2" w:rsidRPr="00CB1714" w14:paraId="7FD5ED67" w14:textId="77777777" w:rsidTr="00990D73">
        <w:trPr>
          <w:trHeight w:val="156"/>
        </w:trPr>
        <w:tc>
          <w:tcPr>
            <w:tcW w:w="1316" w:type="dxa"/>
          </w:tcPr>
          <w:p w14:paraId="64F0DAAE" w14:textId="77777777" w:rsidR="00AC48D2" w:rsidRPr="00CB1714" w:rsidRDefault="00AC48D2" w:rsidP="00971795">
            <w:pPr>
              <w:jc w:val="right"/>
              <w:rPr>
                <w:rFonts w:ascii="Lato" w:hAnsi="Lato"/>
                <w:sz w:val="22"/>
                <w:szCs w:val="22"/>
              </w:rPr>
            </w:pPr>
          </w:p>
        </w:tc>
        <w:tc>
          <w:tcPr>
            <w:tcW w:w="5891" w:type="dxa"/>
          </w:tcPr>
          <w:p w14:paraId="07023622" w14:textId="77777777" w:rsidR="00AC48D2" w:rsidRPr="00CB1714" w:rsidRDefault="00AC48D2" w:rsidP="001E0BA6">
            <w:pPr>
              <w:pStyle w:val="Heading6"/>
              <w:jc w:val="both"/>
              <w:rPr>
                <w:rFonts w:ascii="Lato" w:hAnsi="Lato"/>
                <w:color w:val="auto"/>
                <w:szCs w:val="22"/>
                <w:u w:val="none"/>
              </w:rPr>
            </w:pPr>
            <w:r w:rsidRPr="00CB1714">
              <w:rPr>
                <w:rFonts w:ascii="Lato" w:hAnsi="Lato"/>
                <w:color w:val="auto"/>
                <w:szCs w:val="22"/>
                <w:u w:val="none"/>
              </w:rPr>
              <w:t xml:space="preserve"> 10% of redemption proceeds where this reflects</w:t>
            </w:r>
          </w:p>
        </w:tc>
        <w:tc>
          <w:tcPr>
            <w:tcW w:w="3188" w:type="dxa"/>
            <w:tcBorders>
              <w:top w:val="single" w:sz="4" w:space="0" w:color="auto"/>
            </w:tcBorders>
          </w:tcPr>
          <w:p w14:paraId="7AE35F8F" w14:textId="77777777" w:rsidR="00AC48D2" w:rsidRPr="00CB1714" w:rsidRDefault="00AC48D2" w:rsidP="00FD764E">
            <w:pPr>
              <w:rPr>
                <w:rFonts w:ascii="Lato" w:hAnsi="Lato"/>
                <w:sz w:val="22"/>
                <w:szCs w:val="22"/>
              </w:rPr>
            </w:pPr>
          </w:p>
        </w:tc>
      </w:tr>
      <w:tr w:rsidR="00AC48D2" w:rsidRPr="00CB1714" w14:paraId="188D8A2F" w14:textId="77777777" w:rsidTr="00990D73">
        <w:trPr>
          <w:trHeight w:val="156"/>
        </w:trPr>
        <w:tc>
          <w:tcPr>
            <w:tcW w:w="1316" w:type="dxa"/>
          </w:tcPr>
          <w:p w14:paraId="4D017D61" w14:textId="77777777" w:rsidR="00AC48D2" w:rsidRPr="00CB1714" w:rsidRDefault="00AC48D2" w:rsidP="00971795">
            <w:pPr>
              <w:jc w:val="right"/>
              <w:rPr>
                <w:rFonts w:ascii="Lato" w:hAnsi="Lato"/>
                <w:sz w:val="22"/>
                <w:szCs w:val="22"/>
              </w:rPr>
            </w:pPr>
          </w:p>
        </w:tc>
        <w:tc>
          <w:tcPr>
            <w:tcW w:w="5891" w:type="dxa"/>
          </w:tcPr>
          <w:p w14:paraId="4D33E0E8" w14:textId="77777777" w:rsidR="00AC48D2" w:rsidRPr="00CB1714" w:rsidRDefault="00AC48D2" w:rsidP="00CB1714">
            <w:pPr>
              <w:pStyle w:val="Heading6"/>
              <w:jc w:val="both"/>
              <w:rPr>
                <w:rFonts w:ascii="Lato" w:hAnsi="Lato"/>
                <w:color w:val="auto"/>
                <w:szCs w:val="22"/>
                <w:u w:val="none"/>
              </w:rPr>
            </w:pPr>
            <w:r w:rsidRPr="00CB1714">
              <w:rPr>
                <w:rFonts w:ascii="Lato" w:hAnsi="Lato"/>
                <w:color w:val="auto"/>
                <w:szCs w:val="22"/>
                <w:u w:val="none"/>
              </w:rPr>
              <w:t xml:space="preserve">the redemption policy of the underlying investment fund(s) </w:t>
            </w:r>
          </w:p>
        </w:tc>
        <w:tc>
          <w:tcPr>
            <w:tcW w:w="3188" w:type="dxa"/>
          </w:tcPr>
          <w:p w14:paraId="5A4808FC" w14:textId="77777777" w:rsidR="00AC48D2" w:rsidRPr="00CB1714" w:rsidRDefault="00AC48D2" w:rsidP="00FD764E">
            <w:pPr>
              <w:rPr>
                <w:rFonts w:ascii="Lato" w:hAnsi="Lato"/>
                <w:sz w:val="22"/>
                <w:szCs w:val="22"/>
              </w:rPr>
            </w:pPr>
          </w:p>
        </w:tc>
      </w:tr>
      <w:tr w:rsidR="00AC48D2" w:rsidRPr="00CB1714" w14:paraId="6A9EE123" w14:textId="77777777" w:rsidTr="00990D73">
        <w:trPr>
          <w:trHeight w:val="156"/>
        </w:trPr>
        <w:tc>
          <w:tcPr>
            <w:tcW w:w="1316" w:type="dxa"/>
          </w:tcPr>
          <w:p w14:paraId="08FAF05D" w14:textId="77777777" w:rsidR="00AC48D2" w:rsidRPr="00CB1714" w:rsidRDefault="00AC48D2" w:rsidP="00971795">
            <w:pPr>
              <w:jc w:val="right"/>
              <w:rPr>
                <w:rFonts w:ascii="Lato" w:hAnsi="Lato"/>
                <w:sz w:val="22"/>
                <w:szCs w:val="22"/>
              </w:rPr>
            </w:pPr>
          </w:p>
        </w:tc>
        <w:tc>
          <w:tcPr>
            <w:tcW w:w="5891" w:type="dxa"/>
          </w:tcPr>
          <w:p w14:paraId="1DE3D79C" w14:textId="77777777" w:rsidR="00AC48D2"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until</w:t>
            </w:r>
            <w:r w:rsidRPr="00CB1714">
              <w:rPr>
                <w:rFonts w:ascii="Lato" w:hAnsi="Lato"/>
                <w:color w:val="auto"/>
                <w:szCs w:val="22"/>
                <w:u w:val="none"/>
              </w:rPr>
              <w:t xml:space="preserve"> </w:t>
            </w:r>
            <w:r w:rsidR="00AC48D2" w:rsidRPr="00CB1714">
              <w:rPr>
                <w:rFonts w:ascii="Lato" w:hAnsi="Lato"/>
                <w:color w:val="auto"/>
                <w:szCs w:val="22"/>
                <w:u w:val="none"/>
              </w:rPr>
              <w:t xml:space="preserve">such time as the full redemption proceeds from the </w:t>
            </w:r>
          </w:p>
        </w:tc>
        <w:tc>
          <w:tcPr>
            <w:tcW w:w="3188" w:type="dxa"/>
          </w:tcPr>
          <w:p w14:paraId="48D33B83" w14:textId="77777777" w:rsidR="00AC48D2" w:rsidRPr="00CB1714" w:rsidRDefault="00AC48D2" w:rsidP="00FD764E">
            <w:pPr>
              <w:rPr>
                <w:rFonts w:ascii="Lato" w:hAnsi="Lato"/>
                <w:sz w:val="22"/>
                <w:szCs w:val="22"/>
              </w:rPr>
            </w:pPr>
          </w:p>
        </w:tc>
      </w:tr>
      <w:tr w:rsidR="00AC48D2" w:rsidRPr="00CB1714" w14:paraId="3B3E829E" w14:textId="77777777" w:rsidTr="00990D73">
        <w:trPr>
          <w:trHeight w:val="156"/>
        </w:trPr>
        <w:tc>
          <w:tcPr>
            <w:tcW w:w="1316" w:type="dxa"/>
          </w:tcPr>
          <w:p w14:paraId="6C2FDFAB" w14:textId="77777777" w:rsidR="00AC48D2" w:rsidRPr="00CB1714" w:rsidRDefault="00AC48D2" w:rsidP="00971795">
            <w:pPr>
              <w:jc w:val="right"/>
              <w:rPr>
                <w:rFonts w:ascii="Lato" w:hAnsi="Lato"/>
                <w:sz w:val="22"/>
                <w:szCs w:val="22"/>
              </w:rPr>
            </w:pPr>
          </w:p>
        </w:tc>
        <w:tc>
          <w:tcPr>
            <w:tcW w:w="5891" w:type="dxa"/>
          </w:tcPr>
          <w:p w14:paraId="03A488CE" w14:textId="77777777" w:rsidR="00AC48D2" w:rsidRPr="00CB1714" w:rsidRDefault="00DC6E90" w:rsidP="004D6C78">
            <w:pPr>
              <w:pStyle w:val="Heading6"/>
              <w:jc w:val="both"/>
              <w:rPr>
                <w:rFonts w:ascii="Lato" w:hAnsi="Lato"/>
                <w:color w:val="auto"/>
                <w:szCs w:val="22"/>
                <w:u w:val="none"/>
              </w:rPr>
            </w:pPr>
            <w:r w:rsidRPr="00F72ED7">
              <w:rPr>
                <w:rFonts w:ascii="Lato" w:hAnsi="Lato"/>
                <w:color w:val="auto"/>
                <w:szCs w:val="22"/>
                <w:u w:val="none"/>
              </w:rPr>
              <w:t>underlying</w:t>
            </w:r>
            <w:r w:rsidRPr="00CB1714">
              <w:rPr>
                <w:rFonts w:ascii="Lato" w:hAnsi="Lato"/>
                <w:color w:val="auto"/>
                <w:szCs w:val="22"/>
                <w:u w:val="none"/>
              </w:rPr>
              <w:t xml:space="preserve"> </w:t>
            </w:r>
            <w:r w:rsidR="00AC48D2" w:rsidRPr="00CB1714">
              <w:rPr>
                <w:rFonts w:ascii="Lato" w:hAnsi="Lato"/>
                <w:color w:val="auto"/>
                <w:szCs w:val="22"/>
                <w:u w:val="none"/>
              </w:rPr>
              <w:t>investment fund(s) is received</w:t>
            </w:r>
            <w:r w:rsidR="00A62FE1" w:rsidRPr="00CB1714">
              <w:rPr>
                <w:rFonts w:ascii="Lato" w:hAnsi="Lato"/>
                <w:color w:val="auto"/>
                <w:szCs w:val="22"/>
                <w:u w:val="none"/>
              </w:rPr>
              <w:t>.</w:t>
            </w:r>
          </w:p>
        </w:tc>
        <w:tc>
          <w:tcPr>
            <w:tcW w:w="3188" w:type="dxa"/>
          </w:tcPr>
          <w:p w14:paraId="5A20E6AE" w14:textId="77777777" w:rsidR="00AC48D2" w:rsidRPr="00CB1714" w:rsidRDefault="00AC48D2" w:rsidP="00FD764E">
            <w:pPr>
              <w:rPr>
                <w:rFonts w:ascii="Lato" w:hAnsi="Lato"/>
                <w:sz w:val="22"/>
                <w:szCs w:val="22"/>
              </w:rPr>
            </w:pPr>
          </w:p>
        </w:tc>
      </w:tr>
      <w:tr w:rsidR="00AC48D2" w:rsidRPr="00CB1714" w14:paraId="5F6DF794" w14:textId="77777777" w:rsidTr="00990D73">
        <w:trPr>
          <w:trHeight w:val="156"/>
        </w:trPr>
        <w:tc>
          <w:tcPr>
            <w:tcW w:w="1316" w:type="dxa"/>
          </w:tcPr>
          <w:p w14:paraId="6825C655" w14:textId="77777777" w:rsidR="00AC48D2" w:rsidRPr="00CB1714" w:rsidRDefault="00AC48D2" w:rsidP="00971795">
            <w:pPr>
              <w:jc w:val="right"/>
              <w:rPr>
                <w:rFonts w:ascii="Lato" w:hAnsi="Lato"/>
                <w:sz w:val="22"/>
                <w:szCs w:val="22"/>
              </w:rPr>
            </w:pPr>
          </w:p>
        </w:tc>
        <w:tc>
          <w:tcPr>
            <w:tcW w:w="5891" w:type="dxa"/>
          </w:tcPr>
          <w:p w14:paraId="0C368A0B" w14:textId="77777777" w:rsidR="00AC48D2" w:rsidRPr="00CB1714" w:rsidRDefault="00AC48D2" w:rsidP="00971795">
            <w:pPr>
              <w:pStyle w:val="Heading6"/>
              <w:jc w:val="both"/>
              <w:rPr>
                <w:rFonts w:ascii="Lato" w:hAnsi="Lato"/>
                <w:color w:val="auto"/>
                <w:szCs w:val="22"/>
                <w:u w:val="none"/>
              </w:rPr>
            </w:pPr>
          </w:p>
        </w:tc>
        <w:tc>
          <w:tcPr>
            <w:tcW w:w="3188" w:type="dxa"/>
          </w:tcPr>
          <w:p w14:paraId="235A6F56" w14:textId="77777777" w:rsidR="00AC48D2" w:rsidRPr="00CB1714" w:rsidRDefault="00AC48D2" w:rsidP="00FD764E">
            <w:pPr>
              <w:rPr>
                <w:rFonts w:ascii="Lato" w:hAnsi="Lato"/>
                <w:sz w:val="22"/>
                <w:szCs w:val="22"/>
              </w:rPr>
            </w:pPr>
          </w:p>
        </w:tc>
      </w:tr>
      <w:tr w:rsidR="00AC48D2" w:rsidRPr="00CB1714" w14:paraId="5F54C92E" w14:textId="77777777" w:rsidTr="00CB1714">
        <w:trPr>
          <w:trHeight w:val="156"/>
        </w:trPr>
        <w:tc>
          <w:tcPr>
            <w:tcW w:w="1316" w:type="dxa"/>
          </w:tcPr>
          <w:p w14:paraId="18BFD198" w14:textId="77777777" w:rsidR="00AC48D2" w:rsidRPr="00CB1714" w:rsidRDefault="00AC48D2" w:rsidP="00A75241">
            <w:pPr>
              <w:rPr>
                <w:rFonts w:ascii="Lato" w:hAnsi="Lato"/>
                <w:sz w:val="22"/>
                <w:szCs w:val="22"/>
              </w:rPr>
            </w:pPr>
            <w:r w:rsidRPr="00CB1714">
              <w:rPr>
                <w:rFonts w:ascii="Lato" w:hAnsi="Lato"/>
                <w:sz w:val="22"/>
                <w:szCs w:val="22"/>
              </w:rPr>
              <w:t>2.2.5</w:t>
            </w:r>
          </w:p>
        </w:tc>
        <w:tc>
          <w:tcPr>
            <w:tcW w:w="5891" w:type="dxa"/>
          </w:tcPr>
          <w:p w14:paraId="11D86C1E" w14:textId="77777777" w:rsidR="00AC48D2" w:rsidRPr="00CB1714" w:rsidRDefault="00AC48D2" w:rsidP="00971795">
            <w:pPr>
              <w:pStyle w:val="Heading6"/>
              <w:jc w:val="both"/>
              <w:rPr>
                <w:rFonts w:ascii="Lato" w:hAnsi="Lato"/>
                <w:color w:val="auto"/>
                <w:szCs w:val="22"/>
                <w:u w:val="none"/>
              </w:rPr>
            </w:pPr>
            <w:r w:rsidRPr="00CB1714">
              <w:rPr>
                <w:rFonts w:ascii="Lato" w:hAnsi="Lato"/>
                <w:b/>
                <w:color w:val="auto"/>
                <w:szCs w:val="22"/>
              </w:rPr>
              <w:t>Qualifying Investor AIFs which invest more than 50% of</w:t>
            </w:r>
          </w:p>
        </w:tc>
        <w:tc>
          <w:tcPr>
            <w:tcW w:w="3188" w:type="dxa"/>
          </w:tcPr>
          <w:p w14:paraId="36B881B5" w14:textId="77777777" w:rsidR="00AC48D2" w:rsidRPr="00CB1714" w:rsidRDefault="00AC48D2" w:rsidP="00FD764E">
            <w:pPr>
              <w:rPr>
                <w:rFonts w:ascii="Lato" w:hAnsi="Lato"/>
                <w:sz w:val="22"/>
                <w:szCs w:val="22"/>
              </w:rPr>
            </w:pPr>
          </w:p>
        </w:tc>
      </w:tr>
      <w:tr w:rsidR="00AC48D2" w:rsidRPr="00CB1714" w14:paraId="537811BE" w14:textId="77777777" w:rsidTr="00CB1714">
        <w:trPr>
          <w:trHeight w:val="156"/>
        </w:trPr>
        <w:tc>
          <w:tcPr>
            <w:tcW w:w="1316" w:type="dxa"/>
          </w:tcPr>
          <w:p w14:paraId="52B6CE0A" w14:textId="77777777" w:rsidR="00AC48D2" w:rsidRPr="00CB1714" w:rsidRDefault="00AC48D2" w:rsidP="00971795">
            <w:pPr>
              <w:jc w:val="right"/>
              <w:rPr>
                <w:rFonts w:ascii="Lato" w:hAnsi="Lato"/>
                <w:sz w:val="22"/>
                <w:szCs w:val="22"/>
              </w:rPr>
            </w:pPr>
          </w:p>
        </w:tc>
        <w:tc>
          <w:tcPr>
            <w:tcW w:w="5891" w:type="dxa"/>
          </w:tcPr>
          <w:p w14:paraId="4A0B37CA" w14:textId="77777777" w:rsidR="00AC48D2" w:rsidRPr="00CB1714" w:rsidRDefault="00AC48D2" w:rsidP="00971795">
            <w:pPr>
              <w:pStyle w:val="Heading6"/>
              <w:jc w:val="both"/>
              <w:rPr>
                <w:rFonts w:ascii="Lato" w:hAnsi="Lato"/>
                <w:color w:val="auto"/>
                <w:szCs w:val="22"/>
                <w:u w:val="none"/>
              </w:rPr>
            </w:pPr>
            <w:r w:rsidRPr="00CB1714">
              <w:rPr>
                <w:rFonts w:ascii="Lato" w:hAnsi="Lato"/>
                <w:b/>
                <w:color w:val="auto"/>
                <w:szCs w:val="22"/>
              </w:rPr>
              <w:t>net asset in another investment fund</w:t>
            </w:r>
          </w:p>
        </w:tc>
        <w:tc>
          <w:tcPr>
            <w:tcW w:w="3188" w:type="dxa"/>
          </w:tcPr>
          <w:p w14:paraId="2B681846" w14:textId="77777777" w:rsidR="00AC48D2" w:rsidRPr="00CB1714" w:rsidRDefault="00AC48D2" w:rsidP="00FD764E">
            <w:pPr>
              <w:rPr>
                <w:rFonts w:ascii="Lato" w:hAnsi="Lato"/>
                <w:sz w:val="22"/>
                <w:szCs w:val="22"/>
              </w:rPr>
            </w:pPr>
          </w:p>
        </w:tc>
      </w:tr>
      <w:tr w:rsidR="00AC48D2" w:rsidRPr="00CB1714" w14:paraId="71594C47" w14:textId="77777777" w:rsidTr="00CB1714">
        <w:trPr>
          <w:trHeight w:val="156"/>
        </w:trPr>
        <w:tc>
          <w:tcPr>
            <w:tcW w:w="1316" w:type="dxa"/>
          </w:tcPr>
          <w:p w14:paraId="404D7779" w14:textId="77777777" w:rsidR="00AC48D2" w:rsidRPr="00CB1714" w:rsidRDefault="00AC48D2" w:rsidP="00971795">
            <w:pPr>
              <w:jc w:val="right"/>
              <w:rPr>
                <w:rFonts w:ascii="Lato" w:hAnsi="Lato"/>
                <w:sz w:val="22"/>
                <w:szCs w:val="22"/>
              </w:rPr>
            </w:pPr>
          </w:p>
        </w:tc>
        <w:tc>
          <w:tcPr>
            <w:tcW w:w="5891" w:type="dxa"/>
          </w:tcPr>
          <w:p w14:paraId="76ED2170" w14:textId="77777777" w:rsidR="00AC48D2" w:rsidRPr="00CB1714"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0228C6A5" w14:textId="77777777" w:rsidR="00AC48D2" w:rsidRPr="00CB1714" w:rsidRDefault="00AC48D2" w:rsidP="00FD764E">
            <w:pPr>
              <w:rPr>
                <w:rFonts w:ascii="Lato" w:hAnsi="Lato"/>
                <w:sz w:val="22"/>
                <w:szCs w:val="22"/>
              </w:rPr>
            </w:pPr>
          </w:p>
        </w:tc>
      </w:tr>
      <w:tr w:rsidR="00AC48D2" w:rsidRPr="00CB1714" w14:paraId="3ABD73D7" w14:textId="77777777" w:rsidTr="00CB1714">
        <w:trPr>
          <w:trHeight w:val="156"/>
        </w:trPr>
        <w:tc>
          <w:tcPr>
            <w:tcW w:w="1316" w:type="dxa"/>
          </w:tcPr>
          <w:p w14:paraId="09D043AC" w14:textId="77777777" w:rsidR="00AC48D2" w:rsidRPr="00CB1714" w:rsidRDefault="00AC48D2" w:rsidP="00996002">
            <w:pPr>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15C0DC0D" w14:textId="77777777" w:rsidR="00AC48D2" w:rsidRPr="00CB1714" w:rsidRDefault="00AC48D2" w:rsidP="00EC2355">
            <w:pPr>
              <w:pStyle w:val="Heading6"/>
              <w:jc w:val="both"/>
              <w:rPr>
                <w:rFonts w:ascii="Lato" w:hAnsi="Lato"/>
                <w:color w:val="auto"/>
                <w:szCs w:val="22"/>
                <w:u w:val="none"/>
              </w:rPr>
            </w:pPr>
            <w:r w:rsidRPr="00CB1714">
              <w:rPr>
                <w:rFonts w:ascii="Lato" w:hAnsi="Lato"/>
                <w:color w:val="auto"/>
                <w:szCs w:val="22"/>
                <w:u w:val="none"/>
              </w:rPr>
              <w:t>The requirement</w:t>
            </w:r>
            <w:r w:rsidR="004C7A4D" w:rsidRPr="00CB1714">
              <w:rPr>
                <w:rFonts w:ascii="Lato" w:hAnsi="Lato"/>
                <w:color w:val="auto"/>
                <w:szCs w:val="22"/>
                <w:u w:val="none"/>
              </w:rPr>
              <w:t xml:space="preserve"> to be either Category 1 or Category 2 of </w:t>
            </w:r>
          </w:p>
        </w:tc>
        <w:tc>
          <w:tcPr>
            <w:tcW w:w="3188" w:type="dxa"/>
            <w:tcBorders>
              <w:top w:val="single" w:sz="4" w:space="0" w:color="auto"/>
              <w:left w:val="single" w:sz="4" w:space="0" w:color="auto"/>
              <w:bottom w:val="single" w:sz="4" w:space="0" w:color="auto"/>
              <w:right w:val="single" w:sz="4" w:space="0" w:color="auto"/>
            </w:tcBorders>
          </w:tcPr>
          <w:p w14:paraId="22C6ABE7" w14:textId="77777777" w:rsidR="00AC48D2" w:rsidRPr="00CB1714" w:rsidRDefault="00AC48D2" w:rsidP="00FD764E">
            <w:pPr>
              <w:rPr>
                <w:rFonts w:ascii="Lato" w:hAnsi="Lato"/>
                <w:sz w:val="22"/>
                <w:szCs w:val="22"/>
              </w:rPr>
            </w:pPr>
          </w:p>
        </w:tc>
      </w:tr>
      <w:tr w:rsidR="00AC48D2" w:rsidRPr="00CB1714" w14:paraId="353C6748" w14:textId="77777777" w:rsidTr="00990D73">
        <w:trPr>
          <w:trHeight w:val="156"/>
        </w:trPr>
        <w:tc>
          <w:tcPr>
            <w:tcW w:w="1316" w:type="dxa"/>
          </w:tcPr>
          <w:p w14:paraId="1111DE6B" w14:textId="77777777" w:rsidR="00AC48D2" w:rsidRPr="00CB1714" w:rsidRDefault="00AC48D2" w:rsidP="00971795">
            <w:pPr>
              <w:jc w:val="right"/>
              <w:rPr>
                <w:rFonts w:ascii="Lato" w:hAnsi="Lato"/>
                <w:sz w:val="22"/>
                <w:szCs w:val="22"/>
              </w:rPr>
            </w:pPr>
          </w:p>
        </w:tc>
        <w:tc>
          <w:tcPr>
            <w:tcW w:w="5891" w:type="dxa"/>
          </w:tcPr>
          <w:p w14:paraId="758E6424" w14:textId="77777777" w:rsidR="00AC48D2" w:rsidRPr="00CB1714" w:rsidRDefault="004C7A4D" w:rsidP="00735EB0">
            <w:pPr>
              <w:pStyle w:val="Heading6"/>
              <w:jc w:val="both"/>
              <w:rPr>
                <w:rFonts w:ascii="Lato" w:hAnsi="Lato"/>
                <w:color w:val="auto"/>
                <w:szCs w:val="22"/>
                <w:u w:val="none"/>
              </w:rPr>
            </w:pPr>
            <w:r w:rsidRPr="00CB1714">
              <w:rPr>
                <w:rFonts w:ascii="Lato" w:hAnsi="Lato"/>
                <w:color w:val="auto"/>
                <w:szCs w:val="22"/>
                <w:u w:val="none"/>
              </w:rPr>
              <w:t xml:space="preserve">Chapter 2, Part II, Section 2 of the AIF Rulebook does not apply in circumstances </w:t>
            </w:r>
            <w:r w:rsidR="00E36A4E" w:rsidRPr="00CB1714">
              <w:rPr>
                <w:rFonts w:ascii="Lato" w:hAnsi="Lato"/>
                <w:color w:val="auto"/>
                <w:szCs w:val="22"/>
                <w:u w:val="none"/>
              </w:rPr>
              <w:t>w</w:t>
            </w:r>
            <w:r w:rsidR="00AC48D2" w:rsidRPr="00CB1714">
              <w:rPr>
                <w:rFonts w:ascii="Lato" w:hAnsi="Lato"/>
                <w:color w:val="auto"/>
                <w:szCs w:val="22"/>
                <w:u w:val="none"/>
              </w:rPr>
              <w:t>here:</w:t>
            </w:r>
          </w:p>
        </w:tc>
        <w:tc>
          <w:tcPr>
            <w:tcW w:w="3188" w:type="dxa"/>
            <w:tcBorders>
              <w:top w:val="single" w:sz="4" w:space="0" w:color="auto"/>
            </w:tcBorders>
          </w:tcPr>
          <w:p w14:paraId="72A4BEE6" w14:textId="77777777" w:rsidR="00AC48D2" w:rsidRPr="00CB1714" w:rsidRDefault="00AC48D2" w:rsidP="00FD764E">
            <w:pPr>
              <w:rPr>
                <w:rFonts w:ascii="Lato" w:hAnsi="Lato"/>
                <w:sz w:val="22"/>
                <w:szCs w:val="22"/>
              </w:rPr>
            </w:pPr>
          </w:p>
        </w:tc>
      </w:tr>
      <w:tr w:rsidR="00AC48D2" w:rsidRPr="00CB1714" w14:paraId="755FF595" w14:textId="77777777" w:rsidTr="00990D73">
        <w:trPr>
          <w:trHeight w:val="156"/>
        </w:trPr>
        <w:tc>
          <w:tcPr>
            <w:tcW w:w="1316" w:type="dxa"/>
          </w:tcPr>
          <w:p w14:paraId="6952F405" w14:textId="77777777" w:rsidR="00AC48D2" w:rsidRPr="00CB1714" w:rsidRDefault="00AC48D2" w:rsidP="00971795">
            <w:pPr>
              <w:jc w:val="right"/>
              <w:rPr>
                <w:rFonts w:ascii="Lato" w:hAnsi="Lato"/>
                <w:sz w:val="22"/>
                <w:szCs w:val="22"/>
              </w:rPr>
            </w:pPr>
          </w:p>
        </w:tc>
        <w:tc>
          <w:tcPr>
            <w:tcW w:w="5891" w:type="dxa"/>
          </w:tcPr>
          <w:p w14:paraId="2E684CDE" w14:textId="77777777" w:rsidR="00AC48D2" w:rsidRPr="00CB1714" w:rsidRDefault="00B030D3" w:rsidP="00735EB0">
            <w:pPr>
              <w:pStyle w:val="Heading6"/>
              <w:jc w:val="both"/>
              <w:rPr>
                <w:rFonts w:ascii="Lato" w:hAnsi="Lato"/>
                <w:color w:val="auto"/>
                <w:szCs w:val="22"/>
                <w:u w:val="none"/>
              </w:rPr>
            </w:pPr>
            <w:r w:rsidRPr="00CB1714">
              <w:rPr>
                <w:rFonts w:ascii="Lato" w:hAnsi="Lato"/>
                <w:color w:val="auto"/>
                <w:szCs w:val="22"/>
                <w:u w:val="none"/>
              </w:rPr>
              <w:t>t</w:t>
            </w:r>
            <w:r w:rsidR="00AC48D2" w:rsidRPr="00CB1714">
              <w:rPr>
                <w:rFonts w:ascii="Lato" w:hAnsi="Lato"/>
                <w:color w:val="auto"/>
                <w:szCs w:val="22"/>
                <w:u w:val="none"/>
              </w:rPr>
              <w:t>he Qualifying Investor AIF has a minimum subscription</w:t>
            </w:r>
          </w:p>
        </w:tc>
        <w:tc>
          <w:tcPr>
            <w:tcW w:w="3188" w:type="dxa"/>
          </w:tcPr>
          <w:p w14:paraId="7259AD72" w14:textId="77777777" w:rsidR="00AC48D2" w:rsidRPr="00CB1714" w:rsidRDefault="00AC48D2" w:rsidP="00FD764E">
            <w:pPr>
              <w:rPr>
                <w:rFonts w:ascii="Lato" w:hAnsi="Lato"/>
                <w:sz w:val="22"/>
                <w:szCs w:val="22"/>
              </w:rPr>
            </w:pPr>
          </w:p>
        </w:tc>
      </w:tr>
      <w:tr w:rsidR="00AC48D2" w:rsidRPr="00CB1714" w14:paraId="561F36D8" w14:textId="77777777" w:rsidTr="00990D73">
        <w:trPr>
          <w:trHeight w:val="156"/>
        </w:trPr>
        <w:tc>
          <w:tcPr>
            <w:tcW w:w="1316" w:type="dxa"/>
          </w:tcPr>
          <w:p w14:paraId="7D5D490A" w14:textId="77777777" w:rsidR="00AC48D2" w:rsidRPr="00CB1714" w:rsidRDefault="00AC48D2" w:rsidP="00971795">
            <w:pPr>
              <w:jc w:val="right"/>
              <w:rPr>
                <w:rFonts w:ascii="Lato" w:hAnsi="Lato"/>
                <w:sz w:val="22"/>
                <w:szCs w:val="22"/>
              </w:rPr>
            </w:pPr>
          </w:p>
        </w:tc>
        <w:tc>
          <w:tcPr>
            <w:tcW w:w="5891" w:type="dxa"/>
          </w:tcPr>
          <w:p w14:paraId="7EC804D5" w14:textId="77777777" w:rsidR="00AC48D2" w:rsidRPr="00CB1714" w:rsidRDefault="00AC48D2" w:rsidP="00735EB0">
            <w:pPr>
              <w:pStyle w:val="Heading6"/>
              <w:jc w:val="both"/>
              <w:rPr>
                <w:rFonts w:ascii="Lato" w:hAnsi="Lato"/>
                <w:color w:val="auto"/>
                <w:szCs w:val="22"/>
                <w:u w:val="none"/>
              </w:rPr>
            </w:pPr>
            <w:r w:rsidRPr="00CB1714">
              <w:rPr>
                <w:rFonts w:ascii="Lato" w:hAnsi="Lato"/>
                <w:color w:val="auto"/>
                <w:szCs w:val="22"/>
                <w:u w:val="none"/>
              </w:rPr>
              <w:t>limit of €500,000 (or its equivalent in other currencies); and</w:t>
            </w:r>
          </w:p>
        </w:tc>
        <w:tc>
          <w:tcPr>
            <w:tcW w:w="3188" w:type="dxa"/>
          </w:tcPr>
          <w:p w14:paraId="5A6E577D" w14:textId="77777777" w:rsidR="00AC48D2" w:rsidRPr="00CB1714" w:rsidRDefault="00AC48D2" w:rsidP="00FD764E">
            <w:pPr>
              <w:rPr>
                <w:rFonts w:ascii="Lato" w:hAnsi="Lato"/>
                <w:sz w:val="22"/>
                <w:szCs w:val="22"/>
              </w:rPr>
            </w:pPr>
          </w:p>
        </w:tc>
      </w:tr>
      <w:tr w:rsidR="00AC48D2" w:rsidRPr="00CB1714" w14:paraId="6B7E7B6B" w14:textId="77777777" w:rsidTr="00990D73">
        <w:trPr>
          <w:trHeight w:val="156"/>
        </w:trPr>
        <w:tc>
          <w:tcPr>
            <w:tcW w:w="1316" w:type="dxa"/>
          </w:tcPr>
          <w:p w14:paraId="0687CD8C" w14:textId="77777777" w:rsidR="00AC48D2" w:rsidRPr="00CB1714" w:rsidRDefault="00AC48D2" w:rsidP="00971795">
            <w:pPr>
              <w:jc w:val="right"/>
              <w:rPr>
                <w:rFonts w:ascii="Lato" w:hAnsi="Lato"/>
                <w:sz w:val="22"/>
                <w:szCs w:val="22"/>
              </w:rPr>
            </w:pPr>
          </w:p>
        </w:tc>
        <w:tc>
          <w:tcPr>
            <w:tcW w:w="5891" w:type="dxa"/>
          </w:tcPr>
          <w:p w14:paraId="22E51581" w14:textId="77777777" w:rsidR="00AC48D2" w:rsidRPr="00CB1714" w:rsidRDefault="00B030D3" w:rsidP="00CB1714">
            <w:pPr>
              <w:pStyle w:val="Heading6"/>
              <w:jc w:val="both"/>
              <w:rPr>
                <w:rFonts w:ascii="Lato" w:hAnsi="Lato"/>
                <w:color w:val="auto"/>
                <w:szCs w:val="22"/>
                <w:u w:val="none"/>
              </w:rPr>
            </w:pPr>
            <w:r w:rsidRPr="00CB1714">
              <w:rPr>
                <w:rFonts w:ascii="Lato" w:hAnsi="Lato"/>
                <w:color w:val="auto"/>
                <w:szCs w:val="22"/>
                <w:u w:val="none"/>
              </w:rPr>
              <w:t>a</w:t>
            </w:r>
            <w:r w:rsidR="00AC48D2" w:rsidRPr="00CB1714">
              <w:rPr>
                <w:rFonts w:ascii="Lato" w:hAnsi="Lato"/>
                <w:color w:val="auto"/>
                <w:szCs w:val="22"/>
                <w:u w:val="none"/>
              </w:rPr>
              <w:t xml:space="preserve"> detailed and prominent disclosure is given which </w:t>
            </w:r>
          </w:p>
        </w:tc>
        <w:tc>
          <w:tcPr>
            <w:tcW w:w="3188" w:type="dxa"/>
          </w:tcPr>
          <w:p w14:paraId="4976BEB1" w14:textId="77777777" w:rsidR="00AC48D2" w:rsidRPr="00CB1714" w:rsidRDefault="00AC48D2" w:rsidP="00FD764E">
            <w:pPr>
              <w:rPr>
                <w:rFonts w:ascii="Lato" w:hAnsi="Lato"/>
                <w:sz w:val="22"/>
                <w:szCs w:val="22"/>
              </w:rPr>
            </w:pPr>
          </w:p>
        </w:tc>
      </w:tr>
      <w:tr w:rsidR="00AC48D2" w:rsidRPr="00CB1714" w14:paraId="2B1CCE89" w14:textId="77777777" w:rsidTr="00990D73">
        <w:trPr>
          <w:trHeight w:val="156"/>
        </w:trPr>
        <w:tc>
          <w:tcPr>
            <w:tcW w:w="1316" w:type="dxa"/>
          </w:tcPr>
          <w:p w14:paraId="6E51A005" w14:textId="77777777" w:rsidR="00AC48D2" w:rsidRPr="00CB1714" w:rsidRDefault="00AC48D2" w:rsidP="00971795">
            <w:pPr>
              <w:jc w:val="right"/>
              <w:rPr>
                <w:rFonts w:ascii="Lato" w:hAnsi="Lato"/>
                <w:sz w:val="22"/>
                <w:szCs w:val="22"/>
              </w:rPr>
            </w:pPr>
          </w:p>
        </w:tc>
        <w:tc>
          <w:tcPr>
            <w:tcW w:w="5891" w:type="dxa"/>
          </w:tcPr>
          <w:p w14:paraId="4C74CC3D" w14:textId="77777777" w:rsidR="00AC48D2"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identifies</w:t>
            </w:r>
            <w:r w:rsidRPr="00CB1714">
              <w:rPr>
                <w:rFonts w:ascii="Lato" w:hAnsi="Lato"/>
                <w:color w:val="auto"/>
                <w:szCs w:val="22"/>
                <w:u w:val="none"/>
              </w:rPr>
              <w:t xml:space="preserve"> </w:t>
            </w:r>
            <w:r w:rsidR="00AC48D2" w:rsidRPr="00CB1714">
              <w:rPr>
                <w:rFonts w:ascii="Lato" w:hAnsi="Lato"/>
                <w:color w:val="auto"/>
                <w:szCs w:val="22"/>
                <w:u w:val="none"/>
              </w:rPr>
              <w:t xml:space="preserve">on an item-by-item basis those obligations and </w:t>
            </w:r>
          </w:p>
        </w:tc>
        <w:tc>
          <w:tcPr>
            <w:tcW w:w="3188" w:type="dxa"/>
          </w:tcPr>
          <w:p w14:paraId="37CC13B5" w14:textId="77777777" w:rsidR="00AC48D2" w:rsidRPr="00CB1714" w:rsidRDefault="00AC48D2" w:rsidP="00FD764E">
            <w:pPr>
              <w:rPr>
                <w:rFonts w:ascii="Lato" w:hAnsi="Lato"/>
                <w:sz w:val="22"/>
                <w:szCs w:val="22"/>
              </w:rPr>
            </w:pPr>
          </w:p>
        </w:tc>
      </w:tr>
      <w:tr w:rsidR="00AC48D2" w:rsidRPr="00CB1714" w14:paraId="52DA12DD" w14:textId="77777777" w:rsidTr="00990D73">
        <w:trPr>
          <w:trHeight w:val="156"/>
        </w:trPr>
        <w:tc>
          <w:tcPr>
            <w:tcW w:w="1316" w:type="dxa"/>
          </w:tcPr>
          <w:p w14:paraId="0B2C3810" w14:textId="77777777" w:rsidR="00AC48D2" w:rsidRPr="00CB1714" w:rsidRDefault="00AC48D2" w:rsidP="00971795">
            <w:pPr>
              <w:jc w:val="right"/>
              <w:rPr>
                <w:rFonts w:ascii="Lato" w:hAnsi="Lato"/>
                <w:sz w:val="22"/>
                <w:szCs w:val="22"/>
              </w:rPr>
            </w:pPr>
          </w:p>
        </w:tc>
        <w:tc>
          <w:tcPr>
            <w:tcW w:w="5891" w:type="dxa"/>
          </w:tcPr>
          <w:p w14:paraId="3A6F6C92" w14:textId="77777777" w:rsidR="00AC48D2"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conditions</w:t>
            </w:r>
            <w:r w:rsidRPr="00CB1714">
              <w:rPr>
                <w:rFonts w:ascii="Lato" w:hAnsi="Lato"/>
                <w:color w:val="auto"/>
                <w:szCs w:val="22"/>
                <w:u w:val="none"/>
              </w:rPr>
              <w:t xml:space="preserve"> </w:t>
            </w:r>
            <w:r w:rsidR="00AC48D2" w:rsidRPr="00CB1714">
              <w:rPr>
                <w:rFonts w:ascii="Lato" w:hAnsi="Lato"/>
                <w:color w:val="auto"/>
                <w:szCs w:val="22"/>
                <w:u w:val="none"/>
              </w:rPr>
              <w:t xml:space="preserve">which apply to the Qualifying Investor AIF and </w:t>
            </w:r>
          </w:p>
        </w:tc>
        <w:tc>
          <w:tcPr>
            <w:tcW w:w="3188" w:type="dxa"/>
          </w:tcPr>
          <w:p w14:paraId="5FA4DDB3" w14:textId="77777777" w:rsidR="00AC48D2" w:rsidRPr="00CB1714" w:rsidRDefault="00AC48D2" w:rsidP="00FD764E">
            <w:pPr>
              <w:rPr>
                <w:rFonts w:ascii="Lato" w:hAnsi="Lato"/>
                <w:sz w:val="22"/>
                <w:szCs w:val="22"/>
              </w:rPr>
            </w:pPr>
          </w:p>
        </w:tc>
      </w:tr>
      <w:tr w:rsidR="00AC48D2" w:rsidRPr="00CB1714" w14:paraId="7617EEBD" w14:textId="77777777" w:rsidTr="00990D73">
        <w:trPr>
          <w:trHeight w:val="156"/>
        </w:trPr>
        <w:tc>
          <w:tcPr>
            <w:tcW w:w="1316" w:type="dxa"/>
          </w:tcPr>
          <w:p w14:paraId="13128546" w14:textId="77777777" w:rsidR="00AC48D2" w:rsidRPr="00CB1714" w:rsidRDefault="00AC48D2" w:rsidP="00971795">
            <w:pPr>
              <w:jc w:val="right"/>
              <w:rPr>
                <w:rFonts w:ascii="Lato" w:hAnsi="Lato"/>
                <w:sz w:val="22"/>
                <w:szCs w:val="22"/>
              </w:rPr>
            </w:pPr>
          </w:p>
        </w:tc>
        <w:tc>
          <w:tcPr>
            <w:tcW w:w="5891" w:type="dxa"/>
          </w:tcPr>
          <w:p w14:paraId="488F91DD" w14:textId="77777777" w:rsidR="00AC48D2"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its AIFM</w:t>
            </w:r>
            <w:r w:rsidRPr="00CB1714">
              <w:rPr>
                <w:rFonts w:ascii="Lato" w:hAnsi="Lato"/>
                <w:color w:val="auto"/>
                <w:szCs w:val="22"/>
                <w:u w:val="none"/>
              </w:rPr>
              <w:t xml:space="preserve"> </w:t>
            </w:r>
            <w:r w:rsidR="00AC48D2" w:rsidRPr="00CB1714">
              <w:rPr>
                <w:rFonts w:ascii="Lato" w:hAnsi="Lato"/>
                <w:color w:val="auto"/>
                <w:szCs w:val="22"/>
                <w:u w:val="none"/>
              </w:rPr>
              <w:t xml:space="preserve">but which do not apply to the underlying </w:t>
            </w:r>
          </w:p>
        </w:tc>
        <w:tc>
          <w:tcPr>
            <w:tcW w:w="3188" w:type="dxa"/>
          </w:tcPr>
          <w:p w14:paraId="46DBB768" w14:textId="77777777" w:rsidR="00AC48D2" w:rsidRPr="00CB1714" w:rsidRDefault="00AC48D2" w:rsidP="00FD764E">
            <w:pPr>
              <w:rPr>
                <w:rFonts w:ascii="Lato" w:hAnsi="Lato"/>
                <w:sz w:val="22"/>
                <w:szCs w:val="22"/>
              </w:rPr>
            </w:pPr>
          </w:p>
        </w:tc>
      </w:tr>
      <w:tr w:rsidR="00AC48D2" w:rsidRPr="00CB1714" w14:paraId="0F7582B2" w14:textId="77777777" w:rsidTr="00990D73">
        <w:trPr>
          <w:trHeight w:val="156"/>
        </w:trPr>
        <w:tc>
          <w:tcPr>
            <w:tcW w:w="1316" w:type="dxa"/>
          </w:tcPr>
          <w:p w14:paraId="0F2EC053" w14:textId="77777777" w:rsidR="00AC48D2" w:rsidRPr="00CB1714" w:rsidRDefault="00AC48D2" w:rsidP="00971795">
            <w:pPr>
              <w:jc w:val="right"/>
              <w:rPr>
                <w:rFonts w:ascii="Lato" w:hAnsi="Lato"/>
                <w:sz w:val="22"/>
                <w:szCs w:val="22"/>
              </w:rPr>
            </w:pPr>
          </w:p>
        </w:tc>
        <w:tc>
          <w:tcPr>
            <w:tcW w:w="5891" w:type="dxa"/>
          </w:tcPr>
          <w:p w14:paraId="0F94E6C7" w14:textId="77777777" w:rsidR="00AC48D2" w:rsidRPr="00CB1714" w:rsidRDefault="00DC6E90" w:rsidP="00735EB0">
            <w:pPr>
              <w:pStyle w:val="Heading6"/>
              <w:jc w:val="both"/>
              <w:rPr>
                <w:rFonts w:ascii="Lato" w:hAnsi="Lato"/>
                <w:color w:val="auto"/>
                <w:szCs w:val="22"/>
                <w:u w:val="none"/>
              </w:rPr>
            </w:pPr>
            <w:r w:rsidRPr="00F72ED7">
              <w:rPr>
                <w:rFonts w:ascii="Lato" w:hAnsi="Lato"/>
                <w:color w:val="auto"/>
                <w:szCs w:val="22"/>
                <w:u w:val="none"/>
              </w:rPr>
              <w:t>unregulated</w:t>
            </w:r>
            <w:r w:rsidRPr="00CB1714">
              <w:rPr>
                <w:rFonts w:ascii="Lato" w:hAnsi="Lato"/>
                <w:color w:val="auto"/>
                <w:szCs w:val="22"/>
                <w:u w:val="none"/>
              </w:rPr>
              <w:t xml:space="preserve"> </w:t>
            </w:r>
            <w:r w:rsidR="00B030D3" w:rsidRPr="00CB1714">
              <w:rPr>
                <w:rFonts w:ascii="Lato" w:hAnsi="Lato"/>
                <w:color w:val="auto"/>
                <w:szCs w:val="22"/>
                <w:u w:val="none"/>
              </w:rPr>
              <w:t>investment fund and its management company</w:t>
            </w:r>
            <w:r w:rsidR="00AC48D2" w:rsidRPr="00CB1714">
              <w:rPr>
                <w:rFonts w:ascii="Lato" w:hAnsi="Lato"/>
                <w:color w:val="auto"/>
                <w:szCs w:val="22"/>
                <w:u w:val="none"/>
              </w:rPr>
              <w:t>.</w:t>
            </w:r>
          </w:p>
        </w:tc>
        <w:tc>
          <w:tcPr>
            <w:tcW w:w="3188" w:type="dxa"/>
          </w:tcPr>
          <w:p w14:paraId="5E6623BA" w14:textId="77777777" w:rsidR="00AC48D2" w:rsidRPr="00CB1714" w:rsidRDefault="00AC48D2" w:rsidP="00FD764E">
            <w:pPr>
              <w:rPr>
                <w:rFonts w:ascii="Lato" w:hAnsi="Lato"/>
                <w:sz w:val="22"/>
                <w:szCs w:val="22"/>
              </w:rPr>
            </w:pPr>
          </w:p>
        </w:tc>
      </w:tr>
      <w:tr w:rsidR="00AC48D2" w:rsidRPr="00CB1714" w14:paraId="6A5C9974" w14:textId="77777777" w:rsidTr="00990D73">
        <w:trPr>
          <w:trHeight w:val="156"/>
        </w:trPr>
        <w:tc>
          <w:tcPr>
            <w:tcW w:w="1316" w:type="dxa"/>
          </w:tcPr>
          <w:p w14:paraId="2A239E43" w14:textId="77777777" w:rsidR="00AC48D2" w:rsidRPr="00CB1714" w:rsidRDefault="00AC48D2" w:rsidP="00971795">
            <w:pPr>
              <w:jc w:val="right"/>
              <w:rPr>
                <w:rFonts w:ascii="Lato" w:hAnsi="Lato"/>
                <w:sz w:val="22"/>
                <w:szCs w:val="22"/>
              </w:rPr>
            </w:pPr>
          </w:p>
        </w:tc>
        <w:tc>
          <w:tcPr>
            <w:tcW w:w="5891" w:type="dxa"/>
          </w:tcPr>
          <w:p w14:paraId="337B41A3" w14:textId="77777777" w:rsidR="00AC48D2" w:rsidRPr="00CB1714"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1A91E721" w14:textId="77777777" w:rsidR="00AC48D2" w:rsidRPr="00CB1714" w:rsidRDefault="00AC48D2" w:rsidP="00FD764E">
            <w:pPr>
              <w:rPr>
                <w:rFonts w:ascii="Lato" w:hAnsi="Lato"/>
                <w:sz w:val="22"/>
                <w:szCs w:val="22"/>
              </w:rPr>
            </w:pPr>
          </w:p>
        </w:tc>
      </w:tr>
      <w:tr w:rsidR="00AC48D2" w:rsidRPr="00CB1714" w14:paraId="41CDF513" w14:textId="77777777" w:rsidTr="00990D73">
        <w:trPr>
          <w:trHeight w:val="156"/>
        </w:trPr>
        <w:tc>
          <w:tcPr>
            <w:tcW w:w="1316" w:type="dxa"/>
          </w:tcPr>
          <w:p w14:paraId="7D77E761" w14:textId="77777777" w:rsidR="00AC48D2" w:rsidRPr="00CB1714" w:rsidRDefault="00E81A3D" w:rsidP="00EC2355">
            <w:pPr>
              <w:rPr>
                <w:rFonts w:ascii="Lato" w:hAnsi="Lato"/>
                <w:sz w:val="22"/>
                <w:szCs w:val="22"/>
              </w:rPr>
            </w:pPr>
            <w:r w:rsidRPr="00CB1714">
              <w:rPr>
                <w:rFonts w:ascii="Lato" w:hAnsi="Lato"/>
                <w:sz w:val="22"/>
                <w:szCs w:val="22"/>
              </w:rPr>
              <w:t>(</w:t>
            </w:r>
            <w:r w:rsidR="00C835EC" w:rsidRPr="00CB1714">
              <w:rPr>
                <w:rFonts w:ascii="Lato" w:hAnsi="Lato"/>
                <w:sz w:val="22"/>
                <w:szCs w:val="22"/>
              </w:rPr>
              <w:t>i</w:t>
            </w:r>
            <w:r w:rsidR="004C7A4D" w:rsidRPr="00CB1714">
              <w:rPr>
                <w:rFonts w:ascii="Lato" w:hAnsi="Lato"/>
                <w:sz w:val="22"/>
                <w:szCs w:val="22"/>
              </w:rPr>
              <w:t>i)</w:t>
            </w:r>
          </w:p>
        </w:tc>
        <w:tc>
          <w:tcPr>
            <w:tcW w:w="5891" w:type="dxa"/>
            <w:tcBorders>
              <w:right w:val="single" w:sz="4" w:space="0" w:color="auto"/>
            </w:tcBorders>
          </w:tcPr>
          <w:p w14:paraId="7BF4782F" w14:textId="77777777" w:rsidR="00AC48D2" w:rsidRPr="00CB1714" w:rsidRDefault="00A82999" w:rsidP="00CB1714">
            <w:pPr>
              <w:pStyle w:val="Heading6"/>
              <w:jc w:val="both"/>
              <w:rPr>
                <w:rFonts w:ascii="Lato" w:hAnsi="Lato"/>
                <w:color w:val="auto"/>
                <w:szCs w:val="22"/>
                <w:u w:val="none"/>
              </w:rPr>
            </w:pPr>
            <w:r w:rsidRPr="00CB1714">
              <w:rPr>
                <w:rFonts w:ascii="Lato" w:hAnsi="Lato"/>
                <w:color w:val="auto"/>
                <w:szCs w:val="22"/>
                <w:u w:val="none"/>
              </w:rPr>
              <w:t>P</w:t>
            </w:r>
            <w:r w:rsidR="00AC48D2" w:rsidRPr="00CB1714">
              <w:rPr>
                <w:rFonts w:ascii="Lato" w:hAnsi="Lato"/>
                <w:color w:val="auto"/>
                <w:szCs w:val="22"/>
                <w:u w:val="none"/>
              </w:rPr>
              <w:t xml:space="preserve">rovide that a Qualifying Investor AIF will not invest more </w:t>
            </w:r>
          </w:p>
        </w:tc>
        <w:tc>
          <w:tcPr>
            <w:tcW w:w="3188" w:type="dxa"/>
            <w:tcBorders>
              <w:top w:val="single" w:sz="4" w:space="0" w:color="auto"/>
              <w:left w:val="single" w:sz="4" w:space="0" w:color="auto"/>
              <w:bottom w:val="single" w:sz="4" w:space="0" w:color="auto"/>
              <w:right w:val="single" w:sz="4" w:space="0" w:color="auto"/>
            </w:tcBorders>
          </w:tcPr>
          <w:p w14:paraId="6CB39E54" w14:textId="77777777" w:rsidR="00AC48D2" w:rsidRPr="00CB1714" w:rsidRDefault="00AC48D2" w:rsidP="00FD764E">
            <w:pPr>
              <w:rPr>
                <w:rFonts w:ascii="Lato" w:hAnsi="Lato"/>
                <w:sz w:val="22"/>
                <w:szCs w:val="22"/>
              </w:rPr>
            </w:pPr>
          </w:p>
        </w:tc>
      </w:tr>
      <w:tr w:rsidR="00AC48D2" w:rsidRPr="00CB1714" w14:paraId="4C64297B" w14:textId="77777777" w:rsidTr="00990D73">
        <w:trPr>
          <w:trHeight w:val="156"/>
        </w:trPr>
        <w:tc>
          <w:tcPr>
            <w:tcW w:w="1316" w:type="dxa"/>
          </w:tcPr>
          <w:p w14:paraId="153FBDC9" w14:textId="77777777" w:rsidR="00AC48D2" w:rsidRPr="00CB1714" w:rsidRDefault="00AC48D2" w:rsidP="00971795">
            <w:pPr>
              <w:jc w:val="right"/>
              <w:rPr>
                <w:rFonts w:ascii="Lato" w:hAnsi="Lato"/>
                <w:sz w:val="22"/>
                <w:szCs w:val="22"/>
              </w:rPr>
            </w:pPr>
          </w:p>
        </w:tc>
        <w:tc>
          <w:tcPr>
            <w:tcW w:w="5891" w:type="dxa"/>
          </w:tcPr>
          <w:p w14:paraId="4960805E" w14:textId="77777777" w:rsidR="00AC48D2" w:rsidRPr="00CB1714" w:rsidRDefault="00DC6E90" w:rsidP="004D6C78">
            <w:pPr>
              <w:pStyle w:val="Heading6"/>
              <w:jc w:val="both"/>
              <w:rPr>
                <w:rFonts w:ascii="Lato" w:hAnsi="Lato"/>
                <w:color w:val="auto"/>
                <w:szCs w:val="22"/>
                <w:u w:val="none"/>
              </w:rPr>
            </w:pPr>
            <w:r w:rsidRPr="00F72ED7">
              <w:rPr>
                <w:rFonts w:ascii="Lato" w:hAnsi="Lato"/>
                <w:color w:val="auto"/>
                <w:szCs w:val="22"/>
                <w:u w:val="none"/>
              </w:rPr>
              <w:t>than</w:t>
            </w:r>
            <w:r w:rsidRPr="00CB1714">
              <w:rPr>
                <w:rFonts w:ascii="Lato" w:hAnsi="Lato"/>
                <w:color w:val="auto"/>
                <w:szCs w:val="22"/>
                <w:u w:val="none"/>
              </w:rPr>
              <w:t xml:space="preserve"> </w:t>
            </w:r>
            <w:r w:rsidR="00AC48D2" w:rsidRPr="00CB1714">
              <w:rPr>
                <w:rFonts w:ascii="Lato" w:hAnsi="Lato"/>
                <w:color w:val="auto"/>
                <w:szCs w:val="22"/>
                <w:u w:val="none"/>
              </w:rPr>
              <w:t>50% of net assets in any one unregulated investment fund</w:t>
            </w:r>
          </w:p>
        </w:tc>
        <w:tc>
          <w:tcPr>
            <w:tcW w:w="3188" w:type="dxa"/>
            <w:tcBorders>
              <w:top w:val="single" w:sz="4" w:space="0" w:color="auto"/>
            </w:tcBorders>
          </w:tcPr>
          <w:p w14:paraId="16296068" w14:textId="77777777" w:rsidR="00AC48D2" w:rsidRPr="00CB1714" w:rsidRDefault="00AC48D2" w:rsidP="00FD764E">
            <w:pPr>
              <w:rPr>
                <w:rFonts w:ascii="Lato" w:hAnsi="Lato"/>
                <w:sz w:val="22"/>
                <w:szCs w:val="22"/>
              </w:rPr>
            </w:pPr>
          </w:p>
        </w:tc>
      </w:tr>
      <w:tr w:rsidR="00AC48D2" w:rsidRPr="00CB1714" w14:paraId="57D611B0" w14:textId="77777777" w:rsidTr="00990D73">
        <w:trPr>
          <w:trHeight w:val="156"/>
        </w:trPr>
        <w:tc>
          <w:tcPr>
            <w:tcW w:w="1316" w:type="dxa"/>
          </w:tcPr>
          <w:p w14:paraId="39983A43" w14:textId="77777777" w:rsidR="00AC48D2" w:rsidRPr="00CB1714" w:rsidRDefault="00AC48D2" w:rsidP="00971795">
            <w:pPr>
              <w:jc w:val="right"/>
              <w:rPr>
                <w:rFonts w:ascii="Lato" w:hAnsi="Lato"/>
                <w:sz w:val="22"/>
                <w:szCs w:val="22"/>
              </w:rPr>
            </w:pPr>
          </w:p>
        </w:tc>
        <w:tc>
          <w:tcPr>
            <w:tcW w:w="5891" w:type="dxa"/>
          </w:tcPr>
          <w:p w14:paraId="1FFFE95E" w14:textId="77777777" w:rsidR="00AC48D2" w:rsidRPr="00CB1714" w:rsidRDefault="00AC48D2" w:rsidP="00735EB0">
            <w:pPr>
              <w:pStyle w:val="Heading6"/>
              <w:jc w:val="both"/>
              <w:rPr>
                <w:rFonts w:ascii="Lato" w:hAnsi="Lato"/>
                <w:color w:val="auto"/>
                <w:szCs w:val="22"/>
                <w:u w:val="none"/>
              </w:rPr>
            </w:pPr>
          </w:p>
        </w:tc>
        <w:tc>
          <w:tcPr>
            <w:tcW w:w="3188" w:type="dxa"/>
          </w:tcPr>
          <w:p w14:paraId="37A88A80" w14:textId="77777777" w:rsidR="00AC48D2" w:rsidRPr="00CB1714" w:rsidRDefault="00AC48D2" w:rsidP="00FD764E">
            <w:pPr>
              <w:rPr>
                <w:rFonts w:ascii="Lato" w:hAnsi="Lato"/>
                <w:sz w:val="22"/>
                <w:szCs w:val="22"/>
              </w:rPr>
            </w:pPr>
          </w:p>
        </w:tc>
      </w:tr>
      <w:tr w:rsidR="00AC48D2" w:rsidRPr="00CB1714" w14:paraId="1AE11867" w14:textId="77777777" w:rsidTr="00990D73">
        <w:trPr>
          <w:trHeight w:val="156"/>
        </w:trPr>
        <w:tc>
          <w:tcPr>
            <w:tcW w:w="1316" w:type="dxa"/>
          </w:tcPr>
          <w:p w14:paraId="4A7167D3" w14:textId="77777777" w:rsidR="00AC48D2" w:rsidRPr="00CB1714" w:rsidRDefault="00AC48D2" w:rsidP="00971795">
            <w:pPr>
              <w:jc w:val="right"/>
              <w:rPr>
                <w:rFonts w:ascii="Lato" w:hAnsi="Lato"/>
                <w:sz w:val="22"/>
                <w:szCs w:val="22"/>
              </w:rPr>
            </w:pPr>
          </w:p>
        </w:tc>
        <w:tc>
          <w:tcPr>
            <w:tcW w:w="5891" w:type="dxa"/>
          </w:tcPr>
          <w:p w14:paraId="7BA8F027" w14:textId="77777777" w:rsidR="00AC48D2" w:rsidRPr="00CB1714" w:rsidRDefault="00AC48D2" w:rsidP="00735EB0">
            <w:pPr>
              <w:pStyle w:val="Heading6"/>
              <w:jc w:val="both"/>
              <w:rPr>
                <w:rFonts w:ascii="Lato" w:hAnsi="Lato"/>
                <w:color w:val="auto"/>
                <w:szCs w:val="22"/>
                <w:u w:val="none"/>
              </w:rPr>
            </w:pPr>
          </w:p>
        </w:tc>
        <w:tc>
          <w:tcPr>
            <w:tcW w:w="3188" w:type="dxa"/>
            <w:tcBorders>
              <w:bottom w:val="single" w:sz="4" w:space="0" w:color="auto"/>
            </w:tcBorders>
          </w:tcPr>
          <w:p w14:paraId="1B11F497" w14:textId="77777777" w:rsidR="00AC48D2" w:rsidRPr="00CB1714" w:rsidRDefault="00AC48D2" w:rsidP="00FD764E">
            <w:pPr>
              <w:rPr>
                <w:rFonts w:ascii="Lato" w:hAnsi="Lato"/>
                <w:sz w:val="22"/>
                <w:szCs w:val="22"/>
              </w:rPr>
            </w:pPr>
          </w:p>
        </w:tc>
      </w:tr>
      <w:tr w:rsidR="00AC48D2" w:rsidRPr="00CB1714" w14:paraId="57F15105" w14:textId="77777777" w:rsidTr="00990D73">
        <w:trPr>
          <w:trHeight w:val="156"/>
        </w:trPr>
        <w:tc>
          <w:tcPr>
            <w:tcW w:w="1316" w:type="dxa"/>
          </w:tcPr>
          <w:p w14:paraId="4871EF33" w14:textId="77777777" w:rsidR="00AC48D2" w:rsidRPr="00CB1714" w:rsidRDefault="00AC48D2" w:rsidP="00C835EC">
            <w:pPr>
              <w:rPr>
                <w:rFonts w:ascii="Lato" w:hAnsi="Lato"/>
                <w:sz w:val="22"/>
                <w:szCs w:val="22"/>
              </w:rPr>
            </w:pPr>
            <w:r w:rsidRPr="00CB1714">
              <w:rPr>
                <w:rFonts w:ascii="Lato" w:hAnsi="Lato"/>
                <w:sz w:val="22"/>
                <w:szCs w:val="22"/>
              </w:rPr>
              <w:t>(</w:t>
            </w:r>
            <w:r w:rsidR="00C835EC" w:rsidRPr="00CB1714">
              <w:rPr>
                <w:rFonts w:ascii="Lato" w:hAnsi="Lato"/>
                <w:sz w:val="22"/>
                <w:szCs w:val="22"/>
              </w:rPr>
              <w:t>i</w:t>
            </w:r>
            <w:r w:rsidR="004C7A4D" w:rsidRPr="00CB1714">
              <w:rPr>
                <w:rFonts w:ascii="Lato" w:hAnsi="Lato"/>
                <w:sz w:val="22"/>
                <w:szCs w:val="22"/>
              </w:rPr>
              <w:t>i</w:t>
            </w:r>
            <w:r w:rsidR="00C835EC" w:rsidRPr="00CB1714">
              <w:rPr>
                <w:rFonts w:ascii="Lato" w:hAnsi="Lato"/>
                <w:sz w:val="22"/>
                <w:szCs w:val="22"/>
              </w:rPr>
              <w:t>i</w:t>
            </w:r>
            <w:r w:rsidRPr="00CB1714">
              <w:rPr>
                <w:rFonts w:ascii="Lato" w:hAnsi="Lato"/>
                <w:sz w:val="22"/>
                <w:szCs w:val="22"/>
              </w:rPr>
              <w:t>)</w:t>
            </w:r>
          </w:p>
        </w:tc>
        <w:tc>
          <w:tcPr>
            <w:tcW w:w="5891" w:type="dxa"/>
            <w:tcBorders>
              <w:right w:val="single" w:sz="4" w:space="0" w:color="auto"/>
            </w:tcBorders>
          </w:tcPr>
          <w:p w14:paraId="55F251D1" w14:textId="77777777" w:rsidR="00AC48D2" w:rsidRPr="00CB1714" w:rsidRDefault="00AC48D2" w:rsidP="00CB1714">
            <w:pPr>
              <w:pStyle w:val="Heading6"/>
              <w:jc w:val="both"/>
              <w:rPr>
                <w:rFonts w:ascii="Lato" w:hAnsi="Lato"/>
                <w:color w:val="auto"/>
                <w:szCs w:val="22"/>
                <w:u w:val="none"/>
              </w:rPr>
            </w:pPr>
            <w:r w:rsidRPr="00CB1714">
              <w:rPr>
                <w:rFonts w:ascii="Lato" w:hAnsi="Lato"/>
                <w:color w:val="auto"/>
                <w:szCs w:val="22"/>
                <w:u w:val="none"/>
              </w:rPr>
              <w:t xml:space="preserve">A Qualifying Investor AIF may not invest more than 50% of </w:t>
            </w:r>
          </w:p>
        </w:tc>
        <w:tc>
          <w:tcPr>
            <w:tcW w:w="3188" w:type="dxa"/>
            <w:tcBorders>
              <w:top w:val="single" w:sz="4" w:space="0" w:color="auto"/>
              <w:left w:val="single" w:sz="4" w:space="0" w:color="auto"/>
              <w:bottom w:val="single" w:sz="4" w:space="0" w:color="auto"/>
              <w:right w:val="single" w:sz="4" w:space="0" w:color="auto"/>
            </w:tcBorders>
          </w:tcPr>
          <w:p w14:paraId="4C39940B" w14:textId="77777777" w:rsidR="00AC48D2" w:rsidRPr="00CB1714" w:rsidRDefault="00AC48D2" w:rsidP="00FD764E">
            <w:pPr>
              <w:rPr>
                <w:rFonts w:ascii="Lato" w:hAnsi="Lato"/>
                <w:sz w:val="22"/>
                <w:szCs w:val="22"/>
              </w:rPr>
            </w:pPr>
          </w:p>
        </w:tc>
      </w:tr>
      <w:tr w:rsidR="00AC48D2" w:rsidRPr="00CB1714" w14:paraId="02EBDB5B" w14:textId="77777777" w:rsidTr="00990D73">
        <w:trPr>
          <w:trHeight w:val="156"/>
        </w:trPr>
        <w:tc>
          <w:tcPr>
            <w:tcW w:w="1316" w:type="dxa"/>
          </w:tcPr>
          <w:p w14:paraId="5FBE23A7" w14:textId="77777777" w:rsidR="00AC48D2" w:rsidRPr="00CB1714" w:rsidRDefault="00AC48D2" w:rsidP="00971795">
            <w:pPr>
              <w:jc w:val="right"/>
              <w:rPr>
                <w:rFonts w:ascii="Lato" w:hAnsi="Lato"/>
                <w:sz w:val="22"/>
                <w:szCs w:val="22"/>
              </w:rPr>
            </w:pPr>
          </w:p>
        </w:tc>
        <w:tc>
          <w:tcPr>
            <w:tcW w:w="5891" w:type="dxa"/>
          </w:tcPr>
          <w:p w14:paraId="1C6A9AA8" w14:textId="77777777" w:rsidR="00AC48D2" w:rsidRPr="00CB1714" w:rsidRDefault="00DC6E90" w:rsidP="00CB1714">
            <w:pPr>
              <w:pStyle w:val="Heading6"/>
              <w:jc w:val="both"/>
              <w:rPr>
                <w:rFonts w:ascii="Lato" w:hAnsi="Lato"/>
                <w:color w:val="auto"/>
                <w:szCs w:val="22"/>
                <w:u w:val="none"/>
              </w:rPr>
            </w:pPr>
            <w:r w:rsidRPr="00F72ED7">
              <w:rPr>
                <w:rFonts w:ascii="Lato" w:hAnsi="Lato"/>
                <w:color w:val="auto"/>
                <w:szCs w:val="22"/>
                <w:u w:val="none"/>
              </w:rPr>
              <w:t>net</w:t>
            </w:r>
            <w:r w:rsidRPr="00CB1714">
              <w:rPr>
                <w:rFonts w:ascii="Lato" w:hAnsi="Lato"/>
                <w:color w:val="auto"/>
                <w:szCs w:val="22"/>
                <w:u w:val="none"/>
              </w:rPr>
              <w:t xml:space="preserve"> </w:t>
            </w:r>
            <w:r w:rsidR="00AC48D2" w:rsidRPr="00CB1714">
              <w:rPr>
                <w:rFonts w:ascii="Lato" w:hAnsi="Lato"/>
                <w:color w:val="auto"/>
                <w:szCs w:val="22"/>
                <w:u w:val="none"/>
              </w:rPr>
              <w:t xml:space="preserve">assets in another investment fund which  itself invests </w:t>
            </w:r>
          </w:p>
        </w:tc>
        <w:tc>
          <w:tcPr>
            <w:tcW w:w="3188" w:type="dxa"/>
            <w:tcBorders>
              <w:top w:val="single" w:sz="4" w:space="0" w:color="auto"/>
            </w:tcBorders>
          </w:tcPr>
          <w:p w14:paraId="40BBE278" w14:textId="77777777" w:rsidR="00AC48D2" w:rsidRPr="00CB1714" w:rsidRDefault="00AC48D2" w:rsidP="00FD764E">
            <w:pPr>
              <w:rPr>
                <w:rFonts w:ascii="Lato" w:hAnsi="Lato"/>
                <w:sz w:val="22"/>
                <w:szCs w:val="22"/>
              </w:rPr>
            </w:pPr>
          </w:p>
        </w:tc>
      </w:tr>
      <w:tr w:rsidR="00AC48D2" w:rsidRPr="00CB1714" w14:paraId="10B972BA" w14:textId="77777777" w:rsidTr="00990D73">
        <w:trPr>
          <w:trHeight w:val="156"/>
        </w:trPr>
        <w:tc>
          <w:tcPr>
            <w:tcW w:w="1316" w:type="dxa"/>
          </w:tcPr>
          <w:p w14:paraId="2D4AE9A8" w14:textId="77777777" w:rsidR="00AC48D2" w:rsidRPr="00CB1714" w:rsidRDefault="00AC48D2" w:rsidP="00971795">
            <w:pPr>
              <w:jc w:val="right"/>
              <w:rPr>
                <w:rFonts w:ascii="Lato" w:hAnsi="Lato"/>
                <w:sz w:val="22"/>
                <w:szCs w:val="22"/>
              </w:rPr>
            </w:pPr>
          </w:p>
        </w:tc>
        <w:tc>
          <w:tcPr>
            <w:tcW w:w="5891" w:type="dxa"/>
          </w:tcPr>
          <w:p w14:paraId="2DF2A355" w14:textId="77777777" w:rsidR="00AC48D2" w:rsidRPr="00CB1714" w:rsidRDefault="00DC6E90" w:rsidP="00315B4E">
            <w:pPr>
              <w:pStyle w:val="Heading6"/>
              <w:jc w:val="both"/>
              <w:rPr>
                <w:rFonts w:ascii="Lato" w:hAnsi="Lato"/>
                <w:color w:val="auto"/>
                <w:szCs w:val="22"/>
                <w:u w:val="none"/>
              </w:rPr>
            </w:pPr>
            <w:r w:rsidRPr="00F72ED7">
              <w:rPr>
                <w:rFonts w:ascii="Lato" w:hAnsi="Lato"/>
                <w:color w:val="auto"/>
                <w:szCs w:val="22"/>
                <w:u w:val="none"/>
              </w:rPr>
              <w:t xml:space="preserve">more </w:t>
            </w:r>
            <w:r w:rsidR="003F57C4" w:rsidRPr="00CB1714">
              <w:rPr>
                <w:rFonts w:ascii="Lato" w:hAnsi="Lato"/>
                <w:color w:val="auto"/>
                <w:szCs w:val="22"/>
                <w:u w:val="none"/>
              </w:rPr>
              <w:t xml:space="preserve">than </w:t>
            </w:r>
            <w:r w:rsidR="00AC48D2" w:rsidRPr="00CB1714">
              <w:rPr>
                <w:rFonts w:ascii="Lato" w:hAnsi="Lato"/>
                <w:color w:val="auto"/>
                <w:szCs w:val="22"/>
                <w:u w:val="none"/>
              </w:rPr>
              <w:t xml:space="preserve">50% of net assets in another investment fund </w:t>
            </w:r>
          </w:p>
        </w:tc>
        <w:tc>
          <w:tcPr>
            <w:tcW w:w="3188" w:type="dxa"/>
          </w:tcPr>
          <w:p w14:paraId="5070C16E" w14:textId="77777777" w:rsidR="00AC48D2" w:rsidRPr="00CB1714" w:rsidRDefault="00AC48D2" w:rsidP="00FD764E">
            <w:pPr>
              <w:rPr>
                <w:rFonts w:ascii="Lato" w:hAnsi="Lato"/>
                <w:sz w:val="22"/>
                <w:szCs w:val="22"/>
              </w:rPr>
            </w:pPr>
          </w:p>
        </w:tc>
      </w:tr>
      <w:tr w:rsidR="00AC48D2" w:rsidRPr="00CB1714" w14:paraId="566AABB1" w14:textId="77777777" w:rsidTr="00EC2355">
        <w:trPr>
          <w:trHeight w:val="156"/>
        </w:trPr>
        <w:tc>
          <w:tcPr>
            <w:tcW w:w="1316" w:type="dxa"/>
          </w:tcPr>
          <w:p w14:paraId="35731446" w14:textId="77777777" w:rsidR="00AC48D2" w:rsidRPr="00CB1714" w:rsidRDefault="00AC48D2" w:rsidP="00971795">
            <w:pPr>
              <w:jc w:val="right"/>
              <w:rPr>
                <w:rFonts w:ascii="Lato" w:hAnsi="Lato"/>
                <w:sz w:val="22"/>
                <w:szCs w:val="22"/>
              </w:rPr>
            </w:pPr>
          </w:p>
        </w:tc>
        <w:tc>
          <w:tcPr>
            <w:tcW w:w="5891" w:type="dxa"/>
          </w:tcPr>
          <w:p w14:paraId="1ADD9EF1" w14:textId="77777777" w:rsidR="00AC48D2" w:rsidRPr="00CB1714" w:rsidRDefault="00AC48D2" w:rsidP="00735EB0">
            <w:pPr>
              <w:pStyle w:val="Heading6"/>
              <w:jc w:val="both"/>
              <w:rPr>
                <w:rFonts w:ascii="Lato" w:hAnsi="Lato"/>
                <w:color w:val="auto"/>
                <w:szCs w:val="22"/>
                <w:u w:val="none"/>
              </w:rPr>
            </w:pPr>
          </w:p>
        </w:tc>
        <w:tc>
          <w:tcPr>
            <w:tcW w:w="3188" w:type="dxa"/>
          </w:tcPr>
          <w:p w14:paraId="43275167" w14:textId="77777777" w:rsidR="00AC48D2" w:rsidRPr="00CB1714" w:rsidRDefault="00AC48D2" w:rsidP="00FD764E">
            <w:pPr>
              <w:rPr>
                <w:rFonts w:ascii="Lato" w:hAnsi="Lato"/>
                <w:sz w:val="22"/>
                <w:szCs w:val="22"/>
              </w:rPr>
            </w:pPr>
          </w:p>
        </w:tc>
      </w:tr>
      <w:tr w:rsidR="00AC48D2" w:rsidRPr="00CB1714" w14:paraId="0F71098F" w14:textId="77777777" w:rsidTr="00EC2355">
        <w:trPr>
          <w:trHeight w:val="156"/>
        </w:trPr>
        <w:tc>
          <w:tcPr>
            <w:tcW w:w="1316" w:type="dxa"/>
          </w:tcPr>
          <w:p w14:paraId="554985E2" w14:textId="77777777" w:rsidR="00AC48D2" w:rsidRPr="00CB1714" w:rsidRDefault="00E876DF" w:rsidP="009844E8">
            <w:pPr>
              <w:rPr>
                <w:rFonts w:ascii="Lato" w:hAnsi="Lato"/>
                <w:sz w:val="22"/>
                <w:szCs w:val="22"/>
              </w:rPr>
            </w:pPr>
            <w:r w:rsidRPr="00CB1714">
              <w:rPr>
                <w:rFonts w:ascii="Lato" w:hAnsi="Lato"/>
                <w:sz w:val="22"/>
                <w:szCs w:val="22"/>
              </w:rPr>
              <w:t>2.2.6</w:t>
            </w:r>
          </w:p>
        </w:tc>
        <w:tc>
          <w:tcPr>
            <w:tcW w:w="5891" w:type="dxa"/>
          </w:tcPr>
          <w:p w14:paraId="00A20E1D" w14:textId="77777777" w:rsidR="00AC48D2" w:rsidRPr="00CB1714" w:rsidRDefault="00E876DF" w:rsidP="009844E8">
            <w:pPr>
              <w:pStyle w:val="Heading6"/>
              <w:rPr>
                <w:rFonts w:ascii="Lato" w:hAnsi="Lato"/>
                <w:b/>
                <w:color w:val="auto"/>
                <w:szCs w:val="22"/>
                <w:u w:val="none"/>
              </w:rPr>
            </w:pPr>
            <w:r w:rsidRPr="00CB1714">
              <w:rPr>
                <w:rFonts w:ascii="Lato" w:hAnsi="Lato"/>
                <w:b/>
                <w:color w:val="auto"/>
                <w:szCs w:val="22"/>
                <w:u w:val="none"/>
              </w:rPr>
              <w:t>Loan originating Qualifying Investor AIF</w:t>
            </w:r>
          </w:p>
        </w:tc>
        <w:tc>
          <w:tcPr>
            <w:tcW w:w="3188" w:type="dxa"/>
          </w:tcPr>
          <w:p w14:paraId="64042E4C" w14:textId="77777777" w:rsidR="00AC48D2" w:rsidRPr="00CB1714" w:rsidRDefault="00AC48D2" w:rsidP="00E876DF">
            <w:pPr>
              <w:rPr>
                <w:rFonts w:ascii="Lato" w:hAnsi="Lato"/>
                <w:sz w:val="22"/>
                <w:szCs w:val="22"/>
              </w:rPr>
            </w:pPr>
          </w:p>
        </w:tc>
      </w:tr>
      <w:tr w:rsidR="00BB028B" w:rsidRPr="00CB1714" w14:paraId="39555155" w14:textId="77777777" w:rsidTr="00EC2355">
        <w:trPr>
          <w:trHeight w:val="156"/>
        </w:trPr>
        <w:tc>
          <w:tcPr>
            <w:tcW w:w="1316" w:type="dxa"/>
          </w:tcPr>
          <w:p w14:paraId="7E8859C2" w14:textId="77777777" w:rsidR="00BB028B" w:rsidRPr="00CB1714" w:rsidRDefault="00BB028B" w:rsidP="004009A0">
            <w:pPr>
              <w:rPr>
                <w:rFonts w:ascii="Lato" w:hAnsi="Lato"/>
                <w:sz w:val="22"/>
                <w:szCs w:val="22"/>
              </w:rPr>
            </w:pPr>
          </w:p>
        </w:tc>
        <w:tc>
          <w:tcPr>
            <w:tcW w:w="5891" w:type="dxa"/>
          </w:tcPr>
          <w:p w14:paraId="4FE86B20" w14:textId="77777777" w:rsidR="00BB028B" w:rsidRPr="00CB1714" w:rsidRDefault="00BB028B" w:rsidP="004009A0">
            <w:pPr>
              <w:pStyle w:val="Heading6"/>
              <w:rPr>
                <w:rFonts w:ascii="Lato" w:hAnsi="Lato"/>
                <w:color w:val="auto"/>
                <w:szCs w:val="22"/>
                <w:u w:val="none"/>
              </w:rPr>
            </w:pPr>
          </w:p>
        </w:tc>
        <w:tc>
          <w:tcPr>
            <w:tcW w:w="3188" w:type="dxa"/>
            <w:tcBorders>
              <w:bottom w:val="single" w:sz="4" w:space="0" w:color="auto"/>
            </w:tcBorders>
          </w:tcPr>
          <w:p w14:paraId="22628A03" w14:textId="77777777" w:rsidR="00BB028B" w:rsidRPr="00CB1714" w:rsidRDefault="00BB028B" w:rsidP="00E876DF">
            <w:pPr>
              <w:rPr>
                <w:rFonts w:ascii="Lato" w:hAnsi="Lato"/>
                <w:sz w:val="22"/>
                <w:szCs w:val="22"/>
              </w:rPr>
            </w:pPr>
          </w:p>
        </w:tc>
      </w:tr>
      <w:tr w:rsidR="00E876DF" w:rsidRPr="00CB1714" w14:paraId="39495240" w14:textId="77777777" w:rsidTr="009844E8">
        <w:trPr>
          <w:trHeight w:val="156"/>
        </w:trPr>
        <w:tc>
          <w:tcPr>
            <w:tcW w:w="1316" w:type="dxa"/>
          </w:tcPr>
          <w:p w14:paraId="191E0538" w14:textId="77777777" w:rsidR="00E876DF" w:rsidRPr="00CB1714" w:rsidRDefault="00CB1DC7" w:rsidP="00801FC1">
            <w:pPr>
              <w:rPr>
                <w:rFonts w:ascii="Lato" w:hAnsi="Lato"/>
                <w:sz w:val="22"/>
                <w:szCs w:val="22"/>
              </w:rPr>
            </w:pPr>
            <w:r w:rsidRPr="00CB1714">
              <w:rPr>
                <w:rFonts w:ascii="Lato" w:hAnsi="Lato"/>
                <w:sz w:val="22"/>
                <w:szCs w:val="22"/>
              </w:rPr>
              <w:t>(</w:t>
            </w:r>
            <w:r w:rsidR="00801FC1" w:rsidRPr="00CB1714">
              <w:rPr>
                <w:rFonts w:ascii="Lato" w:hAnsi="Lato"/>
                <w:sz w:val="22"/>
                <w:szCs w:val="22"/>
              </w:rPr>
              <w:t>a</w:t>
            </w:r>
            <w:r w:rsidR="00283A66" w:rsidRPr="00CB1714">
              <w:rPr>
                <w:rFonts w:ascii="Lato" w:hAnsi="Lato"/>
                <w:sz w:val="22"/>
                <w:szCs w:val="22"/>
              </w:rPr>
              <w:t>)</w:t>
            </w:r>
          </w:p>
        </w:tc>
        <w:tc>
          <w:tcPr>
            <w:tcW w:w="5891" w:type="dxa"/>
            <w:tcBorders>
              <w:right w:val="single" w:sz="4" w:space="0" w:color="auto"/>
            </w:tcBorders>
          </w:tcPr>
          <w:p w14:paraId="2FBAF8EE" w14:textId="77777777" w:rsidR="00E876DF" w:rsidRPr="00CB1714" w:rsidRDefault="00283A66" w:rsidP="00CB1DC7">
            <w:pPr>
              <w:pStyle w:val="Heading6"/>
              <w:rPr>
                <w:rFonts w:ascii="Lato" w:hAnsi="Lato"/>
                <w:color w:val="auto"/>
                <w:szCs w:val="22"/>
                <w:u w:val="none"/>
              </w:rPr>
            </w:pPr>
            <w:r w:rsidRPr="00CB1714">
              <w:rPr>
                <w:rFonts w:ascii="Lato" w:hAnsi="Lato"/>
                <w:color w:val="auto"/>
                <w:szCs w:val="22"/>
                <w:u w:val="none"/>
              </w:rPr>
              <w:t>Set out the</w:t>
            </w:r>
            <w:r w:rsidR="0070277A" w:rsidRPr="00CB1714">
              <w:rPr>
                <w:rFonts w:ascii="Lato" w:hAnsi="Lato"/>
                <w:color w:val="auto"/>
                <w:szCs w:val="22"/>
                <w:u w:val="none"/>
              </w:rPr>
              <w:t xml:space="preserve"> </w:t>
            </w:r>
            <w:r w:rsidRPr="00CB1714">
              <w:rPr>
                <w:rFonts w:ascii="Lato" w:hAnsi="Lato"/>
                <w:color w:val="auto"/>
                <w:szCs w:val="22"/>
                <w:u w:val="none"/>
              </w:rPr>
              <w:t xml:space="preserve">risk diversification </w:t>
            </w:r>
            <w:r w:rsidR="00CB1DC7" w:rsidRPr="00CB1714">
              <w:rPr>
                <w:rFonts w:ascii="Lato" w:hAnsi="Lato"/>
                <w:color w:val="auto"/>
                <w:szCs w:val="22"/>
                <w:u w:val="none"/>
              </w:rPr>
              <w:t xml:space="preserve">strategy which will achieve a </w:t>
            </w:r>
          </w:p>
        </w:tc>
        <w:tc>
          <w:tcPr>
            <w:tcW w:w="3188" w:type="dxa"/>
            <w:tcBorders>
              <w:top w:val="single" w:sz="4" w:space="0" w:color="auto"/>
              <w:left w:val="single" w:sz="4" w:space="0" w:color="auto"/>
              <w:bottom w:val="single" w:sz="4" w:space="0" w:color="auto"/>
              <w:right w:val="single" w:sz="4" w:space="0" w:color="auto"/>
            </w:tcBorders>
          </w:tcPr>
          <w:p w14:paraId="32EC9628" w14:textId="77777777" w:rsidR="00E876DF" w:rsidRPr="00CB1714" w:rsidRDefault="00E876DF" w:rsidP="00E876DF">
            <w:pPr>
              <w:rPr>
                <w:rFonts w:ascii="Lato" w:hAnsi="Lato"/>
                <w:sz w:val="22"/>
                <w:szCs w:val="22"/>
              </w:rPr>
            </w:pPr>
          </w:p>
        </w:tc>
      </w:tr>
      <w:tr w:rsidR="00E876DF" w:rsidRPr="00CB1714" w14:paraId="5DC5C5F6" w14:textId="77777777" w:rsidTr="009844E8">
        <w:trPr>
          <w:trHeight w:val="156"/>
        </w:trPr>
        <w:tc>
          <w:tcPr>
            <w:tcW w:w="1316" w:type="dxa"/>
          </w:tcPr>
          <w:p w14:paraId="4CE5334C" w14:textId="77777777" w:rsidR="00E876DF" w:rsidRPr="00CB1714" w:rsidRDefault="00E876DF" w:rsidP="004009A0">
            <w:pPr>
              <w:rPr>
                <w:rFonts w:ascii="Lato" w:hAnsi="Lato"/>
                <w:sz w:val="22"/>
                <w:szCs w:val="22"/>
              </w:rPr>
            </w:pPr>
          </w:p>
        </w:tc>
        <w:tc>
          <w:tcPr>
            <w:tcW w:w="5891" w:type="dxa"/>
          </w:tcPr>
          <w:p w14:paraId="0FEDC07B" w14:textId="77777777" w:rsidR="00E876DF" w:rsidRPr="00CB1714" w:rsidRDefault="00CB1DC7" w:rsidP="00CB1DC7">
            <w:pPr>
              <w:pStyle w:val="Heading6"/>
              <w:rPr>
                <w:rFonts w:ascii="Lato" w:hAnsi="Lato"/>
                <w:color w:val="auto"/>
                <w:szCs w:val="22"/>
                <w:u w:val="none"/>
              </w:rPr>
            </w:pPr>
            <w:r w:rsidRPr="00CB1714">
              <w:rPr>
                <w:rFonts w:ascii="Lato" w:hAnsi="Lato"/>
                <w:color w:val="auto"/>
                <w:szCs w:val="22"/>
                <w:u w:val="none"/>
              </w:rPr>
              <w:t>diversified portfolio of loans and limit exposure to any one issuer or group to 25% of net assets</w:t>
            </w:r>
          </w:p>
        </w:tc>
        <w:tc>
          <w:tcPr>
            <w:tcW w:w="3188" w:type="dxa"/>
            <w:tcBorders>
              <w:top w:val="single" w:sz="4" w:space="0" w:color="auto"/>
            </w:tcBorders>
          </w:tcPr>
          <w:p w14:paraId="2EFDE84E" w14:textId="77777777" w:rsidR="00E876DF" w:rsidRPr="00CB1714" w:rsidRDefault="00E876DF" w:rsidP="00E876DF">
            <w:pPr>
              <w:rPr>
                <w:rFonts w:ascii="Lato" w:hAnsi="Lato"/>
                <w:sz w:val="22"/>
                <w:szCs w:val="22"/>
              </w:rPr>
            </w:pPr>
          </w:p>
        </w:tc>
      </w:tr>
      <w:tr w:rsidR="00CB1DC7" w:rsidRPr="00CB1714" w14:paraId="221BDF5E" w14:textId="77777777" w:rsidTr="009844E8">
        <w:trPr>
          <w:trHeight w:val="156"/>
        </w:trPr>
        <w:tc>
          <w:tcPr>
            <w:tcW w:w="1316" w:type="dxa"/>
          </w:tcPr>
          <w:p w14:paraId="07484F1A" w14:textId="77777777" w:rsidR="00CB1DC7" w:rsidRPr="00CB1714" w:rsidRDefault="00CB1DC7" w:rsidP="009844E8">
            <w:pPr>
              <w:rPr>
                <w:rFonts w:ascii="Lato" w:hAnsi="Lato"/>
                <w:sz w:val="22"/>
                <w:szCs w:val="22"/>
              </w:rPr>
            </w:pPr>
          </w:p>
        </w:tc>
        <w:tc>
          <w:tcPr>
            <w:tcW w:w="5891" w:type="dxa"/>
          </w:tcPr>
          <w:p w14:paraId="7C0F5F06" w14:textId="77777777" w:rsidR="00CB1DC7" w:rsidRPr="00CB1714" w:rsidRDefault="00CB1DC7" w:rsidP="00CB1DC7">
            <w:pPr>
              <w:pStyle w:val="Heading6"/>
              <w:rPr>
                <w:rFonts w:ascii="Lato" w:hAnsi="Lato"/>
                <w:color w:val="auto"/>
                <w:szCs w:val="22"/>
                <w:u w:val="none"/>
              </w:rPr>
            </w:pPr>
          </w:p>
        </w:tc>
        <w:tc>
          <w:tcPr>
            <w:tcW w:w="3188" w:type="dxa"/>
            <w:tcBorders>
              <w:bottom w:val="single" w:sz="4" w:space="0" w:color="auto"/>
            </w:tcBorders>
          </w:tcPr>
          <w:p w14:paraId="74BD6D6D" w14:textId="77777777" w:rsidR="00CB1DC7" w:rsidRPr="00CB1714" w:rsidRDefault="00CB1DC7" w:rsidP="00E876DF">
            <w:pPr>
              <w:rPr>
                <w:rFonts w:ascii="Lato" w:hAnsi="Lato"/>
                <w:sz w:val="22"/>
                <w:szCs w:val="22"/>
              </w:rPr>
            </w:pPr>
          </w:p>
        </w:tc>
      </w:tr>
      <w:tr w:rsidR="00CB1DC7" w:rsidRPr="00CB1714" w14:paraId="5C35C140" w14:textId="77777777" w:rsidTr="009844E8">
        <w:trPr>
          <w:trHeight w:val="156"/>
        </w:trPr>
        <w:tc>
          <w:tcPr>
            <w:tcW w:w="1316" w:type="dxa"/>
          </w:tcPr>
          <w:p w14:paraId="2254DADD" w14:textId="77777777" w:rsidR="00CB1DC7" w:rsidRPr="00CB1714" w:rsidRDefault="00CB1DC7" w:rsidP="009844E8">
            <w:pPr>
              <w:rPr>
                <w:rFonts w:ascii="Lato" w:hAnsi="Lato"/>
                <w:sz w:val="22"/>
                <w:szCs w:val="22"/>
              </w:rPr>
            </w:pPr>
            <w:r w:rsidRPr="00CB1714">
              <w:rPr>
                <w:rFonts w:ascii="Lato" w:hAnsi="Lato"/>
                <w:sz w:val="22"/>
                <w:szCs w:val="22"/>
              </w:rPr>
              <w:t>(</w:t>
            </w:r>
            <w:r w:rsidR="00801FC1" w:rsidRPr="00CB1714">
              <w:rPr>
                <w:rFonts w:ascii="Lato" w:hAnsi="Lato"/>
                <w:sz w:val="22"/>
                <w:szCs w:val="22"/>
              </w:rPr>
              <w:t>b</w:t>
            </w:r>
            <w:r w:rsidRPr="00CB1714">
              <w:rPr>
                <w:rFonts w:ascii="Lato" w:hAnsi="Lato"/>
                <w:sz w:val="22"/>
                <w:szCs w:val="22"/>
              </w:rPr>
              <w:t>)</w:t>
            </w:r>
          </w:p>
        </w:tc>
        <w:tc>
          <w:tcPr>
            <w:tcW w:w="5891" w:type="dxa"/>
            <w:tcBorders>
              <w:right w:val="single" w:sz="4" w:space="0" w:color="auto"/>
            </w:tcBorders>
          </w:tcPr>
          <w:p w14:paraId="2C5D0F3A" w14:textId="77777777" w:rsidR="00CB1DC7" w:rsidRPr="00CB1714" w:rsidRDefault="00CB1DC7" w:rsidP="00CB1714">
            <w:pPr>
              <w:pStyle w:val="Heading6"/>
              <w:rPr>
                <w:rFonts w:ascii="Lato" w:hAnsi="Lato"/>
                <w:color w:val="auto"/>
                <w:szCs w:val="22"/>
                <w:u w:val="none"/>
              </w:rPr>
            </w:pPr>
            <w:r w:rsidRPr="00CB1714">
              <w:rPr>
                <w:rFonts w:ascii="Lato" w:hAnsi="Lato"/>
                <w:color w:val="auto"/>
                <w:szCs w:val="22"/>
                <w:u w:val="none"/>
              </w:rPr>
              <w:t xml:space="preserve">Set out a specified time-frame for the Qualifying Investor </w:t>
            </w:r>
          </w:p>
        </w:tc>
        <w:tc>
          <w:tcPr>
            <w:tcW w:w="3188" w:type="dxa"/>
            <w:tcBorders>
              <w:top w:val="single" w:sz="4" w:space="0" w:color="auto"/>
              <w:left w:val="single" w:sz="4" w:space="0" w:color="auto"/>
              <w:bottom w:val="single" w:sz="4" w:space="0" w:color="auto"/>
              <w:right w:val="single" w:sz="4" w:space="0" w:color="auto"/>
            </w:tcBorders>
          </w:tcPr>
          <w:p w14:paraId="091DEDBA" w14:textId="77777777" w:rsidR="00CB1DC7" w:rsidRPr="00CB1714" w:rsidRDefault="00CB1DC7" w:rsidP="00E876DF">
            <w:pPr>
              <w:rPr>
                <w:rFonts w:ascii="Lato" w:hAnsi="Lato"/>
                <w:sz w:val="22"/>
                <w:szCs w:val="22"/>
              </w:rPr>
            </w:pPr>
          </w:p>
        </w:tc>
      </w:tr>
      <w:tr w:rsidR="00E876DF" w:rsidRPr="00CB1714" w14:paraId="7BACADEB" w14:textId="77777777" w:rsidTr="009844E8">
        <w:trPr>
          <w:trHeight w:val="156"/>
        </w:trPr>
        <w:tc>
          <w:tcPr>
            <w:tcW w:w="1316" w:type="dxa"/>
          </w:tcPr>
          <w:p w14:paraId="1543956F" w14:textId="77777777" w:rsidR="00E876DF" w:rsidRPr="00CB1714" w:rsidRDefault="00E876DF" w:rsidP="004009A0">
            <w:pPr>
              <w:rPr>
                <w:rFonts w:ascii="Lato" w:hAnsi="Lato"/>
                <w:sz w:val="22"/>
                <w:szCs w:val="22"/>
              </w:rPr>
            </w:pPr>
          </w:p>
        </w:tc>
        <w:tc>
          <w:tcPr>
            <w:tcW w:w="5891" w:type="dxa"/>
          </w:tcPr>
          <w:p w14:paraId="5CC88D5A" w14:textId="77777777" w:rsidR="00E876DF" w:rsidRPr="00CB1714" w:rsidRDefault="00054B1C" w:rsidP="004009A0">
            <w:pPr>
              <w:pStyle w:val="Heading6"/>
              <w:rPr>
                <w:rFonts w:ascii="Lato" w:hAnsi="Lato"/>
                <w:color w:val="auto"/>
                <w:szCs w:val="22"/>
                <w:u w:val="none"/>
              </w:rPr>
            </w:pPr>
            <w:r w:rsidRPr="00F72ED7">
              <w:rPr>
                <w:rFonts w:ascii="Lato" w:hAnsi="Lato"/>
                <w:color w:val="auto"/>
                <w:szCs w:val="22"/>
                <w:u w:val="none"/>
              </w:rPr>
              <w:t xml:space="preserve">AIF </w:t>
            </w:r>
            <w:r w:rsidR="00CB1DC7" w:rsidRPr="00CB1714">
              <w:rPr>
                <w:rFonts w:ascii="Lato" w:hAnsi="Lato"/>
                <w:color w:val="auto"/>
                <w:szCs w:val="22"/>
                <w:u w:val="none"/>
              </w:rPr>
              <w:t>to achieve its risk diversification strategy</w:t>
            </w:r>
          </w:p>
        </w:tc>
        <w:tc>
          <w:tcPr>
            <w:tcW w:w="3188" w:type="dxa"/>
            <w:tcBorders>
              <w:top w:val="single" w:sz="4" w:space="0" w:color="auto"/>
            </w:tcBorders>
          </w:tcPr>
          <w:p w14:paraId="14E3A138" w14:textId="77777777" w:rsidR="00E876DF" w:rsidRPr="00CB1714" w:rsidRDefault="00E876DF" w:rsidP="00E876DF">
            <w:pPr>
              <w:rPr>
                <w:rFonts w:ascii="Lato" w:hAnsi="Lato"/>
                <w:sz w:val="22"/>
                <w:szCs w:val="22"/>
              </w:rPr>
            </w:pPr>
          </w:p>
        </w:tc>
      </w:tr>
      <w:tr w:rsidR="00CB1DC7" w:rsidRPr="00CB1714" w14:paraId="561A8AA5" w14:textId="77777777" w:rsidTr="009844E8">
        <w:trPr>
          <w:trHeight w:val="156"/>
        </w:trPr>
        <w:tc>
          <w:tcPr>
            <w:tcW w:w="1316" w:type="dxa"/>
          </w:tcPr>
          <w:p w14:paraId="2A9902A3" w14:textId="77777777" w:rsidR="00CB1DC7" w:rsidRPr="00CB1714" w:rsidRDefault="00CB1DC7" w:rsidP="004009A0">
            <w:pPr>
              <w:rPr>
                <w:rFonts w:ascii="Lato" w:hAnsi="Lato"/>
                <w:sz w:val="22"/>
                <w:szCs w:val="22"/>
              </w:rPr>
            </w:pPr>
          </w:p>
        </w:tc>
        <w:tc>
          <w:tcPr>
            <w:tcW w:w="5891" w:type="dxa"/>
          </w:tcPr>
          <w:p w14:paraId="4B070134" w14:textId="77777777" w:rsidR="00CB1DC7" w:rsidRPr="00CB1714" w:rsidRDefault="00CB1DC7" w:rsidP="004009A0">
            <w:pPr>
              <w:pStyle w:val="Heading6"/>
              <w:rPr>
                <w:rFonts w:ascii="Lato" w:hAnsi="Lato"/>
                <w:color w:val="auto"/>
                <w:szCs w:val="22"/>
                <w:u w:val="none"/>
              </w:rPr>
            </w:pPr>
          </w:p>
        </w:tc>
        <w:tc>
          <w:tcPr>
            <w:tcW w:w="3188" w:type="dxa"/>
            <w:tcBorders>
              <w:bottom w:val="single" w:sz="4" w:space="0" w:color="auto"/>
            </w:tcBorders>
          </w:tcPr>
          <w:p w14:paraId="66C6077F" w14:textId="77777777" w:rsidR="00CB1DC7" w:rsidRPr="00CB1714" w:rsidRDefault="00CB1DC7" w:rsidP="00E876DF">
            <w:pPr>
              <w:rPr>
                <w:rFonts w:ascii="Lato" w:hAnsi="Lato"/>
                <w:sz w:val="22"/>
                <w:szCs w:val="22"/>
              </w:rPr>
            </w:pPr>
          </w:p>
        </w:tc>
      </w:tr>
      <w:tr w:rsidR="00C54B3C" w:rsidRPr="00CB1714" w14:paraId="5ACD02EC" w14:textId="77777777" w:rsidTr="009844E8">
        <w:trPr>
          <w:trHeight w:val="156"/>
        </w:trPr>
        <w:tc>
          <w:tcPr>
            <w:tcW w:w="1316" w:type="dxa"/>
          </w:tcPr>
          <w:p w14:paraId="5345D147" w14:textId="77777777" w:rsidR="00C54B3C" w:rsidRPr="00CB1714" w:rsidRDefault="00C54B3C" w:rsidP="004009A0">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387A7BDE" w14:textId="77777777" w:rsidR="00C54B3C" w:rsidRPr="00CB1714" w:rsidRDefault="00C54B3C" w:rsidP="00CB1714">
            <w:pPr>
              <w:pStyle w:val="Heading6"/>
              <w:rPr>
                <w:rFonts w:ascii="Lato" w:hAnsi="Lato"/>
                <w:color w:val="auto"/>
                <w:szCs w:val="22"/>
                <w:u w:val="none"/>
              </w:rPr>
            </w:pPr>
            <w:r w:rsidRPr="00CB1714">
              <w:rPr>
                <w:rFonts w:ascii="Lato" w:hAnsi="Lato"/>
                <w:color w:val="auto"/>
                <w:szCs w:val="22"/>
                <w:u w:val="none"/>
              </w:rPr>
              <w:t xml:space="preserve">If relevant, disclose the dates at which the </w:t>
            </w:r>
          </w:p>
        </w:tc>
        <w:tc>
          <w:tcPr>
            <w:tcW w:w="3188" w:type="dxa"/>
            <w:tcBorders>
              <w:top w:val="single" w:sz="4" w:space="0" w:color="auto"/>
              <w:left w:val="single" w:sz="4" w:space="0" w:color="auto"/>
              <w:bottom w:val="single" w:sz="4" w:space="0" w:color="auto"/>
              <w:right w:val="single" w:sz="4" w:space="0" w:color="auto"/>
            </w:tcBorders>
          </w:tcPr>
          <w:p w14:paraId="4DEEBCC7" w14:textId="77777777" w:rsidR="00C54B3C" w:rsidRPr="00CB1714" w:rsidRDefault="00C54B3C" w:rsidP="00E876DF">
            <w:pPr>
              <w:rPr>
                <w:rFonts w:ascii="Lato" w:hAnsi="Lato"/>
                <w:sz w:val="22"/>
                <w:szCs w:val="22"/>
              </w:rPr>
            </w:pPr>
          </w:p>
        </w:tc>
      </w:tr>
      <w:tr w:rsidR="00C54B3C" w:rsidRPr="00CB1714" w14:paraId="3939B597" w14:textId="77777777" w:rsidTr="00CB1714">
        <w:trPr>
          <w:trHeight w:val="156"/>
        </w:trPr>
        <w:tc>
          <w:tcPr>
            <w:tcW w:w="1316" w:type="dxa"/>
          </w:tcPr>
          <w:p w14:paraId="05F5EF68" w14:textId="77777777" w:rsidR="00C54B3C" w:rsidRPr="00CB1714" w:rsidRDefault="00C54B3C" w:rsidP="004009A0">
            <w:pPr>
              <w:rPr>
                <w:rFonts w:ascii="Lato" w:hAnsi="Lato"/>
                <w:sz w:val="22"/>
                <w:szCs w:val="22"/>
              </w:rPr>
            </w:pPr>
          </w:p>
        </w:tc>
        <w:tc>
          <w:tcPr>
            <w:tcW w:w="5891" w:type="dxa"/>
          </w:tcPr>
          <w:p w14:paraId="46EE09D3" w14:textId="77777777" w:rsidR="00C54B3C" w:rsidRPr="00CB1714" w:rsidRDefault="00054B1C" w:rsidP="00C54B3C">
            <w:pPr>
              <w:pStyle w:val="Heading6"/>
              <w:rPr>
                <w:rFonts w:ascii="Lato" w:hAnsi="Lato"/>
                <w:color w:val="auto"/>
                <w:szCs w:val="22"/>
                <w:u w:val="none"/>
              </w:rPr>
            </w:pPr>
            <w:r w:rsidRPr="00F72ED7">
              <w:rPr>
                <w:rFonts w:ascii="Lato" w:hAnsi="Lato"/>
                <w:color w:val="auto"/>
                <w:szCs w:val="22"/>
                <w:u w:val="none"/>
              </w:rPr>
              <w:t xml:space="preserve">AIFM/investment </w:t>
            </w:r>
            <w:r w:rsidR="00C54B3C" w:rsidRPr="00CB1714">
              <w:rPr>
                <w:rFonts w:ascii="Lato" w:hAnsi="Lato"/>
                <w:color w:val="auto"/>
                <w:szCs w:val="22"/>
                <w:u w:val="none"/>
              </w:rPr>
              <w:t>company/management company/general partner may have discretion, without commitment and on a non-preferred basis, to invite requests for redemptions of holdings from unitholders</w:t>
            </w:r>
          </w:p>
        </w:tc>
        <w:tc>
          <w:tcPr>
            <w:tcW w:w="3188" w:type="dxa"/>
            <w:tcBorders>
              <w:top w:val="single" w:sz="4" w:space="0" w:color="auto"/>
            </w:tcBorders>
          </w:tcPr>
          <w:p w14:paraId="34FBC177" w14:textId="77777777" w:rsidR="00C54B3C" w:rsidRPr="00CB1714" w:rsidRDefault="00C54B3C" w:rsidP="00E876DF">
            <w:pPr>
              <w:rPr>
                <w:rFonts w:ascii="Lato" w:hAnsi="Lato"/>
                <w:sz w:val="22"/>
                <w:szCs w:val="22"/>
              </w:rPr>
            </w:pPr>
          </w:p>
        </w:tc>
      </w:tr>
      <w:tr w:rsidR="00C54B3C" w:rsidRPr="00CB1714" w14:paraId="1065A491" w14:textId="77777777" w:rsidTr="00CB1714">
        <w:trPr>
          <w:trHeight w:val="156"/>
        </w:trPr>
        <w:tc>
          <w:tcPr>
            <w:tcW w:w="1316" w:type="dxa"/>
          </w:tcPr>
          <w:p w14:paraId="75F84701" w14:textId="77777777" w:rsidR="00C54B3C" w:rsidRPr="00CB1714" w:rsidRDefault="00C54B3C" w:rsidP="004009A0">
            <w:pPr>
              <w:rPr>
                <w:rFonts w:ascii="Lato" w:hAnsi="Lato"/>
                <w:sz w:val="22"/>
                <w:szCs w:val="22"/>
              </w:rPr>
            </w:pPr>
          </w:p>
        </w:tc>
        <w:tc>
          <w:tcPr>
            <w:tcW w:w="5891" w:type="dxa"/>
          </w:tcPr>
          <w:p w14:paraId="50C8F9CF" w14:textId="77777777" w:rsidR="00C54B3C" w:rsidRPr="00CB1714" w:rsidRDefault="00C54B3C" w:rsidP="004009A0">
            <w:pPr>
              <w:pStyle w:val="Heading6"/>
              <w:rPr>
                <w:rFonts w:ascii="Lato" w:hAnsi="Lato"/>
                <w:color w:val="auto"/>
                <w:szCs w:val="22"/>
                <w:u w:val="none"/>
              </w:rPr>
            </w:pPr>
          </w:p>
        </w:tc>
        <w:tc>
          <w:tcPr>
            <w:tcW w:w="3188" w:type="dxa"/>
          </w:tcPr>
          <w:p w14:paraId="49244B32" w14:textId="77777777" w:rsidR="00C54B3C" w:rsidRPr="00CB1714" w:rsidRDefault="00C54B3C" w:rsidP="00E876DF">
            <w:pPr>
              <w:rPr>
                <w:rFonts w:ascii="Lato" w:hAnsi="Lato"/>
                <w:sz w:val="22"/>
                <w:szCs w:val="22"/>
              </w:rPr>
            </w:pPr>
          </w:p>
        </w:tc>
      </w:tr>
      <w:tr w:rsidR="00F802F7" w:rsidRPr="00CB1714" w14:paraId="0B5E434E" w14:textId="77777777" w:rsidTr="00CB1714">
        <w:trPr>
          <w:trHeight w:val="156"/>
        </w:trPr>
        <w:tc>
          <w:tcPr>
            <w:tcW w:w="1316" w:type="dxa"/>
          </w:tcPr>
          <w:p w14:paraId="26671BA1" w14:textId="77777777" w:rsidR="00F802F7" w:rsidRPr="00CB1714" w:rsidRDefault="00F802F7" w:rsidP="004009A0">
            <w:pPr>
              <w:rPr>
                <w:rFonts w:ascii="Lato" w:hAnsi="Lato"/>
                <w:sz w:val="22"/>
                <w:szCs w:val="22"/>
              </w:rPr>
            </w:pPr>
          </w:p>
        </w:tc>
        <w:tc>
          <w:tcPr>
            <w:tcW w:w="5891" w:type="dxa"/>
          </w:tcPr>
          <w:p w14:paraId="5C9BB7DE"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5CE9AB52" w14:textId="77777777" w:rsidR="00F802F7" w:rsidRPr="00CB1714" w:rsidRDefault="00F802F7" w:rsidP="00E876DF">
            <w:pPr>
              <w:rPr>
                <w:rFonts w:ascii="Lato" w:hAnsi="Lato"/>
                <w:sz w:val="22"/>
                <w:szCs w:val="22"/>
              </w:rPr>
            </w:pPr>
          </w:p>
        </w:tc>
      </w:tr>
      <w:tr w:rsidR="009844E8" w:rsidRPr="00CB1714" w14:paraId="4D5F0D76" w14:textId="77777777" w:rsidTr="009844E8">
        <w:trPr>
          <w:trHeight w:val="156"/>
        </w:trPr>
        <w:tc>
          <w:tcPr>
            <w:tcW w:w="1316" w:type="dxa"/>
          </w:tcPr>
          <w:p w14:paraId="3A48CAFF" w14:textId="77777777" w:rsidR="00F802F7" w:rsidRPr="00CB1714" w:rsidRDefault="00BB028B"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d</w:t>
            </w:r>
            <w:r w:rsidRPr="00CB1714">
              <w:rPr>
                <w:rFonts w:ascii="Lato" w:hAnsi="Lato"/>
                <w:sz w:val="22"/>
                <w:szCs w:val="22"/>
              </w:rPr>
              <w:t>)</w:t>
            </w:r>
          </w:p>
        </w:tc>
        <w:tc>
          <w:tcPr>
            <w:tcW w:w="5891" w:type="dxa"/>
            <w:tcBorders>
              <w:right w:val="single" w:sz="4" w:space="0" w:color="auto"/>
            </w:tcBorders>
          </w:tcPr>
          <w:p w14:paraId="15A0734E" w14:textId="77777777" w:rsidR="00F802F7" w:rsidRPr="00CB1714" w:rsidRDefault="003778F1" w:rsidP="00CB1714">
            <w:pPr>
              <w:pStyle w:val="Heading6"/>
              <w:rPr>
                <w:rFonts w:ascii="Lato" w:hAnsi="Lato"/>
                <w:color w:val="auto"/>
                <w:szCs w:val="22"/>
                <w:u w:val="none"/>
              </w:rPr>
            </w:pPr>
            <w:r w:rsidRPr="00CB1714">
              <w:rPr>
                <w:rFonts w:ascii="Lato" w:hAnsi="Lato"/>
                <w:color w:val="auto"/>
                <w:szCs w:val="22"/>
                <w:u w:val="none"/>
              </w:rPr>
              <w:t xml:space="preserve">Provide </w:t>
            </w:r>
            <w:r w:rsidRPr="00CB1714">
              <w:rPr>
                <w:rFonts w:ascii="Lato" w:hAnsi="Lato"/>
                <w:color w:val="auto"/>
                <w:sz w:val="21"/>
                <w:szCs w:val="21"/>
                <w:u w:val="none"/>
              </w:rPr>
              <w:t xml:space="preserve">a prominent risk warning which draws attention to </w:t>
            </w:r>
          </w:p>
        </w:tc>
        <w:tc>
          <w:tcPr>
            <w:tcW w:w="3188" w:type="dxa"/>
            <w:tcBorders>
              <w:top w:val="single" w:sz="4" w:space="0" w:color="auto"/>
              <w:left w:val="single" w:sz="4" w:space="0" w:color="auto"/>
              <w:bottom w:val="single" w:sz="4" w:space="0" w:color="auto"/>
              <w:right w:val="single" w:sz="4" w:space="0" w:color="auto"/>
            </w:tcBorders>
          </w:tcPr>
          <w:p w14:paraId="47742292" w14:textId="77777777" w:rsidR="00F802F7" w:rsidRPr="00CB1714" w:rsidRDefault="00F802F7" w:rsidP="009844E8">
            <w:pPr>
              <w:jc w:val="both"/>
              <w:rPr>
                <w:rFonts w:ascii="Lato" w:hAnsi="Lato"/>
                <w:sz w:val="22"/>
                <w:szCs w:val="22"/>
              </w:rPr>
            </w:pPr>
          </w:p>
        </w:tc>
      </w:tr>
      <w:tr w:rsidR="009844E8" w:rsidRPr="00CB1714" w14:paraId="20C797DC" w14:textId="77777777" w:rsidTr="009844E8">
        <w:trPr>
          <w:trHeight w:val="156"/>
        </w:trPr>
        <w:tc>
          <w:tcPr>
            <w:tcW w:w="1316" w:type="dxa"/>
          </w:tcPr>
          <w:p w14:paraId="52943A36" w14:textId="77777777" w:rsidR="00F802F7" w:rsidRPr="00CB1714" w:rsidRDefault="00F802F7" w:rsidP="004009A0">
            <w:pPr>
              <w:rPr>
                <w:rFonts w:ascii="Lato" w:hAnsi="Lato"/>
                <w:sz w:val="22"/>
                <w:szCs w:val="22"/>
              </w:rPr>
            </w:pPr>
          </w:p>
        </w:tc>
        <w:tc>
          <w:tcPr>
            <w:tcW w:w="5891" w:type="dxa"/>
          </w:tcPr>
          <w:p w14:paraId="1B8A1B5C" w14:textId="77777777" w:rsidR="00F802F7" w:rsidRPr="00CB1714" w:rsidRDefault="00054B1C" w:rsidP="004009A0">
            <w:pPr>
              <w:pStyle w:val="Heading6"/>
              <w:rPr>
                <w:rFonts w:ascii="Lato" w:hAnsi="Lato"/>
                <w:color w:val="auto"/>
                <w:szCs w:val="22"/>
                <w:u w:val="none"/>
              </w:rPr>
            </w:pPr>
            <w:r w:rsidRPr="00F72ED7">
              <w:rPr>
                <w:rFonts w:ascii="Lato" w:hAnsi="Lato"/>
                <w:color w:val="auto"/>
                <w:sz w:val="21"/>
                <w:szCs w:val="21"/>
                <w:u w:val="none"/>
              </w:rPr>
              <w:t xml:space="preserve">the </w:t>
            </w:r>
            <w:r w:rsidR="003778F1" w:rsidRPr="00CB1714">
              <w:rPr>
                <w:rFonts w:ascii="Lato" w:hAnsi="Lato"/>
                <w:color w:val="auto"/>
                <w:sz w:val="21"/>
                <w:szCs w:val="21"/>
                <w:u w:val="none"/>
              </w:rPr>
              <w:t>unique risks which arise from loan origination and how investment in a loan originating investment fund is not guaranteed and is subject to the possibility of investment losses and illiquidity</w:t>
            </w:r>
          </w:p>
        </w:tc>
        <w:tc>
          <w:tcPr>
            <w:tcW w:w="3188" w:type="dxa"/>
            <w:tcBorders>
              <w:top w:val="single" w:sz="4" w:space="0" w:color="auto"/>
            </w:tcBorders>
          </w:tcPr>
          <w:p w14:paraId="1C4867EC" w14:textId="77777777" w:rsidR="00F802F7" w:rsidRPr="00CB1714" w:rsidRDefault="00F802F7" w:rsidP="00E876DF">
            <w:pPr>
              <w:rPr>
                <w:rFonts w:ascii="Lato" w:hAnsi="Lato"/>
                <w:sz w:val="22"/>
                <w:szCs w:val="22"/>
              </w:rPr>
            </w:pPr>
          </w:p>
        </w:tc>
      </w:tr>
      <w:tr w:rsidR="009844E8" w:rsidRPr="00CB1714" w14:paraId="65C0DFF1" w14:textId="77777777" w:rsidTr="009844E8">
        <w:trPr>
          <w:trHeight w:val="156"/>
        </w:trPr>
        <w:tc>
          <w:tcPr>
            <w:tcW w:w="1316" w:type="dxa"/>
          </w:tcPr>
          <w:p w14:paraId="2419A592" w14:textId="77777777" w:rsidR="00F802F7" w:rsidRPr="00CB1714" w:rsidRDefault="00F802F7" w:rsidP="004009A0">
            <w:pPr>
              <w:rPr>
                <w:rFonts w:ascii="Lato" w:hAnsi="Lato"/>
                <w:sz w:val="22"/>
                <w:szCs w:val="22"/>
              </w:rPr>
            </w:pPr>
          </w:p>
        </w:tc>
        <w:tc>
          <w:tcPr>
            <w:tcW w:w="5891" w:type="dxa"/>
          </w:tcPr>
          <w:p w14:paraId="06F192EE"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7C9E7379" w14:textId="77777777" w:rsidR="00F802F7" w:rsidRPr="00CB1714" w:rsidRDefault="00F802F7" w:rsidP="00E876DF">
            <w:pPr>
              <w:rPr>
                <w:rFonts w:ascii="Lato" w:hAnsi="Lato"/>
                <w:sz w:val="22"/>
                <w:szCs w:val="22"/>
              </w:rPr>
            </w:pPr>
          </w:p>
        </w:tc>
      </w:tr>
      <w:tr w:rsidR="009844E8" w:rsidRPr="00CB1714" w14:paraId="32FAADDC" w14:textId="77777777" w:rsidTr="009844E8">
        <w:trPr>
          <w:trHeight w:val="156"/>
        </w:trPr>
        <w:tc>
          <w:tcPr>
            <w:tcW w:w="1316" w:type="dxa"/>
          </w:tcPr>
          <w:p w14:paraId="335C0B79" w14:textId="77777777" w:rsidR="00F802F7" w:rsidRPr="00CB1714" w:rsidRDefault="003778F1"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e</w:t>
            </w:r>
            <w:r w:rsidRPr="00CB1714">
              <w:rPr>
                <w:rFonts w:ascii="Lato" w:hAnsi="Lato"/>
                <w:sz w:val="22"/>
                <w:szCs w:val="22"/>
              </w:rPr>
              <w:t>)</w:t>
            </w:r>
          </w:p>
        </w:tc>
        <w:tc>
          <w:tcPr>
            <w:tcW w:w="5891" w:type="dxa"/>
            <w:tcBorders>
              <w:right w:val="single" w:sz="4" w:space="0" w:color="auto"/>
            </w:tcBorders>
          </w:tcPr>
          <w:p w14:paraId="6D310283" w14:textId="77777777" w:rsidR="00F802F7" w:rsidRPr="00CB1714" w:rsidRDefault="003778F1" w:rsidP="003778F1">
            <w:pPr>
              <w:pStyle w:val="Heading6"/>
              <w:rPr>
                <w:rFonts w:ascii="Lato" w:hAnsi="Lato"/>
                <w:color w:val="auto"/>
                <w:szCs w:val="22"/>
                <w:u w:val="none"/>
              </w:rPr>
            </w:pPr>
            <w:r w:rsidRPr="00CB1714">
              <w:rPr>
                <w:rFonts w:ascii="Lato" w:hAnsi="Lato"/>
                <w:color w:val="auto"/>
                <w:szCs w:val="22"/>
                <w:u w:val="none"/>
              </w:rPr>
              <w:t xml:space="preserve">Provide </w:t>
            </w:r>
            <w:r w:rsidRPr="00CB1714">
              <w:rPr>
                <w:rFonts w:ascii="Lato" w:hAnsi="Lato"/>
                <w:color w:val="auto"/>
                <w:sz w:val="21"/>
                <w:szCs w:val="21"/>
                <w:u w:val="none"/>
              </w:rPr>
              <w:t xml:space="preserve">information on the risk and reward profile of the loan </w:t>
            </w:r>
          </w:p>
        </w:tc>
        <w:tc>
          <w:tcPr>
            <w:tcW w:w="3188" w:type="dxa"/>
            <w:tcBorders>
              <w:top w:val="single" w:sz="4" w:space="0" w:color="auto"/>
              <w:left w:val="single" w:sz="4" w:space="0" w:color="auto"/>
              <w:bottom w:val="single" w:sz="4" w:space="0" w:color="auto"/>
              <w:right w:val="single" w:sz="4" w:space="0" w:color="auto"/>
            </w:tcBorders>
          </w:tcPr>
          <w:p w14:paraId="0C3A4877" w14:textId="77777777" w:rsidR="00F802F7" w:rsidRPr="00CB1714" w:rsidRDefault="00F802F7" w:rsidP="00E876DF">
            <w:pPr>
              <w:rPr>
                <w:rFonts w:ascii="Lato" w:hAnsi="Lato"/>
                <w:sz w:val="22"/>
                <w:szCs w:val="22"/>
              </w:rPr>
            </w:pPr>
          </w:p>
        </w:tc>
      </w:tr>
      <w:tr w:rsidR="009844E8" w:rsidRPr="00CB1714" w14:paraId="09576D99" w14:textId="77777777" w:rsidTr="009844E8">
        <w:trPr>
          <w:trHeight w:val="156"/>
        </w:trPr>
        <w:tc>
          <w:tcPr>
            <w:tcW w:w="1316" w:type="dxa"/>
          </w:tcPr>
          <w:p w14:paraId="55ECA657" w14:textId="77777777" w:rsidR="003778F1" w:rsidRPr="00CB1714" w:rsidRDefault="003778F1" w:rsidP="004009A0">
            <w:pPr>
              <w:rPr>
                <w:rFonts w:ascii="Lato" w:hAnsi="Lato"/>
                <w:sz w:val="22"/>
                <w:szCs w:val="22"/>
              </w:rPr>
            </w:pPr>
          </w:p>
        </w:tc>
        <w:tc>
          <w:tcPr>
            <w:tcW w:w="5891" w:type="dxa"/>
          </w:tcPr>
          <w:p w14:paraId="72B63424" w14:textId="77777777" w:rsidR="003778F1" w:rsidRPr="00CB1714" w:rsidRDefault="003778F1" w:rsidP="003778F1">
            <w:pPr>
              <w:pStyle w:val="Heading6"/>
              <w:rPr>
                <w:rFonts w:ascii="Lato" w:hAnsi="Lato"/>
                <w:color w:val="auto"/>
                <w:szCs w:val="22"/>
                <w:u w:val="none"/>
              </w:rPr>
            </w:pPr>
            <w:r w:rsidRPr="00CB1714">
              <w:rPr>
                <w:rFonts w:ascii="Lato" w:hAnsi="Lato"/>
                <w:color w:val="auto"/>
                <w:sz w:val="21"/>
                <w:szCs w:val="21"/>
                <w:u w:val="none"/>
              </w:rPr>
              <w:t>originating Qualifying Investor AIF</w:t>
            </w:r>
            <w:r w:rsidR="00801FC1" w:rsidRPr="00CB1714">
              <w:rPr>
                <w:rFonts w:ascii="Lato" w:hAnsi="Lato"/>
                <w:color w:val="auto"/>
                <w:sz w:val="21"/>
                <w:szCs w:val="21"/>
                <w:u w:val="none"/>
              </w:rPr>
              <w:t xml:space="preserve"> to enable investors identify the specific risks linked to a loan origination strategy</w:t>
            </w:r>
          </w:p>
        </w:tc>
        <w:tc>
          <w:tcPr>
            <w:tcW w:w="3188" w:type="dxa"/>
            <w:tcBorders>
              <w:top w:val="single" w:sz="4" w:space="0" w:color="auto"/>
            </w:tcBorders>
          </w:tcPr>
          <w:p w14:paraId="52FB2F6E" w14:textId="77777777" w:rsidR="003778F1" w:rsidRPr="00CB1714" w:rsidRDefault="003778F1" w:rsidP="00E876DF">
            <w:pPr>
              <w:rPr>
                <w:rFonts w:ascii="Lato" w:hAnsi="Lato"/>
                <w:sz w:val="22"/>
                <w:szCs w:val="22"/>
              </w:rPr>
            </w:pPr>
          </w:p>
        </w:tc>
      </w:tr>
      <w:tr w:rsidR="009844E8" w:rsidRPr="00CB1714" w14:paraId="4C34109F" w14:textId="77777777" w:rsidTr="009844E8">
        <w:trPr>
          <w:trHeight w:val="156"/>
        </w:trPr>
        <w:tc>
          <w:tcPr>
            <w:tcW w:w="1316" w:type="dxa"/>
          </w:tcPr>
          <w:p w14:paraId="7A1449DD" w14:textId="77777777" w:rsidR="00F802F7" w:rsidRPr="00CB1714" w:rsidRDefault="00F802F7" w:rsidP="004009A0">
            <w:pPr>
              <w:rPr>
                <w:rFonts w:ascii="Lato" w:hAnsi="Lato"/>
                <w:sz w:val="22"/>
                <w:szCs w:val="22"/>
              </w:rPr>
            </w:pPr>
          </w:p>
        </w:tc>
        <w:tc>
          <w:tcPr>
            <w:tcW w:w="5891" w:type="dxa"/>
          </w:tcPr>
          <w:p w14:paraId="7762A7D5"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1ECD7CA9" w14:textId="77777777" w:rsidR="00F802F7" w:rsidRPr="00CB1714" w:rsidRDefault="00F802F7" w:rsidP="00E876DF">
            <w:pPr>
              <w:rPr>
                <w:rFonts w:ascii="Lato" w:hAnsi="Lato"/>
                <w:sz w:val="22"/>
                <w:szCs w:val="22"/>
              </w:rPr>
            </w:pPr>
          </w:p>
        </w:tc>
      </w:tr>
      <w:tr w:rsidR="009844E8" w:rsidRPr="00CB1714" w14:paraId="36F632B0" w14:textId="77777777" w:rsidTr="009844E8">
        <w:trPr>
          <w:trHeight w:val="156"/>
        </w:trPr>
        <w:tc>
          <w:tcPr>
            <w:tcW w:w="1316" w:type="dxa"/>
          </w:tcPr>
          <w:p w14:paraId="046E8A91" w14:textId="77777777" w:rsidR="00F802F7" w:rsidRPr="00CB1714" w:rsidRDefault="003778F1"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f</w:t>
            </w:r>
            <w:r w:rsidRPr="00CB1714">
              <w:rPr>
                <w:rFonts w:ascii="Lato" w:hAnsi="Lato"/>
                <w:sz w:val="22"/>
                <w:szCs w:val="22"/>
              </w:rPr>
              <w:t>)</w:t>
            </w:r>
          </w:p>
        </w:tc>
        <w:tc>
          <w:tcPr>
            <w:tcW w:w="5891" w:type="dxa"/>
            <w:tcBorders>
              <w:right w:val="single" w:sz="4" w:space="0" w:color="auto"/>
            </w:tcBorders>
          </w:tcPr>
          <w:p w14:paraId="1FC6983F" w14:textId="77777777" w:rsidR="00F802F7" w:rsidRPr="00CB1714" w:rsidRDefault="003778F1" w:rsidP="00CB1714">
            <w:pPr>
              <w:pStyle w:val="Heading6"/>
              <w:rPr>
                <w:rFonts w:ascii="Lato" w:hAnsi="Lato"/>
                <w:color w:val="auto"/>
                <w:szCs w:val="22"/>
                <w:u w:val="none"/>
              </w:rPr>
            </w:pPr>
            <w:r w:rsidRPr="00CB1714">
              <w:rPr>
                <w:rFonts w:ascii="Lato" w:hAnsi="Lato"/>
                <w:color w:val="auto"/>
                <w:sz w:val="21"/>
                <w:szCs w:val="21"/>
                <w:u w:val="none"/>
              </w:rPr>
              <w:t xml:space="preserve">Provide information on the extent to which the loan </w:t>
            </w:r>
          </w:p>
        </w:tc>
        <w:tc>
          <w:tcPr>
            <w:tcW w:w="3188" w:type="dxa"/>
            <w:tcBorders>
              <w:top w:val="single" w:sz="4" w:space="0" w:color="auto"/>
              <w:left w:val="single" w:sz="4" w:space="0" w:color="auto"/>
              <w:bottom w:val="single" w:sz="4" w:space="0" w:color="auto"/>
              <w:right w:val="single" w:sz="4" w:space="0" w:color="auto"/>
            </w:tcBorders>
          </w:tcPr>
          <w:p w14:paraId="20CB6BE0" w14:textId="77777777" w:rsidR="00F802F7" w:rsidRPr="00CB1714" w:rsidRDefault="00F802F7" w:rsidP="00E876DF">
            <w:pPr>
              <w:rPr>
                <w:rFonts w:ascii="Lato" w:hAnsi="Lato"/>
                <w:sz w:val="22"/>
                <w:szCs w:val="22"/>
              </w:rPr>
            </w:pPr>
          </w:p>
        </w:tc>
      </w:tr>
      <w:tr w:rsidR="009844E8" w:rsidRPr="00CB1714" w14:paraId="005ADCBE" w14:textId="77777777" w:rsidTr="009844E8">
        <w:trPr>
          <w:trHeight w:val="156"/>
        </w:trPr>
        <w:tc>
          <w:tcPr>
            <w:tcW w:w="1316" w:type="dxa"/>
          </w:tcPr>
          <w:p w14:paraId="1E035A43" w14:textId="77777777" w:rsidR="00F802F7" w:rsidRPr="00CB1714" w:rsidRDefault="00F802F7" w:rsidP="004009A0">
            <w:pPr>
              <w:rPr>
                <w:rFonts w:ascii="Lato" w:hAnsi="Lato"/>
                <w:sz w:val="22"/>
                <w:szCs w:val="22"/>
              </w:rPr>
            </w:pPr>
          </w:p>
        </w:tc>
        <w:tc>
          <w:tcPr>
            <w:tcW w:w="5891" w:type="dxa"/>
          </w:tcPr>
          <w:p w14:paraId="01AA8B65" w14:textId="77777777" w:rsidR="00F802F7" w:rsidRPr="00CB1714" w:rsidRDefault="00054B1C" w:rsidP="004009A0">
            <w:pPr>
              <w:pStyle w:val="Heading6"/>
              <w:rPr>
                <w:rFonts w:ascii="Lato" w:hAnsi="Lato"/>
                <w:color w:val="auto"/>
                <w:szCs w:val="22"/>
                <w:u w:val="none"/>
              </w:rPr>
            </w:pPr>
            <w:r w:rsidRPr="00F72ED7">
              <w:rPr>
                <w:rFonts w:ascii="Lato" w:hAnsi="Lato"/>
                <w:color w:val="auto"/>
                <w:sz w:val="21"/>
                <w:szCs w:val="21"/>
                <w:u w:val="none"/>
              </w:rPr>
              <w:t xml:space="preserve">originating </w:t>
            </w:r>
            <w:r w:rsidR="003778F1" w:rsidRPr="00CB1714">
              <w:rPr>
                <w:rFonts w:ascii="Lato" w:hAnsi="Lato"/>
                <w:color w:val="auto"/>
                <w:sz w:val="21"/>
                <w:szCs w:val="21"/>
                <w:u w:val="none"/>
              </w:rPr>
              <w:t>Qualifying Investor AIF intends to be concentrated as regards individual entities, geographical locations and sectors and risk arising from the proposed concentrations</w:t>
            </w:r>
          </w:p>
        </w:tc>
        <w:tc>
          <w:tcPr>
            <w:tcW w:w="3188" w:type="dxa"/>
            <w:tcBorders>
              <w:top w:val="single" w:sz="4" w:space="0" w:color="auto"/>
            </w:tcBorders>
          </w:tcPr>
          <w:p w14:paraId="06B24702" w14:textId="77777777" w:rsidR="00F802F7" w:rsidRPr="00CB1714" w:rsidRDefault="00F802F7" w:rsidP="00E876DF">
            <w:pPr>
              <w:rPr>
                <w:rFonts w:ascii="Lato" w:hAnsi="Lato"/>
                <w:sz w:val="22"/>
                <w:szCs w:val="22"/>
              </w:rPr>
            </w:pPr>
          </w:p>
        </w:tc>
      </w:tr>
      <w:tr w:rsidR="009844E8" w:rsidRPr="00CB1714" w14:paraId="07FDE3E0" w14:textId="77777777" w:rsidTr="009844E8">
        <w:trPr>
          <w:trHeight w:val="156"/>
        </w:trPr>
        <w:tc>
          <w:tcPr>
            <w:tcW w:w="1316" w:type="dxa"/>
          </w:tcPr>
          <w:p w14:paraId="38D3144B" w14:textId="77777777" w:rsidR="00F802F7" w:rsidRPr="00CB1714" w:rsidRDefault="00F802F7" w:rsidP="004009A0">
            <w:pPr>
              <w:rPr>
                <w:rFonts w:ascii="Lato" w:hAnsi="Lato"/>
                <w:sz w:val="22"/>
                <w:szCs w:val="22"/>
              </w:rPr>
            </w:pPr>
          </w:p>
        </w:tc>
        <w:tc>
          <w:tcPr>
            <w:tcW w:w="5891" w:type="dxa"/>
          </w:tcPr>
          <w:p w14:paraId="14BE636F"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66F960A7" w14:textId="77777777" w:rsidR="00F802F7" w:rsidRPr="00CB1714" w:rsidRDefault="00F802F7" w:rsidP="00E876DF">
            <w:pPr>
              <w:rPr>
                <w:rFonts w:ascii="Lato" w:hAnsi="Lato"/>
                <w:sz w:val="22"/>
                <w:szCs w:val="22"/>
              </w:rPr>
            </w:pPr>
          </w:p>
        </w:tc>
      </w:tr>
      <w:tr w:rsidR="009844E8" w:rsidRPr="00CB1714" w14:paraId="78BFDCFE" w14:textId="77777777" w:rsidTr="009844E8">
        <w:trPr>
          <w:trHeight w:val="156"/>
        </w:trPr>
        <w:tc>
          <w:tcPr>
            <w:tcW w:w="1316" w:type="dxa"/>
          </w:tcPr>
          <w:p w14:paraId="321BCFDC" w14:textId="77777777" w:rsidR="00F802F7" w:rsidRPr="00CB1714" w:rsidRDefault="003778F1"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g</w:t>
            </w:r>
            <w:r w:rsidRPr="00CB1714">
              <w:rPr>
                <w:rFonts w:ascii="Lato" w:hAnsi="Lato"/>
                <w:sz w:val="22"/>
                <w:szCs w:val="22"/>
              </w:rPr>
              <w:t>)</w:t>
            </w:r>
          </w:p>
        </w:tc>
        <w:tc>
          <w:tcPr>
            <w:tcW w:w="5891" w:type="dxa"/>
            <w:tcBorders>
              <w:right w:val="single" w:sz="4" w:space="0" w:color="auto"/>
            </w:tcBorders>
          </w:tcPr>
          <w:p w14:paraId="7001E956" w14:textId="77777777" w:rsidR="00F802F7" w:rsidRPr="00CB1714" w:rsidRDefault="00801FC1" w:rsidP="00CB1714">
            <w:pPr>
              <w:pStyle w:val="Heading6"/>
              <w:rPr>
                <w:rFonts w:ascii="Lato" w:hAnsi="Lato"/>
                <w:color w:val="auto"/>
                <w:szCs w:val="22"/>
                <w:u w:val="none"/>
              </w:rPr>
            </w:pPr>
            <w:r w:rsidRPr="00CB1714">
              <w:rPr>
                <w:rFonts w:ascii="Lato" w:hAnsi="Lato"/>
                <w:color w:val="auto"/>
                <w:sz w:val="21"/>
                <w:szCs w:val="21"/>
                <w:u w:val="none"/>
              </w:rPr>
              <w:t>Provide</w:t>
            </w:r>
            <w:r w:rsidR="00CD030A" w:rsidRPr="00CB1714">
              <w:rPr>
                <w:rFonts w:ascii="Lato" w:hAnsi="Lato"/>
                <w:color w:val="auto"/>
                <w:sz w:val="21"/>
                <w:szCs w:val="21"/>
                <w:u w:val="none"/>
              </w:rPr>
              <w:t xml:space="preserve"> details of the credit assessment and monitoring </w:t>
            </w:r>
          </w:p>
        </w:tc>
        <w:tc>
          <w:tcPr>
            <w:tcW w:w="3188" w:type="dxa"/>
            <w:tcBorders>
              <w:top w:val="single" w:sz="4" w:space="0" w:color="auto"/>
              <w:left w:val="single" w:sz="4" w:space="0" w:color="auto"/>
              <w:bottom w:val="single" w:sz="4" w:space="0" w:color="auto"/>
              <w:right w:val="single" w:sz="4" w:space="0" w:color="auto"/>
            </w:tcBorders>
          </w:tcPr>
          <w:p w14:paraId="14616DD9" w14:textId="77777777" w:rsidR="00F802F7" w:rsidRPr="00CB1714" w:rsidRDefault="00F802F7" w:rsidP="00E876DF">
            <w:pPr>
              <w:rPr>
                <w:rFonts w:ascii="Lato" w:hAnsi="Lato"/>
                <w:sz w:val="22"/>
                <w:szCs w:val="22"/>
              </w:rPr>
            </w:pPr>
          </w:p>
        </w:tc>
      </w:tr>
      <w:tr w:rsidR="009844E8" w:rsidRPr="00CB1714" w14:paraId="0217EA6A" w14:textId="77777777" w:rsidTr="009844E8">
        <w:trPr>
          <w:trHeight w:val="156"/>
        </w:trPr>
        <w:tc>
          <w:tcPr>
            <w:tcW w:w="1316" w:type="dxa"/>
          </w:tcPr>
          <w:p w14:paraId="738E0132" w14:textId="77777777" w:rsidR="00801FC1" w:rsidRPr="00CB1714" w:rsidRDefault="00801FC1" w:rsidP="00801FC1">
            <w:pPr>
              <w:rPr>
                <w:rFonts w:ascii="Lato" w:hAnsi="Lato"/>
                <w:sz w:val="22"/>
                <w:szCs w:val="22"/>
              </w:rPr>
            </w:pPr>
          </w:p>
        </w:tc>
        <w:tc>
          <w:tcPr>
            <w:tcW w:w="5891" w:type="dxa"/>
          </w:tcPr>
          <w:p w14:paraId="29D0BDFF" w14:textId="77777777" w:rsidR="00801FC1" w:rsidRPr="00CB1714" w:rsidRDefault="00054B1C" w:rsidP="00CD030A">
            <w:pPr>
              <w:pStyle w:val="Heading6"/>
              <w:rPr>
                <w:rFonts w:ascii="Lato" w:hAnsi="Lato"/>
                <w:color w:val="auto"/>
                <w:sz w:val="21"/>
                <w:szCs w:val="21"/>
                <w:u w:val="none"/>
              </w:rPr>
            </w:pPr>
            <w:r w:rsidRPr="00F72ED7">
              <w:rPr>
                <w:rFonts w:ascii="Lato" w:hAnsi="Lato"/>
                <w:color w:val="auto"/>
                <w:sz w:val="21"/>
                <w:szCs w:val="21"/>
                <w:u w:val="none"/>
              </w:rPr>
              <w:t xml:space="preserve">process set </w:t>
            </w:r>
            <w:r w:rsidR="00801FC1" w:rsidRPr="00CB1714">
              <w:rPr>
                <w:rFonts w:ascii="Lato" w:hAnsi="Lato"/>
                <w:color w:val="auto"/>
                <w:sz w:val="21"/>
                <w:szCs w:val="21"/>
                <w:u w:val="none"/>
              </w:rPr>
              <w:t>out in paragraph 5 of Section 4, Part II of Chapter 2 of the AIF Rulebook</w:t>
            </w:r>
          </w:p>
        </w:tc>
        <w:tc>
          <w:tcPr>
            <w:tcW w:w="3188" w:type="dxa"/>
            <w:tcBorders>
              <w:top w:val="single" w:sz="4" w:space="0" w:color="auto"/>
            </w:tcBorders>
          </w:tcPr>
          <w:p w14:paraId="4815A997" w14:textId="77777777" w:rsidR="00801FC1" w:rsidRPr="00CB1714" w:rsidRDefault="00801FC1" w:rsidP="00E876DF">
            <w:pPr>
              <w:rPr>
                <w:rFonts w:ascii="Lato" w:hAnsi="Lato"/>
                <w:sz w:val="22"/>
                <w:szCs w:val="22"/>
              </w:rPr>
            </w:pPr>
          </w:p>
        </w:tc>
      </w:tr>
      <w:tr w:rsidR="009844E8" w:rsidRPr="00CB1714" w14:paraId="275D5315" w14:textId="77777777" w:rsidTr="009844E8">
        <w:trPr>
          <w:trHeight w:val="156"/>
        </w:trPr>
        <w:tc>
          <w:tcPr>
            <w:tcW w:w="1316" w:type="dxa"/>
          </w:tcPr>
          <w:p w14:paraId="6A888ED7" w14:textId="77777777" w:rsidR="00F802F7" w:rsidRPr="00CB1714" w:rsidRDefault="00F802F7" w:rsidP="004009A0">
            <w:pPr>
              <w:rPr>
                <w:rFonts w:ascii="Lato" w:hAnsi="Lato"/>
                <w:sz w:val="22"/>
                <w:szCs w:val="22"/>
              </w:rPr>
            </w:pPr>
          </w:p>
        </w:tc>
        <w:tc>
          <w:tcPr>
            <w:tcW w:w="5891" w:type="dxa"/>
          </w:tcPr>
          <w:p w14:paraId="13DCC000"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16BE8E14" w14:textId="77777777" w:rsidR="00F802F7" w:rsidRPr="00CB1714" w:rsidRDefault="00F802F7" w:rsidP="00E876DF">
            <w:pPr>
              <w:rPr>
                <w:rFonts w:ascii="Lato" w:hAnsi="Lato"/>
                <w:sz w:val="22"/>
                <w:szCs w:val="22"/>
              </w:rPr>
            </w:pPr>
          </w:p>
        </w:tc>
      </w:tr>
      <w:tr w:rsidR="009844E8" w:rsidRPr="00CB1714" w14:paraId="25353CBD" w14:textId="77777777" w:rsidTr="009844E8">
        <w:trPr>
          <w:trHeight w:val="156"/>
        </w:trPr>
        <w:tc>
          <w:tcPr>
            <w:tcW w:w="1316" w:type="dxa"/>
          </w:tcPr>
          <w:p w14:paraId="424920D9" w14:textId="77777777" w:rsidR="00F802F7" w:rsidRPr="00CB1714" w:rsidRDefault="00CD030A"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h</w:t>
            </w:r>
            <w:r w:rsidRPr="00CB1714">
              <w:rPr>
                <w:rFonts w:ascii="Lato" w:hAnsi="Lato"/>
                <w:sz w:val="22"/>
                <w:szCs w:val="22"/>
              </w:rPr>
              <w:t>)</w:t>
            </w:r>
          </w:p>
        </w:tc>
        <w:tc>
          <w:tcPr>
            <w:tcW w:w="5891" w:type="dxa"/>
            <w:tcBorders>
              <w:right w:val="single" w:sz="4" w:space="0" w:color="auto"/>
            </w:tcBorders>
          </w:tcPr>
          <w:p w14:paraId="0A7E04F8" w14:textId="77777777" w:rsidR="00F802F7" w:rsidRPr="00CB1714" w:rsidRDefault="00CD030A" w:rsidP="00CB1714">
            <w:pPr>
              <w:pStyle w:val="Heading6"/>
              <w:rPr>
                <w:rFonts w:ascii="Lato" w:hAnsi="Lato"/>
                <w:color w:val="auto"/>
                <w:szCs w:val="22"/>
                <w:u w:val="none"/>
              </w:rPr>
            </w:pPr>
            <w:r w:rsidRPr="00CB1714">
              <w:rPr>
                <w:rFonts w:ascii="Lato" w:hAnsi="Lato"/>
                <w:color w:val="auto"/>
                <w:szCs w:val="22"/>
                <w:u w:val="none"/>
              </w:rPr>
              <w:t>Provide i</w:t>
            </w:r>
            <w:r w:rsidRPr="00CB1714">
              <w:rPr>
                <w:rFonts w:ascii="Lato" w:hAnsi="Lato"/>
                <w:color w:val="auto"/>
                <w:sz w:val="21"/>
                <w:szCs w:val="21"/>
                <w:u w:val="none"/>
              </w:rPr>
              <w:t xml:space="preserve">nformation on whether the AIFM will provide access </w:t>
            </w:r>
          </w:p>
        </w:tc>
        <w:tc>
          <w:tcPr>
            <w:tcW w:w="3188" w:type="dxa"/>
            <w:tcBorders>
              <w:top w:val="single" w:sz="4" w:space="0" w:color="auto"/>
              <w:left w:val="single" w:sz="4" w:space="0" w:color="auto"/>
              <w:bottom w:val="single" w:sz="4" w:space="0" w:color="auto"/>
              <w:right w:val="single" w:sz="4" w:space="0" w:color="auto"/>
            </w:tcBorders>
          </w:tcPr>
          <w:p w14:paraId="1F91534C" w14:textId="77777777" w:rsidR="00F802F7" w:rsidRPr="00CB1714" w:rsidRDefault="00F802F7" w:rsidP="00E876DF">
            <w:pPr>
              <w:rPr>
                <w:rFonts w:ascii="Lato" w:hAnsi="Lato"/>
                <w:sz w:val="22"/>
                <w:szCs w:val="22"/>
              </w:rPr>
            </w:pPr>
          </w:p>
        </w:tc>
      </w:tr>
      <w:tr w:rsidR="009844E8" w:rsidRPr="00CB1714" w14:paraId="5337B404" w14:textId="77777777" w:rsidTr="009844E8">
        <w:trPr>
          <w:trHeight w:val="156"/>
        </w:trPr>
        <w:tc>
          <w:tcPr>
            <w:tcW w:w="1316" w:type="dxa"/>
          </w:tcPr>
          <w:p w14:paraId="0667E5FF" w14:textId="77777777" w:rsidR="00F802F7" w:rsidRPr="00CB1714" w:rsidRDefault="00F802F7" w:rsidP="004009A0">
            <w:pPr>
              <w:rPr>
                <w:rFonts w:ascii="Lato" w:hAnsi="Lato"/>
                <w:sz w:val="22"/>
                <w:szCs w:val="22"/>
              </w:rPr>
            </w:pPr>
          </w:p>
        </w:tc>
        <w:tc>
          <w:tcPr>
            <w:tcW w:w="5891" w:type="dxa"/>
          </w:tcPr>
          <w:p w14:paraId="5AEF181D" w14:textId="77777777" w:rsidR="00F802F7" w:rsidRPr="00CB1714" w:rsidRDefault="00054B1C" w:rsidP="00801FC1">
            <w:pPr>
              <w:pStyle w:val="Heading6"/>
              <w:rPr>
                <w:rFonts w:ascii="Lato" w:hAnsi="Lato"/>
                <w:color w:val="auto"/>
                <w:szCs w:val="22"/>
                <w:u w:val="none"/>
              </w:rPr>
            </w:pPr>
            <w:r w:rsidRPr="00F72ED7">
              <w:rPr>
                <w:rFonts w:ascii="Lato" w:hAnsi="Lato"/>
                <w:color w:val="auto"/>
                <w:sz w:val="21"/>
                <w:szCs w:val="21"/>
                <w:u w:val="none"/>
              </w:rPr>
              <w:t>to</w:t>
            </w:r>
            <w:r w:rsidRPr="00CB1714">
              <w:rPr>
                <w:rFonts w:ascii="Lato" w:hAnsi="Lato"/>
                <w:color w:val="auto"/>
                <w:sz w:val="21"/>
                <w:szCs w:val="21"/>
                <w:u w:val="none"/>
              </w:rPr>
              <w:t xml:space="preserve"> </w:t>
            </w:r>
            <w:r w:rsidR="00CD030A" w:rsidRPr="00CB1714">
              <w:rPr>
                <w:rFonts w:ascii="Lato" w:hAnsi="Lato"/>
                <w:color w:val="auto"/>
                <w:sz w:val="21"/>
                <w:szCs w:val="21"/>
                <w:u w:val="none"/>
              </w:rPr>
              <w:t xml:space="preserve">records and staff for the purposes of </w:t>
            </w:r>
            <w:r w:rsidR="00801FC1" w:rsidRPr="00CB1714">
              <w:rPr>
                <w:rFonts w:ascii="Lato" w:hAnsi="Lato"/>
                <w:color w:val="auto"/>
                <w:sz w:val="21"/>
                <w:szCs w:val="21"/>
                <w:u w:val="none"/>
              </w:rPr>
              <w:t>a due diligence process together with the terms and conditions under which such access will be made available</w:t>
            </w:r>
          </w:p>
        </w:tc>
        <w:tc>
          <w:tcPr>
            <w:tcW w:w="3188" w:type="dxa"/>
            <w:tcBorders>
              <w:top w:val="single" w:sz="4" w:space="0" w:color="auto"/>
            </w:tcBorders>
          </w:tcPr>
          <w:p w14:paraId="217CFE62" w14:textId="77777777" w:rsidR="00F802F7" w:rsidRPr="00CB1714" w:rsidRDefault="00F802F7" w:rsidP="00E876DF">
            <w:pPr>
              <w:rPr>
                <w:rFonts w:ascii="Lato" w:hAnsi="Lato"/>
                <w:sz w:val="22"/>
                <w:szCs w:val="22"/>
              </w:rPr>
            </w:pPr>
          </w:p>
        </w:tc>
      </w:tr>
      <w:tr w:rsidR="009844E8" w:rsidRPr="00CB1714" w14:paraId="4A0737E6" w14:textId="77777777" w:rsidTr="009844E8">
        <w:trPr>
          <w:trHeight w:val="156"/>
        </w:trPr>
        <w:tc>
          <w:tcPr>
            <w:tcW w:w="1316" w:type="dxa"/>
          </w:tcPr>
          <w:p w14:paraId="1B01E30F" w14:textId="77777777" w:rsidR="00F802F7" w:rsidRPr="00CB1714" w:rsidRDefault="00F802F7" w:rsidP="004009A0">
            <w:pPr>
              <w:rPr>
                <w:rFonts w:ascii="Lato" w:hAnsi="Lato"/>
                <w:sz w:val="22"/>
                <w:szCs w:val="22"/>
              </w:rPr>
            </w:pPr>
          </w:p>
        </w:tc>
        <w:tc>
          <w:tcPr>
            <w:tcW w:w="5891" w:type="dxa"/>
          </w:tcPr>
          <w:p w14:paraId="3270759D"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1F5CE699" w14:textId="77777777" w:rsidR="00F802F7" w:rsidRPr="00CB1714" w:rsidRDefault="00F802F7" w:rsidP="00E876DF">
            <w:pPr>
              <w:rPr>
                <w:rFonts w:ascii="Lato" w:hAnsi="Lato"/>
                <w:sz w:val="22"/>
                <w:szCs w:val="22"/>
              </w:rPr>
            </w:pPr>
          </w:p>
        </w:tc>
      </w:tr>
      <w:tr w:rsidR="009844E8" w:rsidRPr="00CB1714" w14:paraId="53A408A2" w14:textId="77777777" w:rsidTr="009844E8">
        <w:trPr>
          <w:trHeight w:val="156"/>
        </w:trPr>
        <w:tc>
          <w:tcPr>
            <w:tcW w:w="1316" w:type="dxa"/>
          </w:tcPr>
          <w:p w14:paraId="11F854DD" w14:textId="77777777" w:rsidR="00F802F7" w:rsidRPr="00CB1714" w:rsidRDefault="00CD030A"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i</w:t>
            </w:r>
            <w:r w:rsidRPr="00CB1714">
              <w:rPr>
                <w:rFonts w:ascii="Lato" w:hAnsi="Lato"/>
                <w:sz w:val="22"/>
                <w:szCs w:val="22"/>
              </w:rPr>
              <w:t>)</w:t>
            </w:r>
          </w:p>
        </w:tc>
        <w:tc>
          <w:tcPr>
            <w:tcW w:w="5891" w:type="dxa"/>
            <w:tcBorders>
              <w:right w:val="single" w:sz="4" w:space="0" w:color="auto"/>
            </w:tcBorders>
          </w:tcPr>
          <w:p w14:paraId="7EDC61BF" w14:textId="77777777" w:rsidR="00F802F7" w:rsidRPr="00CB1714" w:rsidRDefault="00CD030A" w:rsidP="00CB1714">
            <w:pPr>
              <w:pStyle w:val="Heading6"/>
              <w:rPr>
                <w:rFonts w:ascii="Lato" w:hAnsi="Lato"/>
                <w:color w:val="auto"/>
                <w:szCs w:val="22"/>
                <w:u w:val="none"/>
              </w:rPr>
            </w:pPr>
            <w:r w:rsidRPr="00CB1714">
              <w:rPr>
                <w:rFonts w:ascii="Lato" w:hAnsi="Lato"/>
                <w:color w:val="auto"/>
                <w:sz w:val="21"/>
                <w:szCs w:val="21"/>
                <w:u w:val="none"/>
              </w:rPr>
              <w:t xml:space="preserve">Include a risk warning drawing attention to the fact that </w:t>
            </w:r>
          </w:p>
        </w:tc>
        <w:tc>
          <w:tcPr>
            <w:tcW w:w="3188" w:type="dxa"/>
            <w:tcBorders>
              <w:top w:val="single" w:sz="4" w:space="0" w:color="auto"/>
              <w:left w:val="single" w:sz="4" w:space="0" w:color="auto"/>
              <w:bottom w:val="single" w:sz="4" w:space="0" w:color="auto"/>
              <w:right w:val="single" w:sz="4" w:space="0" w:color="auto"/>
            </w:tcBorders>
          </w:tcPr>
          <w:p w14:paraId="679ED6D1" w14:textId="77777777" w:rsidR="00F802F7" w:rsidRPr="00CB1714" w:rsidRDefault="00F802F7" w:rsidP="00E876DF">
            <w:pPr>
              <w:rPr>
                <w:rFonts w:ascii="Lato" w:hAnsi="Lato"/>
                <w:sz w:val="22"/>
                <w:szCs w:val="22"/>
              </w:rPr>
            </w:pPr>
          </w:p>
        </w:tc>
      </w:tr>
      <w:tr w:rsidR="009844E8" w:rsidRPr="00CB1714" w14:paraId="018E9FBE" w14:textId="77777777" w:rsidTr="009844E8">
        <w:trPr>
          <w:trHeight w:val="156"/>
        </w:trPr>
        <w:tc>
          <w:tcPr>
            <w:tcW w:w="1316" w:type="dxa"/>
          </w:tcPr>
          <w:p w14:paraId="56EC2097" w14:textId="77777777" w:rsidR="00F802F7" w:rsidRPr="00CB1714" w:rsidRDefault="00F802F7" w:rsidP="004009A0">
            <w:pPr>
              <w:rPr>
                <w:rFonts w:ascii="Lato" w:hAnsi="Lato"/>
                <w:sz w:val="22"/>
                <w:szCs w:val="22"/>
              </w:rPr>
            </w:pPr>
          </w:p>
        </w:tc>
        <w:tc>
          <w:tcPr>
            <w:tcW w:w="5891" w:type="dxa"/>
          </w:tcPr>
          <w:p w14:paraId="3BAB36B8" w14:textId="77777777" w:rsidR="00F802F7" w:rsidRPr="00CB1714" w:rsidRDefault="00054B1C" w:rsidP="004009A0">
            <w:pPr>
              <w:pStyle w:val="Heading6"/>
              <w:rPr>
                <w:rFonts w:ascii="Lato" w:hAnsi="Lato"/>
                <w:color w:val="auto"/>
                <w:szCs w:val="22"/>
                <w:u w:val="none"/>
              </w:rPr>
            </w:pPr>
            <w:r w:rsidRPr="00F72ED7">
              <w:rPr>
                <w:rFonts w:ascii="Lato" w:hAnsi="Lato"/>
                <w:color w:val="auto"/>
                <w:sz w:val="21"/>
                <w:szCs w:val="21"/>
                <w:u w:val="none"/>
              </w:rPr>
              <w:t>leverage</w:t>
            </w:r>
            <w:r w:rsidRPr="00CB1714">
              <w:rPr>
                <w:rFonts w:ascii="Lato" w:hAnsi="Lato"/>
                <w:color w:val="auto"/>
                <w:sz w:val="21"/>
                <w:szCs w:val="21"/>
                <w:u w:val="none"/>
              </w:rPr>
              <w:t xml:space="preserve"> </w:t>
            </w:r>
            <w:r w:rsidR="00CD030A" w:rsidRPr="00CB1714">
              <w:rPr>
                <w:rFonts w:ascii="Lato" w:hAnsi="Lato"/>
                <w:color w:val="auto"/>
                <w:sz w:val="21"/>
                <w:szCs w:val="21"/>
                <w:u w:val="none"/>
              </w:rPr>
              <w:t>limits and lending standards may be tightened by the Central Bank which may impact on the ability of the loan originating Qualifying Investor AIF to follow the investment strategy</w:t>
            </w:r>
            <w:r w:rsidR="00801FC1" w:rsidRPr="00CB1714">
              <w:rPr>
                <w:rFonts w:ascii="Lato" w:hAnsi="Lato"/>
                <w:color w:val="auto"/>
                <w:sz w:val="21"/>
                <w:szCs w:val="21"/>
                <w:u w:val="none"/>
              </w:rPr>
              <w:t xml:space="preserve"> set out in the prospectus</w:t>
            </w:r>
          </w:p>
        </w:tc>
        <w:tc>
          <w:tcPr>
            <w:tcW w:w="3188" w:type="dxa"/>
            <w:tcBorders>
              <w:top w:val="single" w:sz="4" w:space="0" w:color="auto"/>
            </w:tcBorders>
          </w:tcPr>
          <w:p w14:paraId="325EFFF8" w14:textId="77777777" w:rsidR="00F802F7" w:rsidRPr="00CB1714" w:rsidRDefault="00F802F7" w:rsidP="00E876DF">
            <w:pPr>
              <w:rPr>
                <w:rFonts w:ascii="Lato" w:hAnsi="Lato"/>
                <w:sz w:val="22"/>
                <w:szCs w:val="22"/>
              </w:rPr>
            </w:pPr>
          </w:p>
        </w:tc>
      </w:tr>
      <w:tr w:rsidR="009844E8" w:rsidRPr="00CB1714" w14:paraId="0DBBC99D" w14:textId="77777777" w:rsidTr="009844E8">
        <w:trPr>
          <w:trHeight w:val="156"/>
        </w:trPr>
        <w:tc>
          <w:tcPr>
            <w:tcW w:w="1316" w:type="dxa"/>
          </w:tcPr>
          <w:p w14:paraId="5792FCE9" w14:textId="77777777" w:rsidR="00F802F7" w:rsidRPr="00CB1714" w:rsidRDefault="00F802F7" w:rsidP="004009A0">
            <w:pPr>
              <w:rPr>
                <w:rFonts w:ascii="Lato" w:hAnsi="Lato"/>
                <w:sz w:val="22"/>
                <w:szCs w:val="22"/>
              </w:rPr>
            </w:pPr>
          </w:p>
        </w:tc>
        <w:tc>
          <w:tcPr>
            <w:tcW w:w="5891" w:type="dxa"/>
          </w:tcPr>
          <w:p w14:paraId="3CFD5C06" w14:textId="77777777" w:rsidR="00F802F7" w:rsidRPr="00CB1714" w:rsidRDefault="00F802F7" w:rsidP="004009A0">
            <w:pPr>
              <w:pStyle w:val="Heading6"/>
              <w:rPr>
                <w:rFonts w:ascii="Lato" w:hAnsi="Lato"/>
                <w:color w:val="auto"/>
                <w:szCs w:val="22"/>
                <w:u w:val="none"/>
              </w:rPr>
            </w:pPr>
          </w:p>
        </w:tc>
        <w:tc>
          <w:tcPr>
            <w:tcW w:w="3188" w:type="dxa"/>
            <w:tcBorders>
              <w:bottom w:val="single" w:sz="4" w:space="0" w:color="auto"/>
            </w:tcBorders>
          </w:tcPr>
          <w:p w14:paraId="5EC02E44" w14:textId="77777777" w:rsidR="00F802F7" w:rsidRPr="00CB1714" w:rsidRDefault="00F802F7" w:rsidP="00E876DF">
            <w:pPr>
              <w:rPr>
                <w:rFonts w:ascii="Lato" w:hAnsi="Lato"/>
                <w:sz w:val="22"/>
                <w:szCs w:val="22"/>
              </w:rPr>
            </w:pPr>
          </w:p>
        </w:tc>
      </w:tr>
      <w:tr w:rsidR="009844E8" w:rsidRPr="00CB1714" w14:paraId="61FFF891" w14:textId="77777777" w:rsidTr="009844E8">
        <w:trPr>
          <w:trHeight w:val="156"/>
        </w:trPr>
        <w:tc>
          <w:tcPr>
            <w:tcW w:w="1316" w:type="dxa"/>
          </w:tcPr>
          <w:p w14:paraId="78323684" w14:textId="77777777" w:rsidR="00F802F7" w:rsidRPr="00CB1714" w:rsidRDefault="00CD030A" w:rsidP="00C54B3C">
            <w:pPr>
              <w:rPr>
                <w:rFonts w:ascii="Lato" w:hAnsi="Lato"/>
                <w:sz w:val="22"/>
                <w:szCs w:val="22"/>
              </w:rPr>
            </w:pPr>
            <w:r w:rsidRPr="00CB1714">
              <w:rPr>
                <w:rFonts w:ascii="Lato" w:hAnsi="Lato"/>
                <w:sz w:val="22"/>
                <w:szCs w:val="22"/>
              </w:rPr>
              <w:t>(</w:t>
            </w:r>
            <w:r w:rsidR="00C54B3C" w:rsidRPr="00CB1714">
              <w:rPr>
                <w:rFonts w:ascii="Lato" w:hAnsi="Lato"/>
                <w:sz w:val="22"/>
                <w:szCs w:val="22"/>
              </w:rPr>
              <w:t>j</w:t>
            </w:r>
            <w:r w:rsidRPr="00CB1714">
              <w:rPr>
                <w:rFonts w:ascii="Lato" w:hAnsi="Lato"/>
                <w:sz w:val="22"/>
                <w:szCs w:val="22"/>
              </w:rPr>
              <w:t>)</w:t>
            </w:r>
          </w:p>
        </w:tc>
        <w:tc>
          <w:tcPr>
            <w:tcW w:w="5891" w:type="dxa"/>
            <w:tcBorders>
              <w:right w:val="single" w:sz="4" w:space="0" w:color="auto"/>
            </w:tcBorders>
          </w:tcPr>
          <w:p w14:paraId="396265C8" w14:textId="77777777" w:rsidR="00F802F7" w:rsidRPr="00CB1714" w:rsidRDefault="00CD030A" w:rsidP="00CD030A">
            <w:pPr>
              <w:pStyle w:val="Heading6"/>
              <w:rPr>
                <w:rFonts w:ascii="Lato" w:hAnsi="Lato"/>
                <w:color w:val="auto"/>
                <w:szCs w:val="22"/>
                <w:u w:val="none"/>
              </w:rPr>
            </w:pPr>
            <w:r w:rsidRPr="00CB1714">
              <w:rPr>
                <w:rFonts w:ascii="Lato" w:hAnsi="Lato"/>
                <w:color w:val="auto"/>
                <w:sz w:val="21"/>
                <w:szCs w:val="21"/>
                <w:u w:val="none"/>
              </w:rPr>
              <w:t xml:space="preserve">Include a risk warning drawing attention to the potential </w:t>
            </w:r>
          </w:p>
        </w:tc>
        <w:tc>
          <w:tcPr>
            <w:tcW w:w="3188" w:type="dxa"/>
            <w:tcBorders>
              <w:top w:val="single" w:sz="4" w:space="0" w:color="auto"/>
              <w:left w:val="single" w:sz="4" w:space="0" w:color="auto"/>
              <w:bottom w:val="single" w:sz="4" w:space="0" w:color="auto"/>
              <w:right w:val="single" w:sz="4" w:space="0" w:color="auto"/>
            </w:tcBorders>
          </w:tcPr>
          <w:p w14:paraId="0EE77F01" w14:textId="77777777" w:rsidR="00F802F7" w:rsidRPr="00CB1714" w:rsidRDefault="00F802F7" w:rsidP="00E876DF">
            <w:pPr>
              <w:rPr>
                <w:rFonts w:ascii="Lato" w:hAnsi="Lato"/>
                <w:sz w:val="22"/>
                <w:szCs w:val="22"/>
              </w:rPr>
            </w:pPr>
          </w:p>
        </w:tc>
      </w:tr>
      <w:tr w:rsidR="009844E8" w:rsidRPr="00CB1714" w14:paraId="559C4731" w14:textId="77777777" w:rsidTr="009844E8">
        <w:trPr>
          <w:trHeight w:val="156"/>
        </w:trPr>
        <w:tc>
          <w:tcPr>
            <w:tcW w:w="1316" w:type="dxa"/>
          </w:tcPr>
          <w:p w14:paraId="33EFBD26" w14:textId="77777777" w:rsidR="00F802F7" w:rsidRPr="00CB1714" w:rsidRDefault="00F802F7" w:rsidP="004009A0">
            <w:pPr>
              <w:rPr>
                <w:rFonts w:ascii="Lato" w:hAnsi="Lato"/>
                <w:sz w:val="22"/>
                <w:szCs w:val="22"/>
              </w:rPr>
            </w:pPr>
          </w:p>
        </w:tc>
        <w:tc>
          <w:tcPr>
            <w:tcW w:w="5891" w:type="dxa"/>
          </w:tcPr>
          <w:p w14:paraId="0F3838EB" w14:textId="77777777" w:rsidR="00F802F7" w:rsidRPr="00CB1714" w:rsidRDefault="00CD030A" w:rsidP="004009A0">
            <w:pPr>
              <w:pStyle w:val="Heading6"/>
              <w:rPr>
                <w:rFonts w:ascii="Lato" w:hAnsi="Lato"/>
                <w:color w:val="auto"/>
                <w:szCs w:val="22"/>
                <w:u w:val="none"/>
              </w:rPr>
            </w:pPr>
            <w:r w:rsidRPr="00CB1714">
              <w:rPr>
                <w:rFonts w:ascii="Lato" w:hAnsi="Lato"/>
                <w:color w:val="auto"/>
                <w:sz w:val="21"/>
                <w:szCs w:val="21"/>
                <w:u w:val="none"/>
              </w:rPr>
              <w:t>implications arising from the application of the Central Bank’s Code of Conduct for Business Lending to Small and Medium Enterprises where loans are issued to SMEs operating within the State</w:t>
            </w:r>
          </w:p>
        </w:tc>
        <w:tc>
          <w:tcPr>
            <w:tcW w:w="3188" w:type="dxa"/>
            <w:tcBorders>
              <w:top w:val="single" w:sz="4" w:space="0" w:color="auto"/>
            </w:tcBorders>
          </w:tcPr>
          <w:p w14:paraId="7AEC483D" w14:textId="77777777" w:rsidR="00F802F7" w:rsidRPr="00CB1714" w:rsidRDefault="00F802F7" w:rsidP="00E876DF">
            <w:pPr>
              <w:rPr>
                <w:rFonts w:ascii="Lato" w:hAnsi="Lato"/>
                <w:sz w:val="22"/>
                <w:szCs w:val="22"/>
              </w:rPr>
            </w:pPr>
          </w:p>
        </w:tc>
      </w:tr>
      <w:tr w:rsidR="00F802F7" w:rsidRPr="00CB1714" w14:paraId="1706A592" w14:textId="77777777" w:rsidTr="00990D73">
        <w:trPr>
          <w:trHeight w:val="156"/>
        </w:trPr>
        <w:tc>
          <w:tcPr>
            <w:tcW w:w="1316" w:type="dxa"/>
          </w:tcPr>
          <w:p w14:paraId="67640687" w14:textId="77777777" w:rsidR="00F802F7" w:rsidRPr="00CB1714" w:rsidRDefault="00F802F7" w:rsidP="004009A0">
            <w:pPr>
              <w:rPr>
                <w:rFonts w:ascii="Lato" w:hAnsi="Lato"/>
                <w:sz w:val="22"/>
                <w:szCs w:val="22"/>
              </w:rPr>
            </w:pPr>
          </w:p>
        </w:tc>
        <w:tc>
          <w:tcPr>
            <w:tcW w:w="5891" w:type="dxa"/>
          </w:tcPr>
          <w:p w14:paraId="035B602F" w14:textId="77777777" w:rsidR="00F802F7" w:rsidRPr="00CB1714" w:rsidRDefault="00F802F7" w:rsidP="004009A0">
            <w:pPr>
              <w:pStyle w:val="Heading6"/>
              <w:rPr>
                <w:rFonts w:ascii="Lato" w:hAnsi="Lato"/>
                <w:color w:val="auto"/>
                <w:szCs w:val="22"/>
                <w:u w:val="none"/>
              </w:rPr>
            </w:pPr>
          </w:p>
        </w:tc>
        <w:tc>
          <w:tcPr>
            <w:tcW w:w="3188" w:type="dxa"/>
          </w:tcPr>
          <w:p w14:paraId="63859735" w14:textId="77777777" w:rsidR="00F802F7" w:rsidRPr="00CB1714" w:rsidRDefault="00F802F7" w:rsidP="00E876DF">
            <w:pPr>
              <w:rPr>
                <w:rFonts w:ascii="Lato" w:hAnsi="Lato"/>
                <w:sz w:val="22"/>
                <w:szCs w:val="22"/>
              </w:rPr>
            </w:pPr>
          </w:p>
        </w:tc>
      </w:tr>
      <w:tr w:rsidR="00AC48D2" w:rsidRPr="00CB1714" w14:paraId="7A356C72" w14:textId="77777777" w:rsidTr="00990D73">
        <w:trPr>
          <w:trHeight w:val="156"/>
        </w:trPr>
        <w:tc>
          <w:tcPr>
            <w:tcW w:w="1316" w:type="dxa"/>
          </w:tcPr>
          <w:p w14:paraId="750A994B" w14:textId="77777777" w:rsidR="00AC48D2" w:rsidRPr="00CB1714" w:rsidRDefault="00AC48D2" w:rsidP="00E876DF">
            <w:pPr>
              <w:rPr>
                <w:rFonts w:ascii="Lato" w:hAnsi="Lato"/>
                <w:sz w:val="22"/>
                <w:szCs w:val="22"/>
              </w:rPr>
            </w:pPr>
            <w:r w:rsidRPr="00CB1714">
              <w:rPr>
                <w:rFonts w:ascii="Lato" w:hAnsi="Lato"/>
                <w:sz w:val="22"/>
                <w:szCs w:val="22"/>
              </w:rPr>
              <w:t>2.2.</w:t>
            </w:r>
            <w:r w:rsidR="00E876DF" w:rsidRPr="00CB1714">
              <w:rPr>
                <w:rFonts w:ascii="Lato" w:hAnsi="Lato"/>
                <w:sz w:val="22"/>
                <w:szCs w:val="22"/>
              </w:rPr>
              <w:t>7</w:t>
            </w:r>
          </w:p>
        </w:tc>
        <w:tc>
          <w:tcPr>
            <w:tcW w:w="5891" w:type="dxa"/>
          </w:tcPr>
          <w:p w14:paraId="32A7C87C" w14:textId="77777777" w:rsidR="00AC48D2" w:rsidRPr="00CB1714" w:rsidRDefault="00AC48D2">
            <w:pPr>
              <w:rPr>
                <w:rFonts w:ascii="Lato" w:hAnsi="Lato"/>
                <w:b/>
                <w:sz w:val="22"/>
                <w:szCs w:val="22"/>
              </w:rPr>
            </w:pPr>
            <w:r w:rsidRPr="00CB1714">
              <w:rPr>
                <w:rFonts w:ascii="Lato" w:hAnsi="Lato"/>
                <w:b/>
                <w:sz w:val="22"/>
                <w:szCs w:val="22"/>
              </w:rPr>
              <w:t>Short Term Money Market Funds</w:t>
            </w:r>
          </w:p>
        </w:tc>
        <w:tc>
          <w:tcPr>
            <w:tcW w:w="3188" w:type="dxa"/>
            <w:tcBorders>
              <w:bottom w:val="single" w:sz="4" w:space="0" w:color="auto"/>
            </w:tcBorders>
          </w:tcPr>
          <w:p w14:paraId="69C308CC" w14:textId="77777777" w:rsidR="00AC48D2" w:rsidRPr="00CB1714" w:rsidRDefault="00AC48D2">
            <w:pPr>
              <w:rPr>
                <w:rFonts w:ascii="Lato" w:hAnsi="Lato"/>
                <w:b/>
                <w:bCs/>
                <w:sz w:val="22"/>
                <w:szCs w:val="22"/>
                <w:u w:val="single"/>
              </w:rPr>
            </w:pPr>
          </w:p>
        </w:tc>
      </w:tr>
      <w:tr w:rsidR="00AC48D2" w:rsidRPr="00CB1714" w14:paraId="00410083" w14:textId="77777777" w:rsidTr="00990D73">
        <w:trPr>
          <w:trHeight w:val="156"/>
        </w:trPr>
        <w:tc>
          <w:tcPr>
            <w:tcW w:w="1316" w:type="dxa"/>
          </w:tcPr>
          <w:p w14:paraId="6E8E58A8" w14:textId="77777777" w:rsidR="00AC48D2" w:rsidRPr="00CB1714" w:rsidRDefault="00AC48D2" w:rsidP="007606BD">
            <w:pPr>
              <w:rPr>
                <w:rFonts w:ascii="Lato" w:hAnsi="Lato"/>
                <w:sz w:val="22"/>
                <w:szCs w:val="22"/>
              </w:rPr>
            </w:pPr>
          </w:p>
        </w:tc>
        <w:tc>
          <w:tcPr>
            <w:tcW w:w="5891" w:type="dxa"/>
            <w:tcBorders>
              <w:right w:val="single" w:sz="4" w:space="0" w:color="auto"/>
            </w:tcBorders>
          </w:tcPr>
          <w:p w14:paraId="65EC1FFD" w14:textId="77777777" w:rsidR="00AC48D2" w:rsidRPr="00CB1714" w:rsidRDefault="00AC48D2" w:rsidP="007606BD">
            <w:pPr>
              <w:jc w:val="both"/>
              <w:rPr>
                <w:rFonts w:ascii="Lato" w:hAnsi="Lato"/>
                <w:position w:val="8"/>
                <w:sz w:val="22"/>
                <w:szCs w:val="22"/>
              </w:rPr>
            </w:pPr>
            <w:r w:rsidRPr="00CB1714">
              <w:rPr>
                <w:rFonts w:ascii="Lato" w:hAnsi="Lato"/>
                <w:sz w:val="22"/>
                <w:szCs w:val="22"/>
              </w:rPr>
              <w:t>State that the fund is a Short-Term Money Market Fund</w:t>
            </w:r>
          </w:p>
        </w:tc>
        <w:tc>
          <w:tcPr>
            <w:tcW w:w="3188" w:type="dxa"/>
            <w:tcBorders>
              <w:top w:val="single" w:sz="4" w:space="0" w:color="auto"/>
              <w:left w:val="single" w:sz="4" w:space="0" w:color="auto"/>
              <w:bottom w:val="single" w:sz="4" w:space="0" w:color="auto"/>
              <w:right w:val="single" w:sz="4" w:space="0" w:color="auto"/>
            </w:tcBorders>
          </w:tcPr>
          <w:p w14:paraId="2E940999" w14:textId="77777777" w:rsidR="00AC48D2" w:rsidRPr="00CB1714" w:rsidRDefault="00AC48D2">
            <w:pPr>
              <w:rPr>
                <w:rFonts w:ascii="Lato" w:hAnsi="Lato"/>
                <w:b/>
                <w:bCs/>
                <w:sz w:val="22"/>
                <w:szCs w:val="22"/>
                <w:u w:val="single"/>
              </w:rPr>
            </w:pPr>
          </w:p>
        </w:tc>
      </w:tr>
      <w:tr w:rsidR="00AC48D2" w:rsidRPr="00CB1714" w14:paraId="49310A72" w14:textId="77777777" w:rsidTr="00990D73">
        <w:trPr>
          <w:trHeight w:val="156"/>
        </w:trPr>
        <w:tc>
          <w:tcPr>
            <w:tcW w:w="1316" w:type="dxa"/>
          </w:tcPr>
          <w:p w14:paraId="58BD5178" w14:textId="77777777" w:rsidR="00AC48D2" w:rsidRPr="00CB1714" w:rsidRDefault="00AC48D2" w:rsidP="00A75241">
            <w:pPr>
              <w:rPr>
                <w:rFonts w:ascii="Lato" w:hAnsi="Lato"/>
                <w:sz w:val="22"/>
                <w:szCs w:val="22"/>
              </w:rPr>
            </w:pPr>
          </w:p>
        </w:tc>
        <w:tc>
          <w:tcPr>
            <w:tcW w:w="5891" w:type="dxa"/>
          </w:tcPr>
          <w:p w14:paraId="71EB450E" w14:textId="77777777" w:rsidR="00AC48D2" w:rsidRPr="00CB1714" w:rsidRDefault="00AC48D2">
            <w:pPr>
              <w:rPr>
                <w:rFonts w:ascii="Lato" w:hAnsi="Lato"/>
                <w:b/>
                <w:sz w:val="22"/>
                <w:szCs w:val="22"/>
              </w:rPr>
            </w:pPr>
          </w:p>
        </w:tc>
        <w:tc>
          <w:tcPr>
            <w:tcW w:w="3188" w:type="dxa"/>
            <w:tcBorders>
              <w:top w:val="single" w:sz="4" w:space="0" w:color="auto"/>
              <w:bottom w:val="single" w:sz="4" w:space="0" w:color="auto"/>
            </w:tcBorders>
          </w:tcPr>
          <w:p w14:paraId="69C517DB" w14:textId="77777777" w:rsidR="00AC48D2" w:rsidRPr="00CB1714" w:rsidRDefault="00AC48D2">
            <w:pPr>
              <w:rPr>
                <w:rFonts w:ascii="Lato" w:hAnsi="Lato"/>
                <w:b/>
                <w:bCs/>
                <w:sz w:val="22"/>
                <w:szCs w:val="22"/>
                <w:u w:val="single"/>
              </w:rPr>
            </w:pPr>
          </w:p>
        </w:tc>
      </w:tr>
      <w:tr w:rsidR="00AC48D2" w:rsidRPr="00CB1714" w14:paraId="109DDFC5" w14:textId="77777777" w:rsidTr="00990D73">
        <w:trPr>
          <w:trHeight w:val="156"/>
        </w:trPr>
        <w:tc>
          <w:tcPr>
            <w:tcW w:w="1316" w:type="dxa"/>
          </w:tcPr>
          <w:p w14:paraId="796A81BD" w14:textId="77777777" w:rsidR="00AC48D2" w:rsidRPr="00CB1714" w:rsidRDefault="00AC48D2" w:rsidP="00B16A68">
            <w:pPr>
              <w:rPr>
                <w:rFonts w:ascii="Lato" w:hAnsi="Lato"/>
                <w:sz w:val="22"/>
                <w:szCs w:val="22"/>
              </w:rPr>
            </w:pPr>
            <w:r w:rsidRPr="00CB1714">
              <w:rPr>
                <w:rFonts w:ascii="Lato" w:hAnsi="Lato"/>
                <w:sz w:val="22"/>
                <w:szCs w:val="22"/>
              </w:rPr>
              <w:lastRenderedPageBreak/>
              <w:t>a)</w:t>
            </w:r>
          </w:p>
        </w:tc>
        <w:tc>
          <w:tcPr>
            <w:tcW w:w="5891" w:type="dxa"/>
            <w:tcBorders>
              <w:right w:val="single" w:sz="4" w:space="0" w:color="auto"/>
            </w:tcBorders>
          </w:tcPr>
          <w:p w14:paraId="0600370F" w14:textId="77777777" w:rsidR="00AC48D2" w:rsidRPr="00CB1714" w:rsidRDefault="00AC48D2" w:rsidP="00EF12D7">
            <w:pPr>
              <w:jc w:val="both"/>
              <w:rPr>
                <w:rFonts w:ascii="Lato" w:hAnsi="Lato"/>
                <w:position w:val="8"/>
                <w:sz w:val="22"/>
                <w:szCs w:val="22"/>
              </w:rPr>
            </w:pPr>
            <w:r w:rsidRPr="00CB1714">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514CF69E" w14:textId="77777777" w:rsidR="00AC48D2" w:rsidRPr="00CB1714" w:rsidRDefault="00AC48D2" w:rsidP="00EF12D7">
            <w:pPr>
              <w:rPr>
                <w:rFonts w:ascii="Lato" w:hAnsi="Lato"/>
                <w:sz w:val="22"/>
                <w:szCs w:val="22"/>
              </w:rPr>
            </w:pPr>
          </w:p>
        </w:tc>
      </w:tr>
      <w:tr w:rsidR="00AC48D2" w:rsidRPr="00CB1714" w14:paraId="52BA9690" w14:textId="77777777" w:rsidTr="00990D73">
        <w:trPr>
          <w:trHeight w:val="156"/>
        </w:trPr>
        <w:tc>
          <w:tcPr>
            <w:tcW w:w="1316" w:type="dxa"/>
          </w:tcPr>
          <w:p w14:paraId="139E5047" w14:textId="77777777" w:rsidR="00AC48D2" w:rsidRPr="00CB1714" w:rsidRDefault="00AC48D2" w:rsidP="00EF12D7">
            <w:pPr>
              <w:rPr>
                <w:rFonts w:ascii="Lato" w:hAnsi="Lato"/>
                <w:sz w:val="22"/>
                <w:szCs w:val="22"/>
              </w:rPr>
            </w:pPr>
          </w:p>
        </w:tc>
        <w:tc>
          <w:tcPr>
            <w:tcW w:w="5891" w:type="dxa"/>
          </w:tcPr>
          <w:p w14:paraId="3B7A60C0" w14:textId="77777777" w:rsidR="00AC48D2" w:rsidRPr="00CB1714" w:rsidRDefault="00AC48D2" w:rsidP="00EF12D7">
            <w:pPr>
              <w:jc w:val="both"/>
              <w:rPr>
                <w:rFonts w:ascii="Lato" w:hAnsi="Lato"/>
                <w:position w:val="8"/>
                <w:sz w:val="22"/>
                <w:szCs w:val="22"/>
              </w:rPr>
            </w:pPr>
            <w:r w:rsidRPr="00CB1714">
              <w:rPr>
                <w:rFonts w:ascii="Lato" w:hAnsi="Lato"/>
                <w:sz w:val="22"/>
                <w:szCs w:val="22"/>
              </w:rPr>
              <w:t>between the nature of a deposit and the nature of an investment in a money market fund with particular reference to the risk that the principal invested in a money market fund is capable of fluctuation</w:t>
            </w:r>
          </w:p>
        </w:tc>
        <w:tc>
          <w:tcPr>
            <w:tcW w:w="3188" w:type="dxa"/>
            <w:tcBorders>
              <w:top w:val="single" w:sz="4" w:space="0" w:color="auto"/>
            </w:tcBorders>
          </w:tcPr>
          <w:p w14:paraId="60DE7EFD" w14:textId="77777777" w:rsidR="00AC48D2" w:rsidRPr="00CB1714" w:rsidRDefault="00AC48D2" w:rsidP="00EF12D7">
            <w:pPr>
              <w:rPr>
                <w:rFonts w:ascii="Lato" w:hAnsi="Lato"/>
                <w:sz w:val="22"/>
                <w:szCs w:val="22"/>
              </w:rPr>
            </w:pPr>
          </w:p>
        </w:tc>
      </w:tr>
      <w:tr w:rsidR="00AC48D2" w:rsidRPr="00CB1714" w14:paraId="3D7AE08C" w14:textId="77777777" w:rsidTr="00990D73">
        <w:trPr>
          <w:trHeight w:val="156"/>
        </w:trPr>
        <w:tc>
          <w:tcPr>
            <w:tcW w:w="1316" w:type="dxa"/>
          </w:tcPr>
          <w:p w14:paraId="5B2EE64E" w14:textId="77777777" w:rsidR="00AC48D2" w:rsidRPr="00CB1714" w:rsidRDefault="00AC48D2" w:rsidP="00EF12D7">
            <w:pPr>
              <w:rPr>
                <w:rFonts w:ascii="Lato" w:hAnsi="Lato"/>
                <w:sz w:val="22"/>
                <w:szCs w:val="22"/>
              </w:rPr>
            </w:pPr>
          </w:p>
        </w:tc>
        <w:tc>
          <w:tcPr>
            <w:tcW w:w="5891" w:type="dxa"/>
          </w:tcPr>
          <w:p w14:paraId="31462FEE" w14:textId="77777777" w:rsidR="00AC48D2" w:rsidRPr="00CB1714" w:rsidRDefault="00AC48D2" w:rsidP="00EF12D7">
            <w:pPr>
              <w:jc w:val="both"/>
              <w:rPr>
                <w:rFonts w:ascii="Lato" w:hAnsi="Lato"/>
                <w:position w:val="8"/>
                <w:sz w:val="22"/>
                <w:szCs w:val="22"/>
              </w:rPr>
            </w:pPr>
          </w:p>
        </w:tc>
        <w:tc>
          <w:tcPr>
            <w:tcW w:w="3188" w:type="dxa"/>
            <w:tcBorders>
              <w:bottom w:val="single" w:sz="4" w:space="0" w:color="auto"/>
            </w:tcBorders>
          </w:tcPr>
          <w:p w14:paraId="6CA97F05" w14:textId="77777777" w:rsidR="00AC48D2" w:rsidRPr="00CB1714" w:rsidRDefault="00AC48D2" w:rsidP="00EF12D7">
            <w:pPr>
              <w:rPr>
                <w:rFonts w:ascii="Lato" w:hAnsi="Lato"/>
                <w:sz w:val="22"/>
                <w:szCs w:val="22"/>
              </w:rPr>
            </w:pPr>
          </w:p>
        </w:tc>
      </w:tr>
      <w:tr w:rsidR="00AC48D2" w:rsidRPr="00CB1714" w14:paraId="49FB8602" w14:textId="77777777" w:rsidTr="00990D73">
        <w:trPr>
          <w:trHeight w:val="156"/>
        </w:trPr>
        <w:tc>
          <w:tcPr>
            <w:tcW w:w="1316" w:type="dxa"/>
          </w:tcPr>
          <w:p w14:paraId="2E052CE8" w14:textId="77777777" w:rsidR="00AC48D2" w:rsidRPr="00CB1714" w:rsidRDefault="00AC48D2" w:rsidP="00EF12D7">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17989627" w14:textId="77777777" w:rsidR="00AC48D2" w:rsidRPr="00CB1714" w:rsidRDefault="00AC48D2" w:rsidP="00EF12D7">
            <w:pPr>
              <w:jc w:val="both"/>
              <w:rPr>
                <w:rFonts w:ascii="Lato" w:hAnsi="Lato"/>
                <w:position w:val="8"/>
                <w:sz w:val="22"/>
                <w:szCs w:val="22"/>
              </w:rPr>
            </w:pPr>
            <w:r w:rsidRPr="00CB1714">
              <w:rPr>
                <w:rFonts w:ascii="Lato" w:hAnsi="Lato"/>
                <w:sz w:val="22"/>
                <w:szCs w:val="22"/>
              </w:rPr>
              <w:t>The fund  must have a primary objective of maintaining the</w:t>
            </w:r>
          </w:p>
        </w:tc>
        <w:tc>
          <w:tcPr>
            <w:tcW w:w="3188" w:type="dxa"/>
            <w:tcBorders>
              <w:top w:val="single" w:sz="4" w:space="0" w:color="auto"/>
              <w:left w:val="single" w:sz="4" w:space="0" w:color="auto"/>
              <w:bottom w:val="single" w:sz="4" w:space="0" w:color="auto"/>
              <w:right w:val="single" w:sz="4" w:space="0" w:color="auto"/>
            </w:tcBorders>
          </w:tcPr>
          <w:p w14:paraId="53C50FC9" w14:textId="77777777" w:rsidR="00AC48D2" w:rsidRPr="00CB1714" w:rsidRDefault="00AC48D2" w:rsidP="00EF12D7">
            <w:pPr>
              <w:rPr>
                <w:rFonts w:ascii="Lato" w:hAnsi="Lato"/>
                <w:sz w:val="22"/>
                <w:szCs w:val="22"/>
              </w:rPr>
            </w:pPr>
          </w:p>
        </w:tc>
      </w:tr>
      <w:tr w:rsidR="00AC48D2" w:rsidRPr="00CB1714" w14:paraId="41C27D16" w14:textId="77777777" w:rsidTr="00990D73">
        <w:trPr>
          <w:trHeight w:val="156"/>
        </w:trPr>
        <w:tc>
          <w:tcPr>
            <w:tcW w:w="1316" w:type="dxa"/>
          </w:tcPr>
          <w:p w14:paraId="5150DB75" w14:textId="77777777" w:rsidR="00AC48D2" w:rsidRPr="00CB1714" w:rsidRDefault="00AC48D2" w:rsidP="00EF12D7">
            <w:pPr>
              <w:rPr>
                <w:rFonts w:ascii="Lato" w:hAnsi="Lato"/>
                <w:sz w:val="22"/>
                <w:szCs w:val="22"/>
              </w:rPr>
            </w:pPr>
          </w:p>
        </w:tc>
        <w:tc>
          <w:tcPr>
            <w:tcW w:w="5891" w:type="dxa"/>
          </w:tcPr>
          <w:p w14:paraId="26000474" w14:textId="77777777" w:rsidR="00AC48D2" w:rsidRPr="00CB1714" w:rsidRDefault="00AC48D2" w:rsidP="00EF12D7">
            <w:pPr>
              <w:jc w:val="both"/>
              <w:rPr>
                <w:rFonts w:ascii="Lato" w:hAnsi="Lato"/>
                <w:position w:val="8"/>
                <w:sz w:val="22"/>
                <w:szCs w:val="22"/>
              </w:rPr>
            </w:pPr>
            <w:r w:rsidRPr="00CB1714">
              <w:rPr>
                <w:rFonts w:ascii="Lato" w:hAnsi="Lato"/>
                <w:sz w:val="22"/>
                <w:szCs w:val="22"/>
              </w:rPr>
              <w:t xml:space="preserve"> principal of the fund and aim to provide a return in line with money market rates</w:t>
            </w:r>
          </w:p>
        </w:tc>
        <w:tc>
          <w:tcPr>
            <w:tcW w:w="3188" w:type="dxa"/>
            <w:tcBorders>
              <w:top w:val="single" w:sz="4" w:space="0" w:color="auto"/>
            </w:tcBorders>
          </w:tcPr>
          <w:p w14:paraId="69B78DA9" w14:textId="77777777" w:rsidR="00AC48D2" w:rsidRPr="00CB1714" w:rsidRDefault="00AC48D2" w:rsidP="00EF12D7">
            <w:pPr>
              <w:rPr>
                <w:rFonts w:ascii="Lato" w:hAnsi="Lato"/>
                <w:sz w:val="22"/>
                <w:szCs w:val="22"/>
              </w:rPr>
            </w:pPr>
          </w:p>
        </w:tc>
      </w:tr>
      <w:tr w:rsidR="00AC48D2" w:rsidRPr="00CB1714" w14:paraId="724C8139" w14:textId="77777777" w:rsidTr="00990D73">
        <w:trPr>
          <w:trHeight w:val="156"/>
        </w:trPr>
        <w:tc>
          <w:tcPr>
            <w:tcW w:w="1316" w:type="dxa"/>
          </w:tcPr>
          <w:p w14:paraId="5D459606" w14:textId="77777777" w:rsidR="00AC48D2" w:rsidRPr="00CB1714" w:rsidRDefault="00AC48D2" w:rsidP="00EF12D7">
            <w:pPr>
              <w:rPr>
                <w:rFonts w:ascii="Lato" w:hAnsi="Lato"/>
                <w:sz w:val="22"/>
                <w:szCs w:val="22"/>
              </w:rPr>
            </w:pPr>
          </w:p>
        </w:tc>
        <w:tc>
          <w:tcPr>
            <w:tcW w:w="5891" w:type="dxa"/>
          </w:tcPr>
          <w:p w14:paraId="519946A2" w14:textId="77777777" w:rsidR="00AC48D2" w:rsidRPr="00CB1714" w:rsidRDefault="00AC48D2" w:rsidP="00EF12D7">
            <w:pPr>
              <w:jc w:val="both"/>
              <w:rPr>
                <w:rFonts w:ascii="Lato" w:hAnsi="Lato"/>
                <w:position w:val="8"/>
                <w:sz w:val="22"/>
                <w:szCs w:val="22"/>
              </w:rPr>
            </w:pPr>
          </w:p>
        </w:tc>
        <w:tc>
          <w:tcPr>
            <w:tcW w:w="3188" w:type="dxa"/>
            <w:tcBorders>
              <w:bottom w:val="single" w:sz="4" w:space="0" w:color="auto"/>
            </w:tcBorders>
          </w:tcPr>
          <w:p w14:paraId="0037A89F" w14:textId="77777777" w:rsidR="00AC48D2" w:rsidRPr="00CB1714" w:rsidRDefault="00AC48D2" w:rsidP="00EF12D7">
            <w:pPr>
              <w:rPr>
                <w:rFonts w:ascii="Lato" w:hAnsi="Lato"/>
                <w:sz w:val="22"/>
                <w:szCs w:val="22"/>
              </w:rPr>
            </w:pPr>
          </w:p>
        </w:tc>
      </w:tr>
      <w:tr w:rsidR="00AC48D2" w:rsidRPr="00CB1714" w14:paraId="48322D44" w14:textId="77777777" w:rsidTr="00990D73">
        <w:trPr>
          <w:trHeight w:val="156"/>
        </w:trPr>
        <w:tc>
          <w:tcPr>
            <w:tcW w:w="1316" w:type="dxa"/>
          </w:tcPr>
          <w:p w14:paraId="7C066104" w14:textId="77777777" w:rsidR="00AC48D2" w:rsidRPr="00CB1714" w:rsidRDefault="00AC48D2" w:rsidP="00EF12D7">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1BC4C1AE" w14:textId="77777777" w:rsidR="00AC48D2" w:rsidRPr="00CB1714" w:rsidRDefault="00AC48D2" w:rsidP="00EF12D7">
            <w:pPr>
              <w:jc w:val="both"/>
              <w:rPr>
                <w:rFonts w:ascii="Lato" w:hAnsi="Lato"/>
                <w:position w:val="8"/>
                <w:sz w:val="22"/>
                <w:szCs w:val="22"/>
              </w:rPr>
            </w:pPr>
            <w:r w:rsidRPr="00CB1714">
              <w:rPr>
                <w:rFonts w:ascii="Lato" w:hAnsi="Lato"/>
                <w:sz w:val="22"/>
                <w:szCs w:val="22"/>
              </w:rPr>
              <w:t>If investment is permitted by a Short-Term Money Market</w:t>
            </w:r>
          </w:p>
        </w:tc>
        <w:tc>
          <w:tcPr>
            <w:tcW w:w="3188" w:type="dxa"/>
            <w:tcBorders>
              <w:top w:val="single" w:sz="4" w:space="0" w:color="auto"/>
              <w:left w:val="single" w:sz="4" w:space="0" w:color="auto"/>
              <w:bottom w:val="single" w:sz="4" w:space="0" w:color="auto"/>
              <w:right w:val="single" w:sz="4" w:space="0" w:color="auto"/>
            </w:tcBorders>
          </w:tcPr>
          <w:p w14:paraId="6646E0FD" w14:textId="77777777" w:rsidR="00AC48D2" w:rsidRPr="00CB1714" w:rsidRDefault="00AC48D2" w:rsidP="00EF12D7">
            <w:pPr>
              <w:rPr>
                <w:rFonts w:ascii="Lato" w:hAnsi="Lato"/>
                <w:sz w:val="22"/>
                <w:szCs w:val="22"/>
              </w:rPr>
            </w:pPr>
          </w:p>
        </w:tc>
      </w:tr>
      <w:tr w:rsidR="00AC48D2" w:rsidRPr="00CB1714" w14:paraId="5F70964F" w14:textId="77777777" w:rsidTr="00990D73">
        <w:trPr>
          <w:trHeight w:val="156"/>
        </w:trPr>
        <w:tc>
          <w:tcPr>
            <w:tcW w:w="1316" w:type="dxa"/>
          </w:tcPr>
          <w:p w14:paraId="47FF5DFF" w14:textId="77777777" w:rsidR="00AC48D2" w:rsidRPr="00CB1714" w:rsidRDefault="00AC48D2" w:rsidP="00EF12D7">
            <w:pPr>
              <w:rPr>
                <w:rFonts w:ascii="Lato" w:hAnsi="Lato"/>
                <w:sz w:val="22"/>
                <w:szCs w:val="22"/>
              </w:rPr>
            </w:pPr>
          </w:p>
        </w:tc>
        <w:tc>
          <w:tcPr>
            <w:tcW w:w="5891" w:type="dxa"/>
          </w:tcPr>
          <w:p w14:paraId="2AC5E6BD" w14:textId="77777777" w:rsidR="00AC48D2" w:rsidRPr="00CB1714" w:rsidRDefault="00AC48D2" w:rsidP="00EF12D7">
            <w:pPr>
              <w:jc w:val="both"/>
              <w:rPr>
                <w:rFonts w:ascii="Lato" w:hAnsi="Lato"/>
                <w:position w:val="8"/>
                <w:sz w:val="22"/>
                <w:szCs w:val="22"/>
              </w:rPr>
            </w:pPr>
            <w:r w:rsidRPr="00CB1714">
              <w:rPr>
                <w:rFonts w:ascii="Lato" w:hAnsi="Lato"/>
                <w:sz w:val="22"/>
                <w:szCs w:val="22"/>
              </w:rPr>
              <w:t>Fund in other investment funds provide that those investment funds are also Short-Term Money Market Funds</w:t>
            </w:r>
          </w:p>
        </w:tc>
        <w:tc>
          <w:tcPr>
            <w:tcW w:w="3188" w:type="dxa"/>
            <w:tcBorders>
              <w:top w:val="single" w:sz="4" w:space="0" w:color="auto"/>
            </w:tcBorders>
          </w:tcPr>
          <w:p w14:paraId="0531B81B" w14:textId="77777777" w:rsidR="00AC48D2" w:rsidRPr="00CB1714" w:rsidRDefault="00AC48D2" w:rsidP="00EF12D7">
            <w:pPr>
              <w:rPr>
                <w:rFonts w:ascii="Lato" w:hAnsi="Lato"/>
                <w:sz w:val="22"/>
                <w:szCs w:val="22"/>
              </w:rPr>
            </w:pPr>
          </w:p>
        </w:tc>
      </w:tr>
      <w:tr w:rsidR="00AC48D2" w:rsidRPr="00CB1714" w14:paraId="6793407F" w14:textId="77777777" w:rsidTr="00990D73">
        <w:trPr>
          <w:trHeight w:val="156"/>
        </w:trPr>
        <w:tc>
          <w:tcPr>
            <w:tcW w:w="1316" w:type="dxa"/>
          </w:tcPr>
          <w:p w14:paraId="7D433EDF" w14:textId="77777777" w:rsidR="00AC48D2" w:rsidRPr="00CB1714" w:rsidRDefault="00AC48D2" w:rsidP="00EF12D7">
            <w:pPr>
              <w:rPr>
                <w:rFonts w:ascii="Lato" w:hAnsi="Lato"/>
                <w:sz w:val="22"/>
                <w:szCs w:val="22"/>
              </w:rPr>
            </w:pPr>
          </w:p>
        </w:tc>
        <w:tc>
          <w:tcPr>
            <w:tcW w:w="5891" w:type="dxa"/>
          </w:tcPr>
          <w:p w14:paraId="17CFD99D" w14:textId="77777777" w:rsidR="00AC48D2" w:rsidRPr="00CB1714" w:rsidRDefault="00AC48D2" w:rsidP="00EF12D7">
            <w:pPr>
              <w:jc w:val="both"/>
              <w:rPr>
                <w:rFonts w:ascii="Lato" w:hAnsi="Lato"/>
                <w:position w:val="8"/>
                <w:sz w:val="22"/>
                <w:szCs w:val="22"/>
              </w:rPr>
            </w:pPr>
          </w:p>
        </w:tc>
        <w:tc>
          <w:tcPr>
            <w:tcW w:w="3188" w:type="dxa"/>
            <w:tcBorders>
              <w:bottom w:val="single" w:sz="4" w:space="0" w:color="auto"/>
            </w:tcBorders>
          </w:tcPr>
          <w:p w14:paraId="1BDC2564" w14:textId="77777777" w:rsidR="00AC48D2" w:rsidRPr="00CB1714" w:rsidRDefault="00AC48D2" w:rsidP="00EF12D7">
            <w:pPr>
              <w:rPr>
                <w:rFonts w:ascii="Lato" w:hAnsi="Lato"/>
                <w:sz w:val="22"/>
                <w:szCs w:val="22"/>
              </w:rPr>
            </w:pPr>
          </w:p>
        </w:tc>
      </w:tr>
      <w:tr w:rsidR="00AC48D2" w:rsidRPr="00CB1714" w14:paraId="2628D60A" w14:textId="77777777" w:rsidTr="00990D73">
        <w:trPr>
          <w:trHeight w:val="156"/>
        </w:trPr>
        <w:tc>
          <w:tcPr>
            <w:tcW w:w="1316" w:type="dxa"/>
          </w:tcPr>
          <w:p w14:paraId="171E39CE" w14:textId="77777777" w:rsidR="00AC48D2" w:rsidRPr="00CB1714" w:rsidRDefault="00AC48D2" w:rsidP="00EF12D7">
            <w:pPr>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7D9C5C5D" w14:textId="77777777" w:rsidR="00AC48D2" w:rsidRPr="00CB1714" w:rsidRDefault="00AC48D2" w:rsidP="00CB1714">
            <w:pPr>
              <w:jc w:val="both"/>
              <w:rPr>
                <w:rFonts w:ascii="Lato" w:hAnsi="Lato"/>
                <w:position w:val="8"/>
                <w:sz w:val="22"/>
                <w:szCs w:val="22"/>
              </w:rPr>
            </w:pPr>
            <w:r w:rsidRPr="00CB1714">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72905564" w14:textId="77777777" w:rsidR="00AC48D2" w:rsidRPr="00CB1714" w:rsidRDefault="00AC48D2" w:rsidP="00EF12D7">
            <w:pPr>
              <w:rPr>
                <w:rFonts w:ascii="Lato" w:hAnsi="Lato"/>
                <w:sz w:val="22"/>
                <w:szCs w:val="22"/>
              </w:rPr>
            </w:pPr>
          </w:p>
        </w:tc>
      </w:tr>
      <w:tr w:rsidR="00AC48D2" w:rsidRPr="00CB1714" w14:paraId="5A4B1208" w14:textId="77777777" w:rsidTr="00990D73">
        <w:trPr>
          <w:trHeight w:val="156"/>
        </w:trPr>
        <w:tc>
          <w:tcPr>
            <w:tcW w:w="1316" w:type="dxa"/>
          </w:tcPr>
          <w:p w14:paraId="07A80917" w14:textId="77777777" w:rsidR="00AC48D2" w:rsidRPr="00CB1714" w:rsidRDefault="00AC48D2" w:rsidP="00EF12D7">
            <w:pPr>
              <w:rPr>
                <w:rFonts w:ascii="Lato" w:hAnsi="Lato"/>
                <w:sz w:val="22"/>
                <w:szCs w:val="22"/>
              </w:rPr>
            </w:pPr>
          </w:p>
        </w:tc>
        <w:tc>
          <w:tcPr>
            <w:tcW w:w="5891" w:type="dxa"/>
          </w:tcPr>
          <w:p w14:paraId="54716775" w14:textId="77777777" w:rsidR="00AC48D2" w:rsidRPr="00CB1714" w:rsidRDefault="00054B1C" w:rsidP="00EF12D7">
            <w:pPr>
              <w:pStyle w:val="Heading6"/>
              <w:rPr>
                <w:rFonts w:ascii="Lato" w:hAnsi="Lato"/>
                <w:color w:val="auto"/>
                <w:position w:val="8"/>
                <w:szCs w:val="22"/>
              </w:rPr>
            </w:pPr>
            <w:r w:rsidRPr="00CB1714">
              <w:rPr>
                <w:rFonts w:ascii="Lato" w:hAnsi="Lato"/>
                <w:color w:val="auto"/>
                <w:szCs w:val="22"/>
                <w:u w:val="none"/>
              </w:rPr>
              <w:t xml:space="preserve">and </w:t>
            </w:r>
            <w:r w:rsidR="00AC48D2" w:rsidRPr="00CB1714">
              <w:rPr>
                <w:rFonts w:ascii="Lato" w:hAnsi="Lato"/>
                <w:color w:val="auto"/>
                <w:szCs w:val="22"/>
                <w:u w:val="none"/>
              </w:rPr>
              <w:t>reward profile of the fund so as to enable investors identify any specific risks linked to the investment strategy of the money market fund.</w:t>
            </w:r>
            <w:r w:rsidR="00AC48D2" w:rsidRPr="00CB1714">
              <w:rPr>
                <w:rFonts w:ascii="Lato" w:hAnsi="Lato"/>
                <w:color w:val="auto"/>
                <w:szCs w:val="22"/>
              </w:rPr>
              <w:t xml:space="preserve">  </w:t>
            </w:r>
          </w:p>
        </w:tc>
        <w:tc>
          <w:tcPr>
            <w:tcW w:w="3188" w:type="dxa"/>
            <w:tcBorders>
              <w:top w:val="single" w:sz="4" w:space="0" w:color="auto"/>
            </w:tcBorders>
          </w:tcPr>
          <w:p w14:paraId="1D9AE4DF" w14:textId="77777777" w:rsidR="00AC48D2" w:rsidRPr="00CB1714" w:rsidRDefault="00AC48D2" w:rsidP="00EF12D7">
            <w:pPr>
              <w:rPr>
                <w:rFonts w:ascii="Lato" w:hAnsi="Lato"/>
                <w:sz w:val="22"/>
                <w:szCs w:val="22"/>
              </w:rPr>
            </w:pPr>
          </w:p>
        </w:tc>
      </w:tr>
      <w:tr w:rsidR="00AC48D2" w:rsidRPr="00CB1714" w14:paraId="2BB6C019" w14:textId="77777777" w:rsidTr="00990D73">
        <w:trPr>
          <w:trHeight w:val="156"/>
        </w:trPr>
        <w:tc>
          <w:tcPr>
            <w:tcW w:w="1316" w:type="dxa"/>
          </w:tcPr>
          <w:p w14:paraId="0CFFA0A4" w14:textId="77777777" w:rsidR="00AC48D2" w:rsidRPr="00CB1714" w:rsidRDefault="00AC48D2" w:rsidP="00EF12D7">
            <w:pPr>
              <w:rPr>
                <w:rFonts w:ascii="Lato" w:hAnsi="Lato"/>
                <w:sz w:val="22"/>
                <w:szCs w:val="22"/>
              </w:rPr>
            </w:pPr>
          </w:p>
        </w:tc>
        <w:tc>
          <w:tcPr>
            <w:tcW w:w="5891" w:type="dxa"/>
          </w:tcPr>
          <w:p w14:paraId="45C25DFD" w14:textId="77777777" w:rsidR="00AC48D2" w:rsidRPr="00CB1714" w:rsidRDefault="00AC48D2" w:rsidP="00CB1714">
            <w:pPr>
              <w:jc w:val="both"/>
              <w:rPr>
                <w:rFonts w:ascii="Lato" w:hAnsi="Lato"/>
                <w:position w:val="8"/>
                <w:sz w:val="22"/>
                <w:szCs w:val="22"/>
              </w:rPr>
            </w:pPr>
            <w:r w:rsidRPr="00CB1714">
              <w:rPr>
                <w:rFonts w:ascii="Lato" w:hAnsi="Lato"/>
                <w:sz w:val="22"/>
                <w:szCs w:val="22"/>
              </w:rPr>
              <w:t xml:space="preserve">This must take account, where relevant, of investment in </w:t>
            </w:r>
          </w:p>
        </w:tc>
        <w:tc>
          <w:tcPr>
            <w:tcW w:w="3188" w:type="dxa"/>
          </w:tcPr>
          <w:p w14:paraId="4C9C8568" w14:textId="77777777" w:rsidR="00AC48D2" w:rsidRPr="00CB1714" w:rsidRDefault="00AC48D2" w:rsidP="00EF12D7">
            <w:pPr>
              <w:rPr>
                <w:rFonts w:ascii="Lato" w:hAnsi="Lato"/>
                <w:sz w:val="22"/>
                <w:szCs w:val="22"/>
              </w:rPr>
            </w:pPr>
          </w:p>
        </w:tc>
      </w:tr>
      <w:tr w:rsidR="00AC48D2" w:rsidRPr="00CB1714" w14:paraId="7501A5EC" w14:textId="77777777" w:rsidTr="00990D73">
        <w:trPr>
          <w:trHeight w:val="156"/>
        </w:trPr>
        <w:tc>
          <w:tcPr>
            <w:tcW w:w="1316" w:type="dxa"/>
          </w:tcPr>
          <w:p w14:paraId="1CF44657" w14:textId="77777777" w:rsidR="00AC48D2" w:rsidRPr="00CB1714" w:rsidRDefault="00AC48D2" w:rsidP="00EF12D7">
            <w:pPr>
              <w:rPr>
                <w:rFonts w:ascii="Lato" w:hAnsi="Lato"/>
                <w:sz w:val="22"/>
                <w:szCs w:val="22"/>
              </w:rPr>
            </w:pPr>
          </w:p>
        </w:tc>
        <w:tc>
          <w:tcPr>
            <w:tcW w:w="5891" w:type="dxa"/>
          </w:tcPr>
          <w:p w14:paraId="623B477A" w14:textId="77777777" w:rsidR="00AC48D2" w:rsidRPr="00CB1714" w:rsidRDefault="00054B1C" w:rsidP="00EF12D7">
            <w:pPr>
              <w:jc w:val="both"/>
              <w:rPr>
                <w:rFonts w:ascii="Lato" w:hAnsi="Lato"/>
                <w:position w:val="8"/>
                <w:sz w:val="22"/>
                <w:szCs w:val="22"/>
              </w:rPr>
            </w:pPr>
            <w:r w:rsidRPr="00F72ED7">
              <w:rPr>
                <w:rFonts w:ascii="Lato" w:hAnsi="Lato"/>
                <w:sz w:val="22"/>
                <w:szCs w:val="22"/>
              </w:rPr>
              <w:t>new</w:t>
            </w:r>
            <w:r w:rsidRPr="00CB1714">
              <w:rPr>
                <w:rFonts w:ascii="Lato" w:hAnsi="Lato"/>
                <w:sz w:val="22"/>
                <w:szCs w:val="22"/>
              </w:rPr>
              <w:t xml:space="preserve"> </w:t>
            </w:r>
            <w:r w:rsidR="00AC48D2" w:rsidRPr="00CB1714">
              <w:rPr>
                <w:rFonts w:ascii="Lato" w:hAnsi="Lato"/>
                <w:sz w:val="22"/>
                <w:szCs w:val="22"/>
              </w:rPr>
              <w:t>asset classes, financial instruments or investment strategies with unusual risk and reward profiles</w:t>
            </w:r>
          </w:p>
        </w:tc>
        <w:tc>
          <w:tcPr>
            <w:tcW w:w="3188" w:type="dxa"/>
          </w:tcPr>
          <w:p w14:paraId="1732054A" w14:textId="77777777" w:rsidR="00AC48D2" w:rsidRPr="00CB1714" w:rsidRDefault="00AC48D2" w:rsidP="00EF12D7">
            <w:pPr>
              <w:rPr>
                <w:rFonts w:ascii="Lato" w:hAnsi="Lato"/>
                <w:sz w:val="22"/>
                <w:szCs w:val="22"/>
              </w:rPr>
            </w:pPr>
          </w:p>
        </w:tc>
      </w:tr>
      <w:tr w:rsidR="00AC48D2" w:rsidRPr="00CB1714" w14:paraId="1A8331BB" w14:textId="77777777" w:rsidTr="00990D73">
        <w:trPr>
          <w:trHeight w:val="156"/>
        </w:trPr>
        <w:tc>
          <w:tcPr>
            <w:tcW w:w="1316" w:type="dxa"/>
          </w:tcPr>
          <w:p w14:paraId="5B4737DC" w14:textId="77777777" w:rsidR="00AC48D2" w:rsidRPr="00CB1714" w:rsidRDefault="00AC48D2" w:rsidP="00EF12D7">
            <w:pPr>
              <w:rPr>
                <w:rFonts w:ascii="Lato" w:hAnsi="Lato"/>
                <w:sz w:val="22"/>
                <w:szCs w:val="22"/>
              </w:rPr>
            </w:pPr>
          </w:p>
        </w:tc>
        <w:tc>
          <w:tcPr>
            <w:tcW w:w="5891" w:type="dxa"/>
          </w:tcPr>
          <w:p w14:paraId="5636C6C4" w14:textId="77777777" w:rsidR="00AC48D2" w:rsidRPr="00CB1714" w:rsidRDefault="00AC48D2" w:rsidP="00EF12D7">
            <w:pPr>
              <w:jc w:val="both"/>
              <w:rPr>
                <w:rFonts w:ascii="Lato" w:hAnsi="Lato"/>
                <w:sz w:val="22"/>
                <w:szCs w:val="22"/>
              </w:rPr>
            </w:pPr>
          </w:p>
        </w:tc>
        <w:tc>
          <w:tcPr>
            <w:tcW w:w="3188" w:type="dxa"/>
          </w:tcPr>
          <w:p w14:paraId="0E7430DC" w14:textId="77777777" w:rsidR="00AC48D2" w:rsidRPr="00CB1714" w:rsidRDefault="00AC48D2" w:rsidP="00EF12D7">
            <w:pPr>
              <w:rPr>
                <w:rFonts w:ascii="Lato" w:hAnsi="Lato"/>
                <w:sz w:val="22"/>
                <w:szCs w:val="22"/>
              </w:rPr>
            </w:pPr>
          </w:p>
        </w:tc>
      </w:tr>
      <w:tr w:rsidR="00AC48D2" w:rsidRPr="00CB1714" w14:paraId="6C5E6AEE" w14:textId="77777777" w:rsidTr="00990D73">
        <w:trPr>
          <w:trHeight w:val="156"/>
        </w:trPr>
        <w:tc>
          <w:tcPr>
            <w:tcW w:w="1316" w:type="dxa"/>
          </w:tcPr>
          <w:p w14:paraId="36178330" w14:textId="77777777" w:rsidR="00AC48D2" w:rsidRPr="00CB1714" w:rsidRDefault="00AC48D2" w:rsidP="00E876DF">
            <w:pPr>
              <w:rPr>
                <w:rFonts w:ascii="Lato" w:hAnsi="Lato"/>
                <w:sz w:val="22"/>
                <w:szCs w:val="22"/>
              </w:rPr>
            </w:pPr>
            <w:r w:rsidRPr="00CB1714">
              <w:rPr>
                <w:rFonts w:ascii="Lato" w:hAnsi="Lato"/>
                <w:sz w:val="22"/>
                <w:szCs w:val="22"/>
              </w:rPr>
              <w:t>2.2.</w:t>
            </w:r>
            <w:r w:rsidR="00E876DF" w:rsidRPr="00CB1714">
              <w:rPr>
                <w:rFonts w:ascii="Lato" w:hAnsi="Lato"/>
                <w:sz w:val="22"/>
                <w:szCs w:val="22"/>
              </w:rPr>
              <w:t>8</w:t>
            </w:r>
          </w:p>
        </w:tc>
        <w:tc>
          <w:tcPr>
            <w:tcW w:w="5891" w:type="dxa"/>
          </w:tcPr>
          <w:p w14:paraId="3F10A161" w14:textId="77777777" w:rsidR="00AC48D2" w:rsidRPr="00CB1714" w:rsidRDefault="00AC48D2">
            <w:pPr>
              <w:rPr>
                <w:rFonts w:ascii="Lato" w:hAnsi="Lato"/>
                <w:b/>
                <w:sz w:val="22"/>
                <w:szCs w:val="22"/>
              </w:rPr>
            </w:pPr>
            <w:r w:rsidRPr="00CB1714">
              <w:rPr>
                <w:rFonts w:ascii="Lato" w:hAnsi="Lato"/>
                <w:b/>
                <w:sz w:val="22"/>
                <w:szCs w:val="22"/>
              </w:rPr>
              <w:t>Money Market Funds</w:t>
            </w:r>
          </w:p>
        </w:tc>
        <w:tc>
          <w:tcPr>
            <w:tcW w:w="3188" w:type="dxa"/>
            <w:tcBorders>
              <w:bottom w:val="single" w:sz="4" w:space="0" w:color="auto"/>
            </w:tcBorders>
          </w:tcPr>
          <w:p w14:paraId="7C0BD103" w14:textId="77777777" w:rsidR="00AC48D2" w:rsidRPr="00CB1714" w:rsidRDefault="00AC48D2">
            <w:pPr>
              <w:rPr>
                <w:rFonts w:ascii="Lato" w:hAnsi="Lato"/>
                <w:b/>
                <w:bCs/>
                <w:sz w:val="22"/>
                <w:szCs w:val="22"/>
                <w:u w:val="single"/>
              </w:rPr>
            </w:pPr>
          </w:p>
        </w:tc>
      </w:tr>
      <w:tr w:rsidR="00AC48D2" w:rsidRPr="00CB1714" w14:paraId="67CC294A" w14:textId="77777777" w:rsidTr="00990D73">
        <w:trPr>
          <w:trHeight w:val="156"/>
        </w:trPr>
        <w:tc>
          <w:tcPr>
            <w:tcW w:w="1316" w:type="dxa"/>
          </w:tcPr>
          <w:p w14:paraId="7D391CA0" w14:textId="77777777" w:rsidR="00AC48D2" w:rsidRPr="00CB1714" w:rsidRDefault="00AC48D2" w:rsidP="00A75241">
            <w:pPr>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130C232F" w14:textId="77777777" w:rsidR="00AC48D2" w:rsidRPr="00CB1714" w:rsidRDefault="00AC48D2" w:rsidP="00912CB8">
            <w:pPr>
              <w:jc w:val="both"/>
              <w:rPr>
                <w:rFonts w:ascii="Lato" w:hAnsi="Lato"/>
                <w:position w:val="8"/>
                <w:sz w:val="22"/>
                <w:szCs w:val="22"/>
              </w:rPr>
            </w:pPr>
            <w:r w:rsidRPr="00CB1714">
              <w:rPr>
                <w:rFonts w:ascii="Lato" w:hAnsi="Lato"/>
                <w:sz w:val="22"/>
                <w:szCs w:val="22"/>
              </w:rPr>
              <w:t xml:space="preserve">State that the fund is a Money Market Fund </w:t>
            </w:r>
          </w:p>
        </w:tc>
        <w:tc>
          <w:tcPr>
            <w:tcW w:w="3188" w:type="dxa"/>
            <w:tcBorders>
              <w:top w:val="single" w:sz="4" w:space="0" w:color="auto"/>
              <w:left w:val="single" w:sz="4" w:space="0" w:color="auto"/>
              <w:bottom w:val="single" w:sz="4" w:space="0" w:color="auto"/>
              <w:right w:val="single" w:sz="4" w:space="0" w:color="auto"/>
            </w:tcBorders>
          </w:tcPr>
          <w:p w14:paraId="53AE7BB1" w14:textId="77777777" w:rsidR="00AC48D2" w:rsidRPr="00CB1714" w:rsidRDefault="00AC48D2">
            <w:pPr>
              <w:rPr>
                <w:rFonts w:ascii="Lato" w:hAnsi="Lato"/>
                <w:b/>
                <w:bCs/>
                <w:sz w:val="22"/>
                <w:szCs w:val="22"/>
                <w:u w:val="single"/>
              </w:rPr>
            </w:pPr>
          </w:p>
        </w:tc>
      </w:tr>
      <w:tr w:rsidR="00AC48D2" w:rsidRPr="00CB1714" w14:paraId="57C9C2DE" w14:textId="77777777" w:rsidTr="00990D73">
        <w:trPr>
          <w:trHeight w:val="156"/>
        </w:trPr>
        <w:tc>
          <w:tcPr>
            <w:tcW w:w="1316" w:type="dxa"/>
          </w:tcPr>
          <w:p w14:paraId="1E58DC9E" w14:textId="77777777" w:rsidR="00AC48D2" w:rsidRPr="00CB1714" w:rsidRDefault="00AC48D2" w:rsidP="00A75241">
            <w:pPr>
              <w:rPr>
                <w:rFonts w:ascii="Lato" w:hAnsi="Lato"/>
                <w:b/>
                <w:sz w:val="22"/>
                <w:szCs w:val="22"/>
              </w:rPr>
            </w:pPr>
          </w:p>
        </w:tc>
        <w:tc>
          <w:tcPr>
            <w:tcW w:w="5891" w:type="dxa"/>
          </w:tcPr>
          <w:p w14:paraId="52145FFB" w14:textId="77777777" w:rsidR="00AC48D2" w:rsidRPr="00CB1714" w:rsidRDefault="00AC48D2">
            <w:pPr>
              <w:rPr>
                <w:rFonts w:ascii="Lato" w:hAnsi="Lato"/>
                <w:b/>
                <w:sz w:val="22"/>
                <w:szCs w:val="22"/>
              </w:rPr>
            </w:pPr>
          </w:p>
        </w:tc>
        <w:tc>
          <w:tcPr>
            <w:tcW w:w="3188" w:type="dxa"/>
            <w:tcBorders>
              <w:top w:val="single" w:sz="4" w:space="0" w:color="auto"/>
              <w:bottom w:val="single" w:sz="4" w:space="0" w:color="auto"/>
            </w:tcBorders>
          </w:tcPr>
          <w:p w14:paraId="72B2FE11" w14:textId="77777777" w:rsidR="00AC48D2" w:rsidRPr="00CB1714" w:rsidRDefault="00AC48D2">
            <w:pPr>
              <w:rPr>
                <w:rFonts w:ascii="Lato" w:hAnsi="Lato"/>
                <w:b/>
                <w:bCs/>
                <w:sz w:val="22"/>
                <w:szCs w:val="22"/>
                <w:u w:val="single"/>
              </w:rPr>
            </w:pPr>
          </w:p>
        </w:tc>
      </w:tr>
      <w:tr w:rsidR="00AC48D2" w:rsidRPr="00CB1714" w14:paraId="3855B153" w14:textId="77777777" w:rsidTr="00990D73">
        <w:trPr>
          <w:trHeight w:val="156"/>
        </w:trPr>
        <w:tc>
          <w:tcPr>
            <w:tcW w:w="1316" w:type="dxa"/>
          </w:tcPr>
          <w:p w14:paraId="72459FAE" w14:textId="77777777" w:rsidR="00AC48D2" w:rsidRPr="00CB1714" w:rsidRDefault="00AC48D2" w:rsidP="00A75241">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740BB8AA" w14:textId="77777777" w:rsidR="00AC48D2" w:rsidRPr="00CB1714" w:rsidRDefault="00AC48D2">
            <w:pPr>
              <w:rPr>
                <w:rFonts w:ascii="Lato" w:hAnsi="Lato"/>
                <w:b/>
                <w:sz w:val="22"/>
                <w:szCs w:val="22"/>
              </w:rPr>
            </w:pPr>
            <w:r w:rsidRPr="00CB1714">
              <w:rPr>
                <w:rFonts w:ascii="Lato" w:hAnsi="Lato"/>
                <w:sz w:val="22"/>
                <w:szCs w:val="22"/>
              </w:rPr>
              <w:t>Include a risk warning drawing attention to the difference</w:t>
            </w:r>
          </w:p>
        </w:tc>
        <w:tc>
          <w:tcPr>
            <w:tcW w:w="3188" w:type="dxa"/>
            <w:tcBorders>
              <w:top w:val="single" w:sz="4" w:space="0" w:color="auto"/>
              <w:left w:val="single" w:sz="4" w:space="0" w:color="auto"/>
              <w:bottom w:val="single" w:sz="4" w:space="0" w:color="auto"/>
              <w:right w:val="single" w:sz="4" w:space="0" w:color="auto"/>
            </w:tcBorders>
          </w:tcPr>
          <w:p w14:paraId="00B845AD" w14:textId="77777777" w:rsidR="00AC48D2" w:rsidRPr="00CB1714" w:rsidRDefault="00AC48D2">
            <w:pPr>
              <w:rPr>
                <w:rFonts w:ascii="Lato" w:hAnsi="Lato"/>
                <w:b/>
                <w:bCs/>
                <w:sz w:val="22"/>
                <w:szCs w:val="22"/>
                <w:u w:val="single"/>
              </w:rPr>
            </w:pPr>
          </w:p>
        </w:tc>
      </w:tr>
      <w:tr w:rsidR="00AC48D2" w:rsidRPr="00CB1714" w14:paraId="1C97C1BC" w14:textId="77777777" w:rsidTr="00990D73">
        <w:trPr>
          <w:trHeight w:val="156"/>
        </w:trPr>
        <w:tc>
          <w:tcPr>
            <w:tcW w:w="1316" w:type="dxa"/>
          </w:tcPr>
          <w:p w14:paraId="4A808ED3" w14:textId="77777777" w:rsidR="00AC48D2" w:rsidRPr="00CB1714" w:rsidRDefault="00AC48D2" w:rsidP="00A75241">
            <w:pPr>
              <w:rPr>
                <w:rFonts w:ascii="Lato" w:hAnsi="Lato"/>
                <w:b/>
                <w:sz w:val="22"/>
                <w:szCs w:val="22"/>
              </w:rPr>
            </w:pPr>
          </w:p>
        </w:tc>
        <w:tc>
          <w:tcPr>
            <w:tcW w:w="5891" w:type="dxa"/>
          </w:tcPr>
          <w:p w14:paraId="40F41982" w14:textId="77777777" w:rsidR="00AC48D2" w:rsidRPr="00CB1714" w:rsidRDefault="00AC48D2" w:rsidP="00CB1714">
            <w:pPr>
              <w:rPr>
                <w:rFonts w:ascii="Lato" w:hAnsi="Lato"/>
                <w:sz w:val="22"/>
                <w:szCs w:val="22"/>
              </w:rPr>
            </w:pPr>
            <w:r w:rsidRPr="00CB1714">
              <w:rPr>
                <w:rFonts w:ascii="Lato" w:hAnsi="Lato"/>
                <w:sz w:val="22"/>
                <w:szCs w:val="22"/>
              </w:rPr>
              <w:t xml:space="preserve">between the nature of a deposit and the nature of an </w:t>
            </w:r>
          </w:p>
        </w:tc>
        <w:tc>
          <w:tcPr>
            <w:tcW w:w="3188" w:type="dxa"/>
            <w:tcBorders>
              <w:top w:val="single" w:sz="4" w:space="0" w:color="auto"/>
            </w:tcBorders>
          </w:tcPr>
          <w:p w14:paraId="6F83566F" w14:textId="77777777" w:rsidR="00AC48D2" w:rsidRPr="00CB1714" w:rsidRDefault="00AC48D2">
            <w:pPr>
              <w:rPr>
                <w:rFonts w:ascii="Lato" w:hAnsi="Lato"/>
                <w:b/>
                <w:bCs/>
                <w:sz w:val="22"/>
                <w:szCs w:val="22"/>
                <w:u w:val="single"/>
              </w:rPr>
            </w:pPr>
          </w:p>
        </w:tc>
      </w:tr>
      <w:tr w:rsidR="00AC48D2" w:rsidRPr="00CB1714" w14:paraId="6BCF2941" w14:textId="77777777" w:rsidTr="00990D73">
        <w:trPr>
          <w:trHeight w:val="156"/>
        </w:trPr>
        <w:tc>
          <w:tcPr>
            <w:tcW w:w="1316" w:type="dxa"/>
          </w:tcPr>
          <w:p w14:paraId="04F001DF" w14:textId="77777777" w:rsidR="00AC48D2" w:rsidRPr="00CB1714" w:rsidRDefault="00AC48D2" w:rsidP="00A75241">
            <w:pPr>
              <w:rPr>
                <w:rFonts w:ascii="Lato" w:hAnsi="Lato"/>
                <w:b/>
                <w:sz w:val="22"/>
                <w:szCs w:val="22"/>
              </w:rPr>
            </w:pPr>
          </w:p>
        </w:tc>
        <w:tc>
          <w:tcPr>
            <w:tcW w:w="5891" w:type="dxa"/>
          </w:tcPr>
          <w:p w14:paraId="068480D0" w14:textId="77777777" w:rsidR="00AC48D2" w:rsidRPr="00CB1714" w:rsidRDefault="00054B1C" w:rsidP="00CB1714">
            <w:pPr>
              <w:rPr>
                <w:rFonts w:ascii="Lato" w:hAnsi="Lato"/>
                <w:sz w:val="22"/>
                <w:szCs w:val="22"/>
              </w:rPr>
            </w:pPr>
            <w:r w:rsidRPr="00F72ED7">
              <w:rPr>
                <w:rFonts w:ascii="Lato" w:hAnsi="Lato"/>
                <w:sz w:val="22"/>
                <w:szCs w:val="22"/>
              </w:rPr>
              <w:t>investment</w:t>
            </w:r>
            <w:r w:rsidRPr="00CB1714">
              <w:rPr>
                <w:rFonts w:ascii="Lato" w:hAnsi="Lato"/>
                <w:sz w:val="22"/>
                <w:szCs w:val="22"/>
              </w:rPr>
              <w:t xml:space="preserve"> </w:t>
            </w:r>
            <w:r w:rsidR="00AC48D2" w:rsidRPr="00CB1714">
              <w:rPr>
                <w:rFonts w:ascii="Lato" w:hAnsi="Lato"/>
                <w:sz w:val="22"/>
                <w:szCs w:val="22"/>
              </w:rPr>
              <w:t xml:space="preserve">in a money market fund with particular </w:t>
            </w:r>
          </w:p>
        </w:tc>
        <w:tc>
          <w:tcPr>
            <w:tcW w:w="3188" w:type="dxa"/>
          </w:tcPr>
          <w:p w14:paraId="244E52E7" w14:textId="77777777" w:rsidR="00AC48D2" w:rsidRPr="00CB1714" w:rsidRDefault="00AC48D2">
            <w:pPr>
              <w:rPr>
                <w:rFonts w:ascii="Lato" w:hAnsi="Lato"/>
                <w:b/>
                <w:bCs/>
                <w:sz w:val="22"/>
                <w:szCs w:val="22"/>
                <w:u w:val="single"/>
              </w:rPr>
            </w:pPr>
          </w:p>
        </w:tc>
      </w:tr>
      <w:tr w:rsidR="00AC48D2" w:rsidRPr="00CB1714" w14:paraId="48115C76" w14:textId="77777777" w:rsidTr="00990D73">
        <w:trPr>
          <w:trHeight w:val="156"/>
        </w:trPr>
        <w:tc>
          <w:tcPr>
            <w:tcW w:w="1316" w:type="dxa"/>
          </w:tcPr>
          <w:p w14:paraId="056E8B71" w14:textId="77777777" w:rsidR="00AC48D2" w:rsidRPr="00CB1714" w:rsidRDefault="00AC48D2" w:rsidP="00A75241">
            <w:pPr>
              <w:rPr>
                <w:rFonts w:ascii="Lato" w:hAnsi="Lato"/>
                <w:b/>
                <w:sz w:val="22"/>
                <w:szCs w:val="22"/>
              </w:rPr>
            </w:pPr>
          </w:p>
        </w:tc>
        <w:tc>
          <w:tcPr>
            <w:tcW w:w="5891" w:type="dxa"/>
          </w:tcPr>
          <w:p w14:paraId="7CE82605" w14:textId="77777777" w:rsidR="00AC48D2" w:rsidRPr="00CB1714" w:rsidRDefault="00054B1C" w:rsidP="00CB1714">
            <w:pPr>
              <w:rPr>
                <w:rFonts w:ascii="Lato" w:hAnsi="Lato"/>
                <w:sz w:val="22"/>
                <w:szCs w:val="22"/>
              </w:rPr>
            </w:pPr>
            <w:r w:rsidRPr="00F72ED7">
              <w:rPr>
                <w:rFonts w:ascii="Lato" w:hAnsi="Lato"/>
                <w:sz w:val="22"/>
                <w:szCs w:val="22"/>
              </w:rPr>
              <w:t xml:space="preserve">reference to the risk that </w:t>
            </w:r>
            <w:r w:rsidR="00AC48D2" w:rsidRPr="00CB1714">
              <w:rPr>
                <w:rFonts w:ascii="Lato" w:hAnsi="Lato"/>
                <w:sz w:val="22"/>
                <w:szCs w:val="22"/>
              </w:rPr>
              <w:t xml:space="preserve">the principal invested in a money </w:t>
            </w:r>
          </w:p>
        </w:tc>
        <w:tc>
          <w:tcPr>
            <w:tcW w:w="3188" w:type="dxa"/>
          </w:tcPr>
          <w:p w14:paraId="710781F4" w14:textId="77777777" w:rsidR="00AC48D2" w:rsidRPr="00CB1714" w:rsidRDefault="00AC48D2">
            <w:pPr>
              <w:rPr>
                <w:rFonts w:ascii="Lato" w:hAnsi="Lato"/>
                <w:b/>
                <w:bCs/>
                <w:sz w:val="22"/>
                <w:szCs w:val="22"/>
                <w:u w:val="single"/>
              </w:rPr>
            </w:pPr>
          </w:p>
        </w:tc>
      </w:tr>
      <w:tr w:rsidR="00AC48D2" w:rsidRPr="00CB1714" w14:paraId="624A06A3" w14:textId="77777777" w:rsidTr="00990D73">
        <w:trPr>
          <w:trHeight w:val="156"/>
        </w:trPr>
        <w:tc>
          <w:tcPr>
            <w:tcW w:w="1316" w:type="dxa"/>
          </w:tcPr>
          <w:p w14:paraId="5D14E738" w14:textId="77777777" w:rsidR="00AC48D2" w:rsidRPr="00CB1714" w:rsidRDefault="00AC48D2" w:rsidP="00A75241">
            <w:pPr>
              <w:rPr>
                <w:rFonts w:ascii="Lato" w:hAnsi="Lato"/>
                <w:b/>
                <w:sz w:val="22"/>
                <w:szCs w:val="22"/>
              </w:rPr>
            </w:pPr>
          </w:p>
        </w:tc>
        <w:tc>
          <w:tcPr>
            <w:tcW w:w="5891" w:type="dxa"/>
          </w:tcPr>
          <w:p w14:paraId="05F72CB5" w14:textId="77777777" w:rsidR="00AC48D2" w:rsidRPr="00CB1714" w:rsidRDefault="000B0B07">
            <w:pPr>
              <w:rPr>
                <w:rFonts w:ascii="Lato" w:hAnsi="Lato"/>
                <w:sz w:val="22"/>
                <w:szCs w:val="22"/>
              </w:rPr>
            </w:pPr>
            <w:r w:rsidRPr="00F72ED7">
              <w:rPr>
                <w:rFonts w:ascii="Lato" w:hAnsi="Lato"/>
                <w:sz w:val="22"/>
                <w:szCs w:val="22"/>
              </w:rPr>
              <w:t xml:space="preserve">market fund is capable of </w:t>
            </w:r>
            <w:r w:rsidR="00AC48D2" w:rsidRPr="00CB1714">
              <w:rPr>
                <w:rFonts w:ascii="Lato" w:hAnsi="Lato"/>
                <w:sz w:val="22"/>
                <w:szCs w:val="22"/>
              </w:rPr>
              <w:t>fluctuation</w:t>
            </w:r>
          </w:p>
        </w:tc>
        <w:tc>
          <w:tcPr>
            <w:tcW w:w="3188" w:type="dxa"/>
          </w:tcPr>
          <w:p w14:paraId="767ADBAA" w14:textId="77777777" w:rsidR="00AC48D2" w:rsidRPr="00CB1714" w:rsidRDefault="00AC48D2">
            <w:pPr>
              <w:rPr>
                <w:rFonts w:ascii="Lato" w:hAnsi="Lato"/>
                <w:b/>
                <w:bCs/>
                <w:sz w:val="22"/>
                <w:szCs w:val="22"/>
                <w:u w:val="single"/>
              </w:rPr>
            </w:pPr>
          </w:p>
        </w:tc>
      </w:tr>
      <w:tr w:rsidR="00AC48D2" w:rsidRPr="00CB1714" w14:paraId="04A68519" w14:textId="77777777" w:rsidTr="00990D73">
        <w:trPr>
          <w:trHeight w:val="156"/>
        </w:trPr>
        <w:tc>
          <w:tcPr>
            <w:tcW w:w="1316" w:type="dxa"/>
          </w:tcPr>
          <w:p w14:paraId="4CED7B0C" w14:textId="77777777" w:rsidR="00AC48D2" w:rsidRPr="00CB1714" w:rsidRDefault="00AC48D2" w:rsidP="00A75241">
            <w:pPr>
              <w:rPr>
                <w:rFonts w:ascii="Lato" w:hAnsi="Lato"/>
                <w:b/>
                <w:sz w:val="22"/>
                <w:szCs w:val="22"/>
              </w:rPr>
            </w:pPr>
          </w:p>
        </w:tc>
        <w:tc>
          <w:tcPr>
            <w:tcW w:w="5891" w:type="dxa"/>
          </w:tcPr>
          <w:p w14:paraId="4D966169" w14:textId="77777777" w:rsidR="00AC48D2" w:rsidRPr="00CB1714" w:rsidRDefault="00AC48D2">
            <w:pPr>
              <w:rPr>
                <w:rFonts w:ascii="Lato" w:hAnsi="Lato"/>
                <w:b/>
                <w:sz w:val="22"/>
                <w:szCs w:val="22"/>
              </w:rPr>
            </w:pPr>
          </w:p>
        </w:tc>
        <w:tc>
          <w:tcPr>
            <w:tcW w:w="3188" w:type="dxa"/>
            <w:tcBorders>
              <w:bottom w:val="single" w:sz="4" w:space="0" w:color="auto"/>
            </w:tcBorders>
          </w:tcPr>
          <w:p w14:paraId="1D23E21F" w14:textId="77777777" w:rsidR="00AC48D2" w:rsidRPr="00CB1714" w:rsidRDefault="00AC48D2">
            <w:pPr>
              <w:rPr>
                <w:rFonts w:ascii="Lato" w:hAnsi="Lato"/>
                <w:b/>
                <w:bCs/>
                <w:sz w:val="22"/>
                <w:szCs w:val="22"/>
                <w:u w:val="single"/>
              </w:rPr>
            </w:pPr>
          </w:p>
        </w:tc>
      </w:tr>
      <w:tr w:rsidR="00AC48D2" w:rsidRPr="00CB1714" w14:paraId="2A703A68" w14:textId="77777777" w:rsidTr="00990D73">
        <w:trPr>
          <w:trHeight w:val="156"/>
        </w:trPr>
        <w:tc>
          <w:tcPr>
            <w:tcW w:w="1316" w:type="dxa"/>
          </w:tcPr>
          <w:p w14:paraId="034CCEA7" w14:textId="77777777" w:rsidR="00AC48D2" w:rsidRPr="00CB1714" w:rsidRDefault="00AC48D2" w:rsidP="00A75241">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34A0837B" w14:textId="77777777" w:rsidR="00AC48D2" w:rsidRPr="00CB1714" w:rsidRDefault="00AC48D2">
            <w:pPr>
              <w:rPr>
                <w:rFonts w:ascii="Lato" w:hAnsi="Lato"/>
                <w:b/>
                <w:sz w:val="22"/>
                <w:szCs w:val="22"/>
              </w:rPr>
            </w:pPr>
            <w:r w:rsidRPr="00CB1714">
              <w:rPr>
                <w:rFonts w:ascii="Lato" w:hAnsi="Lato"/>
                <w:sz w:val="22"/>
                <w:szCs w:val="22"/>
              </w:rPr>
              <w:t xml:space="preserve">The fund must have a primary objective of maintaining the   </w:t>
            </w:r>
          </w:p>
        </w:tc>
        <w:tc>
          <w:tcPr>
            <w:tcW w:w="3188" w:type="dxa"/>
            <w:tcBorders>
              <w:top w:val="single" w:sz="4" w:space="0" w:color="auto"/>
              <w:left w:val="single" w:sz="4" w:space="0" w:color="auto"/>
              <w:bottom w:val="single" w:sz="4" w:space="0" w:color="auto"/>
              <w:right w:val="single" w:sz="4" w:space="0" w:color="auto"/>
            </w:tcBorders>
          </w:tcPr>
          <w:p w14:paraId="0CE0E2FA" w14:textId="77777777" w:rsidR="00AC48D2" w:rsidRPr="00CB1714" w:rsidRDefault="00AC48D2">
            <w:pPr>
              <w:rPr>
                <w:rFonts w:ascii="Lato" w:hAnsi="Lato"/>
                <w:b/>
                <w:bCs/>
                <w:sz w:val="22"/>
                <w:szCs w:val="22"/>
                <w:u w:val="single"/>
              </w:rPr>
            </w:pPr>
          </w:p>
        </w:tc>
      </w:tr>
      <w:tr w:rsidR="00AC48D2" w:rsidRPr="00CB1714" w14:paraId="56079809" w14:textId="77777777" w:rsidTr="00990D73">
        <w:trPr>
          <w:trHeight w:val="156"/>
        </w:trPr>
        <w:tc>
          <w:tcPr>
            <w:tcW w:w="1316" w:type="dxa"/>
          </w:tcPr>
          <w:p w14:paraId="2E7D7A5B" w14:textId="77777777" w:rsidR="00AC48D2" w:rsidRPr="00CB1714" w:rsidRDefault="00AC48D2" w:rsidP="00A75241">
            <w:pPr>
              <w:rPr>
                <w:rFonts w:ascii="Lato" w:hAnsi="Lato"/>
                <w:b/>
                <w:sz w:val="22"/>
                <w:szCs w:val="22"/>
              </w:rPr>
            </w:pPr>
          </w:p>
        </w:tc>
        <w:tc>
          <w:tcPr>
            <w:tcW w:w="5891" w:type="dxa"/>
          </w:tcPr>
          <w:p w14:paraId="1ECBAEFB" w14:textId="77777777" w:rsidR="00AC48D2" w:rsidRPr="00CB1714" w:rsidRDefault="00AC48D2" w:rsidP="00246424">
            <w:pPr>
              <w:rPr>
                <w:rFonts w:ascii="Lato" w:hAnsi="Lato"/>
                <w:b/>
                <w:sz w:val="22"/>
                <w:szCs w:val="22"/>
              </w:rPr>
            </w:pPr>
            <w:r w:rsidRPr="00CB1714">
              <w:rPr>
                <w:rFonts w:ascii="Lato" w:hAnsi="Lato"/>
                <w:sz w:val="22"/>
                <w:szCs w:val="22"/>
              </w:rPr>
              <w:t xml:space="preserve">principal of the fund and aim to provide a return in line with </w:t>
            </w:r>
          </w:p>
        </w:tc>
        <w:tc>
          <w:tcPr>
            <w:tcW w:w="3188" w:type="dxa"/>
            <w:tcBorders>
              <w:top w:val="single" w:sz="4" w:space="0" w:color="auto"/>
            </w:tcBorders>
          </w:tcPr>
          <w:p w14:paraId="07049653" w14:textId="77777777" w:rsidR="00AC48D2" w:rsidRPr="00CB1714" w:rsidRDefault="00AC48D2">
            <w:pPr>
              <w:rPr>
                <w:rFonts w:ascii="Lato" w:hAnsi="Lato"/>
                <w:b/>
                <w:bCs/>
                <w:sz w:val="22"/>
                <w:szCs w:val="22"/>
                <w:u w:val="single"/>
              </w:rPr>
            </w:pPr>
          </w:p>
        </w:tc>
      </w:tr>
      <w:tr w:rsidR="00AC48D2" w:rsidRPr="00CB1714" w14:paraId="3ACE3AC7" w14:textId="77777777" w:rsidTr="00990D73">
        <w:trPr>
          <w:trHeight w:val="156"/>
        </w:trPr>
        <w:tc>
          <w:tcPr>
            <w:tcW w:w="1316" w:type="dxa"/>
          </w:tcPr>
          <w:p w14:paraId="7C607FB6" w14:textId="77777777" w:rsidR="00AC48D2" w:rsidRPr="00CB1714" w:rsidRDefault="00AC48D2" w:rsidP="00A75241">
            <w:pPr>
              <w:rPr>
                <w:rFonts w:ascii="Lato" w:hAnsi="Lato"/>
                <w:b/>
                <w:sz w:val="22"/>
                <w:szCs w:val="22"/>
              </w:rPr>
            </w:pPr>
          </w:p>
        </w:tc>
        <w:tc>
          <w:tcPr>
            <w:tcW w:w="5891" w:type="dxa"/>
          </w:tcPr>
          <w:p w14:paraId="1D105F48" w14:textId="77777777" w:rsidR="00AC48D2" w:rsidRPr="00CB1714" w:rsidRDefault="00AC48D2">
            <w:pPr>
              <w:rPr>
                <w:rFonts w:ascii="Lato" w:hAnsi="Lato"/>
                <w:b/>
                <w:sz w:val="22"/>
                <w:szCs w:val="22"/>
              </w:rPr>
            </w:pPr>
            <w:r w:rsidRPr="00CB1714">
              <w:rPr>
                <w:rFonts w:ascii="Lato" w:hAnsi="Lato"/>
                <w:sz w:val="22"/>
                <w:szCs w:val="22"/>
              </w:rPr>
              <w:t>money market rates</w:t>
            </w:r>
          </w:p>
        </w:tc>
        <w:tc>
          <w:tcPr>
            <w:tcW w:w="3188" w:type="dxa"/>
          </w:tcPr>
          <w:p w14:paraId="182411DE" w14:textId="77777777" w:rsidR="00AC48D2" w:rsidRPr="00CB1714" w:rsidRDefault="00AC48D2">
            <w:pPr>
              <w:rPr>
                <w:rFonts w:ascii="Lato" w:hAnsi="Lato"/>
                <w:b/>
                <w:bCs/>
                <w:sz w:val="22"/>
                <w:szCs w:val="22"/>
                <w:u w:val="single"/>
              </w:rPr>
            </w:pPr>
          </w:p>
        </w:tc>
      </w:tr>
      <w:tr w:rsidR="00AC48D2" w:rsidRPr="00CB1714" w14:paraId="43239F76" w14:textId="77777777" w:rsidTr="00990D73">
        <w:trPr>
          <w:trHeight w:val="156"/>
        </w:trPr>
        <w:tc>
          <w:tcPr>
            <w:tcW w:w="1316" w:type="dxa"/>
          </w:tcPr>
          <w:p w14:paraId="14B1C8ED" w14:textId="77777777" w:rsidR="00AC48D2" w:rsidRPr="00CB1714" w:rsidRDefault="00AC48D2" w:rsidP="00A75241">
            <w:pPr>
              <w:rPr>
                <w:rFonts w:ascii="Lato" w:hAnsi="Lato"/>
                <w:b/>
                <w:sz w:val="22"/>
                <w:szCs w:val="22"/>
              </w:rPr>
            </w:pPr>
          </w:p>
        </w:tc>
        <w:tc>
          <w:tcPr>
            <w:tcW w:w="5891" w:type="dxa"/>
          </w:tcPr>
          <w:p w14:paraId="0375DD68" w14:textId="77777777" w:rsidR="00AC48D2" w:rsidRPr="00CB1714" w:rsidRDefault="00AC48D2">
            <w:pPr>
              <w:rPr>
                <w:rFonts w:ascii="Lato" w:hAnsi="Lato"/>
                <w:b/>
                <w:sz w:val="22"/>
                <w:szCs w:val="22"/>
              </w:rPr>
            </w:pPr>
          </w:p>
        </w:tc>
        <w:tc>
          <w:tcPr>
            <w:tcW w:w="3188" w:type="dxa"/>
            <w:tcBorders>
              <w:bottom w:val="single" w:sz="4" w:space="0" w:color="auto"/>
            </w:tcBorders>
          </w:tcPr>
          <w:p w14:paraId="5BBB7FD3" w14:textId="77777777" w:rsidR="00AC48D2" w:rsidRPr="00CB1714" w:rsidRDefault="00AC48D2">
            <w:pPr>
              <w:rPr>
                <w:rFonts w:ascii="Lato" w:hAnsi="Lato"/>
                <w:b/>
                <w:bCs/>
                <w:sz w:val="22"/>
                <w:szCs w:val="22"/>
                <w:u w:val="single"/>
              </w:rPr>
            </w:pPr>
          </w:p>
        </w:tc>
      </w:tr>
      <w:tr w:rsidR="00AC48D2" w:rsidRPr="00CB1714" w14:paraId="22028920" w14:textId="77777777" w:rsidTr="00990D73">
        <w:trPr>
          <w:trHeight w:val="156"/>
        </w:trPr>
        <w:tc>
          <w:tcPr>
            <w:tcW w:w="1316" w:type="dxa"/>
          </w:tcPr>
          <w:p w14:paraId="48A95B97" w14:textId="77777777" w:rsidR="00AC48D2" w:rsidRPr="00CB1714" w:rsidRDefault="00AC48D2" w:rsidP="00A75241">
            <w:pPr>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242B9503" w14:textId="77777777" w:rsidR="00AC48D2" w:rsidRPr="00CB1714" w:rsidRDefault="00AC48D2" w:rsidP="001858A6">
            <w:pPr>
              <w:rPr>
                <w:rFonts w:ascii="Lato" w:hAnsi="Lato"/>
                <w:b/>
                <w:sz w:val="22"/>
                <w:szCs w:val="22"/>
              </w:rPr>
            </w:pPr>
            <w:r w:rsidRPr="00CB1714">
              <w:rPr>
                <w:rFonts w:ascii="Lato" w:hAnsi="Lato"/>
                <w:sz w:val="22"/>
                <w:szCs w:val="22"/>
              </w:rPr>
              <w:t xml:space="preserve">If investment in other investment </w:t>
            </w:r>
            <w:r w:rsidR="001858A6" w:rsidRPr="00CB1714">
              <w:rPr>
                <w:rFonts w:ascii="Lato" w:hAnsi="Lato"/>
                <w:sz w:val="22"/>
                <w:szCs w:val="22"/>
              </w:rPr>
              <w:t>funds</w:t>
            </w:r>
            <w:r w:rsidRPr="00CB1714">
              <w:rPr>
                <w:rFonts w:ascii="Lato" w:hAnsi="Lato"/>
                <w:sz w:val="22"/>
                <w:szCs w:val="22"/>
              </w:rPr>
              <w:t xml:space="preserve"> by the</w:t>
            </w:r>
          </w:p>
        </w:tc>
        <w:tc>
          <w:tcPr>
            <w:tcW w:w="3188" w:type="dxa"/>
            <w:tcBorders>
              <w:top w:val="single" w:sz="4" w:space="0" w:color="auto"/>
              <w:left w:val="single" w:sz="4" w:space="0" w:color="auto"/>
              <w:bottom w:val="single" w:sz="4" w:space="0" w:color="auto"/>
              <w:right w:val="single" w:sz="4" w:space="0" w:color="auto"/>
            </w:tcBorders>
          </w:tcPr>
          <w:p w14:paraId="37004FCF" w14:textId="77777777" w:rsidR="00AC48D2" w:rsidRPr="00CB1714" w:rsidRDefault="00AC48D2">
            <w:pPr>
              <w:rPr>
                <w:rFonts w:ascii="Lato" w:hAnsi="Lato"/>
                <w:b/>
                <w:bCs/>
                <w:sz w:val="22"/>
                <w:szCs w:val="22"/>
                <w:u w:val="single"/>
              </w:rPr>
            </w:pPr>
          </w:p>
        </w:tc>
      </w:tr>
      <w:tr w:rsidR="00AC48D2" w:rsidRPr="00CB1714" w14:paraId="0EAB71F4" w14:textId="77777777" w:rsidTr="00990D73">
        <w:trPr>
          <w:trHeight w:val="156"/>
        </w:trPr>
        <w:tc>
          <w:tcPr>
            <w:tcW w:w="1316" w:type="dxa"/>
          </w:tcPr>
          <w:p w14:paraId="56534AB2" w14:textId="77777777" w:rsidR="00AC48D2" w:rsidRPr="00CB1714" w:rsidRDefault="00AC48D2" w:rsidP="00A75241">
            <w:pPr>
              <w:rPr>
                <w:rFonts w:ascii="Lato" w:hAnsi="Lato"/>
                <w:sz w:val="22"/>
                <w:szCs w:val="22"/>
              </w:rPr>
            </w:pPr>
          </w:p>
        </w:tc>
        <w:tc>
          <w:tcPr>
            <w:tcW w:w="5891" w:type="dxa"/>
          </w:tcPr>
          <w:p w14:paraId="54655FBC" w14:textId="77777777" w:rsidR="00AC48D2" w:rsidRPr="00CB1714" w:rsidRDefault="00AC48D2" w:rsidP="00CB1714">
            <w:pPr>
              <w:rPr>
                <w:rFonts w:ascii="Lato" w:hAnsi="Lato"/>
                <w:b/>
                <w:sz w:val="22"/>
                <w:szCs w:val="22"/>
              </w:rPr>
            </w:pPr>
            <w:r w:rsidRPr="00CB1714">
              <w:rPr>
                <w:rFonts w:ascii="Lato" w:hAnsi="Lato"/>
                <w:sz w:val="22"/>
                <w:szCs w:val="22"/>
              </w:rPr>
              <w:t xml:space="preserve">Money Market Fund is permitted provide that these are </w:t>
            </w:r>
          </w:p>
        </w:tc>
        <w:tc>
          <w:tcPr>
            <w:tcW w:w="3188" w:type="dxa"/>
            <w:tcBorders>
              <w:top w:val="single" w:sz="4" w:space="0" w:color="auto"/>
            </w:tcBorders>
          </w:tcPr>
          <w:p w14:paraId="50169DAA" w14:textId="77777777" w:rsidR="00AC48D2" w:rsidRPr="00CB1714" w:rsidRDefault="00AC48D2">
            <w:pPr>
              <w:rPr>
                <w:rFonts w:ascii="Lato" w:hAnsi="Lato"/>
                <w:b/>
                <w:bCs/>
                <w:sz w:val="22"/>
                <w:szCs w:val="22"/>
                <w:u w:val="single"/>
              </w:rPr>
            </w:pPr>
          </w:p>
        </w:tc>
      </w:tr>
      <w:tr w:rsidR="00AC48D2" w:rsidRPr="00CB1714" w14:paraId="252C3AC6" w14:textId="77777777" w:rsidTr="00990D73">
        <w:trPr>
          <w:trHeight w:val="156"/>
        </w:trPr>
        <w:tc>
          <w:tcPr>
            <w:tcW w:w="1316" w:type="dxa"/>
          </w:tcPr>
          <w:p w14:paraId="623F6665" w14:textId="77777777" w:rsidR="00AC48D2" w:rsidRPr="00CB1714" w:rsidRDefault="00AC48D2" w:rsidP="00A75241">
            <w:pPr>
              <w:rPr>
                <w:rFonts w:ascii="Lato" w:hAnsi="Lato"/>
                <w:sz w:val="22"/>
                <w:szCs w:val="22"/>
              </w:rPr>
            </w:pPr>
          </w:p>
        </w:tc>
        <w:tc>
          <w:tcPr>
            <w:tcW w:w="5891" w:type="dxa"/>
          </w:tcPr>
          <w:p w14:paraId="354818D8" w14:textId="77777777" w:rsidR="00AC48D2" w:rsidRPr="00CB1714" w:rsidRDefault="000B0B07">
            <w:pPr>
              <w:rPr>
                <w:rFonts w:ascii="Lato" w:hAnsi="Lato"/>
                <w:b/>
                <w:sz w:val="22"/>
                <w:szCs w:val="22"/>
              </w:rPr>
            </w:pPr>
            <w:r w:rsidRPr="00F72ED7">
              <w:rPr>
                <w:rFonts w:ascii="Lato" w:hAnsi="Lato"/>
                <w:sz w:val="22"/>
                <w:szCs w:val="22"/>
              </w:rPr>
              <w:t>Short-</w:t>
            </w:r>
            <w:r w:rsidR="00AC48D2" w:rsidRPr="00CB1714">
              <w:rPr>
                <w:rFonts w:ascii="Lato" w:hAnsi="Lato"/>
                <w:sz w:val="22"/>
                <w:szCs w:val="22"/>
              </w:rPr>
              <w:t>Term Money Market Funds or Money Market Funds</w:t>
            </w:r>
          </w:p>
        </w:tc>
        <w:tc>
          <w:tcPr>
            <w:tcW w:w="3188" w:type="dxa"/>
          </w:tcPr>
          <w:p w14:paraId="29EDDC61" w14:textId="77777777" w:rsidR="00AC48D2" w:rsidRPr="00CB1714" w:rsidRDefault="00AC48D2">
            <w:pPr>
              <w:rPr>
                <w:rFonts w:ascii="Lato" w:hAnsi="Lato"/>
                <w:b/>
                <w:bCs/>
                <w:sz w:val="22"/>
                <w:szCs w:val="22"/>
                <w:u w:val="single"/>
              </w:rPr>
            </w:pPr>
          </w:p>
        </w:tc>
      </w:tr>
      <w:tr w:rsidR="00AC48D2" w:rsidRPr="00CB1714" w14:paraId="158DED08" w14:textId="77777777" w:rsidTr="00990D73">
        <w:trPr>
          <w:trHeight w:val="156"/>
        </w:trPr>
        <w:tc>
          <w:tcPr>
            <w:tcW w:w="1316" w:type="dxa"/>
          </w:tcPr>
          <w:p w14:paraId="2CD786FC" w14:textId="77777777" w:rsidR="00AC48D2" w:rsidRPr="00CB1714" w:rsidRDefault="00AC48D2" w:rsidP="00A75241">
            <w:pPr>
              <w:rPr>
                <w:rFonts w:ascii="Lato" w:hAnsi="Lato"/>
                <w:sz w:val="22"/>
                <w:szCs w:val="22"/>
              </w:rPr>
            </w:pPr>
          </w:p>
        </w:tc>
        <w:tc>
          <w:tcPr>
            <w:tcW w:w="5891" w:type="dxa"/>
          </w:tcPr>
          <w:p w14:paraId="63624F35" w14:textId="77777777" w:rsidR="00AC48D2" w:rsidRPr="00CB1714" w:rsidRDefault="00AC48D2">
            <w:pPr>
              <w:rPr>
                <w:rFonts w:ascii="Lato" w:hAnsi="Lato"/>
                <w:b/>
                <w:sz w:val="22"/>
                <w:szCs w:val="22"/>
              </w:rPr>
            </w:pPr>
          </w:p>
        </w:tc>
        <w:tc>
          <w:tcPr>
            <w:tcW w:w="3188" w:type="dxa"/>
            <w:tcBorders>
              <w:bottom w:val="single" w:sz="4" w:space="0" w:color="auto"/>
            </w:tcBorders>
          </w:tcPr>
          <w:p w14:paraId="4D85800A" w14:textId="77777777" w:rsidR="00AC48D2" w:rsidRPr="00CB1714" w:rsidRDefault="00AC48D2">
            <w:pPr>
              <w:rPr>
                <w:rFonts w:ascii="Lato" w:hAnsi="Lato"/>
                <w:b/>
                <w:bCs/>
                <w:sz w:val="22"/>
                <w:szCs w:val="22"/>
                <w:u w:val="single"/>
              </w:rPr>
            </w:pPr>
          </w:p>
        </w:tc>
      </w:tr>
      <w:tr w:rsidR="00AC48D2" w:rsidRPr="00CB1714" w14:paraId="513E284B" w14:textId="77777777" w:rsidTr="00990D73">
        <w:trPr>
          <w:trHeight w:val="156"/>
        </w:trPr>
        <w:tc>
          <w:tcPr>
            <w:tcW w:w="1316" w:type="dxa"/>
          </w:tcPr>
          <w:p w14:paraId="00CB06E1" w14:textId="77777777" w:rsidR="00AC48D2" w:rsidRPr="00CB1714" w:rsidRDefault="00AC48D2" w:rsidP="00A75241">
            <w:pPr>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07D39758" w14:textId="77777777" w:rsidR="00AC48D2" w:rsidRPr="00CB1714" w:rsidRDefault="00AC48D2" w:rsidP="00CB1714">
            <w:pPr>
              <w:rPr>
                <w:rFonts w:ascii="Lato" w:hAnsi="Lato"/>
                <w:b/>
                <w:sz w:val="22"/>
                <w:szCs w:val="22"/>
              </w:rPr>
            </w:pPr>
            <w:r w:rsidRPr="00CB1714">
              <w:rPr>
                <w:rFonts w:ascii="Lato" w:hAnsi="Lato"/>
                <w:sz w:val="22"/>
                <w:szCs w:val="22"/>
              </w:rPr>
              <w:t xml:space="preserve">Provide appropriate information to investors on the risk </w:t>
            </w:r>
          </w:p>
        </w:tc>
        <w:tc>
          <w:tcPr>
            <w:tcW w:w="3188" w:type="dxa"/>
            <w:tcBorders>
              <w:top w:val="single" w:sz="4" w:space="0" w:color="auto"/>
              <w:left w:val="single" w:sz="4" w:space="0" w:color="auto"/>
              <w:bottom w:val="single" w:sz="4" w:space="0" w:color="auto"/>
              <w:right w:val="single" w:sz="4" w:space="0" w:color="auto"/>
            </w:tcBorders>
          </w:tcPr>
          <w:p w14:paraId="5B61C7E3" w14:textId="77777777" w:rsidR="00AC48D2" w:rsidRPr="00CB1714" w:rsidRDefault="00AC48D2">
            <w:pPr>
              <w:rPr>
                <w:rFonts w:ascii="Lato" w:hAnsi="Lato"/>
                <w:b/>
                <w:bCs/>
                <w:sz w:val="22"/>
                <w:szCs w:val="22"/>
                <w:u w:val="single"/>
              </w:rPr>
            </w:pPr>
          </w:p>
        </w:tc>
      </w:tr>
      <w:tr w:rsidR="00AC48D2" w:rsidRPr="00CB1714" w14:paraId="7C50E5CB" w14:textId="77777777" w:rsidTr="00990D73">
        <w:trPr>
          <w:trHeight w:val="156"/>
        </w:trPr>
        <w:tc>
          <w:tcPr>
            <w:tcW w:w="1316" w:type="dxa"/>
          </w:tcPr>
          <w:p w14:paraId="589C98B7" w14:textId="77777777" w:rsidR="00AC48D2" w:rsidRPr="00CB1714" w:rsidRDefault="00AC48D2" w:rsidP="00A75241">
            <w:pPr>
              <w:rPr>
                <w:rFonts w:ascii="Lato" w:hAnsi="Lato"/>
                <w:sz w:val="22"/>
                <w:szCs w:val="22"/>
              </w:rPr>
            </w:pPr>
          </w:p>
        </w:tc>
        <w:tc>
          <w:tcPr>
            <w:tcW w:w="5891" w:type="dxa"/>
          </w:tcPr>
          <w:p w14:paraId="0A9B8BA9" w14:textId="77777777" w:rsidR="00AC48D2" w:rsidRPr="00CB1714" w:rsidRDefault="000B0B07" w:rsidP="00CB1714">
            <w:pPr>
              <w:rPr>
                <w:rFonts w:ascii="Lato" w:hAnsi="Lato"/>
                <w:b/>
                <w:sz w:val="22"/>
                <w:szCs w:val="22"/>
              </w:rPr>
            </w:pPr>
            <w:r w:rsidRPr="00F72ED7">
              <w:rPr>
                <w:rFonts w:ascii="Lato" w:hAnsi="Lato"/>
                <w:sz w:val="22"/>
                <w:szCs w:val="22"/>
              </w:rPr>
              <w:t>and</w:t>
            </w:r>
            <w:r w:rsidRPr="00CB1714">
              <w:rPr>
                <w:rFonts w:ascii="Lato" w:hAnsi="Lato"/>
                <w:sz w:val="22"/>
                <w:szCs w:val="22"/>
              </w:rPr>
              <w:t xml:space="preserve"> </w:t>
            </w:r>
            <w:r w:rsidR="00AC48D2" w:rsidRPr="00CB1714">
              <w:rPr>
                <w:rFonts w:ascii="Lato" w:hAnsi="Lato"/>
                <w:sz w:val="22"/>
                <w:szCs w:val="22"/>
              </w:rPr>
              <w:t xml:space="preserve">reward profile of the fund so as to enable investors </w:t>
            </w:r>
          </w:p>
        </w:tc>
        <w:tc>
          <w:tcPr>
            <w:tcW w:w="3188" w:type="dxa"/>
            <w:tcBorders>
              <w:top w:val="single" w:sz="4" w:space="0" w:color="auto"/>
            </w:tcBorders>
          </w:tcPr>
          <w:p w14:paraId="0C498A72" w14:textId="77777777" w:rsidR="00AC48D2" w:rsidRPr="00CB1714" w:rsidRDefault="00AC48D2">
            <w:pPr>
              <w:rPr>
                <w:rFonts w:ascii="Lato" w:hAnsi="Lato"/>
                <w:b/>
                <w:bCs/>
                <w:sz w:val="22"/>
                <w:szCs w:val="22"/>
                <w:u w:val="single"/>
              </w:rPr>
            </w:pPr>
          </w:p>
        </w:tc>
      </w:tr>
      <w:tr w:rsidR="00AC48D2" w:rsidRPr="00CB1714" w14:paraId="75396D86" w14:textId="77777777" w:rsidTr="00990D73">
        <w:trPr>
          <w:trHeight w:val="156"/>
        </w:trPr>
        <w:tc>
          <w:tcPr>
            <w:tcW w:w="1316" w:type="dxa"/>
          </w:tcPr>
          <w:p w14:paraId="468C874B" w14:textId="77777777" w:rsidR="00AC48D2" w:rsidRPr="00CB1714" w:rsidRDefault="00AC48D2" w:rsidP="00A75241">
            <w:pPr>
              <w:rPr>
                <w:rFonts w:ascii="Lato" w:hAnsi="Lato"/>
                <w:sz w:val="22"/>
                <w:szCs w:val="22"/>
              </w:rPr>
            </w:pPr>
          </w:p>
        </w:tc>
        <w:tc>
          <w:tcPr>
            <w:tcW w:w="5891" w:type="dxa"/>
          </w:tcPr>
          <w:p w14:paraId="182F2D7A" w14:textId="77777777" w:rsidR="00AC48D2" w:rsidRPr="00CB1714" w:rsidRDefault="000B0B07" w:rsidP="00CB1714">
            <w:pPr>
              <w:rPr>
                <w:rFonts w:ascii="Lato" w:hAnsi="Lato"/>
                <w:b/>
                <w:sz w:val="22"/>
                <w:szCs w:val="22"/>
              </w:rPr>
            </w:pPr>
            <w:r w:rsidRPr="00F72ED7">
              <w:rPr>
                <w:rFonts w:ascii="Lato" w:hAnsi="Lato"/>
                <w:sz w:val="22"/>
                <w:szCs w:val="22"/>
              </w:rPr>
              <w:t>identify any</w:t>
            </w:r>
            <w:r w:rsidRPr="00CB1714">
              <w:rPr>
                <w:rFonts w:ascii="Lato" w:hAnsi="Lato"/>
                <w:sz w:val="22"/>
                <w:szCs w:val="22"/>
              </w:rPr>
              <w:t xml:space="preserve"> </w:t>
            </w:r>
            <w:r w:rsidR="00AC48D2" w:rsidRPr="00CB1714">
              <w:rPr>
                <w:rFonts w:ascii="Lato" w:hAnsi="Lato"/>
                <w:sz w:val="22"/>
                <w:szCs w:val="22"/>
              </w:rPr>
              <w:t xml:space="preserve">specific risks linked to the investment strategy </w:t>
            </w:r>
          </w:p>
        </w:tc>
        <w:tc>
          <w:tcPr>
            <w:tcW w:w="3188" w:type="dxa"/>
          </w:tcPr>
          <w:p w14:paraId="64F06401" w14:textId="77777777" w:rsidR="00AC48D2" w:rsidRPr="00CB1714" w:rsidRDefault="00AC48D2">
            <w:pPr>
              <w:rPr>
                <w:rFonts w:ascii="Lato" w:hAnsi="Lato"/>
                <w:b/>
                <w:bCs/>
                <w:sz w:val="22"/>
                <w:szCs w:val="22"/>
                <w:u w:val="single"/>
              </w:rPr>
            </w:pPr>
          </w:p>
        </w:tc>
      </w:tr>
      <w:tr w:rsidR="00AC48D2" w:rsidRPr="00CB1714" w14:paraId="25DF53E0" w14:textId="77777777" w:rsidTr="00990D73">
        <w:trPr>
          <w:trHeight w:val="156"/>
        </w:trPr>
        <w:tc>
          <w:tcPr>
            <w:tcW w:w="1316" w:type="dxa"/>
          </w:tcPr>
          <w:p w14:paraId="372BB4DA" w14:textId="77777777" w:rsidR="00AC48D2" w:rsidRPr="00CB1714" w:rsidRDefault="00AC48D2" w:rsidP="00A75241">
            <w:pPr>
              <w:rPr>
                <w:rFonts w:ascii="Lato" w:hAnsi="Lato"/>
                <w:sz w:val="22"/>
                <w:szCs w:val="22"/>
              </w:rPr>
            </w:pPr>
          </w:p>
        </w:tc>
        <w:tc>
          <w:tcPr>
            <w:tcW w:w="5891" w:type="dxa"/>
          </w:tcPr>
          <w:p w14:paraId="22C5DCC0" w14:textId="77777777" w:rsidR="00AC48D2" w:rsidRPr="00CB1714" w:rsidRDefault="000B0B07">
            <w:pPr>
              <w:rPr>
                <w:rFonts w:ascii="Lato" w:hAnsi="Lato"/>
                <w:b/>
                <w:sz w:val="22"/>
                <w:szCs w:val="22"/>
              </w:rPr>
            </w:pPr>
            <w:r w:rsidRPr="00F72ED7">
              <w:rPr>
                <w:rFonts w:ascii="Lato" w:hAnsi="Lato"/>
                <w:sz w:val="22"/>
                <w:szCs w:val="22"/>
              </w:rPr>
              <w:t>of the money</w:t>
            </w:r>
            <w:r w:rsidRPr="00CB1714">
              <w:rPr>
                <w:rFonts w:ascii="Lato" w:hAnsi="Lato"/>
                <w:sz w:val="22"/>
                <w:szCs w:val="22"/>
              </w:rPr>
              <w:t xml:space="preserve"> </w:t>
            </w:r>
            <w:r w:rsidR="00AC48D2" w:rsidRPr="00CB1714">
              <w:rPr>
                <w:rFonts w:ascii="Lato" w:hAnsi="Lato"/>
                <w:sz w:val="22"/>
                <w:szCs w:val="22"/>
              </w:rPr>
              <w:t>market fund</w:t>
            </w:r>
          </w:p>
        </w:tc>
        <w:tc>
          <w:tcPr>
            <w:tcW w:w="3188" w:type="dxa"/>
          </w:tcPr>
          <w:p w14:paraId="1BB26527" w14:textId="77777777" w:rsidR="00AC48D2" w:rsidRPr="00CB1714" w:rsidRDefault="00AC48D2">
            <w:pPr>
              <w:rPr>
                <w:rFonts w:ascii="Lato" w:hAnsi="Lato"/>
                <w:b/>
                <w:bCs/>
                <w:sz w:val="22"/>
                <w:szCs w:val="22"/>
                <w:u w:val="single"/>
              </w:rPr>
            </w:pPr>
          </w:p>
        </w:tc>
      </w:tr>
      <w:tr w:rsidR="00AC48D2" w:rsidRPr="00CB1714" w14:paraId="42E000CB" w14:textId="77777777" w:rsidTr="00990D73">
        <w:trPr>
          <w:trHeight w:val="156"/>
        </w:trPr>
        <w:tc>
          <w:tcPr>
            <w:tcW w:w="1316" w:type="dxa"/>
          </w:tcPr>
          <w:p w14:paraId="03A16F87" w14:textId="77777777" w:rsidR="00AC48D2" w:rsidRPr="00CB1714" w:rsidRDefault="00AC48D2" w:rsidP="00A75241">
            <w:pPr>
              <w:rPr>
                <w:rFonts w:ascii="Lato" w:hAnsi="Lato"/>
                <w:sz w:val="22"/>
                <w:szCs w:val="22"/>
              </w:rPr>
            </w:pPr>
          </w:p>
        </w:tc>
        <w:tc>
          <w:tcPr>
            <w:tcW w:w="5891" w:type="dxa"/>
          </w:tcPr>
          <w:p w14:paraId="63403587" w14:textId="77777777" w:rsidR="00AC48D2" w:rsidRPr="00CB1714" w:rsidRDefault="00AC48D2">
            <w:pPr>
              <w:rPr>
                <w:rFonts w:ascii="Lato" w:hAnsi="Lato"/>
                <w:b/>
                <w:sz w:val="22"/>
                <w:szCs w:val="22"/>
              </w:rPr>
            </w:pPr>
            <w:r w:rsidRPr="00CB1714">
              <w:rPr>
                <w:rFonts w:ascii="Lato" w:hAnsi="Lato"/>
                <w:sz w:val="22"/>
                <w:szCs w:val="22"/>
              </w:rPr>
              <w:t>This must take account of the longer WAM and WAL</w:t>
            </w:r>
          </w:p>
        </w:tc>
        <w:tc>
          <w:tcPr>
            <w:tcW w:w="3188" w:type="dxa"/>
          </w:tcPr>
          <w:p w14:paraId="315271AE" w14:textId="77777777" w:rsidR="00AC48D2" w:rsidRPr="00CB1714" w:rsidRDefault="00AC48D2">
            <w:pPr>
              <w:rPr>
                <w:rFonts w:ascii="Lato" w:hAnsi="Lato"/>
                <w:b/>
                <w:bCs/>
                <w:sz w:val="22"/>
                <w:szCs w:val="22"/>
                <w:u w:val="single"/>
              </w:rPr>
            </w:pPr>
          </w:p>
        </w:tc>
      </w:tr>
      <w:tr w:rsidR="00AC48D2" w:rsidRPr="00CB1714" w14:paraId="2B766586" w14:textId="77777777" w:rsidTr="00990D73">
        <w:trPr>
          <w:trHeight w:val="156"/>
        </w:trPr>
        <w:tc>
          <w:tcPr>
            <w:tcW w:w="1316" w:type="dxa"/>
          </w:tcPr>
          <w:p w14:paraId="268B4AC2" w14:textId="77777777" w:rsidR="00AC48D2" w:rsidRPr="00CB1714" w:rsidRDefault="00AC48D2" w:rsidP="00A75241">
            <w:pPr>
              <w:rPr>
                <w:rFonts w:ascii="Lato" w:hAnsi="Lato"/>
                <w:sz w:val="22"/>
                <w:szCs w:val="22"/>
              </w:rPr>
            </w:pPr>
          </w:p>
        </w:tc>
        <w:tc>
          <w:tcPr>
            <w:tcW w:w="5891" w:type="dxa"/>
          </w:tcPr>
          <w:p w14:paraId="48BFB43E" w14:textId="77777777" w:rsidR="00AC48D2" w:rsidRPr="00CB1714" w:rsidRDefault="00AC48D2" w:rsidP="00CB1714">
            <w:pPr>
              <w:rPr>
                <w:rFonts w:ascii="Lato" w:hAnsi="Lato"/>
                <w:b/>
                <w:sz w:val="22"/>
                <w:szCs w:val="22"/>
              </w:rPr>
            </w:pPr>
            <w:r w:rsidRPr="00CB1714">
              <w:rPr>
                <w:rFonts w:ascii="Lato" w:hAnsi="Lato"/>
                <w:sz w:val="22"/>
                <w:szCs w:val="22"/>
              </w:rPr>
              <w:t xml:space="preserve">This must also take into account, where relevant, of </w:t>
            </w:r>
          </w:p>
        </w:tc>
        <w:tc>
          <w:tcPr>
            <w:tcW w:w="3188" w:type="dxa"/>
          </w:tcPr>
          <w:p w14:paraId="7D727819" w14:textId="77777777" w:rsidR="00AC48D2" w:rsidRPr="00CB1714" w:rsidRDefault="00AC48D2">
            <w:pPr>
              <w:rPr>
                <w:rFonts w:ascii="Lato" w:hAnsi="Lato"/>
                <w:b/>
                <w:bCs/>
                <w:sz w:val="22"/>
                <w:szCs w:val="22"/>
                <w:u w:val="single"/>
              </w:rPr>
            </w:pPr>
          </w:p>
        </w:tc>
      </w:tr>
      <w:tr w:rsidR="00AC48D2" w:rsidRPr="00CB1714" w14:paraId="0D5C189C" w14:textId="77777777" w:rsidTr="00990D73">
        <w:trPr>
          <w:trHeight w:val="156"/>
        </w:trPr>
        <w:tc>
          <w:tcPr>
            <w:tcW w:w="1316" w:type="dxa"/>
          </w:tcPr>
          <w:p w14:paraId="782184B1" w14:textId="77777777" w:rsidR="00AC48D2" w:rsidRPr="00CB1714" w:rsidRDefault="00AC48D2" w:rsidP="00A75241">
            <w:pPr>
              <w:rPr>
                <w:rFonts w:ascii="Lato" w:hAnsi="Lato"/>
                <w:sz w:val="22"/>
                <w:szCs w:val="22"/>
              </w:rPr>
            </w:pPr>
          </w:p>
        </w:tc>
        <w:tc>
          <w:tcPr>
            <w:tcW w:w="5891" w:type="dxa"/>
          </w:tcPr>
          <w:p w14:paraId="38EC714A" w14:textId="77777777" w:rsidR="00AC48D2" w:rsidRPr="00CB1714" w:rsidRDefault="000B0B07" w:rsidP="00CB1714">
            <w:pPr>
              <w:rPr>
                <w:rFonts w:ascii="Lato" w:hAnsi="Lato"/>
                <w:b/>
                <w:sz w:val="22"/>
                <w:szCs w:val="22"/>
              </w:rPr>
            </w:pPr>
            <w:r w:rsidRPr="00F72ED7">
              <w:rPr>
                <w:rFonts w:ascii="Lato" w:hAnsi="Lato"/>
                <w:sz w:val="22"/>
                <w:szCs w:val="22"/>
              </w:rPr>
              <w:t>investment</w:t>
            </w:r>
            <w:r w:rsidRPr="00CB1714">
              <w:rPr>
                <w:rFonts w:ascii="Lato" w:hAnsi="Lato"/>
                <w:sz w:val="22"/>
                <w:szCs w:val="22"/>
              </w:rPr>
              <w:t xml:space="preserve"> </w:t>
            </w:r>
            <w:r w:rsidR="00AC48D2" w:rsidRPr="00CB1714">
              <w:rPr>
                <w:rFonts w:ascii="Lato" w:hAnsi="Lato"/>
                <w:sz w:val="22"/>
                <w:szCs w:val="22"/>
              </w:rPr>
              <w:t xml:space="preserve">in new asset classes, financial instruments or </w:t>
            </w:r>
          </w:p>
        </w:tc>
        <w:tc>
          <w:tcPr>
            <w:tcW w:w="3188" w:type="dxa"/>
          </w:tcPr>
          <w:p w14:paraId="61C2E871" w14:textId="77777777" w:rsidR="00AC48D2" w:rsidRPr="00CB1714" w:rsidRDefault="00AC48D2">
            <w:pPr>
              <w:rPr>
                <w:rFonts w:ascii="Lato" w:hAnsi="Lato"/>
                <w:b/>
                <w:bCs/>
                <w:sz w:val="22"/>
                <w:szCs w:val="22"/>
                <w:u w:val="single"/>
              </w:rPr>
            </w:pPr>
          </w:p>
        </w:tc>
      </w:tr>
      <w:tr w:rsidR="00AC48D2" w:rsidRPr="00CB1714" w14:paraId="2C807BD9" w14:textId="77777777" w:rsidTr="0042571B">
        <w:trPr>
          <w:trHeight w:val="156"/>
        </w:trPr>
        <w:tc>
          <w:tcPr>
            <w:tcW w:w="1316" w:type="dxa"/>
          </w:tcPr>
          <w:p w14:paraId="2128DF2E" w14:textId="77777777" w:rsidR="00AC48D2" w:rsidRPr="00CB1714" w:rsidRDefault="00AC48D2" w:rsidP="00A75241">
            <w:pPr>
              <w:rPr>
                <w:rFonts w:ascii="Lato" w:hAnsi="Lato"/>
                <w:sz w:val="22"/>
                <w:szCs w:val="22"/>
              </w:rPr>
            </w:pPr>
          </w:p>
        </w:tc>
        <w:tc>
          <w:tcPr>
            <w:tcW w:w="5891" w:type="dxa"/>
          </w:tcPr>
          <w:p w14:paraId="3806BEA1" w14:textId="77777777" w:rsidR="00AC48D2" w:rsidRPr="00CB1714" w:rsidRDefault="000B0B07" w:rsidP="00EF12D7">
            <w:pPr>
              <w:jc w:val="both"/>
              <w:rPr>
                <w:rFonts w:ascii="Lato" w:hAnsi="Lato"/>
                <w:position w:val="8"/>
                <w:sz w:val="22"/>
                <w:szCs w:val="22"/>
              </w:rPr>
            </w:pPr>
            <w:r w:rsidRPr="00F72ED7">
              <w:rPr>
                <w:rFonts w:ascii="Lato" w:hAnsi="Lato"/>
                <w:sz w:val="22"/>
                <w:szCs w:val="22"/>
              </w:rPr>
              <w:t>investment</w:t>
            </w:r>
            <w:r w:rsidRPr="00CB1714">
              <w:rPr>
                <w:rFonts w:ascii="Lato" w:hAnsi="Lato"/>
                <w:sz w:val="22"/>
                <w:szCs w:val="22"/>
              </w:rPr>
              <w:t xml:space="preserve"> </w:t>
            </w:r>
            <w:r w:rsidR="00AC48D2" w:rsidRPr="00CB1714">
              <w:rPr>
                <w:rFonts w:ascii="Lato" w:hAnsi="Lato"/>
                <w:sz w:val="22"/>
                <w:szCs w:val="22"/>
              </w:rPr>
              <w:t>strategies with unusual risk and reward profiles</w:t>
            </w:r>
          </w:p>
        </w:tc>
        <w:tc>
          <w:tcPr>
            <w:tcW w:w="3188" w:type="dxa"/>
          </w:tcPr>
          <w:p w14:paraId="75CBF4EF" w14:textId="77777777" w:rsidR="00AC48D2" w:rsidRPr="00CB1714" w:rsidRDefault="00AC48D2">
            <w:pPr>
              <w:rPr>
                <w:rFonts w:ascii="Lato" w:hAnsi="Lato"/>
                <w:b/>
                <w:bCs/>
                <w:sz w:val="22"/>
                <w:szCs w:val="22"/>
                <w:u w:val="single"/>
              </w:rPr>
            </w:pPr>
          </w:p>
        </w:tc>
      </w:tr>
      <w:tr w:rsidR="00AC48D2" w:rsidRPr="00CB1714" w14:paraId="526ED965" w14:textId="77777777" w:rsidTr="0042571B">
        <w:trPr>
          <w:trHeight w:val="156"/>
        </w:trPr>
        <w:tc>
          <w:tcPr>
            <w:tcW w:w="1316" w:type="dxa"/>
          </w:tcPr>
          <w:p w14:paraId="581BF398" w14:textId="77777777" w:rsidR="00AC48D2" w:rsidRPr="00CB1714" w:rsidRDefault="00AC48D2" w:rsidP="00A75241">
            <w:pPr>
              <w:rPr>
                <w:rFonts w:ascii="Lato" w:hAnsi="Lato"/>
                <w:sz w:val="22"/>
                <w:szCs w:val="22"/>
              </w:rPr>
            </w:pPr>
          </w:p>
        </w:tc>
        <w:tc>
          <w:tcPr>
            <w:tcW w:w="5891" w:type="dxa"/>
          </w:tcPr>
          <w:p w14:paraId="435CFE29" w14:textId="77777777" w:rsidR="00AC48D2" w:rsidRPr="00CB1714" w:rsidRDefault="00AC48D2" w:rsidP="00EF12D7">
            <w:pPr>
              <w:jc w:val="both"/>
              <w:rPr>
                <w:rFonts w:ascii="Lato" w:hAnsi="Lato"/>
                <w:position w:val="8"/>
                <w:sz w:val="22"/>
                <w:szCs w:val="22"/>
              </w:rPr>
            </w:pPr>
          </w:p>
        </w:tc>
        <w:tc>
          <w:tcPr>
            <w:tcW w:w="3188" w:type="dxa"/>
          </w:tcPr>
          <w:p w14:paraId="618F52F8" w14:textId="77777777" w:rsidR="00AC48D2" w:rsidRPr="00CB1714" w:rsidRDefault="00AC48D2">
            <w:pPr>
              <w:rPr>
                <w:rFonts w:ascii="Lato" w:hAnsi="Lato"/>
                <w:b/>
                <w:bCs/>
                <w:sz w:val="22"/>
                <w:szCs w:val="22"/>
                <w:u w:val="single"/>
              </w:rPr>
            </w:pPr>
          </w:p>
        </w:tc>
      </w:tr>
      <w:tr w:rsidR="00AC48D2" w:rsidRPr="00CB1714" w14:paraId="15265AC8" w14:textId="77777777" w:rsidTr="0042571B">
        <w:trPr>
          <w:trHeight w:val="156"/>
        </w:trPr>
        <w:tc>
          <w:tcPr>
            <w:tcW w:w="1316" w:type="dxa"/>
          </w:tcPr>
          <w:p w14:paraId="0196E7B7" w14:textId="77777777" w:rsidR="00AC48D2" w:rsidRPr="00CB1714" w:rsidRDefault="00AC48D2" w:rsidP="00E876DF">
            <w:pPr>
              <w:rPr>
                <w:rFonts w:ascii="Lato" w:hAnsi="Lato"/>
                <w:b/>
                <w:sz w:val="22"/>
                <w:szCs w:val="22"/>
              </w:rPr>
            </w:pPr>
            <w:r w:rsidRPr="00CB1714">
              <w:rPr>
                <w:rFonts w:ascii="Lato" w:hAnsi="Lato"/>
                <w:b/>
                <w:sz w:val="22"/>
                <w:szCs w:val="22"/>
              </w:rPr>
              <w:t>2.2.</w:t>
            </w:r>
            <w:r w:rsidR="00E876DF" w:rsidRPr="00CB1714">
              <w:rPr>
                <w:rFonts w:ascii="Lato" w:hAnsi="Lato"/>
                <w:b/>
                <w:sz w:val="22"/>
                <w:szCs w:val="22"/>
              </w:rPr>
              <w:t>9</w:t>
            </w:r>
          </w:p>
        </w:tc>
        <w:tc>
          <w:tcPr>
            <w:tcW w:w="5891" w:type="dxa"/>
          </w:tcPr>
          <w:p w14:paraId="1543F9CD" w14:textId="77777777" w:rsidR="00AC48D2" w:rsidRPr="00CB1714" w:rsidRDefault="00AC48D2">
            <w:pPr>
              <w:rPr>
                <w:rFonts w:ascii="Lato" w:hAnsi="Lato"/>
                <w:b/>
                <w:sz w:val="22"/>
                <w:szCs w:val="22"/>
              </w:rPr>
            </w:pPr>
            <w:r w:rsidRPr="00CB1714">
              <w:rPr>
                <w:rFonts w:ascii="Lato" w:hAnsi="Lato"/>
                <w:b/>
                <w:sz w:val="22"/>
                <w:szCs w:val="22"/>
              </w:rPr>
              <w:t>Warehousing</w:t>
            </w:r>
          </w:p>
        </w:tc>
        <w:tc>
          <w:tcPr>
            <w:tcW w:w="3188" w:type="dxa"/>
          </w:tcPr>
          <w:p w14:paraId="6BD2E84A" w14:textId="77777777" w:rsidR="00AC48D2" w:rsidRPr="00CB1714" w:rsidRDefault="00AC48D2">
            <w:pPr>
              <w:rPr>
                <w:rFonts w:ascii="Lato" w:hAnsi="Lato"/>
                <w:b/>
                <w:bCs/>
                <w:sz w:val="22"/>
                <w:szCs w:val="22"/>
                <w:u w:val="single"/>
              </w:rPr>
            </w:pPr>
          </w:p>
        </w:tc>
      </w:tr>
      <w:tr w:rsidR="00AC48D2" w:rsidRPr="00CB1714" w14:paraId="173551C9" w14:textId="77777777" w:rsidTr="00990D73">
        <w:trPr>
          <w:trHeight w:val="156"/>
        </w:trPr>
        <w:tc>
          <w:tcPr>
            <w:tcW w:w="1316" w:type="dxa"/>
          </w:tcPr>
          <w:p w14:paraId="7B755822" w14:textId="77777777" w:rsidR="00AC48D2" w:rsidRPr="00CB1714" w:rsidRDefault="00AC48D2">
            <w:pPr>
              <w:rPr>
                <w:rFonts w:ascii="Lato" w:hAnsi="Lato"/>
                <w:sz w:val="22"/>
                <w:szCs w:val="22"/>
              </w:rPr>
            </w:pPr>
          </w:p>
        </w:tc>
        <w:tc>
          <w:tcPr>
            <w:tcW w:w="5891" w:type="dxa"/>
          </w:tcPr>
          <w:p w14:paraId="5FC31A5E" w14:textId="77777777" w:rsidR="00AC48D2" w:rsidRPr="00CB1714" w:rsidRDefault="00AC48D2">
            <w:pPr>
              <w:rPr>
                <w:rFonts w:ascii="Lato" w:hAnsi="Lato"/>
                <w:sz w:val="22"/>
                <w:szCs w:val="22"/>
              </w:rPr>
            </w:pPr>
            <w:r w:rsidRPr="00CB1714">
              <w:rPr>
                <w:rFonts w:ascii="Lato" w:hAnsi="Lato"/>
                <w:sz w:val="22"/>
                <w:szCs w:val="22"/>
              </w:rPr>
              <w:t>Disclose:</w:t>
            </w:r>
          </w:p>
        </w:tc>
        <w:tc>
          <w:tcPr>
            <w:tcW w:w="3188" w:type="dxa"/>
            <w:tcBorders>
              <w:bottom w:val="single" w:sz="4" w:space="0" w:color="auto"/>
            </w:tcBorders>
          </w:tcPr>
          <w:p w14:paraId="5AD77877" w14:textId="77777777" w:rsidR="00AC48D2" w:rsidRPr="00CB1714" w:rsidRDefault="00AC48D2">
            <w:pPr>
              <w:rPr>
                <w:rFonts w:ascii="Lato" w:hAnsi="Lato"/>
                <w:b/>
                <w:bCs/>
                <w:sz w:val="22"/>
                <w:szCs w:val="22"/>
                <w:u w:val="single"/>
              </w:rPr>
            </w:pPr>
          </w:p>
        </w:tc>
      </w:tr>
      <w:tr w:rsidR="00AC48D2" w:rsidRPr="00CB1714" w14:paraId="5183E029" w14:textId="77777777" w:rsidTr="00990D73">
        <w:trPr>
          <w:trHeight w:val="156"/>
        </w:trPr>
        <w:tc>
          <w:tcPr>
            <w:tcW w:w="1316" w:type="dxa"/>
          </w:tcPr>
          <w:p w14:paraId="738F5CB7" w14:textId="77777777" w:rsidR="00AC48D2" w:rsidRPr="00CB1714" w:rsidRDefault="00AC48D2">
            <w:pPr>
              <w:rPr>
                <w:rFonts w:ascii="Lato" w:hAnsi="Lato"/>
                <w:sz w:val="22"/>
                <w:szCs w:val="22"/>
              </w:rPr>
            </w:pPr>
          </w:p>
        </w:tc>
        <w:tc>
          <w:tcPr>
            <w:tcW w:w="5891" w:type="dxa"/>
            <w:tcBorders>
              <w:right w:val="single" w:sz="4" w:space="0" w:color="auto"/>
            </w:tcBorders>
          </w:tcPr>
          <w:p w14:paraId="5DE4CA5F" w14:textId="77777777" w:rsidR="00AC48D2" w:rsidRPr="00CB1714" w:rsidRDefault="00AC48D2" w:rsidP="0042571B">
            <w:pPr>
              <w:rPr>
                <w:rFonts w:ascii="Lato" w:hAnsi="Lato"/>
                <w:sz w:val="22"/>
                <w:szCs w:val="22"/>
              </w:rPr>
            </w:pPr>
            <w:r w:rsidRPr="00CB1714">
              <w:rPr>
                <w:rFonts w:ascii="Lato" w:hAnsi="Lato"/>
                <w:sz w:val="22"/>
                <w:szCs w:val="22"/>
              </w:rPr>
              <w:t xml:space="preserve">a) </w:t>
            </w:r>
            <w:r w:rsidR="00187F1D" w:rsidRPr="00CB1714">
              <w:rPr>
                <w:rFonts w:ascii="Lato" w:hAnsi="Lato"/>
                <w:sz w:val="22"/>
                <w:szCs w:val="22"/>
              </w:rPr>
              <w:t>that the Qualifying Investor AIF shall only</w:t>
            </w:r>
            <w:r w:rsidRPr="00CB1714">
              <w:rPr>
                <w:rFonts w:ascii="Lato" w:hAnsi="Lato"/>
                <w:sz w:val="22"/>
                <w:szCs w:val="22"/>
              </w:rPr>
              <w:t xml:space="preserve"> acquire assets </w:t>
            </w:r>
          </w:p>
        </w:tc>
        <w:tc>
          <w:tcPr>
            <w:tcW w:w="3188" w:type="dxa"/>
            <w:tcBorders>
              <w:top w:val="single" w:sz="4" w:space="0" w:color="auto"/>
              <w:left w:val="single" w:sz="4" w:space="0" w:color="auto"/>
              <w:bottom w:val="single" w:sz="4" w:space="0" w:color="auto"/>
              <w:right w:val="single" w:sz="4" w:space="0" w:color="auto"/>
            </w:tcBorders>
          </w:tcPr>
          <w:p w14:paraId="2D347BF3" w14:textId="77777777" w:rsidR="00AC48D2" w:rsidRPr="00CB1714" w:rsidRDefault="00AC48D2">
            <w:pPr>
              <w:rPr>
                <w:rFonts w:ascii="Lato" w:hAnsi="Lato"/>
                <w:b/>
                <w:bCs/>
                <w:sz w:val="22"/>
                <w:szCs w:val="22"/>
                <w:u w:val="single"/>
              </w:rPr>
            </w:pPr>
          </w:p>
        </w:tc>
      </w:tr>
      <w:tr w:rsidR="00AC48D2" w:rsidRPr="00CB1714" w14:paraId="79AA03D5" w14:textId="77777777" w:rsidTr="0042571B">
        <w:trPr>
          <w:trHeight w:val="156"/>
        </w:trPr>
        <w:tc>
          <w:tcPr>
            <w:tcW w:w="1316" w:type="dxa"/>
          </w:tcPr>
          <w:p w14:paraId="4B3B584A" w14:textId="77777777" w:rsidR="00AC48D2" w:rsidRPr="00CB1714" w:rsidRDefault="00AC48D2">
            <w:pPr>
              <w:rPr>
                <w:rFonts w:ascii="Lato" w:hAnsi="Lato"/>
                <w:sz w:val="22"/>
                <w:szCs w:val="22"/>
              </w:rPr>
            </w:pPr>
          </w:p>
        </w:tc>
        <w:tc>
          <w:tcPr>
            <w:tcW w:w="5891" w:type="dxa"/>
          </w:tcPr>
          <w:p w14:paraId="3EB6EF17" w14:textId="77777777" w:rsidR="00187F1D" w:rsidRPr="00CB1714" w:rsidRDefault="0042571B" w:rsidP="0042571B">
            <w:pPr>
              <w:rPr>
                <w:rFonts w:ascii="Lato" w:hAnsi="Lato"/>
                <w:sz w:val="22"/>
                <w:szCs w:val="22"/>
              </w:rPr>
            </w:pPr>
            <w:r w:rsidRPr="00CB1714">
              <w:rPr>
                <w:rFonts w:ascii="Lato" w:hAnsi="Lato"/>
                <w:sz w:val="22"/>
                <w:szCs w:val="22"/>
              </w:rPr>
              <w:t>pursuant to a warehousing a</w:t>
            </w:r>
            <w:r w:rsidR="00AC48D2" w:rsidRPr="00CB1714">
              <w:rPr>
                <w:rFonts w:ascii="Lato" w:hAnsi="Lato"/>
                <w:sz w:val="22"/>
                <w:szCs w:val="22"/>
              </w:rPr>
              <w:t>rrangement</w:t>
            </w:r>
          </w:p>
        </w:tc>
        <w:tc>
          <w:tcPr>
            <w:tcW w:w="3188" w:type="dxa"/>
            <w:tcBorders>
              <w:top w:val="single" w:sz="4" w:space="0" w:color="auto"/>
              <w:bottom w:val="single" w:sz="4" w:space="0" w:color="auto"/>
            </w:tcBorders>
          </w:tcPr>
          <w:p w14:paraId="0AFF27E4" w14:textId="77777777" w:rsidR="00AC48D2" w:rsidRPr="00CB1714" w:rsidRDefault="00AC48D2">
            <w:pPr>
              <w:rPr>
                <w:rFonts w:ascii="Lato" w:hAnsi="Lato"/>
                <w:b/>
                <w:bCs/>
                <w:sz w:val="22"/>
                <w:szCs w:val="22"/>
                <w:u w:val="single"/>
              </w:rPr>
            </w:pPr>
          </w:p>
        </w:tc>
      </w:tr>
      <w:tr w:rsidR="0042571B" w:rsidRPr="00CB1714" w14:paraId="090D4956" w14:textId="77777777" w:rsidTr="0042571B">
        <w:trPr>
          <w:trHeight w:val="156"/>
        </w:trPr>
        <w:tc>
          <w:tcPr>
            <w:tcW w:w="1316" w:type="dxa"/>
          </w:tcPr>
          <w:p w14:paraId="0A61F074" w14:textId="77777777" w:rsidR="0042571B" w:rsidRPr="00CB1714" w:rsidRDefault="0042571B">
            <w:pPr>
              <w:rPr>
                <w:rFonts w:ascii="Lato" w:hAnsi="Lato"/>
                <w:sz w:val="22"/>
                <w:szCs w:val="22"/>
              </w:rPr>
            </w:pPr>
          </w:p>
        </w:tc>
        <w:tc>
          <w:tcPr>
            <w:tcW w:w="5891" w:type="dxa"/>
            <w:tcBorders>
              <w:right w:val="single" w:sz="4" w:space="0" w:color="auto"/>
            </w:tcBorders>
          </w:tcPr>
          <w:p w14:paraId="6A523F2C" w14:textId="77777777" w:rsidR="0042571B" w:rsidRPr="00CB1714" w:rsidRDefault="0042571B">
            <w:pPr>
              <w:rPr>
                <w:rFonts w:ascii="Lato" w:hAnsi="Lato"/>
                <w:sz w:val="22"/>
                <w:szCs w:val="22"/>
              </w:rPr>
            </w:pPr>
            <w:r w:rsidRPr="00CB1714">
              <w:rPr>
                <w:rFonts w:ascii="Lato" w:hAnsi="Lato"/>
                <w:sz w:val="22"/>
                <w:szCs w:val="22"/>
              </w:rPr>
              <w:t>b) the use of such arrangements</w:t>
            </w:r>
          </w:p>
        </w:tc>
        <w:tc>
          <w:tcPr>
            <w:tcW w:w="3188" w:type="dxa"/>
            <w:tcBorders>
              <w:top w:val="single" w:sz="4" w:space="0" w:color="auto"/>
              <w:left w:val="single" w:sz="4" w:space="0" w:color="auto"/>
              <w:bottom w:val="single" w:sz="4" w:space="0" w:color="auto"/>
              <w:right w:val="single" w:sz="4" w:space="0" w:color="auto"/>
            </w:tcBorders>
          </w:tcPr>
          <w:p w14:paraId="704E5B31" w14:textId="77777777" w:rsidR="0042571B" w:rsidRPr="00CB1714" w:rsidRDefault="0042571B">
            <w:pPr>
              <w:rPr>
                <w:rFonts w:ascii="Lato" w:hAnsi="Lato"/>
                <w:b/>
                <w:bCs/>
                <w:sz w:val="22"/>
                <w:szCs w:val="22"/>
                <w:u w:val="single"/>
              </w:rPr>
            </w:pPr>
          </w:p>
        </w:tc>
      </w:tr>
      <w:tr w:rsidR="00AC48D2" w:rsidRPr="00CB1714" w14:paraId="23D5F799" w14:textId="77777777" w:rsidTr="00990D73">
        <w:trPr>
          <w:trHeight w:val="156"/>
        </w:trPr>
        <w:tc>
          <w:tcPr>
            <w:tcW w:w="1316" w:type="dxa"/>
          </w:tcPr>
          <w:p w14:paraId="5DC31652" w14:textId="77777777" w:rsidR="00AC48D2" w:rsidRPr="00CB1714" w:rsidRDefault="00AC48D2">
            <w:pPr>
              <w:rPr>
                <w:rFonts w:ascii="Lato" w:hAnsi="Lato"/>
                <w:sz w:val="22"/>
                <w:szCs w:val="22"/>
              </w:rPr>
            </w:pPr>
          </w:p>
        </w:tc>
        <w:tc>
          <w:tcPr>
            <w:tcW w:w="5891" w:type="dxa"/>
            <w:tcBorders>
              <w:right w:val="single" w:sz="4" w:space="0" w:color="auto"/>
            </w:tcBorders>
          </w:tcPr>
          <w:p w14:paraId="203C3CD4" w14:textId="77777777" w:rsidR="00AC48D2" w:rsidRPr="00CB1714" w:rsidRDefault="00430598" w:rsidP="00E0264B">
            <w:pPr>
              <w:rPr>
                <w:rFonts w:ascii="Lato" w:hAnsi="Lato"/>
                <w:sz w:val="22"/>
                <w:szCs w:val="22"/>
              </w:rPr>
            </w:pPr>
            <w:r w:rsidRPr="00CB1714">
              <w:rPr>
                <w:rFonts w:ascii="Lato" w:hAnsi="Lato"/>
                <w:sz w:val="22"/>
                <w:szCs w:val="22"/>
              </w:rPr>
              <w:t>c</w:t>
            </w:r>
            <w:r w:rsidR="00AC48D2" w:rsidRPr="00CB1714">
              <w:rPr>
                <w:rFonts w:ascii="Lato" w:hAnsi="Lato"/>
                <w:sz w:val="22"/>
                <w:szCs w:val="22"/>
              </w:rPr>
              <w:t>) details of any fee payable in relation to such arrangements</w:t>
            </w:r>
          </w:p>
        </w:tc>
        <w:tc>
          <w:tcPr>
            <w:tcW w:w="3188" w:type="dxa"/>
            <w:tcBorders>
              <w:top w:val="single" w:sz="4" w:space="0" w:color="auto"/>
              <w:left w:val="single" w:sz="4" w:space="0" w:color="auto"/>
              <w:bottom w:val="single" w:sz="4" w:space="0" w:color="auto"/>
              <w:right w:val="single" w:sz="4" w:space="0" w:color="auto"/>
            </w:tcBorders>
          </w:tcPr>
          <w:p w14:paraId="41F66037" w14:textId="77777777" w:rsidR="00AC48D2" w:rsidRPr="00CB1714" w:rsidRDefault="00AC48D2">
            <w:pPr>
              <w:rPr>
                <w:rFonts w:ascii="Lato" w:hAnsi="Lato"/>
                <w:b/>
                <w:bCs/>
                <w:sz w:val="22"/>
                <w:szCs w:val="22"/>
                <w:u w:val="single"/>
              </w:rPr>
            </w:pPr>
          </w:p>
        </w:tc>
      </w:tr>
      <w:tr w:rsidR="00AC48D2" w:rsidRPr="00CB1714" w14:paraId="78169908" w14:textId="77777777" w:rsidTr="00990D73">
        <w:trPr>
          <w:trHeight w:val="156"/>
        </w:trPr>
        <w:tc>
          <w:tcPr>
            <w:tcW w:w="1316" w:type="dxa"/>
          </w:tcPr>
          <w:p w14:paraId="62886559" w14:textId="77777777" w:rsidR="00AC48D2" w:rsidRPr="00CB1714" w:rsidRDefault="00AC48D2">
            <w:pPr>
              <w:rPr>
                <w:rFonts w:ascii="Lato" w:hAnsi="Lato"/>
                <w:sz w:val="22"/>
                <w:szCs w:val="22"/>
              </w:rPr>
            </w:pPr>
          </w:p>
        </w:tc>
        <w:tc>
          <w:tcPr>
            <w:tcW w:w="5891" w:type="dxa"/>
            <w:tcBorders>
              <w:right w:val="single" w:sz="4" w:space="0" w:color="auto"/>
            </w:tcBorders>
          </w:tcPr>
          <w:p w14:paraId="25A4ED16" w14:textId="77777777" w:rsidR="00AC48D2" w:rsidRPr="00CB1714" w:rsidRDefault="00430598" w:rsidP="00EE60A2">
            <w:pPr>
              <w:rPr>
                <w:rFonts w:ascii="Lato" w:hAnsi="Lato"/>
                <w:sz w:val="22"/>
                <w:szCs w:val="22"/>
              </w:rPr>
            </w:pPr>
            <w:r w:rsidRPr="00CB1714">
              <w:rPr>
                <w:rFonts w:ascii="Lato" w:hAnsi="Lato"/>
                <w:sz w:val="22"/>
                <w:szCs w:val="22"/>
              </w:rPr>
              <w:t>d</w:t>
            </w:r>
            <w:r w:rsidR="00AC48D2" w:rsidRPr="00CB1714">
              <w:rPr>
                <w:rFonts w:ascii="Lato" w:hAnsi="Lato"/>
                <w:sz w:val="22"/>
                <w:szCs w:val="22"/>
              </w:rPr>
              <w:t xml:space="preserve">) that the Qualifying Investor AIF will pay no more than </w:t>
            </w:r>
          </w:p>
        </w:tc>
        <w:tc>
          <w:tcPr>
            <w:tcW w:w="3188" w:type="dxa"/>
            <w:tcBorders>
              <w:top w:val="single" w:sz="4" w:space="0" w:color="auto"/>
              <w:left w:val="single" w:sz="4" w:space="0" w:color="auto"/>
              <w:bottom w:val="single" w:sz="4" w:space="0" w:color="auto"/>
              <w:right w:val="single" w:sz="4" w:space="0" w:color="auto"/>
            </w:tcBorders>
          </w:tcPr>
          <w:p w14:paraId="43283218" w14:textId="77777777" w:rsidR="00AC48D2" w:rsidRPr="00CB1714" w:rsidRDefault="00AC48D2">
            <w:pPr>
              <w:rPr>
                <w:rFonts w:ascii="Lato" w:hAnsi="Lato"/>
                <w:b/>
                <w:bCs/>
                <w:sz w:val="22"/>
                <w:szCs w:val="22"/>
                <w:u w:val="single"/>
              </w:rPr>
            </w:pPr>
          </w:p>
        </w:tc>
      </w:tr>
      <w:tr w:rsidR="00AC48D2" w:rsidRPr="00CB1714" w14:paraId="3BE687FE" w14:textId="77777777" w:rsidTr="00990D73">
        <w:trPr>
          <w:trHeight w:val="156"/>
        </w:trPr>
        <w:tc>
          <w:tcPr>
            <w:tcW w:w="1316" w:type="dxa"/>
          </w:tcPr>
          <w:p w14:paraId="15F9D1B4" w14:textId="77777777" w:rsidR="00AC48D2" w:rsidRPr="00CB1714" w:rsidRDefault="00AC48D2">
            <w:pPr>
              <w:rPr>
                <w:rFonts w:ascii="Lato" w:hAnsi="Lato"/>
                <w:sz w:val="22"/>
                <w:szCs w:val="22"/>
              </w:rPr>
            </w:pPr>
          </w:p>
        </w:tc>
        <w:tc>
          <w:tcPr>
            <w:tcW w:w="5891" w:type="dxa"/>
          </w:tcPr>
          <w:p w14:paraId="2BEE9B5E" w14:textId="77777777" w:rsidR="00AC48D2" w:rsidRPr="00CB1714" w:rsidRDefault="00EE60A2" w:rsidP="00EC7CDC">
            <w:pPr>
              <w:rPr>
                <w:rFonts w:ascii="Lato" w:hAnsi="Lato"/>
                <w:sz w:val="22"/>
                <w:szCs w:val="22"/>
              </w:rPr>
            </w:pPr>
            <w:r w:rsidRPr="00CB1714">
              <w:rPr>
                <w:rFonts w:ascii="Lato" w:hAnsi="Lato"/>
                <w:sz w:val="22"/>
                <w:szCs w:val="22"/>
              </w:rPr>
              <w:t xml:space="preserve">current </w:t>
            </w:r>
            <w:r w:rsidR="00AC48D2" w:rsidRPr="00CB1714">
              <w:rPr>
                <w:rFonts w:ascii="Lato" w:hAnsi="Lato"/>
                <w:sz w:val="22"/>
                <w:szCs w:val="22"/>
              </w:rPr>
              <w:t>market value for these assets</w:t>
            </w:r>
          </w:p>
        </w:tc>
        <w:tc>
          <w:tcPr>
            <w:tcW w:w="3188" w:type="dxa"/>
            <w:tcBorders>
              <w:top w:val="single" w:sz="4" w:space="0" w:color="auto"/>
            </w:tcBorders>
          </w:tcPr>
          <w:p w14:paraId="7BCB28BB" w14:textId="77777777" w:rsidR="00AC48D2" w:rsidRPr="00CB1714" w:rsidRDefault="00AC48D2">
            <w:pPr>
              <w:rPr>
                <w:rFonts w:ascii="Lato" w:hAnsi="Lato"/>
                <w:b/>
                <w:bCs/>
                <w:sz w:val="22"/>
                <w:szCs w:val="22"/>
                <w:u w:val="single"/>
              </w:rPr>
            </w:pPr>
          </w:p>
        </w:tc>
      </w:tr>
      <w:tr w:rsidR="00AC48D2" w:rsidRPr="00CB1714" w14:paraId="4C65C24B" w14:textId="77777777" w:rsidTr="00990D73">
        <w:trPr>
          <w:trHeight w:val="156"/>
        </w:trPr>
        <w:tc>
          <w:tcPr>
            <w:tcW w:w="1316" w:type="dxa"/>
          </w:tcPr>
          <w:p w14:paraId="15FBF112" w14:textId="77777777" w:rsidR="00AC48D2" w:rsidRPr="00CB1714" w:rsidRDefault="00AC48D2">
            <w:pPr>
              <w:rPr>
                <w:rFonts w:ascii="Lato" w:hAnsi="Lato"/>
                <w:sz w:val="22"/>
                <w:szCs w:val="22"/>
              </w:rPr>
            </w:pPr>
          </w:p>
        </w:tc>
        <w:tc>
          <w:tcPr>
            <w:tcW w:w="5891" w:type="dxa"/>
          </w:tcPr>
          <w:p w14:paraId="7D5BF230" w14:textId="77777777" w:rsidR="00AC48D2" w:rsidRPr="00CB1714" w:rsidRDefault="00AC48D2">
            <w:pPr>
              <w:rPr>
                <w:rFonts w:ascii="Lato" w:hAnsi="Lato"/>
                <w:sz w:val="22"/>
                <w:szCs w:val="22"/>
              </w:rPr>
            </w:pPr>
          </w:p>
        </w:tc>
        <w:tc>
          <w:tcPr>
            <w:tcW w:w="3188" w:type="dxa"/>
          </w:tcPr>
          <w:p w14:paraId="4B67138C" w14:textId="77777777" w:rsidR="00AC48D2" w:rsidRPr="00CB1714" w:rsidRDefault="00AC48D2">
            <w:pPr>
              <w:rPr>
                <w:rFonts w:ascii="Lato" w:hAnsi="Lato"/>
                <w:b/>
                <w:bCs/>
                <w:sz w:val="22"/>
                <w:szCs w:val="22"/>
                <w:u w:val="single"/>
              </w:rPr>
            </w:pPr>
          </w:p>
        </w:tc>
      </w:tr>
      <w:tr w:rsidR="00AC48D2" w:rsidRPr="00CB1714" w14:paraId="4D14792D" w14:textId="77777777" w:rsidTr="00990D73">
        <w:trPr>
          <w:trHeight w:val="156"/>
        </w:trPr>
        <w:tc>
          <w:tcPr>
            <w:tcW w:w="1316" w:type="dxa"/>
          </w:tcPr>
          <w:p w14:paraId="76DB8851" w14:textId="77777777" w:rsidR="00AC48D2" w:rsidRPr="00CB1714" w:rsidRDefault="00AC48D2" w:rsidP="00E876DF">
            <w:pPr>
              <w:rPr>
                <w:rFonts w:ascii="Lato" w:hAnsi="Lato"/>
                <w:b/>
                <w:sz w:val="22"/>
                <w:szCs w:val="22"/>
              </w:rPr>
            </w:pPr>
            <w:r w:rsidRPr="00CB1714">
              <w:rPr>
                <w:rFonts w:ascii="Lato" w:hAnsi="Lato"/>
                <w:b/>
                <w:sz w:val="22"/>
                <w:szCs w:val="22"/>
              </w:rPr>
              <w:t>2.2.</w:t>
            </w:r>
            <w:r w:rsidR="00E876DF" w:rsidRPr="00CB1714">
              <w:rPr>
                <w:rFonts w:ascii="Lato" w:hAnsi="Lato"/>
                <w:b/>
                <w:sz w:val="22"/>
                <w:szCs w:val="22"/>
              </w:rPr>
              <w:t>10</w:t>
            </w:r>
          </w:p>
        </w:tc>
        <w:tc>
          <w:tcPr>
            <w:tcW w:w="5891" w:type="dxa"/>
          </w:tcPr>
          <w:p w14:paraId="5F0979CB" w14:textId="77777777" w:rsidR="00AC48D2" w:rsidRPr="00CB1714" w:rsidRDefault="00AC48D2" w:rsidP="00441529">
            <w:pPr>
              <w:rPr>
                <w:rFonts w:ascii="Lato" w:hAnsi="Lato"/>
                <w:sz w:val="22"/>
                <w:szCs w:val="22"/>
              </w:rPr>
            </w:pPr>
            <w:r w:rsidRPr="00CB1714">
              <w:rPr>
                <w:rFonts w:ascii="Lato" w:hAnsi="Lato"/>
                <w:b/>
                <w:sz w:val="22"/>
                <w:szCs w:val="22"/>
              </w:rPr>
              <w:t>Investment through subsidiaries</w:t>
            </w:r>
          </w:p>
        </w:tc>
        <w:tc>
          <w:tcPr>
            <w:tcW w:w="3188" w:type="dxa"/>
          </w:tcPr>
          <w:p w14:paraId="09925005" w14:textId="77777777" w:rsidR="00AC48D2" w:rsidRPr="00CB1714" w:rsidRDefault="00AC48D2">
            <w:pPr>
              <w:rPr>
                <w:rFonts w:ascii="Lato" w:hAnsi="Lato"/>
                <w:b/>
                <w:bCs/>
                <w:sz w:val="22"/>
                <w:szCs w:val="22"/>
                <w:u w:val="single"/>
              </w:rPr>
            </w:pPr>
          </w:p>
        </w:tc>
      </w:tr>
      <w:tr w:rsidR="00AC48D2" w:rsidRPr="00CB1714" w14:paraId="66F5191D" w14:textId="77777777" w:rsidTr="00990D73">
        <w:trPr>
          <w:trHeight w:val="156"/>
        </w:trPr>
        <w:tc>
          <w:tcPr>
            <w:tcW w:w="1316" w:type="dxa"/>
          </w:tcPr>
          <w:p w14:paraId="25799761" w14:textId="77777777" w:rsidR="00AC48D2" w:rsidRPr="00CB1714" w:rsidRDefault="00AC48D2">
            <w:pPr>
              <w:rPr>
                <w:rFonts w:ascii="Lato" w:hAnsi="Lato"/>
                <w:sz w:val="22"/>
                <w:szCs w:val="22"/>
              </w:rPr>
            </w:pPr>
          </w:p>
        </w:tc>
        <w:tc>
          <w:tcPr>
            <w:tcW w:w="5891" w:type="dxa"/>
          </w:tcPr>
          <w:p w14:paraId="44B12A85" w14:textId="77777777" w:rsidR="00AC48D2" w:rsidRPr="00CB1714" w:rsidRDefault="00187F1D" w:rsidP="00441529">
            <w:pPr>
              <w:rPr>
                <w:rFonts w:ascii="Lato" w:hAnsi="Lato"/>
                <w:sz w:val="22"/>
                <w:szCs w:val="22"/>
              </w:rPr>
            </w:pPr>
            <w:r w:rsidRPr="00CB1714">
              <w:rPr>
                <w:rFonts w:ascii="Lato" w:hAnsi="Lato"/>
                <w:sz w:val="22"/>
                <w:szCs w:val="22"/>
              </w:rPr>
              <w:t>Disclose</w:t>
            </w:r>
          </w:p>
        </w:tc>
        <w:tc>
          <w:tcPr>
            <w:tcW w:w="3188" w:type="dxa"/>
            <w:tcBorders>
              <w:bottom w:val="single" w:sz="4" w:space="0" w:color="auto"/>
            </w:tcBorders>
          </w:tcPr>
          <w:p w14:paraId="5BB918B1" w14:textId="77777777" w:rsidR="00AC48D2" w:rsidRPr="00CB1714" w:rsidRDefault="00AC48D2">
            <w:pPr>
              <w:rPr>
                <w:rFonts w:ascii="Lato" w:hAnsi="Lato"/>
                <w:b/>
                <w:bCs/>
                <w:sz w:val="22"/>
                <w:szCs w:val="22"/>
                <w:u w:val="single"/>
              </w:rPr>
            </w:pPr>
          </w:p>
        </w:tc>
      </w:tr>
      <w:tr w:rsidR="00AC48D2" w:rsidRPr="00CB1714" w14:paraId="17CE6FF7" w14:textId="77777777" w:rsidTr="00990D73">
        <w:trPr>
          <w:trHeight w:val="156"/>
        </w:trPr>
        <w:tc>
          <w:tcPr>
            <w:tcW w:w="1316" w:type="dxa"/>
          </w:tcPr>
          <w:p w14:paraId="63D14D11" w14:textId="77777777" w:rsidR="00AC48D2" w:rsidRPr="00CB1714" w:rsidRDefault="00AC48D2">
            <w:pPr>
              <w:rPr>
                <w:rFonts w:ascii="Lato" w:hAnsi="Lato"/>
                <w:sz w:val="22"/>
                <w:szCs w:val="22"/>
              </w:rPr>
            </w:pPr>
          </w:p>
        </w:tc>
        <w:tc>
          <w:tcPr>
            <w:tcW w:w="5891" w:type="dxa"/>
            <w:tcBorders>
              <w:right w:val="single" w:sz="4" w:space="0" w:color="auto"/>
            </w:tcBorders>
          </w:tcPr>
          <w:p w14:paraId="6F8675B7" w14:textId="77777777" w:rsidR="00AC48D2" w:rsidRPr="00CB1714" w:rsidRDefault="00AC48D2" w:rsidP="00187F1D">
            <w:pPr>
              <w:rPr>
                <w:rFonts w:ascii="Lato" w:hAnsi="Lato"/>
                <w:sz w:val="22"/>
                <w:szCs w:val="22"/>
              </w:rPr>
            </w:pPr>
            <w:r w:rsidRPr="00CB1714">
              <w:rPr>
                <w:rFonts w:ascii="Lato" w:hAnsi="Lato"/>
                <w:sz w:val="22"/>
                <w:szCs w:val="22"/>
              </w:rPr>
              <w:t xml:space="preserve">(a) </w:t>
            </w:r>
            <w:r w:rsidR="00187F1D" w:rsidRPr="00CB1714">
              <w:rPr>
                <w:rFonts w:ascii="Lato" w:hAnsi="Lato"/>
                <w:sz w:val="22"/>
                <w:szCs w:val="22"/>
              </w:rPr>
              <w:t>the</w:t>
            </w:r>
            <w:r w:rsidRPr="00CB1714">
              <w:rPr>
                <w:rFonts w:ascii="Lato" w:hAnsi="Lato"/>
                <w:sz w:val="22"/>
                <w:szCs w:val="22"/>
              </w:rPr>
              <w:t xml:space="preserve"> ability to establish wholly-owned subsidiary </w:t>
            </w:r>
          </w:p>
        </w:tc>
        <w:tc>
          <w:tcPr>
            <w:tcW w:w="3188" w:type="dxa"/>
            <w:tcBorders>
              <w:top w:val="single" w:sz="4" w:space="0" w:color="auto"/>
              <w:left w:val="single" w:sz="4" w:space="0" w:color="auto"/>
              <w:bottom w:val="single" w:sz="4" w:space="0" w:color="auto"/>
              <w:right w:val="single" w:sz="4" w:space="0" w:color="auto"/>
            </w:tcBorders>
          </w:tcPr>
          <w:p w14:paraId="145EE6F1" w14:textId="77777777" w:rsidR="00AC48D2" w:rsidRPr="00CB1714" w:rsidRDefault="00AC48D2">
            <w:pPr>
              <w:rPr>
                <w:rFonts w:ascii="Lato" w:hAnsi="Lato"/>
                <w:b/>
                <w:bCs/>
                <w:sz w:val="22"/>
                <w:szCs w:val="22"/>
                <w:u w:val="single"/>
              </w:rPr>
            </w:pPr>
          </w:p>
        </w:tc>
      </w:tr>
      <w:tr w:rsidR="00AC48D2" w:rsidRPr="00CB1714" w14:paraId="7E69D5CD" w14:textId="77777777" w:rsidTr="00990D73">
        <w:trPr>
          <w:trHeight w:val="156"/>
        </w:trPr>
        <w:tc>
          <w:tcPr>
            <w:tcW w:w="1316" w:type="dxa"/>
          </w:tcPr>
          <w:p w14:paraId="65AA03FC" w14:textId="77777777" w:rsidR="00AC48D2" w:rsidRPr="00CB1714" w:rsidRDefault="00AC48D2">
            <w:pPr>
              <w:rPr>
                <w:rFonts w:ascii="Lato" w:hAnsi="Lato"/>
                <w:sz w:val="22"/>
                <w:szCs w:val="22"/>
              </w:rPr>
            </w:pPr>
          </w:p>
        </w:tc>
        <w:tc>
          <w:tcPr>
            <w:tcW w:w="5891" w:type="dxa"/>
          </w:tcPr>
          <w:p w14:paraId="4667CFA9" w14:textId="77777777" w:rsidR="00AC48D2" w:rsidRPr="00CB1714" w:rsidRDefault="00AC48D2">
            <w:pPr>
              <w:rPr>
                <w:rFonts w:ascii="Lato" w:hAnsi="Lato"/>
                <w:sz w:val="22"/>
                <w:szCs w:val="22"/>
              </w:rPr>
            </w:pPr>
            <w:r w:rsidRPr="00CB1714">
              <w:rPr>
                <w:rFonts w:ascii="Lato" w:hAnsi="Lato"/>
                <w:sz w:val="22"/>
                <w:szCs w:val="22"/>
              </w:rPr>
              <w:t>in accordance with the requirements of the Central Bank; and</w:t>
            </w:r>
          </w:p>
        </w:tc>
        <w:tc>
          <w:tcPr>
            <w:tcW w:w="3188" w:type="dxa"/>
            <w:tcBorders>
              <w:top w:val="single" w:sz="4" w:space="0" w:color="auto"/>
              <w:bottom w:val="single" w:sz="4" w:space="0" w:color="auto"/>
            </w:tcBorders>
          </w:tcPr>
          <w:p w14:paraId="17965C91" w14:textId="77777777" w:rsidR="00AC48D2" w:rsidRPr="00CB1714" w:rsidRDefault="00AC48D2">
            <w:pPr>
              <w:rPr>
                <w:rFonts w:ascii="Lato" w:hAnsi="Lato"/>
                <w:b/>
                <w:bCs/>
                <w:sz w:val="22"/>
                <w:szCs w:val="22"/>
                <w:u w:val="single"/>
              </w:rPr>
            </w:pPr>
          </w:p>
        </w:tc>
      </w:tr>
      <w:tr w:rsidR="00AC48D2" w:rsidRPr="00CB1714" w14:paraId="6B744E22" w14:textId="77777777" w:rsidTr="00990D73">
        <w:trPr>
          <w:trHeight w:val="156"/>
        </w:trPr>
        <w:tc>
          <w:tcPr>
            <w:tcW w:w="1316" w:type="dxa"/>
          </w:tcPr>
          <w:p w14:paraId="3D3C2357" w14:textId="77777777" w:rsidR="00AC48D2" w:rsidRPr="00CB1714" w:rsidRDefault="00AC48D2">
            <w:pPr>
              <w:rPr>
                <w:rFonts w:ascii="Lato" w:hAnsi="Lato"/>
                <w:sz w:val="22"/>
                <w:szCs w:val="22"/>
              </w:rPr>
            </w:pPr>
          </w:p>
        </w:tc>
        <w:tc>
          <w:tcPr>
            <w:tcW w:w="5891" w:type="dxa"/>
            <w:tcBorders>
              <w:right w:val="single" w:sz="4" w:space="0" w:color="auto"/>
            </w:tcBorders>
          </w:tcPr>
          <w:p w14:paraId="4724A2D6" w14:textId="77777777" w:rsidR="00AC48D2" w:rsidRPr="00CB1714" w:rsidRDefault="00AC48D2" w:rsidP="00187F1D">
            <w:pPr>
              <w:rPr>
                <w:rFonts w:ascii="Lato" w:hAnsi="Lato"/>
                <w:sz w:val="22"/>
                <w:szCs w:val="22"/>
              </w:rPr>
            </w:pPr>
            <w:r w:rsidRPr="00CB1714">
              <w:rPr>
                <w:rFonts w:ascii="Lato" w:hAnsi="Lato"/>
                <w:sz w:val="22"/>
                <w:szCs w:val="22"/>
              </w:rPr>
              <w:t xml:space="preserve">(b) that the names of any subsidiaries will be disclosed </w:t>
            </w:r>
          </w:p>
        </w:tc>
        <w:tc>
          <w:tcPr>
            <w:tcW w:w="3188" w:type="dxa"/>
            <w:tcBorders>
              <w:top w:val="single" w:sz="4" w:space="0" w:color="auto"/>
              <w:left w:val="single" w:sz="4" w:space="0" w:color="auto"/>
              <w:bottom w:val="single" w:sz="4" w:space="0" w:color="auto"/>
              <w:right w:val="single" w:sz="4" w:space="0" w:color="auto"/>
            </w:tcBorders>
          </w:tcPr>
          <w:p w14:paraId="6387CA99" w14:textId="77777777" w:rsidR="00AC48D2" w:rsidRPr="00CB1714" w:rsidRDefault="00AC48D2">
            <w:pPr>
              <w:rPr>
                <w:rFonts w:ascii="Lato" w:hAnsi="Lato"/>
                <w:b/>
                <w:bCs/>
                <w:sz w:val="22"/>
                <w:szCs w:val="22"/>
                <w:u w:val="single"/>
              </w:rPr>
            </w:pPr>
          </w:p>
        </w:tc>
      </w:tr>
      <w:tr w:rsidR="00AC48D2" w:rsidRPr="00CB1714" w14:paraId="4A30CEAD" w14:textId="77777777" w:rsidTr="00990D73">
        <w:trPr>
          <w:trHeight w:val="156"/>
        </w:trPr>
        <w:tc>
          <w:tcPr>
            <w:tcW w:w="1316" w:type="dxa"/>
          </w:tcPr>
          <w:p w14:paraId="67E66689" w14:textId="77777777" w:rsidR="00AC48D2" w:rsidRPr="00CB1714" w:rsidRDefault="00AC48D2">
            <w:pPr>
              <w:rPr>
                <w:rFonts w:ascii="Lato" w:hAnsi="Lato"/>
                <w:sz w:val="22"/>
                <w:szCs w:val="22"/>
              </w:rPr>
            </w:pPr>
          </w:p>
        </w:tc>
        <w:tc>
          <w:tcPr>
            <w:tcW w:w="5891" w:type="dxa"/>
          </w:tcPr>
          <w:p w14:paraId="0CF87D19" w14:textId="77777777" w:rsidR="00AC48D2" w:rsidRPr="00CB1714" w:rsidRDefault="00AC48D2">
            <w:pPr>
              <w:rPr>
                <w:rFonts w:ascii="Lato" w:hAnsi="Lato"/>
                <w:sz w:val="22"/>
                <w:szCs w:val="22"/>
              </w:rPr>
            </w:pPr>
            <w:r w:rsidRPr="00CB1714">
              <w:rPr>
                <w:rFonts w:ascii="Lato" w:hAnsi="Lato"/>
                <w:sz w:val="22"/>
                <w:szCs w:val="22"/>
              </w:rPr>
              <w:t>in the annual report</w:t>
            </w:r>
          </w:p>
        </w:tc>
        <w:tc>
          <w:tcPr>
            <w:tcW w:w="3188" w:type="dxa"/>
            <w:tcBorders>
              <w:top w:val="single" w:sz="4" w:space="0" w:color="auto"/>
            </w:tcBorders>
          </w:tcPr>
          <w:p w14:paraId="33E3EE11" w14:textId="77777777" w:rsidR="00AC48D2" w:rsidRPr="00CB1714" w:rsidRDefault="00AC48D2">
            <w:pPr>
              <w:rPr>
                <w:rFonts w:ascii="Lato" w:hAnsi="Lato"/>
                <w:b/>
                <w:bCs/>
                <w:sz w:val="22"/>
                <w:szCs w:val="22"/>
                <w:u w:val="single"/>
              </w:rPr>
            </w:pPr>
          </w:p>
        </w:tc>
      </w:tr>
      <w:tr w:rsidR="00AC48D2" w:rsidRPr="00CB1714" w14:paraId="2167CA49" w14:textId="77777777" w:rsidTr="00990D73">
        <w:trPr>
          <w:trHeight w:val="156"/>
        </w:trPr>
        <w:tc>
          <w:tcPr>
            <w:tcW w:w="1316" w:type="dxa"/>
          </w:tcPr>
          <w:p w14:paraId="4D75AE25" w14:textId="77777777" w:rsidR="00AC48D2" w:rsidRPr="00CB1714" w:rsidRDefault="00AC48D2">
            <w:pPr>
              <w:rPr>
                <w:rFonts w:ascii="Lato" w:hAnsi="Lato"/>
                <w:sz w:val="22"/>
                <w:szCs w:val="22"/>
              </w:rPr>
            </w:pPr>
          </w:p>
        </w:tc>
        <w:tc>
          <w:tcPr>
            <w:tcW w:w="5891" w:type="dxa"/>
          </w:tcPr>
          <w:p w14:paraId="36A69F7A" w14:textId="77777777" w:rsidR="00AC48D2" w:rsidRPr="00CB1714" w:rsidRDefault="00AC48D2">
            <w:pPr>
              <w:rPr>
                <w:rFonts w:ascii="Lato" w:hAnsi="Lato"/>
                <w:sz w:val="22"/>
                <w:szCs w:val="22"/>
              </w:rPr>
            </w:pPr>
          </w:p>
        </w:tc>
        <w:tc>
          <w:tcPr>
            <w:tcW w:w="3188" w:type="dxa"/>
          </w:tcPr>
          <w:p w14:paraId="3140E396" w14:textId="77777777" w:rsidR="00AC48D2" w:rsidRPr="00CB1714" w:rsidRDefault="00AC48D2">
            <w:pPr>
              <w:rPr>
                <w:rFonts w:ascii="Lato" w:hAnsi="Lato"/>
                <w:b/>
                <w:bCs/>
                <w:sz w:val="22"/>
                <w:szCs w:val="22"/>
                <w:u w:val="single"/>
              </w:rPr>
            </w:pPr>
          </w:p>
        </w:tc>
      </w:tr>
      <w:tr w:rsidR="00AC48D2" w:rsidRPr="00CB1714" w14:paraId="5934BAED" w14:textId="77777777" w:rsidTr="00990D73">
        <w:tc>
          <w:tcPr>
            <w:tcW w:w="1316" w:type="dxa"/>
          </w:tcPr>
          <w:p w14:paraId="25C80F5D" w14:textId="77777777" w:rsidR="00AC48D2" w:rsidRPr="00CB1714" w:rsidRDefault="00AC48D2">
            <w:pPr>
              <w:rPr>
                <w:rFonts w:ascii="Lato" w:hAnsi="Lato"/>
                <w:sz w:val="22"/>
                <w:szCs w:val="22"/>
              </w:rPr>
            </w:pPr>
          </w:p>
        </w:tc>
        <w:tc>
          <w:tcPr>
            <w:tcW w:w="5891" w:type="dxa"/>
          </w:tcPr>
          <w:p w14:paraId="07022926" w14:textId="77777777" w:rsidR="00AC48D2" w:rsidRPr="00CB1714" w:rsidRDefault="00AC48D2">
            <w:pPr>
              <w:rPr>
                <w:rFonts w:ascii="Lato" w:hAnsi="Lato"/>
                <w:b/>
                <w:sz w:val="22"/>
                <w:szCs w:val="22"/>
                <w:u w:val="single"/>
              </w:rPr>
            </w:pPr>
            <w:r w:rsidRPr="00CB1714">
              <w:rPr>
                <w:rFonts w:ascii="Lato" w:hAnsi="Lato"/>
                <w:b/>
                <w:sz w:val="22"/>
                <w:szCs w:val="22"/>
                <w:u w:val="single"/>
              </w:rPr>
              <w:t>Risks</w:t>
            </w:r>
          </w:p>
        </w:tc>
        <w:tc>
          <w:tcPr>
            <w:tcW w:w="3188" w:type="dxa"/>
            <w:tcBorders>
              <w:bottom w:val="single" w:sz="4" w:space="0" w:color="auto"/>
            </w:tcBorders>
          </w:tcPr>
          <w:p w14:paraId="78F1396B" w14:textId="77777777" w:rsidR="00AC48D2" w:rsidRPr="00CB1714" w:rsidRDefault="00AC48D2">
            <w:pPr>
              <w:rPr>
                <w:rFonts w:ascii="Lato" w:hAnsi="Lato"/>
                <w:sz w:val="22"/>
                <w:szCs w:val="22"/>
                <w:u w:val="single"/>
              </w:rPr>
            </w:pPr>
          </w:p>
        </w:tc>
      </w:tr>
      <w:tr w:rsidR="00AC48D2" w:rsidRPr="00CB1714" w14:paraId="2DA61BEA" w14:textId="77777777" w:rsidTr="00990D73">
        <w:trPr>
          <w:cantSplit/>
        </w:trPr>
        <w:tc>
          <w:tcPr>
            <w:tcW w:w="1316" w:type="dxa"/>
          </w:tcPr>
          <w:p w14:paraId="56F3F614" w14:textId="77777777" w:rsidR="00AC48D2" w:rsidRPr="00CB1714" w:rsidRDefault="00AC48D2" w:rsidP="00E876DF">
            <w:pPr>
              <w:rPr>
                <w:rFonts w:ascii="Lato" w:hAnsi="Lato"/>
                <w:b/>
                <w:sz w:val="22"/>
                <w:szCs w:val="22"/>
              </w:rPr>
            </w:pPr>
            <w:r w:rsidRPr="00CB1714">
              <w:rPr>
                <w:rFonts w:ascii="Lato" w:hAnsi="Lato"/>
                <w:b/>
                <w:sz w:val="22"/>
                <w:szCs w:val="22"/>
              </w:rPr>
              <w:t>2.2.</w:t>
            </w:r>
            <w:r w:rsidR="00E876DF" w:rsidRPr="00CB1714">
              <w:rPr>
                <w:rFonts w:ascii="Lato" w:hAnsi="Lato"/>
                <w:b/>
                <w:sz w:val="22"/>
                <w:szCs w:val="22"/>
              </w:rPr>
              <w:t>11</w:t>
            </w:r>
          </w:p>
        </w:tc>
        <w:tc>
          <w:tcPr>
            <w:tcW w:w="5891" w:type="dxa"/>
            <w:vMerge w:val="restart"/>
            <w:tcBorders>
              <w:right w:val="single" w:sz="4" w:space="0" w:color="auto"/>
            </w:tcBorders>
          </w:tcPr>
          <w:p w14:paraId="68345141" w14:textId="77777777" w:rsidR="00AC48D2" w:rsidRPr="00CB1714" w:rsidRDefault="00F04944" w:rsidP="00F04944">
            <w:pPr>
              <w:jc w:val="both"/>
              <w:rPr>
                <w:rFonts w:ascii="Lato" w:hAnsi="Lato"/>
                <w:sz w:val="22"/>
                <w:szCs w:val="22"/>
              </w:rPr>
            </w:pPr>
            <w:r w:rsidRPr="00CB1714">
              <w:rPr>
                <w:rFonts w:ascii="Lato" w:hAnsi="Lato"/>
                <w:sz w:val="22"/>
                <w:szCs w:val="22"/>
              </w:rPr>
              <w:t>Disclos</w:t>
            </w:r>
            <w:r w:rsidR="004674C2">
              <w:rPr>
                <w:rFonts w:ascii="Lato" w:hAnsi="Lato"/>
                <w:sz w:val="22"/>
                <w:szCs w:val="22"/>
              </w:rPr>
              <w:t>e</w:t>
            </w:r>
            <w:r w:rsidRPr="00CB1714">
              <w:rPr>
                <w:rFonts w:ascii="Lato" w:hAnsi="Lato"/>
                <w:sz w:val="22"/>
                <w:szCs w:val="22"/>
              </w:rPr>
              <w:t xml:space="preserve"> a</w:t>
            </w:r>
            <w:r w:rsidR="00AC48D2" w:rsidRPr="00CB1714">
              <w:rPr>
                <w:rFonts w:ascii="Lato" w:hAnsi="Lato"/>
                <w:sz w:val="22"/>
                <w:szCs w:val="22"/>
              </w:rPr>
              <w:t xml:space="preserve"> comprehensive description of the risks attached to the investment policy of the Qualifying Investor AIF</w:t>
            </w:r>
          </w:p>
        </w:tc>
        <w:tc>
          <w:tcPr>
            <w:tcW w:w="3188" w:type="dxa"/>
            <w:tcBorders>
              <w:top w:val="single" w:sz="4" w:space="0" w:color="auto"/>
              <w:left w:val="single" w:sz="4" w:space="0" w:color="auto"/>
              <w:bottom w:val="single" w:sz="4" w:space="0" w:color="auto"/>
              <w:right w:val="single" w:sz="4" w:space="0" w:color="auto"/>
            </w:tcBorders>
          </w:tcPr>
          <w:p w14:paraId="3A1E0B59" w14:textId="77777777" w:rsidR="00AC48D2" w:rsidRPr="00CB1714" w:rsidRDefault="00AC48D2">
            <w:pPr>
              <w:rPr>
                <w:rFonts w:ascii="Lato" w:hAnsi="Lato"/>
                <w:sz w:val="22"/>
                <w:szCs w:val="22"/>
              </w:rPr>
            </w:pPr>
          </w:p>
        </w:tc>
      </w:tr>
      <w:tr w:rsidR="00AC48D2" w:rsidRPr="00CB1714" w14:paraId="36034FCA" w14:textId="77777777" w:rsidTr="00990D73">
        <w:trPr>
          <w:cantSplit/>
        </w:trPr>
        <w:tc>
          <w:tcPr>
            <w:tcW w:w="1316" w:type="dxa"/>
          </w:tcPr>
          <w:p w14:paraId="5889BDE4" w14:textId="77777777" w:rsidR="00AC48D2" w:rsidRPr="00CB1714" w:rsidRDefault="00AC48D2">
            <w:pPr>
              <w:rPr>
                <w:rFonts w:ascii="Lato" w:hAnsi="Lato"/>
                <w:sz w:val="22"/>
                <w:szCs w:val="22"/>
              </w:rPr>
            </w:pPr>
          </w:p>
        </w:tc>
        <w:tc>
          <w:tcPr>
            <w:tcW w:w="5891" w:type="dxa"/>
            <w:vMerge/>
          </w:tcPr>
          <w:p w14:paraId="3746C485" w14:textId="77777777" w:rsidR="00AC48D2" w:rsidRPr="00CB1714" w:rsidRDefault="00AC48D2">
            <w:pPr>
              <w:pStyle w:val="Heading3"/>
              <w:spacing w:before="0" w:after="0" w:line="240" w:lineRule="auto"/>
              <w:rPr>
                <w:rFonts w:ascii="Lato" w:hAnsi="Lato"/>
                <w:b w:val="0"/>
                <w:bCs/>
                <w:color w:val="auto"/>
                <w:sz w:val="22"/>
                <w:szCs w:val="22"/>
                <w:u w:val="single"/>
              </w:rPr>
            </w:pPr>
          </w:p>
        </w:tc>
        <w:tc>
          <w:tcPr>
            <w:tcW w:w="3188" w:type="dxa"/>
            <w:tcBorders>
              <w:top w:val="single" w:sz="4" w:space="0" w:color="auto"/>
            </w:tcBorders>
          </w:tcPr>
          <w:p w14:paraId="30EE035A" w14:textId="77777777" w:rsidR="00AC48D2" w:rsidRPr="00CB1714" w:rsidRDefault="00AC48D2">
            <w:pPr>
              <w:pStyle w:val="Heading3"/>
              <w:spacing w:before="0" w:after="0" w:line="240" w:lineRule="auto"/>
              <w:rPr>
                <w:rFonts w:ascii="Lato" w:hAnsi="Lato"/>
                <w:b w:val="0"/>
                <w:bCs/>
                <w:color w:val="auto"/>
                <w:sz w:val="22"/>
                <w:szCs w:val="22"/>
                <w:u w:val="single"/>
              </w:rPr>
            </w:pPr>
          </w:p>
        </w:tc>
      </w:tr>
      <w:tr w:rsidR="00AC48D2" w:rsidRPr="00CB1714" w14:paraId="2064DD0E" w14:textId="77777777" w:rsidTr="00990D73">
        <w:trPr>
          <w:cantSplit/>
        </w:trPr>
        <w:tc>
          <w:tcPr>
            <w:tcW w:w="1316" w:type="dxa"/>
          </w:tcPr>
          <w:p w14:paraId="3818C5C9" w14:textId="77777777" w:rsidR="00AC48D2" w:rsidRPr="00CB1714" w:rsidRDefault="00AC48D2">
            <w:pPr>
              <w:rPr>
                <w:rFonts w:ascii="Lato" w:hAnsi="Lato"/>
                <w:sz w:val="22"/>
                <w:szCs w:val="22"/>
              </w:rPr>
            </w:pPr>
          </w:p>
        </w:tc>
        <w:tc>
          <w:tcPr>
            <w:tcW w:w="5891" w:type="dxa"/>
          </w:tcPr>
          <w:p w14:paraId="29687BD9" w14:textId="77777777" w:rsidR="00AC48D2" w:rsidRPr="00CB1714" w:rsidRDefault="00AC48D2">
            <w:pPr>
              <w:pStyle w:val="Heading3"/>
              <w:spacing w:before="0" w:after="0" w:line="240" w:lineRule="auto"/>
              <w:rPr>
                <w:rFonts w:ascii="Lato" w:hAnsi="Lato"/>
                <w:b w:val="0"/>
                <w:bCs/>
                <w:color w:val="auto"/>
                <w:sz w:val="22"/>
                <w:szCs w:val="22"/>
                <w:u w:val="single"/>
              </w:rPr>
            </w:pPr>
          </w:p>
        </w:tc>
        <w:tc>
          <w:tcPr>
            <w:tcW w:w="3188" w:type="dxa"/>
            <w:tcBorders>
              <w:bottom w:val="single" w:sz="4" w:space="0" w:color="auto"/>
            </w:tcBorders>
          </w:tcPr>
          <w:p w14:paraId="286406C8" w14:textId="77777777" w:rsidR="00AC48D2" w:rsidRPr="00CB1714" w:rsidRDefault="00AC48D2">
            <w:pPr>
              <w:pStyle w:val="Heading3"/>
              <w:spacing w:before="0" w:after="0" w:line="240" w:lineRule="auto"/>
              <w:rPr>
                <w:rFonts w:ascii="Lato" w:hAnsi="Lato"/>
                <w:b w:val="0"/>
                <w:bCs/>
                <w:color w:val="auto"/>
                <w:sz w:val="22"/>
                <w:szCs w:val="22"/>
                <w:u w:val="single"/>
              </w:rPr>
            </w:pPr>
          </w:p>
        </w:tc>
      </w:tr>
      <w:tr w:rsidR="00AC48D2" w:rsidRPr="00CB1714" w14:paraId="2E2EE1EC" w14:textId="77777777" w:rsidTr="00990D73">
        <w:trPr>
          <w:cantSplit/>
        </w:trPr>
        <w:tc>
          <w:tcPr>
            <w:tcW w:w="1316" w:type="dxa"/>
          </w:tcPr>
          <w:p w14:paraId="588136FB" w14:textId="77777777" w:rsidR="00AC48D2" w:rsidRPr="00CB1714" w:rsidRDefault="00AC48D2" w:rsidP="00E876DF">
            <w:pPr>
              <w:rPr>
                <w:rFonts w:ascii="Lato" w:hAnsi="Lato"/>
                <w:b/>
                <w:sz w:val="22"/>
                <w:szCs w:val="22"/>
              </w:rPr>
            </w:pPr>
            <w:r w:rsidRPr="00CB1714">
              <w:rPr>
                <w:rFonts w:ascii="Lato" w:hAnsi="Lato"/>
                <w:b/>
                <w:sz w:val="22"/>
                <w:szCs w:val="22"/>
              </w:rPr>
              <w:t>2.2.</w:t>
            </w:r>
            <w:r w:rsidR="00E876DF" w:rsidRPr="00CB1714">
              <w:rPr>
                <w:rFonts w:ascii="Lato" w:hAnsi="Lato"/>
                <w:b/>
                <w:sz w:val="22"/>
                <w:szCs w:val="22"/>
              </w:rPr>
              <w:t>12</w:t>
            </w:r>
          </w:p>
        </w:tc>
        <w:tc>
          <w:tcPr>
            <w:tcW w:w="5891" w:type="dxa"/>
            <w:tcBorders>
              <w:right w:val="single" w:sz="4" w:space="0" w:color="auto"/>
            </w:tcBorders>
          </w:tcPr>
          <w:p w14:paraId="70270D4D" w14:textId="77777777" w:rsidR="00AC48D2" w:rsidRPr="00CB1714" w:rsidRDefault="00AC48D2" w:rsidP="00CB1714">
            <w:pPr>
              <w:pStyle w:val="Heading3"/>
              <w:spacing w:before="0" w:after="0" w:line="240" w:lineRule="auto"/>
              <w:rPr>
                <w:rFonts w:ascii="Lato" w:hAnsi="Lato"/>
                <w:b w:val="0"/>
                <w:bCs/>
                <w:color w:val="auto"/>
                <w:sz w:val="22"/>
                <w:szCs w:val="22"/>
              </w:rPr>
            </w:pPr>
            <w:r w:rsidRPr="00CB1714">
              <w:rPr>
                <w:rFonts w:ascii="Lato" w:hAnsi="Lato"/>
                <w:b w:val="0"/>
                <w:bCs/>
                <w:color w:val="auto"/>
                <w:sz w:val="22"/>
                <w:szCs w:val="22"/>
              </w:rPr>
              <w:t>Include that the Q</w:t>
            </w:r>
            <w:r w:rsidR="0086642B" w:rsidRPr="00CB1714">
              <w:rPr>
                <w:rFonts w:ascii="Lato" w:hAnsi="Lato"/>
                <w:b w:val="0"/>
                <w:bCs/>
                <w:color w:val="auto"/>
                <w:sz w:val="22"/>
                <w:szCs w:val="22"/>
              </w:rPr>
              <w:t xml:space="preserve">ualifying </w:t>
            </w:r>
            <w:r w:rsidRPr="00CB1714">
              <w:rPr>
                <w:rFonts w:ascii="Lato" w:hAnsi="Lato"/>
                <w:b w:val="0"/>
                <w:bCs/>
                <w:color w:val="auto"/>
                <w:sz w:val="22"/>
                <w:szCs w:val="22"/>
              </w:rPr>
              <w:t>I</w:t>
            </w:r>
            <w:r w:rsidR="0086642B" w:rsidRPr="00CB1714">
              <w:rPr>
                <w:rFonts w:ascii="Lato" w:hAnsi="Lato"/>
                <w:b w:val="0"/>
                <w:bCs/>
                <w:color w:val="auto"/>
                <w:sz w:val="22"/>
                <w:szCs w:val="22"/>
              </w:rPr>
              <w:t xml:space="preserve">nvestor </w:t>
            </w:r>
            <w:r w:rsidRPr="00CB1714">
              <w:rPr>
                <w:rFonts w:ascii="Lato" w:hAnsi="Lato"/>
                <w:b w:val="0"/>
                <w:bCs/>
                <w:color w:val="auto"/>
                <w:sz w:val="22"/>
                <w:szCs w:val="22"/>
              </w:rPr>
              <w:t xml:space="preserve">AIF may have a </w:t>
            </w:r>
          </w:p>
        </w:tc>
        <w:tc>
          <w:tcPr>
            <w:tcW w:w="3188" w:type="dxa"/>
            <w:tcBorders>
              <w:top w:val="single" w:sz="4" w:space="0" w:color="auto"/>
              <w:left w:val="single" w:sz="4" w:space="0" w:color="auto"/>
              <w:bottom w:val="single" w:sz="4" w:space="0" w:color="auto"/>
              <w:right w:val="single" w:sz="4" w:space="0" w:color="auto"/>
            </w:tcBorders>
          </w:tcPr>
          <w:p w14:paraId="2536462D" w14:textId="77777777" w:rsidR="00AC48D2" w:rsidRPr="00CB1714" w:rsidRDefault="00AC48D2">
            <w:pPr>
              <w:pStyle w:val="Heading3"/>
              <w:spacing w:before="0" w:after="0" w:line="240" w:lineRule="auto"/>
              <w:rPr>
                <w:rFonts w:ascii="Lato" w:hAnsi="Lato"/>
                <w:b w:val="0"/>
                <w:bCs/>
                <w:color w:val="auto"/>
                <w:sz w:val="22"/>
                <w:szCs w:val="22"/>
                <w:u w:val="single"/>
              </w:rPr>
            </w:pPr>
          </w:p>
        </w:tc>
      </w:tr>
      <w:tr w:rsidR="00AC48D2" w:rsidRPr="00CB1714" w14:paraId="161E7D4B" w14:textId="77777777" w:rsidTr="00990D73">
        <w:trPr>
          <w:cantSplit/>
        </w:trPr>
        <w:tc>
          <w:tcPr>
            <w:tcW w:w="1316" w:type="dxa"/>
          </w:tcPr>
          <w:p w14:paraId="579DEFB4" w14:textId="77777777" w:rsidR="00AC48D2" w:rsidRPr="00CB1714" w:rsidRDefault="00AC48D2">
            <w:pPr>
              <w:rPr>
                <w:rFonts w:ascii="Lato" w:hAnsi="Lato"/>
                <w:sz w:val="22"/>
                <w:szCs w:val="22"/>
              </w:rPr>
            </w:pPr>
          </w:p>
        </w:tc>
        <w:tc>
          <w:tcPr>
            <w:tcW w:w="5891" w:type="dxa"/>
          </w:tcPr>
          <w:p w14:paraId="6101A57B" w14:textId="77777777" w:rsidR="00AC48D2" w:rsidRPr="00CB1714" w:rsidRDefault="000B0B07" w:rsidP="00CB1714">
            <w:pPr>
              <w:pStyle w:val="Heading3"/>
              <w:spacing w:before="0" w:after="0" w:line="240" w:lineRule="auto"/>
              <w:rPr>
                <w:rFonts w:ascii="Lato" w:hAnsi="Lato"/>
                <w:b w:val="0"/>
                <w:bCs/>
                <w:color w:val="auto"/>
                <w:sz w:val="22"/>
                <w:szCs w:val="22"/>
              </w:rPr>
            </w:pPr>
            <w:r w:rsidRPr="00F72ED7">
              <w:rPr>
                <w:rFonts w:ascii="Lato" w:hAnsi="Lato"/>
                <w:b w:val="0"/>
                <w:bCs/>
                <w:color w:val="auto"/>
                <w:sz w:val="22"/>
                <w:szCs w:val="22"/>
              </w:rPr>
              <w:t>significant</w:t>
            </w:r>
            <w:r w:rsidRPr="00CB1714">
              <w:rPr>
                <w:rFonts w:ascii="Lato" w:hAnsi="Lato"/>
                <w:b w:val="0"/>
                <w:bCs/>
                <w:color w:val="auto"/>
                <w:sz w:val="22"/>
                <w:szCs w:val="22"/>
              </w:rPr>
              <w:t xml:space="preserve"> </w:t>
            </w:r>
            <w:r w:rsidR="0086642B" w:rsidRPr="00CB1714">
              <w:rPr>
                <w:rFonts w:ascii="Lato" w:hAnsi="Lato"/>
                <w:b w:val="0"/>
                <w:bCs/>
                <w:color w:val="auto"/>
                <w:sz w:val="22"/>
                <w:szCs w:val="22"/>
              </w:rPr>
              <w:t xml:space="preserve">exposure to a </w:t>
            </w:r>
            <w:r w:rsidR="00AC48D2" w:rsidRPr="00CB1714">
              <w:rPr>
                <w:rFonts w:ascii="Lato" w:hAnsi="Lato"/>
                <w:b w:val="0"/>
                <w:bCs/>
                <w:color w:val="auto"/>
                <w:sz w:val="22"/>
                <w:szCs w:val="22"/>
              </w:rPr>
              <w:t xml:space="preserve">single issuer/ counterparty/asset, </w:t>
            </w:r>
          </w:p>
        </w:tc>
        <w:tc>
          <w:tcPr>
            <w:tcW w:w="3188" w:type="dxa"/>
            <w:tcBorders>
              <w:top w:val="single" w:sz="4" w:space="0" w:color="auto"/>
            </w:tcBorders>
          </w:tcPr>
          <w:p w14:paraId="17363867" w14:textId="77777777" w:rsidR="00AC48D2" w:rsidRPr="00CB1714" w:rsidRDefault="00AC48D2">
            <w:pPr>
              <w:pStyle w:val="Heading3"/>
              <w:spacing w:before="0" w:after="0" w:line="240" w:lineRule="auto"/>
              <w:rPr>
                <w:rFonts w:ascii="Lato" w:hAnsi="Lato"/>
                <w:b w:val="0"/>
                <w:bCs/>
                <w:color w:val="auto"/>
                <w:sz w:val="22"/>
                <w:szCs w:val="22"/>
                <w:u w:val="single"/>
              </w:rPr>
            </w:pPr>
          </w:p>
        </w:tc>
      </w:tr>
      <w:tr w:rsidR="0086642B" w:rsidRPr="00CB1714" w14:paraId="0DE3B277" w14:textId="77777777" w:rsidTr="00990D73">
        <w:trPr>
          <w:cantSplit/>
        </w:trPr>
        <w:tc>
          <w:tcPr>
            <w:tcW w:w="1316" w:type="dxa"/>
          </w:tcPr>
          <w:p w14:paraId="2AB970BA" w14:textId="77777777" w:rsidR="0086642B" w:rsidRPr="00CB1714" w:rsidRDefault="0086642B">
            <w:pPr>
              <w:rPr>
                <w:rFonts w:ascii="Lato" w:hAnsi="Lato"/>
                <w:sz w:val="22"/>
                <w:szCs w:val="22"/>
              </w:rPr>
            </w:pPr>
          </w:p>
        </w:tc>
        <w:tc>
          <w:tcPr>
            <w:tcW w:w="5891" w:type="dxa"/>
          </w:tcPr>
          <w:p w14:paraId="2726582D" w14:textId="77777777" w:rsidR="0086642B"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bCs/>
                <w:color w:val="auto"/>
                <w:sz w:val="22"/>
                <w:szCs w:val="22"/>
              </w:rPr>
              <w:t xml:space="preserve">where this is the </w:t>
            </w:r>
            <w:r w:rsidR="0086642B" w:rsidRPr="00CB1714">
              <w:rPr>
                <w:rFonts w:ascii="Lato" w:hAnsi="Lato"/>
                <w:b w:val="0"/>
                <w:bCs/>
                <w:color w:val="auto"/>
                <w:sz w:val="22"/>
                <w:szCs w:val="22"/>
              </w:rPr>
              <w:t>case</w:t>
            </w:r>
          </w:p>
        </w:tc>
        <w:tc>
          <w:tcPr>
            <w:tcW w:w="3188" w:type="dxa"/>
          </w:tcPr>
          <w:p w14:paraId="05119091" w14:textId="77777777" w:rsidR="0086642B" w:rsidRPr="00CB1714" w:rsidRDefault="0086642B">
            <w:pPr>
              <w:pStyle w:val="Heading3"/>
              <w:spacing w:before="0" w:after="0" w:line="240" w:lineRule="auto"/>
              <w:rPr>
                <w:rFonts w:ascii="Lato" w:hAnsi="Lato"/>
                <w:b w:val="0"/>
                <w:bCs/>
                <w:color w:val="auto"/>
                <w:sz w:val="22"/>
                <w:szCs w:val="22"/>
                <w:u w:val="single"/>
              </w:rPr>
            </w:pPr>
          </w:p>
        </w:tc>
      </w:tr>
      <w:tr w:rsidR="005B507F" w:rsidRPr="00CB1714" w14:paraId="0F23DFD9" w14:textId="77777777" w:rsidTr="00990D73">
        <w:trPr>
          <w:cantSplit/>
        </w:trPr>
        <w:tc>
          <w:tcPr>
            <w:tcW w:w="1316" w:type="dxa"/>
          </w:tcPr>
          <w:p w14:paraId="73424403" w14:textId="77777777" w:rsidR="005B507F" w:rsidRPr="00CB1714" w:rsidRDefault="005B507F">
            <w:pPr>
              <w:rPr>
                <w:rFonts w:ascii="Lato" w:hAnsi="Lato"/>
                <w:sz w:val="22"/>
                <w:szCs w:val="22"/>
              </w:rPr>
            </w:pPr>
          </w:p>
        </w:tc>
        <w:tc>
          <w:tcPr>
            <w:tcW w:w="5891" w:type="dxa"/>
          </w:tcPr>
          <w:p w14:paraId="50381D8D"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Pr>
          <w:p w14:paraId="13D28ACF"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17153D37" w14:textId="77777777" w:rsidTr="00990D73">
        <w:trPr>
          <w:cantSplit/>
        </w:trPr>
        <w:tc>
          <w:tcPr>
            <w:tcW w:w="1316" w:type="dxa"/>
          </w:tcPr>
          <w:p w14:paraId="6E4F4798" w14:textId="77777777" w:rsidR="005B507F" w:rsidRPr="00CB1714" w:rsidRDefault="005B507F">
            <w:pPr>
              <w:rPr>
                <w:rFonts w:ascii="Lato" w:hAnsi="Lato"/>
                <w:sz w:val="22"/>
                <w:szCs w:val="22"/>
              </w:rPr>
            </w:pPr>
            <w:r w:rsidRPr="00CB1714">
              <w:rPr>
                <w:rFonts w:ascii="Lato" w:hAnsi="Lato"/>
                <w:b/>
                <w:sz w:val="22"/>
                <w:szCs w:val="22"/>
              </w:rPr>
              <w:t>2.2.13</w:t>
            </w:r>
          </w:p>
        </w:tc>
        <w:tc>
          <w:tcPr>
            <w:tcW w:w="5891" w:type="dxa"/>
          </w:tcPr>
          <w:p w14:paraId="727A8229"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color w:val="auto"/>
                <w:sz w:val="22"/>
                <w:szCs w:val="22"/>
                <w:u w:val="single"/>
              </w:rPr>
              <w:t>Securities Financing Transactions (“SFTs”) as defined in Regulation (EU) 2015/2365</w:t>
            </w:r>
          </w:p>
        </w:tc>
        <w:tc>
          <w:tcPr>
            <w:tcW w:w="3188" w:type="dxa"/>
          </w:tcPr>
          <w:p w14:paraId="60E0471E"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5B59075" w14:textId="77777777" w:rsidTr="00A13DB5">
        <w:trPr>
          <w:cantSplit/>
        </w:trPr>
        <w:tc>
          <w:tcPr>
            <w:tcW w:w="1316" w:type="dxa"/>
          </w:tcPr>
          <w:p w14:paraId="24DA2F5D" w14:textId="77777777" w:rsidR="005B507F" w:rsidRPr="00CB1714" w:rsidRDefault="005B507F">
            <w:pPr>
              <w:rPr>
                <w:rFonts w:ascii="Lato" w:hAnsi="Lato"/>
                <w:sz w:val="22"/>
                <w:szCs w:val="22"/>
              </w:rPr>
            </w:pPr>
          </w:p>
        </w:tc>
        <w:tc>
          <w:tcPr>
            <w:tcW w:w="5891" w:type="dxa"/>
          </w:tcPr>
          <w:p w14:paraId="6157C818"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FA41B3B"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76E039C0" w14:textId="77777777" w:rsidTr="00A13DB5">
        <w:trPr>
          <w:cantSplit/>
        </w:trPr>
        <w:tc>
          <w:tcPr>
            <w:tcW w:w="1316" w:type="dxa"/>
          </w:tcPr>
          <w:p w14:paraId="3173B33E" w14:textId="77777777" w:rsidR="005B507F" w:rsidRPr="00CB1714" w:rsidRDefault="005B507F">
            <w:pPr>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3EB02A17"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Provide a general description of the SFTs and total return </w:t>
            </w:r>
          </w:p>
        </w:tc>
        <w:tc>
          <w:tcPr>
            <w:tcW w:w="3188" w:type="dxa"/>
            <w:tcBorders>
              <w:top w:val="single" w:sz="4" w:space="0" w:color="auto"/>
              <w:left w:val="single" w:sz="4" w:space="0" w:color="auto"/>
              <w:bottom w:val="single" w:sz="4" w:space="0" w:color="auto"/>
              <w:right w:val="single" w:sz="4" w:space="0" w:color="auto"/>
            </w:tcBorders>
          </w:tcPr>
          <w:p w14:paraId="074B82A9"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3797B97" w14:textId="77777777" w:rsidTr="00A13DB5">
        <w:trPr>
          <w:cantSplit/>
        </w:trPr>
        <w:tc>
          <w:tcPr>
            <w:tcW w:w="1316" w:type="dxa"/>
          </w:tcPr>
          <w:p w14:paraId="131468F9" w14:textId="77777777" w:rsidR="005B507F" w:rsidRPr="00CB1714" w:rsidRDefault="005B507F">
            <w:pPr>
              <w:rPr>
                <w:rFonts w:ascii="Lato" w:hAnsi="Lato"/>
                <w:sz w:val="22"/>
                <w:szCs w:val="22"/>
              </w:rPr>
            </w:pPr>
          </w:p>
        </w:tc>
        <w:tc>
          <w:tcPr>
            <w:tcW w:w="5891" w:type="dxa"/>
          </w:tcPr>
          <w:p w14:paraId="110BD36E"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swaps</w:t>
            </w:r>
            <w:r w:rsidRPr="00CB1714">
              <w:rPr>
                <w:rFonts w:ascii="Lato" w:hAnsi="Lato"/>
                <w:b w:val="0"/>
                <w:color w:val="auto"/>
                <w:sz w:val="22"/>
                <w:szCs w:val="22"/>
              </w:rPr>
              <w:t xml:space="preserve"> </w:t>
            </w:r>
            <w:r w:rsidR="005B507F" w:rsidRPr="00CB1714">
              <w:rPr>
                <w:rFonts w:ascii="Lato" w:hAnsi="Lato"/>
                <w:b w:val="0"/>
                <w:color w:val="auto"/>
                <w:sz w:val="22"/>
                <w:szCs w:val="22"/>
              </w:rPr>
              <w:t>used by the collective investment undertaking and the rationale for their use</w:t>
            </w:r>
          </w:p>
        </w:tc>
        <w:tc>
          <w:tcPr>
            <w:tcW w:w="3188" w:type="dxa"/>
            <w:tcBorders>
              <w:top w:val="single" w:sz="4" w:space="0" w:color="auto"/>
            </w:tcBorders>
          </w:tcPr>
          <w:p w14:paraId="0DBAD491"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6F511E6" w14:textId="77777777" w:rsidTr="00A13DB5">
        <w:trPr>
          <w:cantSplit/>
        </w:trPr>
        <w:tc>
          <w:tcPr>
            <w:tcW w:w="1316" w:type="dxa"/>
          </w:tcPr>
          <w:p w14:paraId="7687438B" w14:textId="77777777" w:rsidR="005B507F" w:rsidRPr="00CB1714" w:rsidRDefault="005B507F">
            <w:pPr>
              <w:rPr>
                <w:rFonts w:ascii="Lato" w:hAnsi="Lato"/>
                <w:sz w:val="22"/>
                <w:szCs w:val="22"/>
              </w:rPr>
            </w:pPr>
          </w:p>
        </w:tc>
        <w:tc>
          <w:tcPr>
            <w:tcW w:w="5891" w:type="dxa"/>
          </w:tcPr>
          <w:p w14:paraId="3E3716B8"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26F67FC"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146AD476" w14:textId="77777777" w:rsidTr="00A13DB5">
        <w:trPr>
          <w:cantSplit/>
        </w:trPr>
        <w:tc>
          <w:tcPr>
            <w:tcW w:w="1316" w:type="dxa"/>
          </w:tcPr>
          <w:p w14:paraId="62BC9F36" w14:textId="77777777" w:rsidR="005B507F" w:rsidRPr="00CB1714" w:rsidRDefault="005B507F">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7934C1B7"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Disclose the overall data for each type of SFT</w:t>
            </w:r>
          </w:p>
        </w:tc>
        <w:tc>
          <w:tcPr>
            <w:tcW w:w="3188" w:type="dxa"/>
            <w:tcBorders>
              <w:top w:val="single" w:sz="4" w:space="0" w:color="auto"/>
              <w:left w:val="single" w:sz="4" w:space="0" w:color="auto"/>
              <w:bottom w:val="single" w:sz="4" w:space="0" w:color="auto"/>
              <w:right w:val="single" w:sz="4" w:space="0" w:color="auto"/>
            </w:tcBorders>
          </w:tcPr>
          <w:p w14:paraId="77F88748"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74A6BA94" w14:textId="77777777" w:rsidTr="00A13DB5">
        <w:trPr>
          <w:cantSplit/>
        </w:trPr>
        <w:tc>
          <w:tcPr>
            <w:tcW w:w="1316" w:type="dxa"/>
          </w:tcPr>
          <w:p w14:paraId="61657DB8" w14:textId="77777777" w:rsidR="005B507F" w:rsidRPr="00CB1714" w:rsidRDefault="005B507F">
            <w:pPr>
              <w:rPr>
                <w:rFonts w:ascii="Lato" w:hAnsi="Lato"/>
                <w:sz w:val="22"/>
                <w:szCs w:val="22"/>
              </w:rPr>
            </w:pPr>
          </w:p>
        </w:tc>
        <w:tc>
          <w:tcPr>
            <w:tcW w:w="5891" w:type="dxa"/>
          </w:tcPr>
          <w:p w14:paraId="0D94E74B"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and total return swap including:</w:t>
            </w:r>
          </w:p>
        </w:tc>
        <w:tc>
          <w:tcPr>
            <w:tcW w:w="3188" w:type="dxa"/>
            <w:tcBorders>
              <w:top w:val="single" w:sz="4" w:space="0" w:color="auto"/>
            </w:tcBorders>
          </w:tcPr>
          <w:p w14:paraId="2479EDDB"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4F37E486" w14:textId="77777777" w:rsidTr="00A13DB5">
        <w:trPr>
          <w:cantSplit/>
        </w:trPr>
        <w:tc>
          <w:tcPr>
            <w:tcW w:w="1316" w:type="dxa"/>
          </w:tcPr>
          <w:p w14:paraId="3B50BFAB" w14:textId="77777777" w:rsidR="005B507F" w:rsidRPr="00CB1714" w:rsidRDefault="005B507F">
            <w:pPr>
              <w:rPr>
                <w:rFonts w:ascii="Lato" w:hAnsi="Lato"/>
                <w:sz w:val="22"/>
                <w:szCs w:val="22"/>
              </w:rPr>
            </w:pPr>
          </w:p>
        </w:tc>
        <w:tc>
          <w:tcPr>
            <w:tcW w:w="5891" w:type="dxa"/>
          </w:tcPr>
          <w:p w14:paraId="23D5DF5C"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EE696E6"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25A3815D" w14:textId="77777777" w:rsidTr="00A13DB5">
        <w:trPr>
          <w:cantSplit/>
        </w:trPr>
        <w:tc>
          <w:tcPr>
            <w:tcW w:w="1316" w:type="dxa"/>
          </w:tcPr>
          <w:p w14:paraId="2E46C2E5" w14:textId="77777777" w:rsidR="005B507F" w:rsidRPr="00CB1714" w:rsidRDefault="005B507F">
            <w:pPr>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6BAF9957"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Types of assets that can be subject to them</w:t>
            </w:r>
          </w:p>
        </w:tc>
        <w:tc>
          <w:tcPr>
            <w:tcW w:w="3188" w:type="dxa"/>
            <w:tcBorders>
              <w:top w:val="single" w:sz="4" w:space="0" w:color="auto"/>
              <w:left w:val="single" w:sz="4" w:space="0" w:color="auto"/>
              <w:bottom w:val="single" w:sz="4" w:space="0" w:color="auto"/>
              <w:right w:val="single" w:sz="4" w:space="0" w:color="auto"/>
            </w:tcBorders>
          </w:tcPr>
          <w:p w14:paraId="4A9A89C1"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FD53CAC" w14:textId="77777777" w:rsidTr="00A13DB5">
        <w:trPr>
          <w:cantSplit/>
        </w:trPr>
        <w:tc>
          <w:tcPr>
            <w:tcW w:w="1316" w:type="dxa"/>
          </w:tcPr>
          <w:p w14:paraId="0CA694DF" w14:textId="77777777" w:rsidR="005B507F" w:rsidRPr="00CB1714" w:rsidRDefault="005B507F">
            <w:pPr>
              <w:rPr>
                <w:rFonts w:ascii="Lato" w:hAnsi="Lato"/>
                <w:sz w:val="22"/>
                <w:szCs w:val="22"/>
              </w:rPr>
            </w:pPr>
          </w:p>
        </w:tc>
        <w:tc>
          <w:tcPr>
            <w:tcW w:w="5891" w:type="dxa"/>
          </w:tcPr>
          <w:p w14:paraId="6DA9D872"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27E1786A"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438438C2" w14:textId="77777777" w:rsidTr="00A13DB5">
        <w:trPr>
          <w:cantSplit/>
        </w:trPr>
        <w:tc>
          <w:tcPr>
            <w:tcW w:w="1316" w:type="dxa"/>
          </w:tcPr>
          <w:p w14:paraId="028554E0" w14:textId="77777777" w:rsidR="005B507F" w:rsidRPr="00CB1714" w:rsidRDefault="005B507F">
            <w:pPr>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5015C64D"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Maximum proportion of AUM that can be subject to them</w:t>
            </w:r>
          </w:p>
        </w:tc>
        <w:tc>
          <w:tcPr>
            <w:tcW w:w="3188" w:type="dxa"/>
            <w:tcBorders>
              <w:top w:val="single" w:sz="4" w:space="0" w:color="auto"/>
              <w:left w:val="single" w:sz="4" w:space="0" w:color="auto"/>
              <w:bottom w:val="single" w:sz="4" w:space="0" w:color="auto"/>
              <w:right w:val="single" w:sz="4" w:space="0" w:color="auto"/>
            </w:tcBorders>
          </w:tcPr>
          <w:p w14:paraId="6E656944"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32026F8" w14:textId="77777777" w:rsidTr="00A13DB5">
        <w:trPr>
          <w:cantSplit/>
        </w:trPr>
        <w:tc>
          <w:tcPr>
            <w:tcW w:w="1316" w:type="dxa"/>
          </w:tcPr>
          <w:p w14:paraId="42824969" w14:textId="77777777" w:rsidR="005B507F" w:rsidRPr="00CB1714" w:rsidRDefault="005B507F">
            <w:pPr>
              <w:rPr>
                <w:rFonts w:ascii="Lato" w:hAnsi="Lato"/>
                <w:sz w:val="22"/>
                <w:szCs w:val="22"/>
              </w:rPr>
            </w:pPr>
          </w:p>
        </w:tc>
        <w:tc>
          <w:tcPr>
            <w:tcW w:w="5891" w:type="dxa"/>
          </w:tcPr>
          <w:p w14:paraId="1B47204E"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12AF1E0A"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135EB5D3" w14:textId="77777777" w:rsidTr="00A13DB5">
        <w:trPr>
          <w:cantSplit/>
        </w:trPr>
        <w:tc>
          <w:tcPr>
            <w:tcW w:w="1316" w:type="dxa"/>
          </w:tcPr>
          <w:p w14:paraId="6383E0EB" w14:textId="77777777" w:rsidR="005B507F" w:rsidRPr="00CB1714" w:rsidRDefault="005B507F">
            <w:pPr>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555875A1"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Expected proportion of AUM that will be subject to each</w:t>
            </w:r>
          </w:p>
        </w:tc>
        <w:tc>
          <w:tcPr>
            <w:tcW w:w="3188" w:type="dxa"/>
            <w:tcBorders>
              <w:top w:val="single" w:sz="4" w:space="0" w:color="auto"/>
              <w:left w:val="single" w:sz="4" w:space="0" w:color="auto"/>
              <w:bottom w:val="single" w:sz="4" w:space="0" w:color="auto"/>
              <w:right w:val="single" w:sz="4" w:space="0" w:color="auto"/>
            </w:tcBorders>
          </w:tcPr>
          <w:p w14:paraId="3DA58EA9"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14483FA3" w14:textId="77777777" w:rsidTr="00A13DB5">
        <w:trPr>
          <w:cantSplit/>
        </w:trPr>
        <w:tc>
          <w:tcPr>
            <w:tcW w:w="1316" w:type="dxa"/>
          </w:tcPr>
          <w:p w14:paraId="33721D9E" w14:textId="77777777" w:rsidR="005B507F" w:rsidRPr="00CB1714" w:rsidRDefault="005B507F">
            <w:pPr>
              <w:rPr>
                <w:rFonts w:ascii="Lato" w:hAnsi="Lato"/>
                <w:sz w:val="22"/>
                <w:szCs w:val="22"/>
              </w:rPr>
            </w:pPr>
          </w:p>
        </w:tc>
        <w:tc>
          <w:tcPr>
            <w:tcW w:w="5891" w:type="dxa"/>
          </w:tcPr>
          <w:p w14:paraId="3BE7188E"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of them</w:t>
            </w:r>
          </w:p>
        </w:tc>
        <w:tc>
          <w:tcPr>
            <w:tcW w:w="3188" w:type="dxa"/>
            <w:tcBorders>
              <w:top w:val="single" w:sz="4" w:space="0" w:color="auto"/>
            </w:tcBorders>
          </w:tcPr>
          <w:p w14:paraId="2BA5D77A"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2C457F59" w14:textId="77777777" w:rsidTr="00A13DB5">
        <w:trPr>
          <w:cantSplit/>
        </w:trPr>
        <w:tc>
          <w:tcPr>
            <w:tcW w:w="1316" w:type="dxa"/>
          </w:tcPr>
          <w:p w14:paraId="32BDFB4D" w14:textId="77777777" w:rsidR="005B507F" w:rsidRPr="00CB1714" w:rsidRDefault="005B507F">
            <w:pPr>
              <w:rPr>
                <w:rFonts w:ascii="Lato" w:hAnsi="Lato"/>
                <w:sz w:val="22"/>
                <w:szCs w:val="22"/>
              </w:rPr>
            </w:pPr>
          </w:p>
        </w:tc>
        <w:tc>
          <w:tcPr>
            <w:tcW w:w="5891" w:type="dxa"/>
          </w:tcPr>
          <w:p w14:paraId="3D5E7D75"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CFFCC17"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14E7E0B" w14:textId="77777777" w:rsidTr="00A13DB5">
        <w:trPr>
          <w:cantSplit/>
        </w:trPr>
        <w:tc>
          <w:tcPr>
            <w:tcW w:w="1316" w:type="dxa"/>
          </w:tcPr>
          <w:p w14:paraId="01334FE1" w14:textId="77777777" w:rsidR="005B507F" w:rsidRPr="00CB1714" w:rsidRDefault="005B507F">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288C1659"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Disclose the criteria used to select counterparties </w:t>
            </w:r>
          </w:p>
        </w:tc>
        <w:tc>
          <w:tcPr>
            <w:tcW w:w="3188" w:type="dxa"/>
            <w:tcBorders>
              <w:top w:val="single" w:sz="4" w:space="0" w:color="auto"/>
              <w:left w:val="single" w:sz="4" w:space="0" w:color="auto"/>
              <w:bottom w:val="single" w:sz="4" w:space="0" w:color="auto"/>
              <w:right w:val="single" w:sz="4" w:space="0" w:color="auto"/>
            </w:tcBorders>
          </w:tcPr>
          <w:p w14:paraId="2142233C"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0493AB1" w14:textId="77777777" w:rsidTr="00A13DB5">
        <w:trPr>
          <w:cantSplit/>
        </w:trPr>
        <w:tc>
          <w:tcPr>
            <w:tcW w:w="1316" w:type="dxa"/>
          </w:tcPr>
          <w:p w14:paraId="3B462188" w14:textId="77777777" w:rsidR="005B507F" w:rsidRPr="00CB1714" w:rsidRDefault="005B507F">
            <w:pPr>
              <w:rPr>
                <w:rFonts w:ascii="Lato" w:hAnsi="Lato"/>
                <w:sz w:val="22"/>
                <w:szCs w:val="22"/>
              </w:rPr>
            </w:pPr>
          </w:p>
        </w:tc>
        <w:tc>
          <w:tcPr>
            <w:tcW w:w="5891" w:type="dxa"/>
          </w:tcPr>
          <w:p w14:paraId="0C814314"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(including</w:t>
            </w:r>
            <w:r w:rsidRPr="00CB1714">
              <w:rPr>
                <w:rFonts w:ascii="Lato" w:hAnsi="Lato"/>
                <w:b w:val="0"/>
                <w:color w:val="auto"/>
                <w:sz w:val="22"/>
                <w:szCs w:val="22"/>
              </w:rPr>
              <w:t xml:space="preserve"> </w:t>
            </w:r>
            <w:r w:rsidR="005B507F" w:rsidRPr="00CB1714">
              <w:rPr>
                <w:rFonts w:ascii="Lato" w:hAnsi="Lato"/>
                <w:b w:val="0"/>
                <w:color w:val="auto"/>
                <w:sz w:val="22"/>
                <w:szCs w:val="22"/>
              </w:rPr>
              <w:t>legal status, country of origin, minimum credit rating)</w:t>
            </w:r>
          </w:p>
        </w:tc>
        <w:tc>
          <w:tcPr>
            <w:tcW w:w="3188" w:type="dxa"/>
            <w:tcBorders>
              <w:top w:val="single" w:sz="4" w:space="0" w:color="auto"/>
            </w:tcBorders>
          </w:tcPr>
          <w:p w14:paraId="55F7035F"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338E7A14" w14:textId="77777777" w:rsidTr="00A13DB5">
        <w:trPr>
          <w:cantSplit/>
        </w:trPr>
        <w:tc>
          <w:tcPr>
            <w:tcW w:w="1316" w:type="dxa"/>
          </w:tcPr>
          <w:p w14:paraId="145D505A" w14:textId="77777777" w:rsidR="005B507F" w:rsidRPr="00CB1714" w:rsidRDefault="005B507F">
            <w:pPr>
              <w:rPr>
                <w:rFonts w:ascii="Lato" w:hAnsi="Lato"/>
                <w:sz w:val="22"/>
                <w:szCs w:val="22"/>
              </w:rPr>
            </w:pPr>
          </w:p>
        </w:tc>
        <w:tc>
          <w:tcPr>
            <w:tcW w:w="5891" w:type="dxa"/>
          </w:tcPr>
          <w:p w14:paraId="5AE03B13"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74740D1"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3176D545" w14:textId="77777777" w:rsidTr="00A13DB5">
        <w:trPr>
          <w:cantSplit/>
        </w:trPr>
        <w:tc>
          <w:tcPr>
            <w:tcW w:w="1316" w:type="dxa"/>
          </w:tcPr>
          <w:p w14:paraId="7BEE172C" w14:textId="77777777" w:rsidR="005B507F" w:rsidRPr="00CB1714" w:rsidRDefault="005B507F">
            <w:pPr>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77FBDEE1"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Provide a description of acceptable collateral with regard </w:t>
            </w:r>
          </w:p>
        </w:tc>
        <w:tc>
          <w:tcPr>
            <w:tcW w:w="3188" w:type="dxa"/>
            <w:tcBorders>
              <w:top w:val="single" w:sz="4" w:space="0" w:color="auto"/>
              <w:left w:val="single" w:sz="4" w:space="0" w:color="auto"/>
              <w:bottom w:val="single" w:sz="4" w:space="0" w:color="auto"/>
              <w:right w:val="single" w:sz="4" w:space="0" w:color="auto"/>
            </w:tcBorders>
          </w:tcPr>
          <w:p w14:paraId="14A24D29"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C9E3571" w14:textId="77777777" w:rsidTr="00A13DB5">
        <w:trPr>
          <w:cantSplit/>
        </w:trPr>
        <w:tc>
          <w:tcPr>
            <w:tcW w:w="1316" w:type="dxa"/>
          </w:tcPr>
          <w:p w14:paraId="36E07476" w14:textId="77777777" w:rsidR="005B507F" w:rsidRPr="00CB1714" w:rsidRDefault="005B507F">
            <w:pPr>
              <w:rPr>
                <w:rFonts w:ascii="Lato" w:hAnsi="Lato"/>
                <w:sz w:val="22"/>
                <w:szCs w:val="22"/>
              </w:rPr>
            </w:pPr>
          </w:p>
        </w:tc>
        <w:tc>
          <w:tcPr>
            <w:tcW w:w="5891" w:type="dxa"/>
          </w:tcPr>
          <w:p w14:paraId="5BE095C7"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to</w:t>
            </w:r>
            <w:r w:rsidRPr="00CB1714">
              <w:rPr>
                <w:rFonts w:ascii="Lato" w:hAnsi="Lato"/>
                <w:b w:val="0"/>
                <w:color w:val="auto"/>
                <w:sz w:val="22"/>
                <w:szCs w:val="22"/>
              </w:rPr>
              <w:t xml:space="preserve"> </w:t>
            </w:r>
            <w:r w:rsidR="005B507F" w:rsidRPr="00CB1714">
              <w:rPr>
                <w:rFonts w:ascii="Lato" w:hAnsi="Lato"/>
                <w:b w:val="0"/>
                <w:color w:val="auto"/>
                <w:sz w:val="22"/>
                <w:szCs w:val="22"/>
              </w:rPr>
              <w:t>asset types, issuer, maturity, liquidity as well as the collateral diversification and correlation policies</w:t>
            </w:r>
          </w:p>
        </w:tc>
        <w:tc>
          <w:tcPr>
            <w:tcW w:w="3188" w:type="dxa"/>
            <w:tcBorders>
              <w:top w:val="single" w:sz="4" w:space="0" w:color="auto"/>
            </w:tcBorders>
          </w:tcPr>
          <w:p w14:paraId="51DED500"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4DF1A70" w14:textId="77777777" w:rsidTr="00A13DB5">
        <w:trPr>
          <w:cantSplit/>
        </w:trPr>
        <w:tc>
          <w:tcPr>
            <w:tcW w:w="1316" w:type="dxa"/>
          </w:tcPr>
          <w:p w14:paraId="0C752518" w14:textId="77777777" w:rsidR="005B507F" w:rsidRPr="00CB1714" w:rsidRDefault="005B507F">
            <w:pPr>
              <w:rPr>
                <w:rFonts w:ascii="Lato" w:hAnsi="Lato"/>
                <w:sz w:val="22"/>
                <w:szCs w:val="22"/>
              </w:rPr>
            </w:pPr>
          </w:p>
        </w:tc>
        <w:tc>
          <w:tcPr>
            <w:tcW w:w="5891" w:type="dxa"/>
          </w:tcPr>
          <w:p w14:paraId="051CB2B5"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39008AF1"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8FB0C81" w14:textId="77777777" w:rsidTr="00A13DB5">
        <w:trPr>
          <w:cantSplit/>
        </w:trPr>
        <w:tc>
          <w:tcPr>
            <w:tcW w:w="1316" w:type="dxa"/>
          </w:tcPr>
          <w:p w14:paraId="5E062130" w14:textId="77777777" w:rsidR="005B507F" w:rsidRPr="00CB1714" w:rsidRDefault="005B507F">
            <w:pPr>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2C341ADC"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Provide a description of the collateral valuation </w:t>
            </w:r>
          </w:p>
        </w:tc>
        <w:tc>
          <w:tcPr>
            <w:tcW w:w="3188" w:type="dxa"/>
            <w:tcBorders>
              <w:top w:val="single" w:sz="4" w:space="0" w:color="auto"/>
              <w:left w:val="single" w:sz="4" w:space="0" w:color="auto"/>
              <w:bottom w:val="single" w:sz="4" w:space="0" w:color="auto"/>
              <w:right w:val="single" w:sz="4" w:space="0" w:color="auto"/>
            </w:tcBorders>
          </w:tcPr>
          <w:p w14:paraId="65F73D64"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09EAD7C" w14:textId="77777777" w:rsidTr="00A13DB5">
        <w:trPr>
          <w:cantSplit/>
        </w:trPr>
        <w:tc>
          <w:tcPr>
            <w:tcW w:w="1316" w:type="dxa"/>
          </w:tcPr>
          <w:p w14:paraId="321B8F46" w14:textId="77777777" w:rsidR="005B507F" w:rsidRPr="00CB1714" w:rsidRDefault="005B507F">
            <w:pPr>
              <w:rPr>
                <w:rFonts w:ascii="Lato" w:hAnsi="Lato"/>
                <w:sz w:val="22"/>
                <w:szCs w:val="22"/>
              </w:rPr>
            </w:pPr>
          </w:p>
        </w:tc>
        <w:tc>
          <w:tcPr>
            <w:tcW w:w="5891" w:type="dxa"/>
          </w:tcPr>
          <w:p w14:paraId="6654452C"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methodology</w:t>
            </w:r>
            <w:r w:rsidRPr="00CB1714">
              <w:rPr>
                <w:rFonts w:ascii="Lato" w:hAnsi="Lato"/>
                <w:b w:val="0"/>
                <w:color w:val="auto"/>
                <w:sz w:val="22"/>
                <w:szCs w:val="22"/>
              </w:rPr>
              <w:t xml:space="preserve"> </w:t>
            </w:r>
            <w:r w:rsidR="005B507F" w:rsidRPr="00CB1714">
              <w:rPr>
                <w:rFonts w:ascii="Lato" w:hAnsi="Lato"/>
                <w:b w:val="0"/>
                <w:color w:val="auto"/>
                <w:sz w:val="22"/>
                <w:szCs w:val="22"/>
              </w:rPr>
              <w:t>used and its rationale, and whether daily mark-to-market and daily variation margins are used.</w:t>
            </w:r>
          </w:p>
        </w:tc>
        <w:tc>
          <w:tcPr>
            <w:tcW w:w="3188" w:type="dxa"/>
            <w:tcBorders>
              <w:top w:val="single" w:sz="4" w:space="0" w:color="auto"/>
            </w:tcBorders>
          </w:tcPr>
          <w:p w14:paraId="49EE9388"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6BC4E7C" w14:textId="77777777" w:rsidTr="00A13DB5">
        <w:trPr>
          <w:cantSplit/>
        </w:trPr>
        <w:tc>
          <w:tcPr>
            <w:tcW w:w="1316" w:type="dxa"/>
          </w:tcPr>
          <w:p w14:paraId="42724929" w14:textId="77777777" w:rsidR="005B507F" w:rsidRPr="00CB1714" w:rsidRDefault="005B507F">
            <w:pPr>
              <w:rPr>
                <w:rFonts w:ascii="Lato" w:hAnsi="Lato"/>
                <w:sz w:val="22"/>
                <w:szCs w:val="22"/>
              </w:rPr>
            </w:pPr>
          </w:p>
        </w:tc>
        <w:tc>
          <w:tcPr>
            <w:tcW w:w="5891" w:type="dxa"/>
          </w:tcPr>
          <w:p w14:paraId="356D7EF0"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44AB9D3F"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A09A738" w14:textId="77777777" w:rsidTr="00A13DB5">
        <w:trPr>
          <w:cantSplit/>
        </w:trPr>
        <w:tc>
          <w:tcPr>
            <w:tcW w:w="1316" w:type="dxa"/>
          </w:tcPr>
          <w:p w14:paraId="011BA14D" w14:textId="77777777" w:rsidR="005B507F" w:rsidRPr="00CB1714" w:rsidRDefault="005B507F">
            <w:pPr>
              <w:rPr>
                <w:rFonts w:ascii="Lato" w:hAnsi="Lato"/>
                <w:sz w:val="22"/>
                <w:szCs w:val="22"/>
              </w:rPr>
            </w:pPr>
            <w:r w:rsidRPr="00CB1714">
              <w:rPr>
                <w:rFonts w:ascii="Lato" w:hAnsi="Lato"/>
                <w:sz w:val="22"/>
                <w:szCs w:val="22"/>
              </w:rPr>
              <w:t>(f)</w:t>
            </w:r>
          </w:p>
        </w:tc>
        <w:tc>
          <w:tcPr>
            <w:tcW w:w="5891" w:type="dxa"/>
            <w:tcBorders>
              <w:right w:val="single" w:sz="4" w:space="0" w:color="auto"/>
            </w:tcBorders>
          </w:tcPr>
          <w:p w14:paraId="1C07A792"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Provide a description of the risks linked to SFTs and total</w:t>
            </w:r>
          </w:p>
        </w:tc>
        <w:tc>
          <w:tcPr>
            <w:tcW w:w="3188" w:type="dxa"/>
            <w:tcBorders>
              <w:top w:val="single" w:sz="4" w:space="0" w:color="auto"/>
              <w:left w:val="single" w:sz="4" w:space="0" w:color="auto"/>
              <w:bottom w:val="single" w:sz="4" w:space="0" w:color="auto"/>
              <w:right w:val="single" w:sz="4" w:space="0" w:color="auto"/>
            </w:tcBorders>
          </w:tcPr>
          <w:p w14:paraId="6CB4400A"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47C721FF" w14:textId="77777777" w:rsidTr="00A13DB5">
        <w:trPr>
          <w:cantSplit/>
        </w:trPr>
        <w:tc>
          <w:tcPr>
            <w:tcW w:w="1316" w:type="dxa"/>
          </w:tcPr>
          <w:p w14:paraId="3F610103" w14:textId="77777777" w:rsidR="005B507F" w:rsidRPr="00CB1714" w:rsidRDefault="005B507F">
            <w:pPr>
              <w:rPr>
                <w:rFonts w:ascii="Lato" w:hAnsi="Lato"/>
                <w:sz w:val="22"/>
                <w:szCs w:val="22"/>
              </w:rPr>
            </w:pPr>
          </w:p>
        </w:tc>
        <w:tc>
          <w:tcPr>
            <w:tcW w:w="5891" w:type="dxa"/>
          </w:tcPr>
          <w:p w14:paraId="077098A0" w14:textId="77777777" w:rsidR="005B507F" w:rsidRPr="00CB1714" w:rsidRDefault="005B507F" w:rsidP="0086642B">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return swaps as well as risks linked to collateral management, such as operational, liquidity, counterparty, custody and legal risks and, where applicable, the risks arising from its reuse.</w:t>
            </w:r>
          </w:p>
        </w:tc>
        <w:tc>
          <w:tcPr>
            <w:tcW w:w="3188" w:type="dxa"/>
            <w:tcBorders>
              <w:top w:val="single" w:sz="4" w:space="0" w:color="auto"/>
            </w:tcBorders>
          </w:tcPr>
          <w:p w14:paraId="059BDF03"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0D19CCF" w14:textId="77777777" w:rsidTr="00A13DB5">
        <w:trPr>
          <w:cantSplit/>
        </w:trPr>
        <w:tc>
          <w:tcPr>
            <w:tcW w:w="1316" w:type="dxa"/>
          </w:tcPr>
          <w:p w14:paraId="3D701E69" w14:textId="77777777" w:rsidR="005B507F" w:rsidRPr="00CB1714" w:rsidRDefault="005B507F">
            <w:pPr>
              <w:rPr>
                <w:rFonts w:ascii="Lato" w:hAnsi="Lato"/>
                <w:sz w:val="22"/>
                <w:szCs w:val="22"/>
              </w:rPr>
            </w:pPr>
          </w:p>
        </w:tc>
        <w:tc>
          <w:tcPr>
            <w:tcW w:w="5891" w:type="dxa"/>
          </w:tcPr>
          <w:p w14:paraId="114B75C5"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16F1AEF5"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320970A" w14:textId="77777777" w:rsidTr="00A13DB5">
        <w:trPr>
          <w:cantSplit/>
        </w:trPr>
        <w:tc>
          <w:tcPr>
            <w:tcW w:w="1316" w:type="dxa"/>
          </w:tcPr>
          <w:p w14:paraId="147986B2" w14:textId="77777777" w:rsidR="005B507F" w:rsidRPr="00CB1714" w:rsidRDefault="005B507F">
            <w:pPr>
              <w:rPr>
                <w:rFonts w:ascii="Lato" w:hAnsi="Lato"/>
                <w:sz w:val="22"/>
                <w:szCs w:val="22"/>
              </w:rPr>
            </w:pPr>
            <w:r w:rsidRPr="00CB1714">
              <w:rPr>
                <w:rFonts w:ascii="Lato" w:hAnsi="Lato"/>
                <w:sz w:val="22"/>
                <w:szCs w:val="22"/>
              </w:rPr>
              <w:t>(g)</w:t>
            </w:r>
          </w:p>
        </w:tc>
        <w:tc>
          <w:tcPr>
            <w:tcW w:w="5891" w:type="dxa"/>
            <w:tcBorders>
              <w:right w:val="single" w:sz="4" w:space="0" w:color="auto"/>
            </w:tcBorders>
          </w:tcPr>
          <w:p w14:paraId="153117CF"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Specify how assets subject to SFTs and total return swaps </w:t>
            </w:r>
          </w:p>
        </w:tc>
        <w:tc>
          <w:tcPr>
            <w:tcW w:w="3188" w:type="dxa"/>
            <w:tcBorders>
              <w:top w:val="single" w:sz="4" w:space="0" w:color="auto"/>
              <w:left w:val="single" w:sz="4" w:space="0" w:color="auto"/>
              <w:bottom w:val="single" w:sz="4" w:space="0" w:color="auto"/>
              <w:right w:val="single" w:sz="4" w:space="0" w:color="auto"/>
            </w:tcBorders>
          </w:tcPr>
          <w:p w14:paraId="176B1C12"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2AB5F5FC" w14:textId="77777777" w:rsidTr="00A13DB5">
        <w:trPr>
          <w:cantSplit/>
        </w:trPr>
        <w:tc>
          <w:tcPr>
            <w:tcW w:w="1316" w:type="dxa"/>
          </w:tcPr>
          <w:p w14:paraId="144F0C77" w14:textId="77777777" w:rsidR="005B507F" w:rsidRPr="00CB1714" w:rsidRDefault="005B507F">
            <w:pPr>
              <w:rPr>
                <w:rFonts w:ascii="Lato" w:hAnsi="Lato"/>
                <w:sz w:val="22"/>
                <w:szCs w:val="22"/>
              </w:rPr>
            </w:pPr>
          </w:p>
        </w:tc>
        <w:tc>
          <w:tcPr>
            <w:tcW w:w="5891" w:type="dxa"/>
          </w:tcPr>
          <w:p w14:paraId="379DDCB1"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and</w:t>
            </w:r>
            <w:r w:rsidRPr="00CB1714">
              <w:rPr>
                <w:rFonts w:ascii="Lato" w:hAnsi="Lato"/>
                <w:b w:val="0"/>
                <w:color w:val="auto"/>
                <w:sz w:val="22"/>
                <w:szCs w:val="22"/>
              </w:rPr>
              <w:t xml:space="preserve"> </w:t>
            </w:r>
            <w:r w:rsidR="005B507F" w:rsidRPr="00CB1714">
              <w:rPr>
                <w:rFonts w:ascii="Lato" w:hAnsi="Lato"/>
                <w:b w:val="0"/>
                <w:color w:val="auto"/>
                <w:sz w:val="22"/>
                <w:szCs w:val="22"/>
              </w:rPr>
              <w:t>collateral received are safe-kept (e.g. with fund depositary.)</w:t>
            </w:r>
          </w:p>
        </w:tc>
        <w:tc>
          <w:tcPr>
            <w:tcW w:w="3188" w:type="dxa"/>
            <w:tcBorders>
              <w:top w:val="single" w:sz="4" w:space="0" w:color="auto"/>
            </w:tcBorders>
          </w:tcPr>
          <w:p w14:paraId="3E284A44"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31059AC" w14:textId="77777777" w:rsidTr="00A13DB5">
        <w:trPr>
          <w:cantSplit/>
        </w:trPr>
        <w:tc>
          <w:tcPr>
            <w:tcW w:w="1316" w:type="dxa"/>
          </w:tcPr>
          <w:p w14:paraId="21AA91E0" w14:textId="77777777" w:rsidR="005B507F" w:rsidRPr="00CB1714" w:rsidRDefault="005B507F">
            <w:pPr>
              <w:rPr>
                <w:rFonts w:ascii="Lato" w:hAnsi="Lato"/>
                <w:sz w:val="22"/>
                <w:szCs w:val="22"/>
              </w:rPr>
            </w:pPr>
          </w:p>
        </w:tc>
        <w:tc>
          <w:tcPr>
            <w:tcW w:w="5891" w:type="dxa"/>
          </w:tcPr>
          <w:p w14:paraId="27AB033C"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66A7EBDD"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915EA5E" w14:textId="77777777" w:rsidTr="00A13DB5">
        <w:trPr>
          <w:cantSplit/>
        </w:trPr>
        <w:tc>
          <w:tcPr>
            <w:tcW w:w="1316" w:type="dxa"/>
          </w:tcPr>
          <w:p w14:paraId="354CF3E7" w14:textId="77777777" w:rsidR="005B507F" w:rsidRPr="00CB1714" w:rsidRDefault="005B507F">
            <w:pPr>
              <w:rPr>
                <w:rFonts w:ascii="Lato" w:hAnsi="Lato"/>
                <w:sz w:val="22"/>
                <w:szCs w:val="22"/>
              </w:rPr>
            </w:pPr>
            <w:r w:rsidRPr="00CB1714">
              <w:rPr>
                <w:rFonts w:ascii="Lato" w:hAnsi="Lato"/>
                <w:sz w:val="22"/>
                <w:szCs w:val="22"/>
              </w:rPr>
              <w:t>(h)</w:t>
            </w:r>
          </w:p>
        </w:tc>
        <w:tc>
          <w:tcPr>
            <w:tcW w:w="5891" w:type="dxa"/>
            <w:tcBorders>
              <w:right w:val="single" w:sz="4" w:space="0" w:color="auto"/>
            </w:tcBorders>
          </w:tcPr>
          <w:p w14:paraId="6435A548"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Specify any restrictions (regulatory or self-imposed) on </w:t>
            </w:r>
          </w:p>
        </w:tc>
        <w:tc>
          <w:tcPr>
            <w:tcW w:w="3188" w:type="dxa"/>
            <w:tcBorders>
              <w:top w:val="single" w:sz="4" w:space="0" w:color="auto"/>
              <w:left w:val="single" w:sz="4" w:space="0" w:color="auto"/>
              <w:bottom w:val="single" w:sz="4" w:space="0" w:color="auto"/>
              <w:right w:val="single" w:sz="4" w:space="0" w:color="auto"/>
            </w:tcBorders>
          </w:tcPr>
          <w:p w14:paraId="7912961E"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5E9764E0" w14:textId="77777777" w:rsidTr="00A13DB5">
        <w:trPr>
          <w:cantSplit/>
        </w:trPr>
        <w:tc>
          <w:tcPr>
            <w:tcW w:w="1316" w:type="dxa"/>
          </w:tcPr>
          <w:p w14:paraId="38CD0086" w14:textId="77777777" w:rsidR="005B507F" w:rsidRPr="00CB1714" w:rsidRDefault="005B507F">
            <w:pPr>
              <w:rPr>
                <w:rFonts w:ascii="Lato" w:hAnsi="Lato"/>
                <w:sz w:val="22"/>
                <w:szCs w:val="22"/>
              </w:rPr>
            </w:pPr>
          </w:p>
        </w:tc>
        <w:tc>
          <w:tcPr>
            <w:tcW w:w="5891" w:type="dxa"/>
          </w:tcPr>
          <w:p w14:paraId="2B99EF7F"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reuse</w:t>
            </w:r>
            <w:r w:rsidRPr="00CB1714">
              <w:rPr>
                <w:rFonts w:ascii="Lato" w:hAnsi="Lato"/>
                <w:b w:val="0"/>
                <w:color w:val="auto"/>
                <w:sz w:val="22"/>
                <w:szCs w:val="22"/>
              </w:rPr>
              <w:t xml:space="preserve"> </w:t>
            </w:r>
            <w:r w:rsidR="005B507F" w:rsidRPr="00CB1714">
              <w:rPr>
                <w:rFonts w:ascii="Lato" w:hAnsi="Lato"/>
                <w:b w:val="0"/>
                <w:color w:val="auto"/>
                <w:sz w:val="22"/>
                <w:szCs w:val="22"/>
              </w:rPr>
              <w:t>of collateral</w:t>
            </w:r>
          </w:p>
        </w:tc>
        <w:tc>
          <w:tcPr>
            <w:tcW w:w="3188" w:type="dxa"/>
            <w:tcBorders>
              <w:top w:val="single" w:sz="4" w:space="0" w:color="auto"/>
            </w:tcBorders>
          </w:tcPr>
          <w:p w14:paraId="4B85944E"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26CE253E" w14:textId="77777777" w:rsidTr="00A13DB5">
        <w:trPr>
          <w:cantSplit/>
        </w:trPr>
        <w:tc>
          <w:tcPr>
            <w:tcW w:w="1316" w:type="dxa"/>
          </w:tcPr>
          <w:p w14:paraId="7105DED5" w14:textId="77777777" w:rsidR="005B507F" w:rsidRPr="00CB1714" w:rsidRDefault="005B507F">
            <w:pPr>
              <w:rPr>
                <w:rFonts w:ascii="Lato" w:hAnsi="Lato"/>
                <w:sz w:val="22"/>
                <w:szCs w:val="22"/>
              </w:rPr>
            </w:pPr>
          </w:p>
        </w:tc>
        <w:tc>
          <w:tcPr>
            <w:tcW w:w="5891" w:type="dxa"/>
          </w:tcPr>
          <w:p w14:paraId="09427C15" w14:textId="77777777" w:rsidR="005B507F" w:rsidRPr="00CB1714" w:rsidRDefault="005B507F" w:rsidP="0086642B">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69ED7EB"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0BC1E38C" w14:textId="77777777" w:rsidTr="00A13DB5">
        <w:trPr>
          <w:cantSplit/>
        </w:trPr>
        <w:tc>
          <w:tcPr>
            <w:tcW w:w="1316" w:type="dxa"/>
          </w:tcPr>
          <w:p w14:paraId="4D779151" w14:textId="77777777" w:rsidR="005B507F" w:rsidRPr="00CB1714" w:rsidRDefault="005B507F">
            <w:pPr>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7F0EA970" w14:textId="77777777" w:rsidR="005B507F" w:rsidRPr="00CB1714" w:rsidRDefault="005B507F" w:rsidP="00CB1714">
            <w:pPr>
              <w:pStyle w:val="Heading3"/>
              <w:spacing w:before="0" w:after="0" w:line="240" w:lineRule="auto"/>
              <w:rPr>
                <w:rFonts w:ascii="Lato" w:hAnsi="Lato"/>
                <w:b w:val="0"/>
                <w:bCs/>
                <w:color w:val="auto"/>
                <w:sz w:val="22"/>
                <w:szCs w:val="22"/>
              </w:rPr>
            </w:pPr>
            <w:r w:rsidRPr="00CB1714">
              <w:rPr>
                <w:rFonts w:ascii="Lato" w:hAnsi="Lato"/>
                <w:b w:val="0"/>
                <w:color w:val="auto"/>
                <w:sz w:val="22"/>
                <w:szCs w:val="22"/>
              </w:rPr>
              <w:t xml:space="preserve">Disclose the policy on sharing of return generated by SFTs </w:t>
            </w:r>
          </w:p>
        </w:tc>
        <w:tc>
          <w:tcPr>
            <w:tcW w:w="3188" w:type="dxa"/>
            <w:tcBorders>
              <w:top w:val="single" w:sz="4" w:space="0" w:color="auto"/>
              <w:left w:val="single" w:sz="4" w:space="0" w:color="auto"/>
              <w:bottom w:val="single" w:sz="4" w:space="0" w:color="auto"/>
              <w:right w:val="single" w:sz="4" w:space="0" w:color="auto"/>
            </w:tcBorders>
          </w:tcPr>
          <w:p w14:paraId="708725CB"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63F5CEC2" w14:textId="77777777" w:rsidTr="00A13DB5">
        <w:trPr>
          <w:cantSplit/>
        </w:trPr>
        <w:tc>
          <w:tcPr>
            <w:tcW w:w="1316" w:type="dxa"/>
          </w:tcPr>
          <w:p w14:paraId="28431CA5" w14:textId="77777777" w:rsidR="005B507F" w:rsidRPr="00CB1714" w:rsidRDefault="005B507F">
            <w:pPr>
              <w:rPr>
                <w:rFonts w:ascii="Lato" w:hAnsi="Lato"/>
                <w:sz w:val="22"/>
                <w:szCs w:val="22"/>
              </w:rPr>
            </w:pPr>
          </w:p>
        </w:tc>
        <w:tc>
          <w:tcPr>
            <w:tcW w:w="5891" w:type="dxa"/>
          </w:tcPr>
          <w:p w14:paraId="31AEB4EB" w14:textId="77777777" w:rsidR="005B507F" w:rsidRPr="00CB1714" w:rsidRDefault="000B0B07" w:rsidP="0086642B">
            <w:pPr>
              <w:pStyle w:val="Heading3"/>
              <w:spacing w:before="0" w:after="0" w:line="240" w:lineRule="auto"/>
              <w:rPr>
                <w:rFonts w:ascii="Lato" w:hAnsi="Lato"/>
                <w:b w:val="0"/>
                <w:bCs/>
                <w:color w:val="auto"/>
                <w:sz w:val="22"/>
                <w:szCs w:val="22"/>
              </w:rPr>
            </w:pPr>
            <w:r w:rsidRPr="00F72ED7">
              <w:rPr>
                <w:rFonts w:ascii="Lato" w:hAnsi="Lato"/>
                <w:b w:val="0"/>
                <w:color w:val="auto"/>
                <w:sz w:val="22"/>
                <w:szCs w:val="22"/>
              </w:rPr>
              <w:t>and</w:t>
            </w:r>
            <w:r w:rsidRPr="00CB1714">
              <w:rPr>
                <w:rFonts w:ascii="Lato" w:hAnsi="Lato"/>
                <w:b w:val="0"/>
                <w:color w:val="auto"/>
                <w:sz w:val="22"/>
                <w:szCs w:val="22"/>
              </w:rPr>
              <w:t xml:space="preserve"> </w:t>
            </w:r>
            <w:r w:rsidR="005B507F" w:rsidRPr="00CB1714">
              <w:rPr>
                <w:rFonts w:ascii="Lato" w:hAnsi="Lato"/>
                <w:b w:val="0"/>
                <w:color w:val="auto"/>
                <w:sz w:val="22"/>
                <w:szCs w:val="22"/>
              </w:rPr>
              <w:t>total return swaps: description of the proportions of the revenue generated by SFTs and total return swaps that is returned to the collective investment undertaking, and of the costs and fees assigned to the manager or third parties (e.g. the agent lender). Indicate if these are related parties to the manager.</w:t>
            </w:r>
          </w:p>
        </w:tc>
        <w:tc>
          <w:tcPr>
            <w:tcW w:w="3188" w:type="dxa"/>
            <w:tcBorders>
              <w:top w:val="single" w:sz="4" w:space="0" w:color="auto"/>
            </w:tcBorders>
          </w:tcPr>
          <w:p w14:paraId="165F6015"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5B507F" w:rsidRPr="00CB1714" w14:paraId="4DDD6C61" w14:textId="77777777" w:rsidTr="00990D73">
        <w:trPr>
          <w:cantSplit/>
        </w:trPr>
        <w:tc>
          <w:tcPr>
            <w:tcW w:w="1316" w:type="dxa"/>
          </w:tcPr>
          <w:p w14:paraId="6809CD1A" w14:textId="77777777" w:rsidR="005B507F" w:rsidRPr="00CB1714" w:rsidRDefault="005B507F">
            <w:pPr>
              <w:rPr>
                <w:rFonts w:ascii="Lato" w:hAnsi="Lato"/>
                <w:sz w:val="22"/>
                <w:szCs w:val="22"/>
              </w:rPr>
            </w:pPr>
          </w:p>
        </w:tc>
        <w:tc>
          <w:tcPr>
            <w:tcW w:w="5891" w:type="dxa"/>
          </w:tcPr>
          <w:p w14:paraId="5B0E5C79" w14:textId="77777777" w:rsidR="005B507F" w:rsidRPr="00CB1714" w:rsidRDefault="005B507F" w:rsidP="00DA56ED">
            <w:pPr>
              <w:pStyle w:val="Heading3"/>
              <w:spacing w:before="0" w:after="0" w:line="240" w:lineRule="auto"/>
              <w:rPr>
                <w:rFonts w:ascii="Lato" w:hAnsi="Lato"/>
                <w:b w:val="0"/>
                <w:bCs/>
                <w:color w:val="auto"/>
                <w:sz w:val="22"/>
                <w:szCs w:val="22"/>
              </w:rPr>
            </w:pPr>
          </w:p>
        </w:tc>
        <w:tc>
          <w:tcPr>
            <w:tcW w:w="3188" w:type="dxa"/>
          </w:tcPr>
          <w:p w14:paraId="50FE7BBA" w14:textId="77777777" w:rsidR="005B507F" w:rsidRPr="00CB1714" w:rsidRDefault="005B507F">
            <w:pPr>
              <w:pStyle w:val="Heading3"/>
              <w:spacing w:before="0" w:after="0" w:line="240" w:lineRule="auto"/>
              <w:rPr>
                <w:rFonts w:ascii="Lato" w:hAnsi="Lato"/>
                <w:b w:val="0"/>
                <w:bCs/>
                <w:color w:val="auto"/>
                <w:sz w:val="22"/>
                <w:szCs w:val="22"/>
                <w:u w:val="single"/>
              </w:rPr>
            </w:pPr>
          </w:p>
        </w:tc>
      </w:tr>
      <w:tr w:rsidR="004674C2" w:rsidRPr="00CB1714" w14:paraId="400561FA" w14:textId="77777777" w:rsidTr="00990D73">
        <w:trPr>
          <w:cantSplit/>
        </w:trPr>
        <w:tc>
          <w:tcPr>
            <w:tcW w:w="1316" w:type="dxa"/>
          </w:tcPr>
          <w:p w14:paraId="4293AEF6" w14:textId="77777777" w:rsidR="004674C2" w:rsidRPr="00CB1714" w:rsidRDefault="004674C2" w:rsidP="004674C2">
            <w:pPr>
              <w:rPr>
                <w:rFonts w:ascii="Lato" w:hAnsi="Lato"/>
                <w:sz w:val="22"/>
                <w:szCs w:val="22"/>
              </w:rPr>
            </w:pPr>
            <w:r w:rsidRPr="00A27FD4">
              <w:rPr>
                <w:rFonts w:ascii="Lato" w:hAnsi="Lato"/>
                <w:sz w:val="22"/>
                <w:szCs w:val="22"/>
              </w:rPr>
              <w:t>2.2.14</w:t>
            </w:r>
          </w:p>
        </w:tc>
        <w:tc>
          <w:tcPr>
            <w:tcW w:w="5891" w:type="dxa"/>
          </w:tcPr>
          <w:p w14:paraId="36ABF885"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u w:val="single"/>
              </w:rPr>
              <w:t>Sustainable Finance</w:t>
            </w:r>
          </w:p>
        </w:tc>
        <w:tc>
          <w:tcPr>
            <w:tcW w:w="3188" w:type="dxa"/>
          </w:tcPr>
          <w:p w14:paraId="7E69E865"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51E99BF" w14:textId="77777777" w:rsidTr="008F21CA">
        <w:trPr>
          <w:cantSplit/>
        </w:trPr>
        <w:tc>
          <w:tcPr>
            <w:tcW w:w="1316" w:type="dxa"/>
          </w:tcPr>
          <w:p w14:paraId="298C9441" w14:textId="77777777" w:rsidR="004674C2" w:rsidRPr="00CB1714" w:rsidRDefault="004674C2" w:rsidP="004674C2">
            <w:pPr>
              <w:rPr>
                <w:rFonts w:ascii="Lato" w:hAnsi="Lato"/>
                <w:sz w:val="22"/>
                <w:szCs w:val="22"/>
              </w:rPr>
            </w:pPr>
            <w:r w:rsidRPr="00A27FD4">
              <w:rPr>
                <w:rFonts w:ascii="Lato" w:hAnsi="Lato"/>
                <w:sz w:val="22"/>
                <w:szCs w:val="22"/>
              </w:rPr>
              <w:t>(a)</w:t>
            </w:r>
          </w:p>
        </w:tc>
        <w:tc>
          <w:tcPr>
            <w:tcW w:w="5891" w:type="dxa"/>
          </w:tcPr>
          <w:p w14:paraId="112052B0"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Include the following:</w:t>
            </w:r>
          </w:p>
        </w:tc>
        <w:tc>
          <w:tcPr>
            <w:tcW w:w="3188" w:type="dxa"/>
            <w:tcBorders>
              <w:bottom w:val="single" w:sz="4" w:space="0" w:color="auto"/>
            </w:tcBorders>
          </w:tcPr>
          <w:p w14:paraId="2010F1F2"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5126480" w14:textId="77777777" w:rsidTr="008F21CA">
        <w:trPr>
          <w:cantSplit/>
        </w:trPr>
        <w:tc>
          <w:tcPr>
            <w:tcW w:w="1316" w:type="dxa"/>
          </w:tcPr>
          <w:p w14:paraId="41FCFD24" w14:textId="77777777" w:rsidR="004674C2" w:rsidRPr="00CB1714" w:rsidRDefault="004674C2" w:rsidP="004674C2">
            <w:pPr>
              <w:rPr>
                <w:rFonts w:ascii="Lato" w:hAnsi="Lato"/>
                <w:sz w:val="22"/>
                <w:szCs w:val="22"/>
              </w:rPr>
            </w:pPr>
            <w:r w:rsidRPr="00A27FD4">
              <w:rPr>
                <w:rFonts w:ascii="Lato" w:hAnsi="Lato"/>
                <w:sz w:val="22"/>
                <w:szCs w:val="22"/>
              </w:rPr>
              <w:t>(i)</w:t>
            </w:r>
          </w:p>
        </w:tc>
        <w:tc>
          <w:tcPr>
            <w:tcW w:w="5891" w:type="dxa"/>
            <w:tcBorders>
              <w:right w:val="single" w:sz="4" w:space="0" w:color="auto"/>
            </w:tcBorders>
          </w:tcPr>
          <w:p w14:paraId="2188363B"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information on how environmental or social </w:t>
            </w:r>
          </w:p>
        </w:tc>
        <w:tc>
          <w:tcPr>
            <w:tcW w:w="3188" w:type="dxa"/>
            <w:tcBorders>
              <w:top w:val="single" w:sz="4" w:space="0" w:color="auto"/>
              <w:left w:val="single" w:sz="4" w:space="0" w:color="auto"/>
              <w:bottom w:val="single" w:sz="4" w:space="0" w:color="auto"/>
              <w:right w:val="single" w:sz="4" w:space="0" w:color="auto"/>
            </w:tcBorders>
          </w:tcPr>
          <w:p w14:paraId="01953B59"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03584F8" w14:textId="77777777" w:rsidTr="008F21CA">
        <w:trPr>
          <w:cantSplit/>
        </w:trPr>
        <w:tc>
          <w:tcPr>
            <w:tcW w:w="1316" w:type="dxa"/>
          </w:tcPr>
          <w:p w14:paraId="3DA671EC" w14:textId="77777777" w:rsidR="004674C2" w:rsidRPr="00CB1714" w:rsidRDefault="004674C2" w:rsidP="004674C2">
            <w:pPr>
              <w:rPr>
                <w:rFonts w:ascii="Lato" w:hAnsi="Lato"/>
                <w:sz w:val="22"/>
                <w:szCs w:val="22"/>
              </w:rPr>
            </w:pPr>
          </w:p>
        </w:tc>
        <w:tc>
          <w:tcPr>
            <w:tcW w:w="5891" w:type="dxa"/>
          </w:tcPr>
          <w:p w14:paraId="356D2D7F"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characteristics, or a combination of those characteristics are met</w:t>
            </w:r>
          </w:p>
        </w:tc>
        <w:tc>
          <w:tcPr>
            <w:tcW w:w="3188" w:type="dxa"/>
            <w:tcBorders>
              <w:top w:val="single" w:sz="4" w:space="0" w:color="auto"/>
              <w:bottom w:val="single" w:sz="4" w:space="0" w:color="auto"/>
            </w:tcBorders>
          </w:tcPr>
          <w:p w14:paraId="387734E8"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A9DFB07" w14:textId="77777777" w:rsidTr="008F21CA">
        <w:trPr>
          <w:cantSplit/>
        </w:trPr>
        <w:tc>
          <w:tcPr>
            <w:tcW w:w="1316" w:type="dxa"/>
          </w:tcPr>
          <w:p w14:paraId="303AEC05" w14:textId="77777777" w:rsidR="004674C2" w:rsidRPr="00CB1714" w:rsidRDefault="004674C2" w:rsidP="004674C2">
            <w:pPr>
              <w:rPr>
                <w:rFonts w:ascii="Lato" w:hAnsi="Lato"/>
                <w:sz w:val="22"/>
                <w:szCs w:val="22"/>
              </w:rPr>
            </w:pPr>
            <w:r w:rsidRPr="00A27FD4">
              <w:rPr>
                <w:rFonts w:ascii="Lato" w:hAnsi="Lato"/>
                <w:sz w:val="22"/>
                <w:szCs w:val="22"/>
              </w:rPr>
              <w:t>(ii)</w:t>
            </w:r>
          </w:p>
        </w:tc>
        <w:tc>
          <w:tcPr>
            <w:tcW w:w="5891" w:type="dxa"/>
            <w:tcBorders>
              <w:right w:val="single" w:sz="4" w:space="0" w:color="auto"/>
            </w:tcBorders>
          </w:tcPr>
          <w:p w14:paraId="5F7D520F"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if an index has been designated as a reference </w:t>
            </w:r>
          </w:p>
        </w:tc>
        <w:tc>
          <w:tcPr>
            <w:tcW w:w="3188" w:type="dxa"/>
            <w:tcBorders>
              <w:top w:val="single" w:sz="4" w:space="0" w:color="auto"/>
              <w:left w:val="single" w:sz="4" w:space="0" w:color="auto"/>
              <w:bottom w:val="single" w:sz="4" w:space="0" w:color="auto"/>
              <w:right w:val="single" w:sz="4" w:space="0" w:color="auto"/>
            </w:tcBorders>
          </w:tcPr>
          <w:p w14:paraId="65C1E5E9"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210FBE1C" w14:textId="77777777" w:rsidTr="008F21CA">
        <w:trPr>
          <w:cantSplit/>
        </w:trPr>
        <w:tc>
          <w:tcPr>
            <w:tcW w:w="1316" w:type="dxa"/>
          </w:tcPr>
          <w:p w14:paraId="79B41E25" w14:textId="77777777" w:rsidR="004674C2" w:rsidRPr="00CB1714" w:rsidRDefault="004674C2" w:rsidP="004674C2">
            <w:pPr>
              <w:rPr>
                <w:rFonts w:ascii="Lato" w:hAnsi="Lato"/>
                <w:sz w:val="22"/>
                <w:szCs w:val="22"/>
              </w:rPr>
            </w:pPr>
          </w:p>
        </w:tc>
        <w:tc>
          <w:tcPr>
            <w:tcW w:w="5891" w:type="dxa"/>
          </w:tcPr>
          <w:p w14:paraId="0DF57325"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benchmark, information on whether and how this index is consistent with those characteristics</w:t>
            </w:r>
          </w:p>
        </w:tc>
        <w:tc>
          <w:tcPr>
            <w:tcW w:w="3188" w:type="dxa"/>
            <w:tcBorders>
              <w:top w:val="single" w:sz="4" w:space="0" w:color="auto"/>
              <w:bottom w:val="single" w:sz="4" w:space="0" w:color="auto"/>
            </w:tcBorders>
          </w:tcPr>
          <w:p w14:paraId="1C4F161B"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61DF775A" w14:textId="77777777" w:rsidTr="008F21CA">
        <w:trPr>
          <w:cantSplit/>
        </w:trPr>
        <w:tc>
          <w:tcPr>
            <w:tcW w:w="1316" w:type="dxa"/>
          </w:tcPr>
          <w:p w14:paraId="73FD09C4" w14:textId="77777777" w:rsidR="004674C2" w:rsidRPr="00CB1714" w:rsidRDefault="004674C2" w:rsidP="004674C2">
            <w:pPr>
              <w:rPr>
                <w:rFonts w:ascii="Lato" w:hAnsi="Lato"/>
                <w:sz w:val="22"/>
                <w:szCs w:val="22"/>
              </w:rPr>
            </w:pPr>
            <w:r w:rsidRPr="00A27FD4">
              <w:rPr>
                <w:rFonts w:ascii="Lato" w:hAnsi="Lato"/>
                <w:sz w:val="22"/>
                <w:szCs w:val="22"/>
              </w:rPr>
              <w:t>(iii)</w:t>
            </w:r>
          </w:p>
        </w:tc>
        <w:tc>
          <w:tcPr>
            <w:tcW w:w="5891" w:type="dxa"/>
            <w:tcBorders>
              <w:right w:val="single" w:sz="4" w:space="0" w:color="auto"/>
            </w:tcBorders>
          </w:tcPr>
          <w:p w14:paraId="4D6C9CFD"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5ACF6841"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32054730" w14:textId="77777777" w:rsidTr="008F21CA">
        <w:trPr>
          <w:cantSplit/>
        </w:trPr>
        <w:tc>
          <w:tcPr>
            <w:tcW w:w="1316" w:type="dxa"/>
          </w:tcPr>
          <w:p w14:paraId="54F2AD8E" w14:textId="77777777" w:rsidR="004674C2" w:rsidRPr="00CB1714" w:rsidRDefault="004674C2" w:rsidP="004674C2">
            <w:pPr>
              <w:rPr>
                <w:rFonts w:ascii="Lato" w:hAnsi="Lato"/>
                <w:sz w:val="22"/>
                <w:szCs w:val="22"/>
              </w:rPr>
            </w:pPr>
          </w:p>
        </w:tc>
        <w:tc>
          <w:tcPr>
            <w:tcW w:w="5891" w:type="dxa"/>
          </w:tcPr>
          <w:p w14:paraId="7CF91612"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calculation of the index can be found</w:t>
            </w:r>
          </w:p>
        </w:tc>
        <w:tc>
          <w:tcPr>
            <w:tcW w:w="3188" w:type="dxa"/>
            <w:tcBorders>
              <w:top w:val="single" w:sz="4" w:space="0" w:color="auto"/>
            </w:tcBorders>
          </w:tcPr>
          <w:p w14:paraId="7AD0A98C"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15132D76" w14:textId="77777777" w:rsidTr="00990D73">
        <w:trPr>
          <w:cantSplit/>
        </w:trPr>
        <w:tc>
          <w:tcPr>
            <w:tcW w:w="1316" w:type="dxa"/>
          </w:tcPr>
          <w:p w14:paraId="0F88C280" w14:textId="77777777" w:rsidR="004674C2" w:rsidRPr="00CB1714" w:rsidRDefault="004674C2" w:rsidP="004674C2">
            <w:pPr>
              <w:rPr>
                <w:rFonts w:ascii="Lato" w:hAnsi="Lato"/>
                <w:sz w:val="22"/>
                <w:szCs w:val="22"/>
              </w:rPr>
            </w:pPr>
          </w:p>
        </w:tc>
        <w:tc>
          <w:tcPr>
            <w:tcW w:w="5891" w:type="dxa"/>
          </w:tcPr>
          <w:p w14:paraId="0C9A559C"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Pr>
          <w:p w14:paraId="17D3027D"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749F5687" w14:textId="77777777" w:rsidTr="008F21CA">
        <w:trPr>
          <w:cantSplit/>
        </w:trPr>
        <w:tc>
          <w:tcPr>
            <w:tcW w:w="1316" w:type="dxa"/>
          </w:tcPr>
          <w:p w14:paraId="1BC3B640" w14:textId="77777777" w:rsidR="004674C2" w:rsidRPr="00CB1714" w:rsidRDefault="004674C2" w:rsidP="004674C2">
            <w:pPr>
              <w:rPr>
                <w:rFonts w:ascii="Lato" w:hAnsi="Lato"/>
                <w:sz w:val="22"/>
                <w:szCs w:val="22"/>
              </w:rPr>
            </w:pPr>
            <w:r w:rsidRPr="00A27FD4">
              <w:rPr>
                <w:rFonts w:ascii="Lato" w:hAnsi="Lato"/>
                <w:sz w:val="22"/>
                <w:szCs w:val="22"/>
              </w:rPr>
              <w:t>(b)</w:t>
            </w:r>
          </w:p>
        </w:tc>
        <w:tc>
          <w:tcPr>
            <w:tcW w:w="5891" w:type="dxa"/>
          </w:tcPr>
          <w:p w14:paraId="3E33796F"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Where a fund has sustainable investment as its objective and an index has been designated as a reference benchmark, include:</w:t>
            </w:r>
          </w:p>
        </w:tc>
        <w:tc>
          <w:tcPr>
            <w:tcW w:w="3188" w:type="dxa"/>
            <w:tcBorders>
              <w:bottom w:val="single" w:sz="4" w:space="0" w:color="auto"/>
            </w:tcBorders>
          </w:tcPr>
          <w:p w14:paraId="57C67C67"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9EB2EBE" w14:textId="77777777" w:rsidTr="008F21CA">
        <w:trPr>
          <w:cantSplit/>
        </w:trPr>
        <w:tc>
          <w:tcPr>
            <w:tcW w:w="1316" w:type="dxa"/>
          </w:tcPr>
          <w:p w14:paraId="1FC77474" w14:textId="77777777" w:rsidR="004674C2" w:rsidRPr="00CB1714" w:rsidRDefault="004674C2" w:rsidP="004674C2">
            <w:pPr>
              <w:rPr>
                <w:rFonts w:ascii="Lato" w:hAnsi="Lato"/>
                <w:sz w:val="22"/>
                <w:szCs w:val="22"/>
              </w:rPr>
            </w:pPr>
            <w:r w:rsidRPr="00A27FD4">
              <w:rPr>
                <w:rFonts w:ascii="Lato" w:hAnsi="Lato"/>
                <w:sz w:val="22"/>
                <w:szCs w:val="22"/>
              </w:rPr>
              <w:t>(i)</w:t>
            </w:r>
          </w:p>
        </w:tc>
        <w:tc>
          <w:tcPr>
            <w:tcW w:w="5891" w:type="dxa"/>
            <w:tcBorders>
              <w:right w:val="single" w:sz="4" w:space="0" w:color="auto"/>
            </w:tcBorders>
          </w:tcPr>
          <w:p w14:paraId="41CB3FE9"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information on how the designated index is aligned </w:t>
            </w:r>
          </w:p>
        </w:tc>
        <w:tc>
          <w:tcPr>
            <w:tcW w:w="3188" w:type="dxa"/>
            <w:tcBorders>
              <w:top w:val="single" w:sz="4" w:space="0" w:color="auto"/>
              <w:left w:val="single" w:sz="4" w:space="0" w:color="auto"/>
              <w:bottom w:val="single" w:sz="4" w:space="0" w:color="auto"/>
              <w:right w:val="single" w:sz="4" w:space="0" w:color="auto"/>
            </w:tcBorders>
          </w:tcPr>
          <w:p w14:paraId="2D5FA935"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716115A6" w14:textId="77777777" w:rsidTr="008F21CA">
        <w:trPr>
          <w:cantSplit/>
        </w:trPr>
        <w:tc>
          <w:tcPr>
            <w:tcW w:w="1316" w:type="dxa"/>
          </w:tcPr>
          <w:p w14:paraId="5E6D1CB8" w14:textId="77777777" w:rsidR="004674C2" w:rsidRPr="00CB1714" w:rsidRDefault="004674C2" w:rsidP="004674C2">
            <w:pPr>
              <w:rPr>
                <w:rFonts w:ascii="Lato" w:hAnsi="Lato"/>
                <w:sz w:val="22"/>
                <w:szCs w:val="22"/>
              </w:rPr>
            </w:pPr>
          </w:p>
        </w:tc>
        <w:tc>
          <w:tcPr>
            <w:tcW w:w="5891" w:type="dxa"/>
          </w:tcPr>
          <w:p w14:paraId="1AF395B0"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with the objective</w:t>
            </w:r>
          </w:p>
        </w:tc>
        <w:tc>
          <w:tcPr>
            <w:tcW w:w="3188" w:type="dxa"/>
            <w:tcBorders>
              <w:top w:val="single" w:sz="4" w:space="0" w:color="auto"/>
              <w:bottom w:val="single" w:sz="4" w:space="0" w:color="auto"/>
            </w:tcBorders>
          </w:tcPr>
          <w:p w14:paraId="0DC2486C"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5581B4F" w14:textId="77777777" w:rsidTr="008F21CA">
        <w:trPr>
          <w:cantSplit/>
        </w:trPr>
        <w:tc>
          <w:tcPr>
            <w:tcW w:w="1316" w:type="dxa"/>
          </w:tcPr>
          <w:p w14:paraId="348866E9" w14:textId="77777777" w:rsidR="004674C2" w:rsidRPr="00CB1714" w:rsidRDefault="004674C2" w:rsidP="004674C2">
            <w:pPr>
              <w:rPr>
                <w:rFonts w:ascii="Lato" w:hAnsi="Lato"/>
                <w:sz w:val="22"/>
                <w:szCs w:val="22"/>
              </w:rPr>
            </w:pPr>
            <w:r w:rsidRPr="00A27FD4">
              <w:rPr>
                <w:rFonts w:ascii="Lato" w:hAnsi="Lato"/>
                <w:sz w:val="22"/>
                <w:szCs w:val="22"/>
              </w:rPr>
              <w:t>(ii)</w:t>
            </w:r>
          </w:p>
        </w:tc>
        <w:tc>
          <w:tcPr>
            <w:tcW w:w="5891" w:type="dxa"/>
            <w:tcBorders>
              <w:right w:val="single" w:sz="4" w:space="0" w:color="auto"/>
            </w:tcBorders>
          </w:tcPr>
          <w:p w14:paraId="6FE0B7CE"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an explanation as to why and how the designated </w:t>
            </w:r>
          </w:p>
        </w:tc>
        <w:tc>
          <w:tcPr>
            <w:tcW w:w="3188" w:type="dxa"/>
            <w:tcBorders>
              <w:top w:val="single" w:sz="4" w:space="0" w:color="auto"/>
              <w:left w:val="single" w:sz="4" w:space="0" w:color="auto"/>
              <w:bottom w:val="single" w:sz="4" w:space="0" w:color="auto"/>
              <w:right w:val="single" w:sz="4" w:space="0" w:color="auto"/>
            </w:tcBorders>
          </w:tcPr>
          <w:p w14:paraId="1AF85EC3"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29ECE1B" w14:textId="77777777" w:rsidTr="008F21CA">
        <w:trPr>
          <w:cantSplit/>
        </w:trPr>
        <w:tc>
          <w:tcPr>
            <w:tcW w:w="1316" w:type="dxa"/>
          </w:tcPr>
          <w:p w14:paraId="601C6F94" w14:textId="77777777" w:rsidR="004674C2" w:rsidRPr="00CB1714" w:rsidRDefault="004674C2" w:rsidP="004674C2">
            <w:pPr>
              <w:rPr>
                <w:rFonts w:ascii="Lato" w:hAnsi="Lato"/>
                <w:sz w:val="22"/>
                <w:szCs w:val="22"/>
              </w:rPr>
            </w:pPr>
          </w:p>
        </w:tc>
        <w:tc>
          <w:tcPr>
            <w:tcW w:w="5891" w:type="dxa"/>
          </w:tcPr>
          <w:p w14:paraId="3DF15E5A"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index aligned with that objective differs from a broad market index</w:t>
            </w:r>
          </w:p>
        </w:tc>
        <w:tc>
          <w:tcPr>
            <w:tcW w:w="3188" w:type="dxa"/>
            <w:tcBorders>
              <w:top w:val="single" w:sz="4" w:space="0" w:color="auto"/>
            </w:tcBorders>
          </w:tcPr>
          <w:p w14:paraId="6FBD7783"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75E3A94E" w14:textId="77777777" w:rsidTr="008F21CA">
        <w:trPr>
          <w:cantSplit/>
        </w:trPr>
        <w:tc>
          <w:tcPr>
            <w:tcW w:w="1316" w:type="dxa"/>
          </w:tcPr>
          <w:p w14:paraId="3155C2D8" w14:textId="77777777" w:rsidR="004674C2" w:rsidRPr="00CB1714" w:rsidRDefault="004674C2" w:rsidP="004674C2">
            <w:pPr>
              <w:rPr>
                <w:rFonts w:ascii="Lato" w:hAnsi="Lato"/>
                <w:sz w:val="22"/>
                <w:szCs w:val="22"/>
              </w:rPr>
            </w:pPr>
          </w:p>
        </w:tc>
        <w:tc>
          <w:tcPr>
            <w:tcW w:w="5891" w:type="dxa"/>
          </w:tcPr>
          <w:p w14:paraId="42209490"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76F025B6"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8080E88" w14:textId="77777777" w:rsidTr="008F21CA">
        <w:trPr>
          <w:cantSplit/>
        </w:trPr>
        <w:tc>
          <w:tcPr>
            <w:tcW w:w="1316" w:type="dxa"/>
          </w:tcPr>
          <w:p w14:paraId="39E30EA5" w14:textId="77777777" w:rsidR="004674C2" w:rsidRPr="00CB1714" w:rsidRDefault="004674C2" w:rsidP="004674C2">
            <w:pPr>
              <w:rPr>
                <w:rFonts w:ascii="Lato" w:hAnsi="Lato"/>
                <w:sz w:val="22"/>
                <w:szCs w:val="22"/>
              </w:rPr>
            </w:pPr>
            <w:r w:rsidRPr="00A27FD4">
              <w:rPr>
                <w:rFonts w:ascii="Lato" w:hAnsi="Lato"/>
                <w:sz w:val="22"/>
                <w:szCs w:val="22"/>
              </w:rPr>
              <w:t>(c)</w:t>
            </w:r>
          </w:p>
        </w:tc>
        <w:tc>
          <w:tcPr>
            <w:tcW w:w="5891" w:type="dxa"/>
            <w:tcBorders>
              <w:right w:val="single" w:sz="4" w:space="0" w:color="auto"/>
            </w:tcBorders>
          </w:tcPr>
          <w:p w14:paraId="56B5ACC7"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Where a fund has sustainable investment as its </w:t>
            </w:r>
          </w:p>
        </w:tc>
        <w:tc>
          <w:tcPr>
            <w:tcW w:w="3188" w:type="dxa"/>
            <w:tcBorders>
              <w:top w:val="single" w:sz="4" w:space="0" w:color="auto"/>
              <w:left w:val="single" w:sz="4" w:space="0" w:color="auto"/>
              <w:bottom w:val="single" w:sz="4" w:space="0" w:color="auto"/>
              <w:right w:val="single" w:sz="4" w:space="0" w:color="auto"/>
            </w:tcBorders>
          </w:tcPr>
          <w:p w14:paraId="12B22A28"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0DA922F5" w14:textId="77777777" w:rsidTr="008F21CA">
        <w:trPr>
          <w:cantSplit/>
        </w:trPr>
        <w:tc>
          <w:tcPr>
            <w:tcW w:w="1316" w:type="dxa"/>
          </w:tcPr>
          <w:p w14:paraId="4822549E" w14:textId="77777777" w:rsidR="004674C2" w:rsidRPr="00CB1714" w:rsidRDefault="004674C2" w:rsidP="004674C2">
            <w:pPr>
              <w:rPr>
                <w:rFonts w:ascii="Lato" w:hAnsi="Lato"/>
                <w:sz w:val="22"/>
                <w:szCs w:val="22"/>
              </w:rPr>
            </w:pPr>
          </w:p>
        </w:tc>
        <w:tc>
          <w:tcPr>
            <w:tcW w:w="5891" w:type="dxa"/>
          </w:tcPr>
          <w:p w14:paraId="681509BD"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objective and no index has been designated as a reference benchmark, include an explanation on how that objective is to be attained.</w:t>
            </w:r>
          </w:p>
        </w:tc>
        <w:tc>
          <w:tcPr>
            <w:tcW w:w="3188" w:type="dxa"/>
            <w:tcBorders>
              <w:top w:val="single" w:sz="4" w:space="0" w:color="auto"/>
            </w:tcBorders>
          </w:tcPr>
          <w:p w14:paraId="0A23776C"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414AE1D" w14:textId="77777777" w:rsidTr="008F21CA">
        <w:trPr>
          <w:cantSplit/>
        </w:trPr>
        <w:tc>
          <w:tcPr>
            <w:tcW w:w="1316" w:type="dxa"/>
          </w:tcPr>
          <w:p w14:paraId="2CAED7BD" w14:textId="77777777" w:rsidR="004674C2" w:rsidRPr="00CB1714" w:rsidRDefault="004674C2" w:rsidP="004674C2">
            <w:pPr>
              <w:rPr>
                <w:rFonts w:ascii="Lato" w:hAnsi="Lato"/>
                <w:sz w:val="22"/>
                <w:szCs w:val="22"/>
              </w:rPr>
            </w:pPr>
          </w:p>
        </w:tc>
        <w:tc>
          <w:tcPr>
            <w:tcW w:w="5891" w:type="dxa"/>
          </w:tcPr>
          <w:p w14:paraId="4A97331E"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590EE5A"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3E24D9BC" w14:textId="77777777" w:rsidTr="008F21CA">
        <w:trPr>
          <w:cantSplit/>
        </w:trPr>
        <w:tc>
          <w:tcPr>
            <w:tcW w:w="1316" w:type="dxa"/>
          </w:tcPr>
          <w:p w14:paraId="686869F2" w14:textId="77777777" w:rsidR="004674C2" w:rsidRPr="00CB1714" w:rsidRDefault="004674C2" w:rsidP="004674C2">
            <w:pPr>
              <w:rPr>
                <w:rFonts w:ascii="Lato" w:hAnsi="Lato"/>
                <w:sz w:val="22"/>
                <w:szCs w:val="22"/>
              </w:rPr>
            </w:pPr>
            <w:r w:rsidRPr="00A27FD4">
              <w:rPr>
                <w:rFonts w:ascii="Lato" w:hAnsi="Lato"/>
                <w:sz w:val="22"/>
                <w:szCs w:val="22"/>
              </w:rPr>
              <w:t>(d)</w:t>
            </w:r>
          </w:p>
        </w:tc>
        <w:tc>
          <w:tcPr>
            <w:tcW w:w="5891" w:type="dxa"/>
            <w:tcBorders>
              <w:right w:val="single" w:sz="4" w:space="0" w:color="auto"/>
            </w:tcBorders>
          </w:tcPr>
          <w:p w14:paraId="08B559D6"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Where a fund has a reduction in carbon emissions as </w:t>
            </w:r>
          </w:p>
        </w:tc>
        <w:tc>
          <w:tcPr>
            <w:tcW w:w="3188" w:type="dxa"/>
            <w:tcBorders>
              <w:top w:val="single" w:sz="4" w:space="0" w:color="auto"/>
              <w:left w:val="single" w:sz="4" w:space="0" w:color="auto"/>
              <w:bottom w:val="single" w:sz="4" w:space="0" w:color="auto"/>
              <w:right w:val="single" w:sz="4" w:space="0" w:color="auto"/>
            </w:tcBorders>
          </w:tcPr>
          <w:p w14:paraId="30440FF4"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AFF8CD1" w14:textId="77777777" w:rsidTr="008F21CA">
        <w:trPr>
          <w:cantSplit/>
        </w:trPr>
        <w:tc>
          <w:tcPr>
            <w:tcW w:w="1316" w:type="dxa"/>
          </w:tcPr>
          <w:p w14:paraId="26C1CFD3" w14:textId="77777777" w:rsidR="004674C2" w:rsidRPr="00CB1714" w:rsidRDefault="004674C2" w:rsidP="004674C2">
            <w:pPr>
              <w:rPr>
                <w:rFonts w:ascii="Lato" w:hAnsi="Lato"/>
                <w:sz w:val="22"/>
                <w:szCs w:val="22"/>
              </w:rPr>
            </w:pPr>
          </w:p>
        </w:tc>
        <w:tc>
          <w:tcPr>
            <w:tcW w:w="5891" w:type="dxa"/>
          </w:tcPr>
          <w:p w14:paraId="744E92E9"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its objective, include the objective of low carbon emission exposure in view of achieving the long</w:t>
            </w:r>
            <w:r w:rsidRPr="00B91D90">
              <w:rPr>
                <w:rFonts w:ascii="Cambria Math" w:hAnsi="Cambria Math" w:cs="Cambria Math"/>
                <w:b w:val="0"/>
                <w:color w:val="000000"/>
                <w:sz w:val="22"/>
                <w:szCs w:val="22"/>
              </w:rPr>
              <w:t>‐</w:t>
            </w:r>
            <w:r w:rsidRPr="00B91D90">
              <w:rPr>
                <w:rFonts w:ascii="Lato" w:hAnsi="Lato"/>
                <w:b w:val="0"/>
                <w:color w:val="000000"/>
                <w:sz w:val="22"/>
                <w:szCs w:val="22"/>
              </w:rPr>
              <w:t>term global warming objectives of the Paris Agreement</w:t>
            </w:r>
          </w:p>
        </w:tc>
        <w:tc>
          <w:tcPr>
            <w:tcW w:w="3188" w:type="dxa"/>
            <w:tcBorders>
              <w:top w:val="single" w:sz="4" w:space="0" w:color="auto"/>
            </w:tcBorders>
          </w:tcPr>
          <w:p w14:paraId="0566FCDE"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DF9A3A0" w14:textId="77777777" w:rsidTr="008F21CA">
        <w:trPr>
          <w:cantSplit/>
        </w:trPr>
        <w:tc>
          <w:tcPr>
            <w:tcW w:w="1316" w:type="dxa"/>
          </w:tcPr>
          <w:p w14:paraId="18CA024C" w14:textId="77777777" w:rsidR="004674C2" w:rsidRPr="00CB1714" w:rsidRDefault="004674C2" w:rsidP="004674C2">
            <w:pPr>
              <w:rPr>
                <w:rFonts w:ascii="Lato" w:hAnsi="Lato"/>
                <w:sz w:val="22"/>
                <w:szCs w:val="22"/>
              </w:rPr>
            </w:pPr>
          </w:p>
        </w:tc>
        <w:tc>
          <w:tcPr>
            <w:tcW w:w="5891" w:type="dxa"/>
          </w:tcPr>
          <w:p w14:paraId="18C6E552"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15827C0"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1972DCF9" w14:textId="77777777" w:rsidTr="008F21CA">
        <w:trPr>
          <w:cantSplit/>
        </w:trPr>
        <w:tc>
          <w:tcPr>
            <w:tcW w:w="1316" w:type="dxa"/>
          </w:tcPr>
          <w:p w14:paraId="7D0717C6" w14:textId="77777777" w:rsidR="004674C2" w:rsidRPr="00CB1714" w:rsidRDefault="004674C2" w:rsidP="004674C2">
            <w:pPr>
              <w:rPr>
                <w:rFonts w:ascii="Lato" w:hAnsi="Lato"/>
                <w:sz w:val="22"/>
                <w:szCs w:val="22"/>
              </w:rPr>
            </w:pPr>
            <w:r w:rsidRPr="00A27FD4">
              <w:rPr>
                <w:rFonts w:ascii="Lato" w:hAnsi="Lato"/>
                <w:sz w:val="22"/>
                <w:szCs w:val="22"/>
              </w:rPr>
              <w:t>(e)</w:t>
            </w:r>
          </w:p>
        </w:tc>
        <w:tc>
          <w:tcPr>
            <w:tcW w:w="5891" w:type="dxa"/>
            <w:tcBorders>
              <w:right w:val="single" w:sz="4" w:space="0" w:color="auto"/>
            </w:tcBorders>
          </w:tcPr>
          <w:p w14:paraId="1428014A"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Include a detailed explanation of how the continued </w:t>
            </w:r>
          </w:p>
        </w:tc>
        <w:tc>
          <w:tcPr>
            <w:tcW w:w="3188" w:type="dxa"/>
            <w:tcBorders>
              <w:top w:val="single" w:sz="4" w:space="0" w:color="auto"/>
              <w:left w:val="single" w:sz="4" w:space="0" w:color="auto"/>
              <w:bottom w:val="single" w:sz="4" w:space="0" w:color="auto"/>
              <w:right w:val="single" w:sz="4" w:space="0" w:color="auto"/>
            </w:tcBorders>
          </w:tcPr>
          <w:p w14:paraId="5DC63F2F"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3E45116D" w14:textId="77777777" w:rsidTr="008F21CA">
        <w:trPr>
          <w:cantSplit/>
        </w:trPr>
        <w:tc>
          <w:tcPr>
            <w:tcW w:w="1316" w:type="dxa"/>
          </w:tcPr>
          <w:p w14:paraId="6693E956" w14:textId="77777777" w:rsidR="004674C2" w:rsidRPr="00CB1714" w:rsidRDefault="004674C2" w:rsidP="004674C2">
            <w:pPr>
              <w:rPr>
                <w:rFonts w:ascii="Lato" w:hAnsi="Lato"/>
                <w:sz w:val="22"/>
                <w:szCs w:val="22"/>
              </w:rPr>
            </w:pPr>
          </w:p>
        </w:tc>
        <w:tc>
          <w:tcPr>
            <w:tcW w:w="5891" w:type="dxa"/>
          </w:tcPr>
          <w:p w14:paraId="536B80E0"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effort of attaining the objective of reducing carbon emissions is ensured in view of achieving the long</w:t>
            </w:r>
            <w:r w:rsidRPr="00B91D90">
              <w:rPr>
                <w:rFonts w:ascii="Cambria Math" w:hAnsi="Cambria Math" w:cs="Cambria Math"/>
                <w:b w:val="0"/>
                <w:color w:val="000000"/>
                <w:sz w:val="22"/>
                <w:szCs w:val="22"/>
              </w:rPr>
              <w:t>‐</w:t>
            </w:r>
            <w:r w:rsidRPr="00B91D90">
              <w:rPr>
                <w:rFonts w:ascii="Lato" w:hAnsi="Lato"/>
                <w:b w:val="0"/>
                <w:color w:val="000000"/>
                <w:sz w:val="22"/>
                <w:szCs w:val="22"/>
              </w:rPr>
              <w:t>term global warming objectives of the Paris Agreement where the index requirements of (b) above is not available</w:t>
            </w:r>
          </w:p>
        </w:tc>
        <w:tc>
          <w:tcPr>
            <w:tcW w:w="3188" w:type="dxa"/>
            <w:tcBorders>
              <w:top w:val="single" w:sz="4" w:space="0" w:color="auto"/>
            </w:tcBorders>
          </w:tcPr>
          <w:p w14:paraId="5E3BFC25"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C3FEB85" w14:textId="77777777" w:rsidTr="008F21CA">
        <w:trPr>
          <w:cantSplit/>
        </w:trPr>
        <w:tc>
          <w:tcPr>
            <w:tcW w:w="1316" w:type="dxa"/>
          </w:tcPr>
          <w:p w14:paraId="7ABA5158" w14:textId="77777777" w:rsidR="004674C2" w:rsidRPr="00CB1714" w:rsidRDefault="004674C2" w:rsidP="004674C2">
            <w:pPr>
              <w:rPr>
                <w:rFonts w:ascii="Lato" w:hAnsi="Lato"/>
                <w:sz w:val="22"/>
                <w:szCs w:val="22"/>
              </w:rPr>
            </w:pPr>
          </w:p>
        </w:tc>
        <w:tc>
          <w:tcPr>
            <w:tcW w:w="5891" w:type="dxa"/>
          </w:tcPr>
          <w:p w14:paraId="58CF9980"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2F409925"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17CDFCA" w14:textId="77777777" w:rsidTr="008F21CA">
        <w:trPr>
          <w:cantSplit/>
        </w:trPr>
        <w:tc>
          <w:tcPr>
            <w:tcW w:w="1316" w:type="dxa"/>
          </w:tcPr>
          <w:p w14:paraId="1B3B274F" w14:textId="77777777" w:rsidR="004674C2" w:rsidRPr="00CB1714" w:rsidRDefault="004674C2" w:rsidP="004674C2">
            <w:pPr>
              <w:rPr>
                <w:rFonts w:ascii="Lato" w:hAnsi="Lato"/>
                <w:sz w:val="22"/>
                <w:szCs w:val="22"/>
              </w:rPr>
            </w:pPr>
            <w:r w:rsidRPr="00A27FD4">
              <w:rPr>
                <w:rFonts w:ascii="Lato" w:hAnsi="Lato"/>
                <w:sz w:val="22"/>
                <w:szCs w:val="22"/>
              </w:rPr>
              <w:t>(f)</w:t>
            </w:r>
          </w:p>
        </w:tc>
        <w:tc>
          <w:tcPr>
            <w:tcW w:w="5891" w:type="dxa"/>
            <w:tcBorders>
              <w:right w:val="single" w:sz="4" w:space="0" w:color="auto"/>
            </w:tcBorders>
          </w:tcPr>
          <w:p w14:paraId="475FBAF2"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 xml:space="preserve">Indicate where the methodology used for the </w:t>
            </w:r>
          </w:p>
        </w:tc>
        <w:tc>
          <w:tcPr>
            <w:tcW w:w="3188" w:type="dxa"/>
            <w:tcBorders>
              <w:top w:val="single" w:sz="4" w:space="0" w:color="auto"/>
              <w:left w:val="single" w:sz="4" w:space="0" w:color="auto"/>
              <w:bottom w:val="single" w:sz="4" w:space="0" w:color="auto"/>
              <w:right w:val="single" w:sz="4" w:space="0" w:color="auto"/>
            </w:tcBorders>
          </w:tcPr>
          <w:p w14:paraId="3E93A710"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68FF1588" w14:textId="77777777" w:rsidTr="008F21CA">
        <w:trPr>
          <w:cantSplit/>
        </w:trPr>
        <w:tc>
          <w:tcPr>
            <w:tcW w:w="1316" w:type="dxa"/>
          </w:tcPr>
          <w:p w14:paraId="6EA20D17" w14:textId="77777777" w:rsidR="004674C2" w:rsidRPr="00CB1714" w:rsidRDefault="004674C2" w:rsidP="004674C2">
            <w:pPr>
              <w:rPr>
                <w:rFonts w:ascii="Lato" w:hAnsi="Lato"/>
                <w:sz w:val="22"/>
                <w:szCs w:val="22"/>
              </w:rPr>
            </w:pPr>
          </w:p>
        </w:tc>
        <w:tc>
          <w:tcPr>
            <w:tcW w:w="5891" w:type="dxa"/>
          </w:tcPr>
          <w:p w14:paraId="59DD1AD9" w14:textId="77777777" w:rsidR="004674C2" w:rsidRPr="00CB1714" w:rsidRDefault="004674C2" w:rsidP="004674C2">
            <w:pPr>
              <w:pStyle w:val="Heading3"/>
              <w:spacing w:before="0" w:after="0" w:line="240" w:lineRule="auto"/>
              <w:rPr>
                <w:rFonts w:ascii="Lato" w:hAnsi="Lato"/>
                <w:b w:val="0"/>
                <w:bCs/>
                <w:color w:val="auto"/>
                <w:sz w:val="22"/>
                <w:szCs w:val="22"/>
              </w:rPr>
            </w:pPr>
            <w:r w:rsidRPr="00B91D90">
              <w:rPr>
                <w:rFonts w:ascii="Lato" w:hAnsi="Lato"/>
                <w:b w:val="0"/>
                <w:color w:val="000000"/>
                <w:sz w:val="22"/>
                <w:szCs w:val="22"/>
              </w:rPr>
              <w:t>calculation of the index can be found</w:t>
            </w:r>
          </w:p>
        </w:tc>
        <w:tc>
          <w:tcPr>
            <w:tcW w:w="3188" w:type="dxa"/>
            <w:tcBorders>
              <w:top w:val="single" w:sz="4" w:space="0" w:color="auto"/>
            </w:tcBorders>
          </w:tcPr>
          <w:p w14:paraId="125BDB77"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040816C5" w14:textId="77777777" w:rsidTr="00990D73">
        <w:trPr>
          <w:cantSplit/>
        </w:trPr>
        <w:tc>
          <w:tcPr>
            <w:tcW w:w="1316" w:type="dxa"/>
          </w:tcPr>
          <w:p w14:paraId="1CE9F02E" w14:textId="77777777" w:rsidR="004674C2" w:rsidRPr="00CB1714" w:rsidRDefault="004674C2" w:rsidP="004674C2">
            <w:pPr>
              <w:rPr>
                <w:rFonts w:ascii="Lato" w:hAnsi="Lato"/>
                <w:sz w:val="22"/>
                <w:szCs w:val="22"/>
              </w:rPr>
            </w:pPr>
          </w:p>
        </w:tc>
        <w:tc>
          <w:tcPr>
            <w:tcW w:w="5891" w:type="dxa"/>
          </w:tcPr>
          <w:p w14:paraId="55AFCC28"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Pr>
          <w:p w14:paraId="54380441"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18E05D1F" w14:textId="77777777" w:rsidTr="00990D73">
        <w:trPr>
          <w:cantSplit/>
        </w:trPr>
        <w:tc>
          <w:tcPr>
            <w:tcW w:w="1316" w:type="dxa"/>
          </w:tcPr>
          <w:p w14:paraId="455E3F49" w14:textId="77777777" w:rsidR="004674C2" w:rsidRPr="00CB1714" w:rsidRDefault="004674C2" w:rsidP="004674C2">
            <w:pPr>
              <w:rPr>
                <w:rFonts w:ascii="Lato" w:hAnsi="Lato"/>
                <w:sz w:val="22"/>
                <w:szCs w:val="22"/>
              </w:rPr>
            </w:pPr>
            <w:r w:rsidRPr="00B61F2A">
              <w:rPr>
                <w:rFonts w:ascii="Lato" w:hAnsi="Lato"/>
                <w:sz w:val="22"/>
                <w:szCs w:val="22"/>
              </w:rPr>
              <w:t>2.2.15</w:t>
            </w:r>
          </w:p>
        </w:tc>
        <w:tc>
          <w:tcPr>
            <w:tcW w:w="5891" w:type="dxa"/>
          </w:tcPr>
          <w:p w14:paraId="4BAEA471"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u w:val="single"/>
              </w:rPr>
              <w:t>Sustainable Finance Risk</w:t>
            </w:r>
          </w:p>
        </w:tc>
        <w:tc>
          <w:tcPr>
            <w:tcW w:w="3188" w:type="dxa"/>
          </w:tcPr>
          <w:p w14:paraId="05E7637D"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26E363DA" w14:textId="77777777" w:rsidTr="008F21CA">
        <w:trPr>
          <w:cantSplit/>
        </w:trPr>
        <w:tc>
          <w:tcPr>
            <w:tcW w:w="1316" w:type="dxa"/>
          </w:tcPr>
          <w:p w14:paraId="72613644" w14:textId="77777777" w:rsidR="004674C2" w:rsidRPr="00CB1714" w:rsidRDefault="004674C2" w:rsidP="004674C2">
            <w:pPr>
              <w:rPr>
                <w:rFonts w:ascii="Lato" w:hAnsi="Lato"/>
                <w:sz w:val="22"/>
                <w:szCs w:val="22"/>
              </w:rPr>
            </w:pPr>
          </w:p>
        </w:tc>
        <w:tc>
          <w:tcPr>
            <w:tcW w:w="5891" w:type="dxa"/>
          </w:tcPr>
          <w:p w14:paraId="166BBDE6"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Disclose the following:</w:t>
            </w:r>
          </w:p>
        </w:tc>
        <w:tc>
          <w:tcPr>
            <w:tcW w:w="3188" w:type="dxa"/>
            <w:tcBorders>
              <w:bottom w:val="single" w:sz="4" w:space="0" w:color="auto"/>
            </w:tcBorders>
          </w:tcPr>
          <w:p w14:paraId="3E60E94F"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2F9859EB" w14:textId="77777777" w:rsidTr="008F21CA">
        <w:trPr>
          <w:cantSplit/>
        </w:trPr>
        <w:tc>
          <w:tcPr>
            <w:tcW w:w="1316" w:type="dxa"/>
          </w:tcPr>
          <w:p w14:paraId="7C7A681A" w14:textId="77777777" w:rsidR="004674C2" w:rsidRPr="00CB1714" w:rsidRDefault="004674C2" w:rsidP="004674C2">
            <w:pPr>
              <w:rPr>
                <w:rFonts w:ascii="Lato" w:hAnsi="Lato"/>
                <w:sz w:val="22"/>
                <w:szCs w:val="22"/>
              </w:rPr>
            </w:pPr>
            <w:r w:rsidRPr="00A27FD4">
              <w:rPr>
                <w:rFonts w:ascii="Lato" w:hAnsi="Lato"/>
                <w:sz w:val="22"/>
                <w:szCs w:val="22"/>
              </w:rPr>
              <w:t>(i)</w:t>
            </w:r>
          </w:p>
        </w:tc>
        <w:tc>
          <w:tcPr>
            <w:tcW w:w="5891" w:type="dxa"/>
            <w:tcBorders>
              <w:right w:val="single" w:sz="4" w:space="0" w:color="auto"/>
            </w:tcBorders>
          </w:tcPr>
          <w:p w14:paraId="7EF89957"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 xml:space="preserve">(a) the manner in which sustainability risks are </w:t>
            </w:r>
          </w:p>
        </w:tc>
        <w:tc>
          <w:tcPr>
            <w:tcW w:w="3188" w:type="dxa"/>
            <w:tcBorders>
              <w:top w:val="single" w:sz="4" w:space="0" w:color="auto"/>
              <w:left w:val="single" w:sz="4" w:space="0" w:color="auto"/>
              <w:bottom w:val="single" w:sz="4" w:space="0" w:color="auto"/>
              <w:right w:val="single" w:sz="4" w:space="0" w:color="auto"/>
            </w:tcBorders>
          </w:tcPr>
          <w:p w14:paraId="221F8E07"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A1A61F8" w14:textId="77777777" w:rsidTr="008F21CA">
        <w:trPr>
          <w:cantSplit/>
        </w:trPr>
        <w:tc>
          <w:tcPr>
            <w:tcW w:w="1316" w:type="dxa"/>
          </w:tcPr>
          <w:p w14:paraId="02BE48C4" w14:textId="77777777" w:rsidR="004674C2" w:rsidRPr="00CB1714" w:rsidRDefault="004674C2" w:rsidP="004674C2">
            <w:pPr>
              <w:rPr>
                <w:rFonts w:ascii="Lato" w:hAnsi="Lato"/>
                <w:sz w:val="22"/>
                <w:szCs w:val="22"/>
              </w:rPr>
            </w:pPr>
          </w:p>
        </w:tc>
        <w:tc>
          <w:tcPr>
            <w:tcW w:w="5891" w:type="dxa"/>
          </w:tcPr>
          <w:p w14:paraId="58FA4A1D"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integrated into investment decisions; and</w:t>
            </w:r>
          </w:p>
        </w:tc>
        <w:tc>
          <w:tcPr>
            <w:tcW w:w="3188" w:type="dxa"/>
            <w:tcBorders>
              <w:top w:val="single" w:sz="4" w:space="0" w:color="auto"/>
              <w:bottom w:val="single" w:sz="4" w:space="0" w:color="auto"/>
            </w:tcBorders>
          </w:tcPr>
          <w:p w14:paraId="14FA1C3F"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DEB0957" w14:textId="77777777" w:rsidTr="008F21CA">
        <w:trPr>
          <w:cantSplit/>
        </w:trPr>
        <w:tc>
          <w:tcPr>
            <w:tcW w:w="1316" w:type="dxa"/>
          </w:tcPr>
          <w:p w14:paraId="412D5311"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02D88334"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 xml:space="preserve">(b) the results of the assessment of the likely </w:t>
            </w:r>
          </w:p>
        </w:tc>
        <w:tc>
          <w:tcPr>
            <w:tcW w:w="3188" w:type="dxa"/>
            <w:tcBorders>
              <w:top w:val="single" w:sz="4" w:space="0" w:color="auto"/>
              <w:left w:val="single" w:sz="4" w:space="0" w:color="auto"/>
              <w:bottom w:val="single" w:sz="4" w:space="0" w:color="auto"/>
              <w:right w:val="single" w:sz="4" w:space="0" w:color="auto"/>
            </w:tcBorders>
          </w:tcPr>
          <w:p w14:paraId="472E1511"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185E7A7" w14:textId="77777777" w:rsidTr="008F21CA">
        <w:trPr>
          <w:cantSplit/>
        </w:trPr>
        <w:tc>
          <w:tcPr>
            <w:tcW w:w="1316" w:type="dxa"/>
          </w:tcPr>
          <w:p w14:paraId="4CD2291E" w14:textId="77777777" w:rsidR="004674C2" w:rsidRPr="00CB1714" w:rsidRDefault="004674C2" w:rsidP="004674C2">
            <w:pPr>
              <w:rPr>
                <w:rFonts w:ascii="Lato" w:hAnsi="Lato"/>
                <w:sz w:val="22"/>
                <w:szCs w:val="22"/>
              </w:rPr>
            </w:pPr>
          </w:p>
        </w:tc>
        <w:tc>
          <w:tcPr>
            <w:tcW w:w="5891" w:type="dxa"/>
          </w:tcPr>
          <w:p w14:paraId="35804DEC"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impacts of sustainability risks on the returns of the fund</w:t>
            </w:r>
          </w:p>
        </w:tc>
        <w:tc>
          <w:tcPr>
            <w:tcW w:w="3188" w:type="dxa"/>
            <w:tcBorders>
              <w:top w:val="single" w:sz="4" w:space="0" w:color="auto"/>
              <w:bottom w:val="single" w:sz="4" w:space="0" w:color="auto"/>
            </w:tcBorders>
          </w:tcPr>
          <w:p w14:paraId="163A3167"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2035C111" w14:textId="77777777" w:rsidTr="008F21CA">
        <w:trPr>
          <w:cantSplit/>
        </w:trPr>
        <w:tc>
          <w:tcPr>
            <w:tcW w:w="1316" w:type="dxa"/>
          </w:tcPr>
          <w:p w14:paraId="1914C417" w14:textId="77777777" w:rsidR="004674C2" w:rsidRPr="00CB1714" w:rsidRDefault="004674C2" w:rsidP="004674C2">
            <w:pPr>
              <w:rPr>
                <w:rFonts w:ascii="Lato" w:hAnsi="Lato"/>
                <w:sz w:val="22"/>
                <w:szCs w:val="22"/>
              </w:rPr>
            </w:pPr>
            <w:r w:rsidRPr="00A27FD4">
              <w:rPr>
                <w:rFonts w:ascii="Lato" w:hAnsi="Lato"/>
                <w:sz w:val="22"/>
                <w:szCs w:val="22"/>
              </w:rPr>
              <w:t>(ii)</w:t>
            </w:r>
          </w:p>
        </w:tc>
        <w:tc>
          <w:tcPr>
            <w:tcW w:w="5891" w:type="dxa"/>
            <w:tcBorders>
              <w:right w:val="single" w:sz="4" w:space="0" w:color="auto"/>
            </w:tcBorders>
          </w:tcPr>
          <w:p w14:paraId="4CB378B4"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 xml:space="preserve">Where the responsible person deems </w:t>
            </w:r>
          </w:p>
        </w:tc>
        <w:tc>
          <w:tcPr>
            <w:tcW w:w="3188" w:type="dxa"/>
            <w:tcBorders>
              <w:top w:val="single" w:sz="4" w:space="0" w:color="auto"/>
              <w:left w:val="single" w:sz="4" w:space="0" w:color="auto"/>
              <w:bottom w:val="single" w:sz="4" w:space="0" w:color="auto"/>
              <w:right w:val="single" w:sz="4" w:space="0" w:color="auto"/>
            </w:tcBorders>
          </w:tcPr>
          <w:p w14:paraId="1C2A5CC5"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5F621DAE" w14:textId="77777777" w:rsidTr="008F21CA">
        <w:trPr>
          <w:cantSplit/>
        </w:trPr>
        <w:tc>
          <w:tcPr>
            <w:tcW w:w="1316" w:type="dxa"/>
          </w:tcPr>
          <w:p w14:paraId="493C784D" w14:textId="77777777" w:rsidR="004674C2" w:rsidRPr="00CB1714" w:rsidRDefault="004674C2" w:rsidP="004674C2">
            <w:pPr>
              <w:rPr>
                <w:rFonts w:ascii="Lato" w:hAnsi="Lato"/>
                <w:sz w:val="22"/>
                <w:szCs w:val="22"/>
              </w:rPr>
            </w:pPr>
          </w:p>
        </w:tc>
        <w:tc>
          <w:tcPr>
            <w:tcW w:w="5891" w:type="dxa"/>
          </w:tcPr>
          <w:p w14:paraId="2FDFF49F" w14:textId="77777777" w:rsidR="004674C2" w:rsidRPr="00D71424" w:rsidRDefault="004674C2" w:rsidP="004674C2">
            <w:pPr>
              <w:pStyle w:val="Heading3"/>
              <w:spacing w:before="0" w:after="0" w:line="240" w:lineRule="auto"/>
              <w:rPr>
                <w:rFonts w:ascii="Lato" w:hAnsi="Lato"/>
                <w:b w:val="0"/>
                <w:bCs/>
                <w:color w:val="auto"/>
                <w:sz w:val="22"/>
                <w:szCs w:val="22"/>
              </w:rPr>
            </w:pPr>
            <w:r w:rsidRPr="00E53931">
              <w:rPr>
                <w:rFonts w:ascii="Lato" w:hAnsi="Lato"/>
                <w:b w:val="0"/>
                <w:color w:val="auto"/>
                <w:sz w:val="22"/>
                <w:szCs w:val="22"/>
              </w:rPr>
              <w:t>sustainability risks not to be relevant, the descriptions referred to in the 2.2.15(i) shall include a clear and concise explanation of the reasons therefor</w:t>
            </w:r>
          </w:p>
        </w:tc>
        <w:tc>
          <w:tcPr>
            <w:tcW w:w="3188" w:type="dxa"/>
            <w:tcBorders>
              <w:top w:val="single" w:sz="4" w:space="0" w:color="auto"/>
            </w:tcBorders>
          </w:tcPr>
          <w:p w14:paraId="3DB838A6"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409390BB" w14:textId="77777777" w:rsidTr="00990D73">
        <w:trPr>
          <w:cantSplit/>
        </w:trPr>
        <w:tc>
          <w:tcPr>
            <w:tcW w:w="1316" w:type="dxa"/>
          </w:tcPr>
          <w:p w14:paraId="52199332" w14:textId="77777777" w:rsidR="004674C2" w:rsidRPr="00CB1714" w:rsidRDefault="004674C2" w:rsidP="004674C2">
            <w:pPr>
              <w:rPr>
                <w:rFonts w:ascii="Lato" w:hAnsi="Lato"/>
                <w:sz w:val="22"/>
                <w:szCs w:val="22"/>
              </w:rPr>
            </w:pPr>
          </w:p>
        </w:tc>
        <w:tc>
          <w:tcPr>
            <w:tcW w:w="5891" w:type="dxa"/>
          </w:tcPr>
          <w:p w14:paraId="3A30D016"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Pr>
          <w:p w14:paraId="7DABBD8C"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1F12F2C4" w14:textId="77777777" w:rsidTr="00990D73">
        <w:trPr>
          <w:cantSplit/>
        </w:trPr>
        <w:tc>
          <w:tcPr>
            <w:tcW w:w="1316" w:type="dxa"/>
          </w:tcPr>
          <w:p w14:paraId="78242CEC" w14:textId="47C3FDD4" w:rsidR="004674C2" w:rsidRPr="00CB1714" w:rsidRDefault="00D71424" w:rsidP="004674C2">
            <w:pPr>
              <w:rPr>
                <w:rFonts w:ascii="Lato" w:hAnsi="Lato"/>
                <w:sz w:val="22"/>
                <w:szCs w:val="22"/>
              </w:rPr>
            </w:pPr>
            <w:r>
              <w:rPr>
                <w:rFonts w:ascii="Lato" w:hAnsi="Lato"/>
                <w:sz w:val="22"/>
                <w:szCs w:val="22"/>
              </w:rPr>
              <w:t>2.2.16</w:t>
            </w:r>
          </w:p>
        </w:tc>
        <w:tc>
          <w:tcPr>
            <w:tcW w:w="5891" w:type="dxa"/>
          </w:tcPr>
          <w:p w14:paraId="1EDC5585" w14:textId="22DC197D" w:rsidR="004674C2" w:rsidRPr="00E53931" w:rsidRDefault="00D71424" w:rsidP="004674C2">
            <w:pPr>
              <w:pStyle w:val="Heading3"/>
              <w:spacing w:before="0" w:after="0" w:line="240" w:lineRule="auto"/>
              <w:rPr>
                <w:rFonts w:ascii="Lato" w:hAnsi="Lato"/>
                <w:b w:val="0"/>
                <w:bCs/>
                <w:color w:val="auto"/>
                <w:sz w:val="22"/>
                <w:szCs w:val="22"/>
                <w:u w:val="single"/>
              </w:rPr>
            </w:pPr>
            <w:r w:rsidRPr="00E53931">
              <w:rPr>
                <w:rFonts w:ascii="Lato" w:hAnsi="Lato"/>
                <w:b w:val="0"/>
                <w:bCs/>
                <w:color w:val="auto"/>
                <w:sz w:val="22"/>
                <w:szCs w:val="22"/>
                <w:u w:val="single"/>
              </w:rPr>
              <w:t>Taxonomy Regulation</w:t>
            </w:r>
          </w:p>
        </w:tc>
        <w:tc>
          <w:tcPr>
            <w:tcW w:w="3188" w:type="dxa"/>
          </w:tcPr>
          <w:p w14:paraId="05C9857E"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D71424" w:rsidRPr="00CB1714" w14:paraId="3D576CC4" w14:textId="77777777" w:rsidTr="00990D73">
        <w:trPr>
          <w:cantSplit/>
        </w:trPr>
        <w:tc>
          <w:tcPr>
            <w:tcW w:w="1316" w:type="dxa"/>
          </w:tcPr>
          <w:p w14:paraId="0D0251B8" w14:textId="615AB863" w:rsidR="00D71424" w:rsidRPr="00CB1714" w:rsidRDefault="00D71424" w:rsidP="004674C2">
            <w:pPr>
              <w:rPr>
                <w:rFonts w:ascii="Lato" w:hAnsi="Lato"/>
                <w:sz w:val="22"/>
                <w:szCs w:val="22"/>
              </w:rPr>
            </w:pPr>
            <w:r>
              <w:rPr>
                <w:rFonts w:ascii="Lato" w:hAnsi="Lato"/>
                <w:sz w:val="22"/>
                <w:szCs w:val="22"/>
              </w:rPr>
              <w:t>a)</w:t>
            </w:r>
          </w:p>
        </w:tc>
        <w:tc>
          <w:tcPr>
            <w:tcW w:w="5891" w:type="dxa"/>
          </w:tcPr>
          <w:p w14:paraId="2D05A802" w14:textId="082B35DB"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Where a fund as referred to in Article 9(1), (2) or</w:t>
            </w:r>
          </w:p>
        </w:tc>
        <w:tc>
          <w:tcPr>
            <w:tcW w:w="3188" w:type="dxa"/>
          </w:tcPr>
          <w:p w14:paraId="4D0B15FD"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1F316B8D" w14:textId="77777777" w:rsidTr="00E53931">
        <w:trPr>
          <w:cantSplit/>
        </w:trPr>
        <w:tc>
          <w:tcPr>
            <w:tcW w:w="1316" w:type="dxa"/>
          </w:tcPr>
          <w:p w14:paraId="37AF1BE5" w14:textId="77777777" w:rsidR="00D71424" w:rsidRPr="00CB1714" w:rsidRDefault="00D71424" w:rsidP="004674C2">
            <w:pPr>
              <w:rPr>
                <w:rFonts w:ascii="Lato" w:hAnsi="Lato"/>
                <w:sz w:val="22"/>
                <w:szCs w:val="22"/>
              </w:rPr>
            </w:pPr>
          </w:p>
        </w:tc>
        <w:tc>
          <w:tcPr>
            <w:tcW w:w="5891" w:type="dxa"/>
          </w:tcPr>
          <w:p w14:paraId="53CDFC81" w14:textId="0758EBD6"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(3) of Regulation (EU) 2019/2088 (“SFDR”) invests in an economic activity that contributes to an environmental objective within the meaning of point (17) of Article 2 of SFDR, disclose the following:</w:t>
            </w:r>
          </w:p>
        </w:tc>
        <w:tc>
          <w:tcPr>
            <w:tcW w:w="3188" w:type="dxa"/>
            <w:tcBorders>
              <w:bottom w:val="single" w:sz="4" w:space="0" w:color="auto"/>
            </w:tcBorders>
          </w:tcPr>
          <w:p w14:paraId="205CB250"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028E3AEA" w14:textId="77777777" w:rsidTr="00E53931">
        <w:trPr>
          <w:cantSplit/>
        </w:trPr>
        <w:tc>
          <w:tcPr>
            <w:tcW w:w="1316" w:type="dxa"/>
          </w:tcPr>
          <w:p w14:paraId="06B37EA7" w14:textId="77777777" w:rsidR="00D71424" w:rsidRPr="00CB1714" w:rsidRDefault="00D71424" w:rsidP="004674C2">
            <w:pPr>
              <w:rPr>
                <w:rFonts w:ascii="Lato" w:hAnsi="Lato"/>
                <w:sz w:val="22"/>
                <w:szCs w:val="22"/>
              </w:rPr>
            </w:pPr>
          </w:p>
        </w:tc>
        <w:tc>
          <w:tcPr>
            <w:tcW w:w="5891" w:type="dxa"/>
            <w:tcBorders>
              <w:right w:val="single" w:sz="4" w:space="0" w:color="auto"/>
            </w:tcBorders>
          </w:tcPr>
          <w:p w14:paraId="2F0E8444" w14:textId="324E8079"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(i) information on the environmental objective or</w:t>
            </w:r>
          </w:p>
        </w:tc>
        <w:tc>
          <w:tcPr>
            <w:tcW w:w="3188" w:type="dxa"/>
            <w:tcBorders>
              <w:top w:val="single" w:sz="4" w:space="0" w:color="auto"/>
              <w:left w:val="single" w:sz="4" w:space="0" w:color="auto"/>
              <w:bottom w:val="single" w:sz="4" w:space="0" w:color="auto"/>
              <w:right w:val="single" w:sz="4" w:space="0" w:color="auto"/>
            </w:tcBorders>
          </w:tcPr>
          <w:p w14:paraId="5AF4F600"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5B63D8B8" w14:textId="77777777" w:rsidTr="00E53931">
        <w:trPr>
          <w:cantSplit/>
        </w:trPr>
        <w:tc>
          <w:tcPr>
            <w:tcW w:w="1316" w:type="dxa"/>
          </w:tcPr>
          <w:p w14:paraId="46649B94" w14:textId="77777777" w:rsidR="00D71424" w:rsidRPr="00CB1714" w:rsidRDefault="00D71424" w:rsidP="004674C2">
            <w:pPr>
              <w:rPr>
                <w:rFonts w:ascii="Lato" w:hAnsi="Lato"/>
                <w:sz w:val="22"/>
                <w:szCs w:val="22"/>
              </w:rPr>
            </w:pPr>
          </w:p>
        </w:tc>
        <w:tc>
          <w:tcPr>
            <w:tcW w:w="5891" w:type="dxa"/>
          </w:tcPr>
          <w:p w14:paraId="1CB14560" w14:textId="35B35481"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environmental objectives to which the investment underlying the fund contributes, (i.e. (a) climate change mitigation; (b) climate change adaptation; (c) the sustainable use and protection of water and marine resources; (d) the transition to a circular economy; (e) pollution prevention and control; (f) the protection and restoration of biodiversity and ecosystems);</w:t>
            </w:r>
          </w:p>
        </w:tc>
        <w:tc>
          <w:tcPr>
            <w:tcW w:w="3188" w:type="dxa"/>
            <w:tcBorders>
              <w:top w:val="single" w:sz="4" w:space="0" w:color="auto"/>
              <w:bottom w:val="single" w:sz="4" w:space="0" w:color="auto"/>
            </w:tcBorders>
          </w:tcPr>
          <w:p w14:paraId="57BF27B9"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2A9A607A" w14:textId="77777777" w:rsidTr="00E53931">
        <w:trPr>
          <w:cantSplit/>
        </w:trPr>
        <w:tc>
          <w:tcPr>
            <w:tcW w:w="1316" w:type="dxa"/>
          </w:tcPr>
          <w:p w14:paraId="779F0547" w14:textId="77777777" w:rsidR="00D71424" w:rsidRPr="00CB1714" w:rsidRDefault="00D71424" w:rsidP="004674C2">
            <w:pPr>
              <w:rPr>
                <w:rFonts w:ascii="Lato" w:hAnsi="Lato"/>
                <w:sz w:val="22"/>
                <w:szCs w:val="22"/>
              </w:rPr>
            </w:pPr>
          </w:p>
        </w:tc>
        <w:tc>
          <w:tcPr>
            <w:tcW w:w="5891" w:type="dxa"/>
            <w:tcBorders>
              <w:right w:val="single" w:sz="4" w:space="0" w:color="auto"/>
            </w:tcBorders>
          </w:tcPr>
          <w:p w14:paraId="2A9A6DE1" w14:textId="3ACD59AB"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(ii) a description of how and to what extent the</w:t>
            </w:r>
          </w:p>
        </w:tc>
        <w:tc>
          <w:tcPr>
            <w:tcW w:w="3188" w:type="dxa"/>
            <w:tcBorders>
              <w:top w:val="single" w:sz="4" w:space="0" w:color="auto"/>
              <w:left w:val="single" w:sz="4" w:space="0" w:color="auto"/>
              <w:bottom w:val="single" w:sz="4" w:space="0" w:color="auto"/>
              <w:right w:val="single" w:sz="4" w:space="0" w:color="auto"/>
            </w:tcBorders>
          </w:tcPr>
          <w:p w14:paraId="01761899"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2322AF91" w14:textId="77777777" w:rsidTr="00E53931">
        <w:trPr>
          <w:cantSplit/>
        </w:trPr>
        <w:tc>
          <w:tcPr>
            <w:tcW w:w="1316" w:type="dxa"/>
          </w:tcPr>
          <w:p w14:paraId="5CE089AF" w14:textId="77777777" w:rsidR="00D71424" w:rsidRPr="00CB1714" w:rsidRDefault="00D71424" w:rsidP="004674C2">
            <w:pPr>
              <w:rPr>
                <w:rFonts w:ascii="Lato" w:hAnsi="Lato"/>
                <w:sz w:val="22"/>
                <w:szCs w:val="22"/>
              </w:rPr>
            </w:pPr>
          </w:p>
        </w:tc>
        <w:tc>
          <w:tcPr>
            <w:tcW w:w="5891" w:type="dxa"/>
          </w:tcPr>
          <w:p w14:paraId="3178C9BE" w14:textId="77777777" w:rsidR="00D71424" w:rsidRPr="00D71424" w:rsidRDefault="00D71424" w:rsidP="00E53931">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investments underlying the fund are in economic activities that qualify as environmentally sustainable;</w:t>
            </w:r>
          </w:p>
          <w:p w14:paraId="2D0EEBF9" w14:textId="01E044AF" w:rsidR="00D71424" w:rsidRPr="00CB1714" w:rsidRDefault="00D71424" w:rsidP="00D71424">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and</w:t>
            </w:r>
          </w:p>
        </w:tc>
        <w:tc>
          <w:tcPr>
            <w:tcW w:w="3188" w:type="dxa"/>
            <w:tcBorders>
              <w:top w:val="single" w:sz="4" w:space="0" w:color="auto"/>
              <w:bottom w:val="single" w:sz="4" w:space="0" w:color="auto"/>
            </w:tcBorders>
          </w:tcPr>
          <w:p w14:paraId="307F6A6D"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150F416E" w14:textId="77777777" w:rsidTr="00E53931">
        <w:trPr>
          <w:cantSplit/>
        </w:trPr>
        <w:tc>
          <w:tcPr>
            <w:tcW w:w="1316" w:type="dxa"/>
          </w:tcPr>
          <w:p w14:paraId="698B9ECA" w14:textId="77777777" w:rsidR="00D71424" w:rsidRPr="00CB1714" w:rsidRDefault="00D71424" w:rsidP="004674C2">
            <w:pPr>
              <w:rPr>
                <w:rFonts w:ascii="Lato" w:hAnsi="Lato"/>
                <w:sz w:val="22"/>
                <w:szCs w:val="22"/>
              </w:rPr>
            </w:pPr>
          </w:p>
        </w:tc>
        <w:tc>
          <w:tcPr>
            <w:tcW w:w="5891" w:type="dxa"/>
            <w:tcBorders>
              <w:right w:val="single" w:sz="4" w:space="0" w:color="auto"/>
            </w:tcBorders>
          </w:tcPr>
          <w:p w14:paraId="2C578AD8" w14:textId="529E011F"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(iii) Specify the proportion of investments in</w:t>
            </w:r>
          </w:p>
        </w:tc>
        <w:tc>
          <w:tcPr>
            <w:tcW w:w="3188" w:type="dxa"/>
            <w:tcBorders>
              <w:top w:val="single" w:sz="4" w:space="0" w:color="auto"/>
              <w:left w:val="single" w:sz="4" w:space="0" w:color="auto"/>
              <w:bottom w:val="single" w:sz="4" w:space="0" w:color="auto"/>
              <w:right w:val="single" w:sz="4" w:space="0" w:color="auto"/>
            </w:tcBorders>
          </w:tcPr>
          <w:p w14:paraId="357643AE"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201E2CB1" w14:textId="77777777" w:rsidTr="00E53931">
        <w:trPr>
          <w:cantSplit/>
        </w:trPr>
        <w:tc>
          <w:tcPr>
            <w:tcW w:w="1316" w:type="dxa"/>
          </w:tcPr>
          <w:p w14:paraId="4B77B8C6" w14:textId="77777777" w:rsidR="00D71424" w:rsidRPr="00CB1714" w:rsidRDefault="00D71424" w:rsidP="004674C2">
            <w:pPr>
              <w:rPr>
                <w:rFonts w:ascii="Lato" w:hAnsi="Lato"/>
                <w:sz w:val="22"/>
                <w:szCs w:val="22"/>
              </w:rPr>
            </w:pPr>
          </w:p>
        </w:tc>
        <w:tc>
          <w:tcPr>
            <w:tcW w:w="5891" w:type="dxa"/>
          </w:tcPr>
          <w:p w14:paraId="4AF85A3F" w14:textId="506FE2A1"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environmentally sustainable economic activities selected for the fund, including details on the proportions of enabling and transitional activities, as a percentage of all investments selected for the fund.</w:t>
            </w:r>
          </w:p>
        </w:tc>
        <w:tc>
          <w:tcPr>
            <w:tcW w:w="3188" w:type="dxa"/>
            <w:tcBorders>
              <w:top w:val="single" w:sz="4" w:space="0" w:color="auto"/>
            </w:tcBorders>
          </w:tcPr>
          <w:p w14:paraId="34AB0651"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375E9F1D" w14:textId="77777777" w:rsidTr="00E53931">
        <w:trPr>
          <w:cantSplit/>
        </w:trPr>
        <w:tc>
          <w:tcPr>
            <w:tcW w:w="1316" w:type="dxa"/>
          </w:tcPr>
          <w:p w14:paraId="74C43F80" w14:textId="77777777" w:rsidR="00D71424" w:rsidRPr="00CB1714" w:rsidRDefault="00D71424" w:rsidP="004674C2">
            <w:pPr>
              <w:rPr>
                <w:rFonts w:ascii="Lato" w:hAnsi="Lato"/>
                <w:sz w:val="22"/>
                <w:szCs w:val="22"/>
              </w:rPr>
            </w:pPr>
          </w:p>
        </w:tc>
        <w:tc>
          <w:tcPr>
            <w:tcW w:w="5891" w:type="dxa"/>
          </w:tcPr>
          <w:p w14:paraId="27C50ABC" w14:textId="77777777" w:rsidR="00D71424" w:rsidRPr="00CB1714" w:rsidRDefault="00D71424"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4D39A43D"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34C09430" w14:textId="77777777" w:rsidTr="00E53931">
        <w:trPr>
          <w:cantSplit/>
        </w:trPr>
        <w:tc>
          <w:tcPr>
            <w:tcW w:w="1316" w:type="dxa"/>
          </w:tcPr>
          <w:p w14:paraId="6FF3C7C1" w14:textId="4957EF5D" w:rsidR="00D71424" w:rsidRPr="00CB1714" w:rsidRDefault="00D71424" w:rsidP="004674C2">
            <w:pPr>
              <w:rPr>
                <w:rFonts w:ascii="Lato" w:hAnsi="Lato"/>
                <w:sz w:val="22"/>
                <w:szCs w:val="22"/>
              </w:rPr>
            </w:pPr>
            <w:r>
              <w:rPr>
                <w:rFonts w:ascii="Lato" w:hAnsi="Lato"/>
                <w:sz w:val="22"/>
                <w:szCs w:val="22"/>
              </w:rPr>
              <w:t>b)</w:t>
            </w:r>
          </w:p>
        </w:tc>
        <w:tc>
          <w:tcPr>
            <w:tcW w:w="5891" w:type="dxa"/>
            <w:tcBorders>
              <w:right w:val="single" w:sz="4" w:space="0" w:color="auto"/>
            </w:tcBorders>
          </w:tcPr>
          <w:p w14:paraId="76433630" w14:textId="09CC427A"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Where a fund as referred to in Article 8(1) of</w:t>
            </w:r>
          </w:p>
        </w:tc>
        <w:tc>
          <w:tcPr>
            <w:tcW w:w="3188" w:type="dxa"/>
            <w:tcBorders>
              <w:top w:val="single" w:sz="4" w:space="0" w:color="auto"/>
              <w:left w:val="single" w:sz="4" w:space="0" w:color="auto"/>
              <w:bottom w:val="single" w:sz="4" w:space="0" w:color="auto"/>
              <w:right w:val="single" w:sz="4" w:space="0" w:color="auto"/>
            </w:tcBorders>
          </w:tcPr>
          <w:p w14:paraId="0B82D20B"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0C79E404" w14:textId="77777777" w:rsidTr="00E53931">
        <w:trPr>
          <w:cantSplit/>
        </w:trPr>
        <w:tc>
          <w:tcPr>
            <w:tcW w:w="1316" w:type="dxa"/>
          </w:tcPr>
          <w:p w14:paraId="2AA836EA" w14:textId="77777777" w:rsidR="00D71424" w:rsidRPr="00CB1714" w:rsidRDefault="00D71424" w:rsidP="004674C2">
            <w:pPr>
              <w:rPr>
                <w:rFonts w:ascii="Lato" w:hAnsi="Lato"/>
                <w:sz w:val="22"/>
                <w:szCs w:val="22"/>
              </w:rPr>
            </w:pPr>
          </w:p>
        </w:tc>
        <w:tc>
          <w:tcPr>
            <w:tcW w:w="5891" w:type="dxa"/>
          </w:tcPr>
          <w:p w14:paraId="5E9353E1" w14:textId="77777777" w:rsidR="00D71424" w:rsidRPr="00D71424" w:rsidRDefault="00D71424" w:rsidP="00E53931">
            <w:pPr>
              <w:pStyle w:val="Heading3"/>
              <w:spacing w:before="0" w:line="240" w:lineRule="auto"/>
              <w:rPr>
                <w:rFonts w:ascii="Lato" w:hAnsi="Lato"/>
                <w:b w:val="0"/>
                <w:bCs/>
                <w:color w:val="auto"/>
                <w:sz w:val="22"/>
                <w:szCs w:val="22"/>
              </w:rPr>
            </w:pPr>
            <w:r w:rsidRPr="00D71424">
              <w:rPr>
                <w:rFonts w:ascii="Lato" w:hAnsi="Lato"/>
                <w:b w:val="0"/>
                <w:bCs/>
                <w:color w:val="auto"/>
                <w:sz w:val="22"/>
                <w:szCs w:val="22"/>
              </w:rPr>
              <w:t xml:space="preserve">SFDR promotes environmental characteristics, include the  following statement: </w:t>
            </w:r>
          </w:p>
          <w:p w14:paraId="124F79F0" w14:textId="5505D845" w:rsidR="00D71424" w:rsidRPr="00CB1714" w:rsidRDefault="00D71424" w:rsidP="00D71424">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‘The “do no significant harm” principle applies only to those investments underlying the fund that take into account the EU criteria for environmentally sustainable economic activities. The investments underlying the remaining portion of this fund do not take into account the EU criteria for environmentally sustainable economic activities.’</w:t>
            </w:r>
          </w:p>
        </w:tc>
        <w:tc>
          <w:tcPr>
            <w:tcW w:w="3188" w:type="dxa"/>
            <w:tcBorders>
              <w:top w:val="single" w:sz="4" w:space="0" w:color="auto"/>
            </w:tcBorders>
          </w:tcPr>
          <w:p w14:paraId="0E05B83E"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5770F051" w14:textId="77777777" w:rsidTr="00E53931">
        <w:trPr>
          <w:cantSplit/>
        </w:trPr>
        <w:tc>
          <w:tcPr>
            <w:tcW w:w="1316" w:type="dxa"/>
          </w:tcPr>
          <w:p w14:paraId="2258301C" w14:textId="77777777" w:rsidR="00D71424" w:rsidRPr="00CB1714" w:rsidRDefault="00D71424" w:rsidP="004674C2">
            <w:pPr>
              <w:rPr>
                <w:rFonts w:ascii="Lato" w:hAnsi="Lato"/>
                <w:sz w:val="22"/>
                <w:szCs w:val="22"/>
              </w:rPr>
            </w:pPr>
          </w:p>
        </w:tc>
        <w:tc>
          <w:tcPr>
            <w:tcW w:w="5891" w:type="dxa"/>
          </w:tcPr>
          <w:p w14:paraId="2C3A5593" w14:textId="77777777" w:rsidR="00D71424" w:rsidRPr="00CB1714" w:rsidRDefault="00D71424" w:rsidP="004674C2">
            <w:pPr>
              <w:pStyle w:val="Heading3"/>
              <w:spacing w:before="0" w:after="0" w:line="240" w:lineRule="auto"/>
              <w:rPr>
                <w:rFonts w:ascii="Lato" w:hAnsi="Lato"/>
                <w:b w:val="0"/>
                <w:bCs/>
                <w:color w:val="auto"/>
                <w:sz w:val="22"/>
                <w:szCs w:val="22"/>
              </w:rPr>
            </w:pPr>
          </w:p>
        </w:tc>
        <w:tc>
          <w:tcPr>
            <w:tcW w:w="3188" w:type="dxa"/>
            <w:tcBorders>
              <w:bottom w:val="single" w:sz="4" w:space="0" w:color="auto"/>
            </w:tcBorders>
          </w:tcPr>
          <w:p w14:paraId="54F1B31B"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7315E2C4" w14:textId="77777777" w:rsidTr="00E53931">
        <w:trPr>
          <w:cantSplit/>
        </w:trPr>
        <w:tc>
          <w:tcPr>
            <w:tcW w:w="1316" w:type="dxa"/>
          </w:tcPr>
          <w:p w14:paraId="23EE4CF9" w14:textId="0A76A149" w:rsidR="00D71424" w:rsidRPr="00CB1714" w:rsidRDefault="00D71424" w:rsidP="004674C2">
            <w:pPr>
              <w:rPr>
                <w:rFonts w:ascii="Lato" w:hAnsi="Lato"/>
                <w:sz w:val="22"/>
                <w:szCs w:val="22"/>
              </w:rPr>
            </w:pPr>
            <w:r>
              <w:rPr>
                <w:rFonts w:ascii="Lato" w:hAnsi="Lato"/>
                <w:sz w:val="22"/>
                <w:szCs w:val="22"/>
              </w:rPr>
              <w:lastRenderedPageBreak/>
              <w:t>c)</w:t>
            </w:r>
          </w:p>
        </w:tc>
        <w:tc>
          <w:tcPr>
            <w:tcW w:w="5891" w:type="dxa"/>
            <w:tcBorders>
              <w:right w:val="single" w:sz="4" w:space="0" w:color="auto"/>
            </w:tcBorders>
          </w:tcPr>
          <w:p w14:paraId="080BAED9" w14:textId="4FA19760" w:rsidR="00D71424" w:rsidRPr="00CB1714" w:rsidRDefault="00D71424" w:rsidP="004674C2">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Where a fund is not subject to Article 8(1) or to</w:t>
            </w:r>
          </w:p>
        </w:tc>
        <w:tc>
          <w:tcPr>
            <w:tcW w:w="3188" w:type="dxa"/>
            <w:tcBorders>
              <w:top w:val="single" w:sz="4" w:space="0" w:color="auto"/>
              <w:left w:val="single" w:sz="4" w:space="0" w:color="auto"/>
              <w:bottom w:val="single" w:sz="4" w:space="0" w:color="auto"/>
              <w:right w:val="single" w:sz="4" w:space="0" w:color="auto"/>
            </w:tcBorders>
          </w:tcPr>
          <w:p w14:paraId="433F6BC3"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7613CE86" w14:textId="77777777" w:rsidTr="00E53931">
        <w:trPr>
          <w:cantSplit/>
        </w:trPr>
        <w:tc>
          <w:tcPr>
            <w:tcW w:w="1316" w:type="dxa"/>
          </w:tcPr>
          <w:p w14:paraId="2204B770" w14:textId="77777777" w:rsidR="00D71424" w:rsidRPr="00CB1714" w:rsidRDefault="00D71424" w:rsidP="004674C2">
            <w:pPr>
              <w:rPr>
                <w:rFonts w:ascii="Lato" w:hAnsi="Lato"/>
                <w:sz w:val="22"/>
                <w:szCs w:val="22"/>
              </w:rPr>
            </w:pPr>
          </w:p>
        </w:tc>
        <w:tc>
          <w:tcPr>
            <w:tcW w:w="5891" w:type="dxa"/>
          </w:tcPr>
          <w:p w14:paraId="43A2DC99" w14:textId="77777777" w:rsidR="00D71424" w:rsidRPr="00D71424" w:rsidRDefault="00D71424" w:rsidP="00E53931">
            <w:pPr>
              <w:pStyle w:val="Heading3"/>
              <w:spacing w:before="0" w:line="240" w:lineRule="auto"/>
              <w:rPr>
                <w:rFonts w:ascii="Lato" w:hAnsi="Lato"/>
                <w:b w:val="0"/>
                <w:bCs/>
                <w:color w:val="auto"/>
                <w:sz w:val="22"/>
                <w:szCs w:val="22"/>
              </w:rPr>
            </w:pPr>
            <w:r w:rsidRPr="00D71424">
              <w:rPr>
                <w:rFonts w:ascii="Lato" w:hAnsi="Lato"/>
                <w:b w:val="0"/>
                <w:bCs/>
                <w:color w:val="auto"/>
                <w:sz w:val="22"/>
                <w:szCs w:val="22"/>
              </w:rPr>
              <w:t xml:space="preserve">Article 9(1), (2) or (3) of SFDR, include the following statement: </w:t>
            </w:r>
          </w:p>
          <w:p w14:paraId="29FE00FB" w14:textId="59F5A8A1" w:rsidR="00D71424" w:rsidRPr="00CB1714" w:rsidRDefault="00D71424" w:rsidP="00D71424">
            <w:pPr>
              <w:pStyle w:val="Heading3"/>
              <w:spacing w:before="0" w:after="0" w:line="240" w:lineRule="auto"/>
              <w:rPr>
                <w:rFonts w:ascii="Lato" w:hAnsi="Lato"/>
                <w:b w:val="0"/>
                <w:bCs/>
                <w:color w:val="auto"/>
                <w:sz w:val="22"/>
                <w:szCs w:val="22"/>
              </w:rPr>
            </w:pPr>
            <w:r w:rsidRPr="00D71424">
              <w:rPr>
                <w:rFonts w:ascii="Lato" w:hAnsi="Lato"/>
                <w:b w:val="0"/>
                <w:bCs/>
                <w:color w:val="auto"/>
                <w:sz w:val="22"/>
                <w:szCs w:val="22"/>
              </w:rPr>
              <w:t>‘The investments underlying this fund do not take into account the EU criteria for environmentally sustainable economic activities’.</w:t>
            </w:r>
          </w:p>
        </w:tc>
        <w:tc>
          <w:tcPr>
            <w:tcW w:w="3188" w:type="dxa"/>
            <w:tcBorders>
              <w:top w:val="single" w:sz="4" w:space="0" w:color="auto"/>
            </w:tcBorders>
          </w:tcPr>
          <w:p w14:paraId="107866FE"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D71424" w:rsidRPr="00CB1714" w14:paraId="2A65F401" w14:textId="77777777" w:rsidTr="00990D73">
        <w:trPr>
          <w:cantSplit/>
        </w:trPr>
        <w:tc>
          <w:tcPr>
            <w:tcW w:w="1316" w:type="dxa"/>
          </w:tcPr>
          <w:p w14:paraId="666E7141" w14:textId="77777777" w:rsidR="00D71424" w:rsidRPr="00CB1714" w:rsidRDefault="00D71424" w:rsidP="004674C2">
            <w:pPr>
              <w:rPr>
                <w:rFonts w:ascii="Lato" w:hAnsi="Lato"/>
                <w:sz w:val="22"/>
                <w:szCs w:val="22"/>
              </w:rPr>
            </w:pPr>
          </w:p>
        </w:tc>
        <w:tc>
          <w:tcPr>
            <w:tcW w:w="5891" w:type="dxa"/>
          </w:tcPr>
          <w:p w14:paraId="35FBAB46" w14:textId="77777777" w:rsidR="00D71424" w:rsidRPr="00CB1714" w:rsidRDefault="00D71424" w:rsidP="004674C2">
            <w:pPr>
              <w:pStyle w:val="Heading3"/>
              <w:spacing w:before="0" w:after="0" w:line="240" w:lineRule="auto"/>
              <w:rPr>
                <w:rFonts w:ascii="Lato" w:hAnsi="Lato"/>
                <w:b w:val="0"/>
                <w:bCs/>
                <w:color w:val="auto"/>
                <w:sz w:val="22"/>
                <w:szCs w:val="22"/>
              </w:rPr>
            </w:pPr>
          </w:p>
        </w:tc>
        <w:tc>
          <w:tcPr>
            <w:tcW w:w="3188" w:type="dxa"/>
          </w:tcPr>
          <w:p w14:paraId="12E65C0C" w14:textId="77777777" w:rsidR="00D71424" w:rsidRPr="00CB1714" w:rsidRDefault="00D71424" w:rsidP="004674C2">
            <w:pPr>
              <w:pStyle w:val="Heading3"/>
              <w:spacing w:before="0" w:after="0" w:line="240" w:lineRule="auto"/>
              <w:rPr>
                <w:rFonts w:ascii="Lato" w:hAnsi="Lato"/>
                <w:b w:val="0"/>
                <w:bCs/>
                <w:color w:val="auto"/>
                <w:sz w:val="22"/>
                <w:szCs w:val="22"/>
                <w:u w:val="single"/>
              </w:rPr>
            </w:pPr>
          </w:p>
        </w:tc>
      </w:tr>
      <w:tr w:rsidR="004674C2" w:rsidRPr="00CB1714" w14:paraId="54528792" w14:textId="77777777" w:rsidTr="00990D73">
        <w:tc>
          <w:tcPr>
            <w:tcW w:w="1316" w:type="dxa"/>
          </w:tcPr>
          <w:p w14:paraId="34F80153" w14:textId="77777777" w:rsidR="004674C2" w:rsidRPr="00CB1714" w:rsidRDefault="004674C2" w:rsidP="004674C2">
            <w:pPr>
              <w:rPr>
                <w:rFonts w:ascii="Lato" w:hAnsi="Lato"/>
                <w:b/>
                <w:sz w:val="22"/>
                <w:szCs w:val="22"/>
              </w:rPr>
            </w:pPr>
            <w:r w:rsidRPr="00CB1714">
              <w:rPr>
                <w:rFonts w:ascii="Lato" w:hAnsi="Lato"/>
                <w:b/>
                <w:sz w:val="22"/>
                <w:szCs w:val="22"/>
              </w:rPr>
              <w:t>2.3</w:t>
            </w:r>
          </w:p>
        </w:tc>
        <w:tc>
          <w:tcPr>
            <w:tcW w:w="5891" w:type="dxa"/>
          </w:tcPr>
          <w:p w14:paraId="2957A8DE" w14:textId="77777777" w:rsidR="004674C2" w:rsidRPr="00CB1714" w:rsidRDefault="004674C2" w:rsidP="004674C2">
            <w:pPr>
              <w:pStyle w:val="Heading3"/>
              <w:spacing w:before="0" w:after="0" w:line="240" w:lineRule="auto"/>
              <w:rPr>
                <w:rFonts w:ascii="Lato" w:hAnsi="Lato"/>
                <w:bCs/>
                <w:color w:val="auto"/>
                <w:sz w:val="22"/>
                <w:szCs w:val="22"/>
                <w:u w:val="single"/>
              </w:rPr>
            </w:pPr>
            <w:r w:rsidRPr="00CB1714">
              <w:rPr>
                <w:rFonts w:ascii="Lato" w:hAnsi="Lato"/>
                <w:bCs/>
                <w:color w:val="auto"/>
                <w:sz w:val="22"/>
                <w:szCs w:val="22"/>
                <w:u w:val="single"/>
              </w:rPr>
              <w:t xml:space="preserve">Changes in objectives and/or changes to the policy </w:t>
            </w:r>
          </w:p>
        </w:tc>
        <w:tc>
          <w:tcPr>
            <w:tcW w:w="3188" w:type="dxa"/>
          </w:tcPr>
          <w:p w14:paraId="22F60CB7" w14:textId="77777777" w:rsidR="004674C2" w:rsidRPr="00CB1714" w:rsidRDefault="004674C2" w:rsidP="004674C2">
            <w:pPr>
              <w:pStyle w:val="Heading3"/>
              <w:spacing w:before="0" w:after="0" w:line="240" w:lineRule="auto"/>
              <w:rPr>
                <w:rFonts w:ascii="Lato" w:hAnsi="Lato"/>
                <w:b w:val="0"/>
                <w:bCs/>
                <w:color w:val="auto"/>
                <w:sz w:val="22"/>
                <w:szCs w:val="22"/>
                <w:u w:val="single"/>
              </w:rPr>
            </w:pPr>
          </w:p>
        </w:tc>
      </w:tr>
      <w:tr w:rsidR="004674C2" w:rsidRPr="00CB1714" w14:paraId="1C0D7AFD" w14:textId="77777777" w:rsidTr="00990D73">
        <w:tc>
          <w:tcPr>
            <w:tcW w:w="1316" w:type="dxa"/>
          </w:tcPr>
          <w:p w14:paraId="7D27C3A0"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Pr>
          <w:p w14:paraId="7988DE49" w14:textId="77777777" w:rsidR="004674C2" w:rsidRPr="00CB1714" w:rsidRDefault="004674C2" w:rsidP="004674C2">
            <w:pPr>
              <w:rPr>
                <w:rFonts w:ascii="Lato" w:hAnsi="Lato"/>
                <w:sz w:val="22"/>
                <w:szCs w:val="22"/>
              </w:rPr>
            </w:pPr>
            <w:r w:rsidRPr="00CB1714">
              <w:rPr>
                <w:rFonts w:ascii="Lato" w:hAnsi="Lato"/>
                <w:bCs/>
                <w:sz w:val="22"/>
                <w:szCs w:val="22"/>
                <w:u w:val="single"/>
              </w:rPr>
              <w:t xml:space="preserve">Open-ended Qualifying Investor AIFs </w:t>
            </w:r>
            <w:r w:rsidRPr="00CB1714">
              <w:rPr>
                <w:rFonts w:ascii="Lato" w:hAnsi="Lato"/>
                <w:sz w:val="22"/>
                <w:szCs w:val="22"/>
              </w:rPr>
              <w:t>Provide that:</w:t>
            </w:r>
          </w:p>
        </w:tc>
        <w:tc>
          <w:tcPr>
            <w:tcW w:w="3188" w:type="dxa"/>
            <w:tcBorders>
              <w:bottom w:val="single" w:sz="4" w:space="0" w:color="auto"/>
            </w:tcBorders>
          </w:tcPr>
          <w:p w14:paraId="12C49ED1" w14:textId="77777777" w:rsidR="004674C2" w:rsidRPr="00CB1714" w:rsidRDefault="004674C2" w:rsidP="004674C2">
            <w:pPr>
              <w:rPr>
                <w:rFonts w:ascii="Lato" w:hAnsi="Lato"/>
                <w:sz w:val="22"/>
                <w:szCs w:val="22"/>
              </w:rPr>
            </w:pPr>
          </w:p>
        </w:tc>
      </w:tr>
      <w:tr w:rsidR="004674C2" w:rsidRPr="00CB1714" w14:paraId="188E6B8B" w14:textId="77777777" w:rsidTr="00990D73">
        <w:tc>
          <w:tcPr>
            <w:tcW w:w="1316" w:type="dxa"/>
          </w:tcPr>
          <w:p w14:paraId="4C340531"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02B7F502" w14:textId="77777777" w:rsidR="004674C2" w:rsidRPr="00CB1714" w:rsidRDefault="004674C2" w:rsidP="004674C2">
            <w:pPr>
              <w:rPr>
                <w:rFonts w:ascii="Lato" w:hAnsi="Lato"/>
                <w:sz w:val="22"/>
                <w:szCs w:val="22"/>
              </w:rPr>
            </w:pPr>
            <w:r w:rsidRPr="00CB1714">
              <w:rPr>
                <w:rFonts w:ascii="Lato" w:hAnsi="Lato"/>
                <w:sz w:val="22"/>
                <w:szCs w:val="22"/>
              </w:rPr>
              <w:t xml:space="preserve">A change to the investment objective or material changes </w:t>
            </w:r>
          </w:p>
        </w:tc>
        <w:tc>
          <w:tcPr>
            <w:tcW w:w="3188" w:type="dxa"/>
            <w:tcBorders>
              <w:top w:val="single" w:sz="4" w:space="0" w:color="auto"/>
              <w:left w:val="single" w:sz="4" w:space="0" w:color="auto"/>
              <w:bottom w:val="single" w:sz="4" w:space="0" w:color="auto"/>
              <w:right w:val="single" w:sz="4" w:space="0" w:color="auto"/>
            </w:tcBorders>
          </w:tcPr>
          <w:p w14:paraId="663EF6C9" w14:textId="77777777" w:rsidR="004674C2" w:rsidRPr="00CB1714" w:rsidRDefault="004674C2" w:rsidP="004674C2">
            <w:pPr>
              <w:rPr>
                <w:rFonts w:ascii="Lato" w:hAnsi="Lato"/>
                <w:sz w:val="22"/>
                <w:szCs w:val="22"/>
              </w:rPr>
            </w:pPr>
          </w:p>
        </w:tc>
      </w:tr>
      <w:tr w:rsidR="004674C2" w:rsidRPr="00CB1714" w14:paraId="74E81C65" w14:textId="77777777" w:rsidTr="00990D73">
        <w:tc>
          <w:tcPr>
            <w:tcW w:w="1316" w:type="dxa"/>
          </w:tcPr>
          <w:p w14:paraId="2AC07AE8" w14:textId="77777777" w:rsidR="004674C2" w:rsidRPr="00CB1714" w:rsidRDefault="004674C2" w:rsidP="004674C2">
            <w:pPr>
              <w:jc w:val="right"/>
              <w:rPr>
                <w:rFonts w:ascii="Lato" w:hAnsi="Lato"/>
                <w:sz w:val="22"/>
                <w:szCs w:val="22"/>
              </w:rPr>
            </w:pPr>
          </w:p>
        </w:tc>
        <w:tc>
          <w:tcPr>
            <w:tcW w:w="5891" w:type="dxa"/>
          </w:tcPr>
          <w:p w14:paraId="3537CDBB" w14:textId="77777777" w:rsidR="004674C2" w:rsidRPr="00CB1714" w:rsidRDefault="004674C2" w:rsidP="004674C2">
            <w:pPr>
              <w:rPr>
                <w:rFonts w:ascii="Lato" w:hAnsi="Lato"/>
                <w:sz w:val="22"/>
                <w:szCs w:val="22"/>
              </w:rPr>
            </w:pPr>
            <w:r w:rsidRPr="00F72ED7">
              <w:rPr>
                <w:rFonts w:ascii="Lato" w:hAnsi="Lato"/>
                <w:sz w:val="22"/>
                <w:szCs w:val="22"/>
              </w:rPr>
              <w:t>to</w:t>
            </w:r>
            <w:r w:rsidRPr="00CB1714">
              <w:rPr>
                <w:rFonts w:ascii="Lato" w:hAnsi="Lato"/>
                <w:sz w:val="22"/>
                <w:szCs w:val="22"/>
              </w:rPr>
              <w:t xml:space="preserve"> the investment policy of the Qualifying Investor AIF may </w:t>
            </w:r>
          </w:p>
        </w:tc>
        <w:tc>
          <w:tcPr>
            <w:tcW w:w="3188" w:type="dxa"/>
            <w:tcBorders>
              <w:top w:val="single" w:sz="4" w:space="0" w:color="auto"/>
            </w:tcBorders>
          </w:tcPr>
          <w:p w14:paraId="38DC424B" w14:textId="77777777" w:rsidR="004674C2" w:rsidRPr="00CB1714" w:rsidRDefault="004674C2" w:rsidP="004674C2">
            <w:pPr>
              <w:rPr>
                <w:rFonts w:ascii="Lato" w:hAnsi="Lato"/>
                <w:sz w:val="22"/>
                <w:szCs w:val="22"/>
              </w:rPr>
            </w:pPr>
          </w:p>
        </w:tc>
      </w:tr>
      <w:tr w:rsidR="004674C2" w:rsidRPr="00CB1714" w14:paraId="058F8E46" w14:textId="77777777" w:rsidTr="00990D73">
        <w:tc>
          <w:tcPr>
            <w:tcW w:w="1316" w:type="dxa"/>
          </w:tcPr>
          <w:p w14:paraId="07965724" w14:textId="77777777" w:rsidR="004674C2" w:rsidRPr="00CB1714" w:rsidRDefault="004674C2" w:rsidP="004674C2">
            <w:pPr>
              <w:jc w:val="right"/>
              <w:rPr>
                <w:rFonts w:ascii="Lato" w:hAnsi="Lato"/>
                <w:sz w:val="22"/>
                <w:szCs w:val="22"/>
              </w:rPr>
            </w:pPr>
          </w:p>
        </w:tc>
        <w:tc>
          <w:tcPr>
            <w:tcW w:w="5891" w:type="dxa"/>
          </w:tcPr>
          <w:p w14:paraId="2D99AAB7" w14:textId="77777777" w:rsidR="004674C2" w:rsidRPr="00CB1714" w:rsidRDefault="004674C2" w:rsidP="004674C2">
            <w:pPr>
              <w:rPr>
                <w:rFonts w:ascii="Lato" w:hAnsi="Lato"/>
                <w:sz w:val="22"/>
                <w:szCs w:val="22"/>
              </w:rPr>
            </w:pPr>
            <w:r w:rsidRPr="00F72ED7">
              <w:rPr>
                <w:rFonts w:ascii="Lato" w:hAnsi="Lato"/>
                <w:sz w:val="22"/>
                <w:szCs w:val="22"/>
              </w:rPr>
              <w:t xml:space="preserve">not be </w:t>
            </w:r>
            <w:r w:rsidRPr="00CB1714">
              <w:rPr>
                <w:rFonts w:ascii="Lato" w:hAnsi="Lato"/>
                <w:sz w:val="22"/>
                <w:szCs w:val="22"/>
              </w:rPr>
              <w:t xml:space="preserve">effected without the prior written approval of all </w:t>
            </w:r>
          </w:p>
        </w:tc>
        <w:tc>
          <w:tcPr>
            <w:tcW w:w="3188" w:type="dxa"/>
          </w:tcPr>
          <w:p w14:paraId="7B36EF84" w14:textId="77777777" w:rsidR="004674C2" w:rsidRPr="00CB1714" w:rsidRDefault="004674C2" w:rsidP="004674C2">
            <w:pPr>
              <w:rPr>
                <w:rFonts w:ascii="Lato" w:hAnsi="Lato"/>
                <w:sz w:val="22"/>
                <w:szCs w:val="22"/>
              </w:rPr>
            </w:pPr>
          </w:p>
        </w:tc>
      </w:tr>
      <w:tr w:rsidR="004674C2" w:rsidRPr="00CB1714" w14:paraId="3A406ED5" w14:textId="77777777" w:rsidTr="00990D73">
        <w:tc>
          <w:tcPr>
            <w:tcW w:w="1316" w:type="dxa"/>
          </w:tcPr>
          <w:p w14:paraId="6F51B585" w14:textId="77777777" w:rsidR="004674C2" w:rsidRPr="00CB1714" w:rsidRDefault="004674C2" w:rsidP="004674C2">
            <w:pPr>
              <w:jc w:val="right"/>
              <w:rPr>
                <w:rFonts w:ascii="Lato" w:hAnsi="Lato"/>
                <w:sz w:val="22"/>
                <w:szCs w:val="22"/>
              </w:rPr>
            </w:pPr>
          </w:p>
        </w:tc>
        <w:tc>
          <w:tcPr>
            <w:tcW w:w="5891" w:type="dxa"/>
          </w:tcPr>
          <w:p w14:paraId="2CADA1F5" w14:textId="77777777" w:rsidR="004674C2" w:rsidRPr="00CB1714" w:rsidRDefault="004674C2" w:rsidP="004674C2">
            <w:pPr>
              <w:rPr>
                <w:rFonts w:ascii="Lato" w:hAnsi="Lato"/>
                <w:sz w:val="22"/>
                <w:szCs w:val="22"/>
              </w:rPr>
            </w:pPr>
            <w:r w:rsidRPr="00F72ED7">
              <w:rPr>
                <w:rFonts w:ascii="Lato" w:hAnsi="Lato"/>
                <w:sz w:val="22"/>
                <w:szCs w:val="22"/>
              </w:rPr>
              <w:t>unitholders or</w:t>
            </w:r>
            <w:r w:rsidRPr="00CB1714">
              <w:rPr>
                <w:rFonts w:ascii="Lato" w:hAnsi="Lato"/>
                <w:sz w:val="22"/>
                <w:szCs w:val="22"/>
              </w:rPr>
              <w:t xml:space="preserve"> without approval on the basis of a majority </w:t>
            </w:r>
          </w:p>
        </w:tc>
        <w:tc>
          <w:tcPr>
            <w:tcW w:w="3188" w:type="dxa"/>
          </w:tcPr>
          <w:p w14:paraId="1C2B0A8C" w14:textId="77777777" w:rsidR="004674C2" w:rsidRPr="00CB1714" w:rsidRDefault="004674C2" w:rsidP="004674C2">
            <w:pPr>
              <w:rPr>
                <w:rFonts w:ascii="Lato" w:hAnsi="Lato"/>
                <w:sz w:val="22"/>
                <w:szCs w:val="22"/>
              </w:rPr>
            </w:pPr>
          </w:p>
        </w:tc>
      </w:tr>
      <w:tr w:rsidR="004674C2" w:rsidRPr="00CB1714" w14:paraId="5E9EE62A" w14:textId="77777777" w:rsidTr="00990D73">
        <w:tc>
          <w:tcPr>
            <w:tcW w:w="1316" w:type="dxa"/>
          </w:tcPr>
          <w:p w14:paraId="54E8B047" w14:textId="77777777" w:rsidR="004674C2" w:rsidRPr="00CB1714" w:rsidRDefault="004674C2" w:rsidP="004674C2">
            <w:pPr>
              <w:jc w:val="right"/>
              <w:rPr>
                <w:rFonts w:ascii="Lato" w:hAnsi="Lato"/>
                <w:sz w:val="22"/>
                <w:szCs w:val="22"/>
              </w:rPr>
            </w:pPr>
          </w:p>
        </w:tc>
        <w:tc>
          <w:tcPr>
            <w:tcW w:w="5891" w:type="dxa"/>
          </w:tcPr>
          <w:p w14:paraId="7DBF77E5" w14:textId="77777777" w:rsidR="004674C2" w:rsidRPr="00CB1714" w:rsidRDefault="004674C2" w:rsidP="004674C2">
            <w:pPr>
              <w:rPr>
                <w:rFonts w:ascii="Lato" w:hAnsi="Lato"/>
                <w:sz w:val="22"/>
                <w:szCs w:val="22"/>
              </w:rPr>
            </w:pPr>
            <w:r w:rsidRPr="00F72ED7">
              <w:rPr>
                <w:rFonts w:ascii="Lato" w:hAnsi="Lato"/>
                <w:sz w:val="22"/>
                <w:szCs w:val="22"/>
              </w:rPr>
              <w:t>of votes cast at</w:t>
            </w:r>
            <w:r w:rsidRPr="00CB1714">
              <w:rPr>
                <w:rFonts w:ascii="Lato" w:hAnsi="Lato"/>
                <w:sz w:val="22"/>
                <w:szCs w:val="22"/>
              </w:rPr>
              <w:t xml:space="preserve"> general meeting</w:t>
            </w:r>
          </w:p>
        </w:tc>
        <w:tc>
          <w:tcPr>
            <w:tcW w:w="3188" w:type="dxa"/>
            <w:tcBorders>
              <w:bottom w:val="single" w:sz="4" w:space="0" w:color="auto"/>
            </w:tcBorders>
          </w:tcPr>
          <w:p w14:paraId="35677FCF" w14:textId="77777777" w:rsidR="004674C2" w:rsidRPr="00CB1714" w:rsidRDefault="004674C2" w:rsidP="004674C2">
            <w:pPr>
              <w:rPr>
                <w:rFonts w:ascii="Lato" w:hAnsi="Lato"/>
                <w:sz w:val="22"/>
                <w:szCs w:val="22"/>
              </w:rPr>
            </w:pPr>
          </w:p>
        </w:tc>
      </w:tr>
      <w:tr w:rsidR="004674C2" w:rsidRPr="00CB1714" w14:paraId="6E7E0998" w14:textId="77777777" w:rsidTr="00990D73">
        <w:tc>
          <w:tcPr>
            <w:tcW w:w="1316" w:type="dxa"/>
          </w:tcPr>
          <w:p w14:paraId="10F0BB6B"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7E52A965" w14:textId="77777777" w:rsidR="004674C2" w:rsidRPr="00CB1714" w:rsidRDefault="004674C2" w:rsidP="004674C2">
            <w:pPr>
              <w:rPr>
                <w:rFonts w:ascii="Lato" w:hAnsi="Lato"/>
                <w:sz w:val="22"/>
                <w:szCs w:val="22"/>
              </w:rPr>
            </w:pPr>
            <w:r w:rsidRPr="00CB1714">
              <w:rPr>
                <w:rFonts w:ascii="Lato" w:hAnsi="Lato"/>
                <w:sz w:val="22"/>
                <w:szCs w:val="22"/>
              </w:rPr>
              <w:t xml:space="preserve">Provide that in the event of a change of investment </w:t>
            </w:r>
          </w:p>
        </w:tc>
        <w:tc>
          <w:tcPr>
            <w:tcW w:w="3188" w:type="dxa"/>
            <w:tcBorders>
              <w:top w:val="single" w:sz="4" w:space="0" w:color="auto"/>
              <w:left w:val="single" w:sz="4" w:space="0" w:color="auto"/>
              <w:bottom w:val="single" w:sz="4" w:space="0" w:color="auto"/>
              <w:right w:val="single" w:sz="4" w:space="0" w:color="auto"/>
            </w:tcBorders>
          </w:tcPr>
          <w:p w14:paraId="44398A5E" w14:textId="77777777" w:rsidR="004674C2" w:rsidRPr="00CB1714" w:rsidRDefault="004674C2" w:rsidP="004674C2">
            <w:pPr>
              <w:rPr>
                <w:rFonts w:ascii="Lato" w:hAnsi="Lato"/>
                <w:sz w:val="22"/>
                <w:szCs w:val="22"/>
              </w:rPr>
            </w:pPr>
          </w:p>
        </w:tc>
      </w:tr>
      <w:tr w:rsidR="004674C2" w:rsidRPr="00CB1714" w14:paraId="7ACF4392" w14:textId="77777777" w:rsidTr="00990D73">
        <w:tc>
          <w:tcPr>
            <w:tcW w:w="1316" w:type="dxa"/>
          </w:tcPr>
          <w:p w14:paraId="7442F710" w14:textId="77777777" w:rsidR="004674C2" w:rsidRPr="00CB1714" w:rsidRDefault="004674C2" w:rsidP="004674C2">
            <w:pPr>
              <w:jc w:val="right"/>
              <w:rPr>
                <w:rFonts w:ascii="Lato" w:hAnsi="Lato"/>
                <w:sz w:val="22"/>
                <w:szCs w:val="22"/>
              </w:rPr>
            </w:pPr>
          </w:p>
        </w:tc>
        <w:tc>
          <w:tcPr>
            <w:tcW w:w="5891" w:type="dxa"/>
          </w:tcPr>
          <w:p w14:paraId="480D21EA" w14:textId="77777777" w:rsidR="004674C2" w:rsidRPr="00CB1714" w:rsidRDefault="004674C2" w:rsidP="004674C2">
            <w:pPr>
              <w:rPr>
                <w:rFonts w:ascii="Lato" w:hAnsi="Lato"/>
                <w:sz w:val="22"/>
                <w:szCs w:val="22"/>
              </w:rPr>
            </w:pPr>
            <w:r w:rsidRPr="00CB1714">
              <w:rPr>
                <w:rFonts w:ascii="Lato" w:hAnsi="Lato"/>
                <w:sz w:val="22"/>
                <w:szCs w:val="22"/>
              </w:rPr>
              <w:t xml:space="preserve">objective and/or investment policy on the basis of a </w:t>
            </w:r>
          </w:p>
        </w:tc>
        <w:tc>
          <w:tcPr>
            <w:tcW w:w="3188" w:type="dxa"/>
            <w:tcBorders>
              <w:top w:val="single" w:sz="4" w:space="0" w:color="auto"/>
            </w:tcBorders>
          </w:tcPr>
          <w:p w14:paraId="3ADAE6A6" w14:textId="77777777" w:rsidR="004674C2" w:rsidRPr="00CB1714" w:rsidRDefault="004674C2" w:rsidP="004674C2">
            <w:pPr>
              <w:rPr>
                <w:rFonts w:ascii="Lato" w:hAnsi="Lato"/>
                <w:sz w:val="22"/>
                <w:szCs w:val="22"/>
              </w:rPr>
            </w:pPr>
          </w:p>
        </w:tc>
      </w:tr>
      <w:tr w:rsidR="004674C2" w:rsidRPr="00CB1714" w14:paraId="32AB1029" w14:textId="77777777" w:rsidTr="00990D73">
        <w:tc>
          <w:tcPr>
            <w:tcW w:w="1316" w:type="dxa"/>
          </w:tcPr>
          <w:p w14:paraId="7C602D00" w14:textId="77777777" w:rsidR="004674C2" w:rsidRPr="00CB1714" w:rsidRDefault="004674C2" w:rsidP="004674C2">
            <w:pPr>
              <w:jc w:val="right"/>
              <w:rPr>
                <w:rFonts w:ascii="Lato" w:hAnsi="Lato"/>
                <w:sz w:val="22"/>
                <w:szCs w:val="22"/>
              </w:rPr>
            </w:pPr>
          </w:p>
        </w:tc>
        <w:tc>
          <w:tcPr>
            <w:tcW w:w="5891" w:type="dxa"/>
          </w:tcPr>
          <w:p w14:paraId="10AB47AC" w14:textId="77777777" w:rsidR="004674C2" w:rsidRPr="00CB1714" w:rsidRDefault="004674C2" w:rsidP="004674C2">
            <w:pPr>
              <w:rPr>
                <w:rFonts w:ascii="Lato" w:hAnsi="Lato"/>
                <w:sz w:val="22"/>
                <w:szCs w:val="22"/>
              </w:rPr>
            </w:pPr>
            <w:r w:rsidRPr="00F72ED7">
              <w:rPr>
                <w:rFonts w:ascii="Lato" w:hAnsi="Lato"/>
                <w:sz w:val="22"/>
                <w:szCs w:val="22"/>
              </w:rPr>
              <w:t>majority of</w:t>
            </w:r>
            <w:r w:rsidRPr="00CB1714">
              <w:rPr>
                <w:rFonts w:ascii="Lato" w:hAnsi="Lato"/>
                <w:sz w:val="22"/>
                <w:szCs w:val="22"/>
              </w:rPr>
              <w:t xml:space="preserve"> votes cast at a general meeting, a reasonable </w:t>
            </w:r>
          </w:p>
        </w:tc>
        <w:tc>
          <w:tcPr>
            <w:tcW w:w="3188" w:type="dxa"/>
          </w:tcPr>
          <w:p w14:paraId="15E94FE7" w14:textId="77777777" w:rsidR="004674C2" w:rsidRPr="00CB1714" w:rsidRDefault="004674C2" w:rsidP="004674C2">
            <w:pPr>
              <w:rPr>
                <w:rFonts w:ascii="Lato" w:hAnsi="Lato"/>
                <w:sz w:val="22"/>
                <w:szCs w:val="22"/>
              </w:rPr>
            </w:pPr>
          </w:p>
        </w:tc>
      </w:tr>
      <w:tr w:rsidR="004674C2" w:rsidRPr="00CB1714" w14:paraId="147B9D17" w14:textId="77777777" w:rsidTr="00990D73">
        <w:tc>
          <w:tcPr>
            <w:tcW w:w="1316" w:type="dxa"/>
          </w:tcPr>
          <w:p w14:paraId="6797B40F" w14:textId="77777777" w:rsidR="004674C2" w:rsidRPr="00CB1714" w:rsidRDefault="004674C2" w:rsidP="004674C2">
            <w:pPr>
              <w:jc w:val="right"/>
              <w:rPr>
                <w:rFonts w:ascii="Lato" w:hAnsi="Lato"/>
                <w:sz w:val="22"/>
                <w:szCs w:val="22"/>
              </w:rPr>
            </w:pPr>
          </w:p>
        </w:tc>
        <w:tc>
          <w:tcPr>
            <w:tcW w:w="5891" w:type="dxa"/>
          </w:tcPr>
          <w:p w14:paraId="41E38202" w14:textId="77777777" w:rsidR="004674C2" w:rsidRPr="00CB1714" w:rsidRDefault="004674C2" w:rsidP="004674C2">
            <w:pPr>
              <w:rPr>
                <w:rFonts w:ascii="Lato" w:hAnsi="Lato"/>
                <w:sz w:val="22"/>
                <w:szCs w:val="22"/>
              </w:rPr>
            </w:pPr>
            <w:r w:rsidRPr="00F72ED7">
              <w:rPr>
                <w:rFonts w:ascii="Lato" w:hAnsi="Lato"/>
                <w:sz w:val="22"/>
                <w:szCs w:val="22"/>
              </w:rPr>
              <w:t>notification</w:t>
            </w:r>
            <w:r w:rsidRPr="00CB1714">
              <w:rPr>
                <w:rFonts w:ascii="Lato" w:hAnsi="Lato"/>
                <w:sz w:val="22"/>
                <w:szCs w:val="22"/>
              </w:rPr>
              <w:t xml:space="preserve"> period will be provided by the Qualifying </w:t>
            </w:r>
          </w:p>
        </w:tc>
        <w:tc>
          <w:tcPr>
            <w:tcW w:w="3188" w:type="dxa"/>
          </w:tcPr>
          <w:p w14:paraId="4FFF6968" w14:textId="77777777" w:rsidR="004674C2" w:rsidRPr="00CB1714" w:rsidRDefault="004674C2" w:rsidP="004674C2">
            <w:pPr>
              <w:rPr>
                <w:rFonts w:ascii="Lato" w:hAnsi="Lato"/>
                <w:sz w:val="22"/>
                <w:szCs w:val="22"/>
              </w:rPr>
            </w:pPr>
          </w:p>
        </w:tc>
      </w:tr>
      <w:tr w:rsidR="004674C2" w:rsidRPr="00CB1714" w14:paraId="4A63AE34" w14:textId="77777777" w:rsidTr="00990D73">
        <w:tc>
          <w:tcPr>
            <w:tcW w:w="1316" w:type="dxa"/>
          </w:tcPr>
          <w:p w14:paraId="65463AD1" w14:textId="77777777" w:rsidR="004674C2" w:rsidRPr="00CB1714" w:rsidRDefault="004674C2" w:rsidP="004674C2">
            <w:pPr>
              <w:jc w:val="right"/>
              <w:rPr>
                <w:rFonts w:ascii="Lato" w:hAnsi="Lato"/>
                <w:sz w:val="22"/>
                <w:szCs w:val="22"/>
              </w:rPr>
            </w:pPr>
          </w:p>
        </w:tc>
        <w:tc>
          <w:tcPr>
            <w:tcW w:w="5891" w:type="dxa"/>
          </w:tcPr>
          <w:p w14:paraId="524B5E5C" w14:textId="77777777" w:rsidR="004674C2" w:rsidRPr="00CB1714" w:rsidRDefault="004674C2" w:rsidP="004674C2">
            <w:pPr>
              <w:rPr>
                <w:rFonts w:ascii="Lato" w:hAnsi="Lato"/>
                <w:sz w:val="22"/>
                <w:szCs w:val="22"/>
              </w:rPr>
            </w:pPr>
            <w:r w:rsidRPr="00F72ED7">
              <w:rPr>
                <w:rFonts w:ascii="Lato" w:hAnsi="Lato"/>
                <w:sz w:val="22"/>
                <w:szCs w:val="22"/>
              </w:rPr>
              <w:t xml:space="preserve">Investor AIF to </w:t>
            </w:r>
            <w:r w:rsidRPr="00CB1714">
              <w:rPr>
                <w:rFonts w:ascii="Lato" w:hAnsi="Lato"/>
                <w:sz w:val="22"/>
                <w:szCs w:val="22"/>
              </w:rPr>
              <w:t xml:space="preserve">enable unitholders redeem their units prior </w:t>
            </w:r>
          </w:p>
        </w:tc>
        <w:tc>
          <w:tcPr>
            <w:tcW w:w="3188" w:type="dxa"/>
          </w:tcPr>
          <w:p w14:paraId="306FC19F" w14:textId="77777777" w:rsidR="004674C2" w:rsidRPr="00CB1714" w:rsidRDefault="004674C2" w:rsidP="004674C2">
            <w:pPr>
              <w:rPr>
                <w:rFonts w:ascii="Lato" w:hAnsi="Lato"/>
                <w:sz w:val="22"/>
                <w:szCs w:val="22"/>
              </w:rPr>
            </w:pPr>
          </w:p>
        </w:tc>
      </w:tr>
      <w:tr w:rsidR="004674C2" w:rsidRPr="00CB1714" w14:paraId="42779351" w14:textId="77777777" w:rsidTr="00990D73">
        <w:tc>
          <w:tcPr>
            <w:tcW w:w="1316" w:type="dxa"/>
          </w:tcPr>
          <w:p w14:paraId="6D1ED8A1" w14:textId="77777777" w:rsidR="004674C2" w:rsidRPr="00CB1714" w:rsidRDefault="004674C2" w:rsidP="004674C2">
            <w:pPr>
              <w:jc w:val="right"/>
              <w:rPr>
                <w:rFonts w:ascii="Lato" w:hAnsi="Lato"/>
                <w:sz w:val="22"/>
                <w:szCs w:val="22"/>
              </w:rPr>
            </w:pPr>
          </w:p>
        </w:tc>
        <w:tc>
          <w:tcPr>
            <w:tcW w:w="5891" w:type="dxa"/>
          </w:tcPr>
          <w:p w14:paraId="53698D3A" w14:textId="77777777" w:rsidR="004674C2" w:rsidRPr="00CB1714" w:rsidRDefault="004674C2" w:rsidP="004674C2">
            <w:pPr>
              <w:rPr>
                <w:rFonts w:ascii="Lato" w:hAnsi="Lato"/>
                <w:sz w:val="22"/>
                <w:szCs w:val="22"/>
              </w:rPr>
            </w:pPr>
            <w:r w:rsidRPr="00F72ED7">
              <w:rPr>
                <w:rFonts w:ascii="Lato" w:hAnsi="Lato"/>
                <w:sz w:val="22"/>
                <w:szCs w:val="22"/>
              </w:rPr>
              <w:t>to implementation of these</w:t>
            </w:r>
            <w:r w:rsidRPr="00CB1714">
              <w:rPr>
                <w:rFonts w:ascii="Lato" w:hAnsi="Lato"/>
                <w:sz w:val="22"/>
                <w:szCs w:val="22"/>
              </w:rPr>
              <w:t xml:space="preserve"> changes</w:t>
            </w:r>
          </w:p>
        </w:tc>
        <w:tc>
          <w:tcPr>
            <w:tcW w:w="3188" w:type="dxa"/>
          </w:tcPr>
          <w:p w14:paraId="135BC3EA" w14:textId="77777777" w:rsidR="004674C2" w:rsidRPr="00CB1714" w:rsidRDefault="004674C2" w:rsidP="004674C2">
            <w:pPr>
              <w:rPr>
                <w:rFonts w:ascii="Lato" w:hAnsi="Lato"/>
                <w:sz w:val="22"/>
                <w:szCs w:val="22"/>
              </w:rPr>
            </w:pPr>
          </w:p>
        </w:tc>
      </w:tr>
      <w:tr w:rsidR="004674C2" w:rsidRPr="00CB1714" w14:paraId="7E8D7E18" w14:textId="77777777" w:rsidTr="00990D73">
        <w:tc>
          <w:tcPr>
            <w:tcW w:w="1316" w:type="dxa"/>
          </w:tcPr>
          <w:p w14:paraId="005B63D2" w14:textId="77777777" w:rsidR="004674C2" w:rsidRPr="00CB1714" w:rsidRDefault="004674C2" w:rsidP="004674C2">
            <w:pPr>
              <w:jc w:val="right"/>
              <w:rPr>
                <w:rFonts w:ascii="Lato" w:hAnsi="Lato"/>
                <w:sz w:val="22"/>
                <w:szCs w:val="22"/>
              </w:rPr>
            </w:pPr>
          </w:p>
        </w:tc>
        <w:tc>
          <w:tcPr>
            <w:tcW w:w="5891" w:type="dxa"/>
          </w:tcPr>
          <w:p w14:paraId="4D111727" w14:textId="77777777" w:rsidR="004674C2" w:rsidRPr="00CB1714" w:rsidRDefault="004674C2" w:rsidP="004674C2">
            <w:pPr>
              <w:rPr>
                <w:rFonts w:ascii="Lato" w:hAnsi="Lato"/>
                <w:sz w:val="22"/>
                <w:szCs w:val="22"/>
              </w:rPr>
            </w:pPr>
          </w:p>
        </w:tc>
        <w:tc>
          <w:tcPr>
            <w:tcW w:w="3188" w:type="dxa"/>
          </w:tcPr>
          <w:p w14:paraId="23B1FEED" w14:textId="77777777" w:rsidR="004674C2" w:rsidRPr="00CB1714" w:rsidRDefault="004674C2" w:rsidP="004674C2">
            <w:pPr>
              <w:rPr>
                <w:rFonts w:ascii="Lato" w:hAnsi="Lato"/>
                <w:sz w:val="22"/>
                <w:szCs w:val="22"/>
              </w:rPr>
            </w:pPr>
          </w:p>
        </w:tc>
      </w:tr>
      <w:tr w:rsidR="004674C2" w:rsidRPr="00CB1714" w14:paraId="3FEA462F" w14:textId="77777777" w:rsidTr="00990D73">
        <w:tc>
          <w:tcPr>
            <w:tcW w:w="1316" w:type="dxa"/>
          </w:tcPr>
          <w:p w14:paraId="152B612C" w14:textId="77777777" w:rsidR="004674C2" w:rsidRPr="00CB1714" w:rsidRDefault="004674C2" w:rsidP="004674C2">
            <w:pPr>
              <w:jc w:val="right"/>
              <w:rPr>
                <w:rFonts w:ascii="Lato" w:hAnsi="Lato"/>
                <w:sz w:val="22"/>
                <w:szCs w:val="22"/>
              </w:rPr>
            </w:pPr>
            <w:r w:rsidRPr="00CB1714">
              <w:rPr>
                <w:rFonts w:ascii="Lato" w:hAnsi="Lato"/>
                <w:sz w:val="22"/>
                <w:szCs w:val="22"/>
              </w:rPr>
              <w:t>(ii)</w:t>
            </w:r>
          </w:p>
        </w:tc>
        <w:tc>
          <w:tcPr>
            <w:tcW w:w="5891" w:type="dxa"/>
          </w:tcPr>
          <w:p w14:paraId="3C3B919A" w14:textId="77777777" w:rsidR="004674C2" w:rsidRPr="00CB1714" w:rsidRDefault="004674C2" w:rsidP="004674C2">
            <w:pPr>
              <w:rPr>
                <w:rFonts w:ascii="Lato" w:hAnsi="Lato"/>
                <w:sz w:val="22"/>
                <w:szCs w:val="22"/>
              </w:rPr>
            </w:pPr>
            <w:r w:rsidRPr="00CB1714">
              <w:rPr>
                <w:rFonts w:ascii="Lato" w:hAnsi="Lato"/>
                <w:sz w:val="22"/>
                <w:szCs w:val="22"/>
                <w:u w:val="single"/>
              </w:rPr>
              <w:t>Closed-Ended</w:t>
            </w:r>
            <w:r w:rsidRPr="00CB1714">
              <w:rPr>
                <w:rFonts w:ascii="Lato" w:hAnsi="Lato"/>
                <w:sz w:val="22"/>
                <w:szCs w:val="22"/>
              </w:rPr>
              <w:t>-Provide that</w:t>
            </w:r>
          </w:p>
        </w:tc>
        <w:tc>
          <w:tcPr>
            <w:tcW w:w="3188" w:type="dxa"/>
          </w:tcPr>
          <w:p w14:paraId="544D98C3" w14:textId="77777777" w:rsidR="004674C2" w:rsidRPr="00CB1714" w:rsidRDefault="004674C2" w:rsidP="004674C2">
            <w:pPr>
              <w:rPr>
                <w:rFonts w:ascii="Lato" w:hAnsi="Lato"/>
                <w:sz w:val="22"/>
                <w:szCs w:val="22"/>
              </w:rPr>
            </w:pPr>
          </w:p>
        </w:tc>
      </w:tr>
      <w:tr w:rsidR="004674C2" w:rsidRPr="00CB1714" w14:paraId="01B4CE9E" w14:textId="77777777" w:rsidTr="00990D73">
        <w:tc>
          <w:tcPr>
            <w:tcW w:w="1316" w:type="dxa"/>
          </w:tcPr>
          <w:p w14:paraId="19934EA5"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433CD40D" w14:textId="77777777" w:rsidR="004674C2" w:rsidRPr="00CB1714" w:rsidRDefault="004674C2" w:rsidP="004674C2">
            <w:pPr>
              <w:rPr>
                <w:rFonts w:ascii="Lato" w:hAnsi="Lato"/>
                <w:sz w:val="22"/>
                <w:szCs w:val="22"/>
              </w:rPr>
            </w:pPr>
            <w:r w:rsidRPr="00CB1714">
              <w:rPr>
                <w:rFonts w:ascii="Lato" w:hAnsi="Lato"/>
                <w:sz w:val="22"/>
                <w:szCs w:val="22"/>
              </w:rPr>
              <w:t xml:space="preserve">Where there is no opportunity for unitholders to redeem; </w:t>
            </w:r>
          </w:p>
        </w:tc>
        <w:tc>
          <w:tcPr>
            <w:tcW w:w="3188" w:type="dxa"/>
            <w:tcBorders>
              <w:top w:val="single" w:sz="4" w:space="0" w:color="auto"/>
              <w:left w:val="single" w:sz="4" w:space="0" w:color="auto"/>
              <w:bottom w:val="single" w:sz="4" w:space="0" w:color="auto"/>
              <w:right w:val="single" w:sz="4" w:space="0" w:color="auto"/>
            </w:tcBorders>
          </w:tcPr>
          <w:p w14:paraId="0F9FD4D6" w14:textId="77777777" w:rsidR="004674C2" w:rsidRPr="00CB1714" w:rsidRDefault="004674C2" w:rsidP="004674C2">
            <w:pPr>
              <w:rPr>
                <w:rFonts w:ascii="Lato" w:hAnsi="Lato"/>
                <w:sz w:val="22"/>
                <w:szCs w:val="22"/>
              </w:rPr>
            </w:pPr>
          </w:p>
        </w:tc>
      </w:tr>
      <w:tr w:rsidR="004674C2" w:rsidRPr="00CB1714" w14:paraId="25912848" w14:textId="77777777" w:rsidTr="00990D73">
        <w:tc>
          <w:tcPr>
            <w:tcW w:w="1316" w:type="dxa"/>
          </w:tcPr>
          <w:p w14:paraId="106731B5" w14:textId="77777777" w:rsidR="004674C2" w:rsidRPr="00CB1714" w:rsidRDefault="004674C2" w:rsidP="004674C2">
            <w:pPr>
              <w:jc w:val="right"/>
              <w:rPr>
                <w:rFonts w:ascii="Lato" w:hAnsi="Lato"/>
                <w:sz w:val="22"/>
                <w:szCs w:val="22"/>
              </w:rPr>
            </w:pPr>
          </w:p>
        </w:tc>
        <w:tc>
          <w:tcPr>
            <w:tcW w:w="5891" w:type="dxa"/>
          </w:tcPr>
          <w:p w14:paraId="61EAA9F9" w14:textId="77777777" w:rsidR="004674C2" w:rsidRPr="00CB1714" w:rsidRDefault="004674C2" w:rsidP="004674C2">
            <w:pPr>
              <w:rPr>
                <w:rFonts w:ascii="Lato" w:hAnsi="Lato"/>
                <w:sz w:val="22"/>
                <w:szCs w:val="22"/>
              </w:rPr>
            </w:pPr>
            <w:r w:rsidRPr="00F72ED7">
              <w:rPr>
                <w:rFonts w:ascii="Lato" w:hAnsi="Lato"/>
                <w:sz w:val="22"/>
                <w:szCs w:val="22"/>
              </w:rPr>
              <w:t>or</w:t>
            </w:r>
            <w:r w:rsidRPr="00CB1714">
              <w:rPr>
                <w:rFonts w:ascii="Lato" w:hAnsi="Lato"/>
                <w:sz w:val="22"/>
                <w:szCs w:val="22"/>
              </w:rPr>
              <w:t xml:space="preserve"> otherwise exit the closed ended Qualifying InvestorAIF, the Qualifying Investor AIF shall ensure that votes in </w:t>
            </w:r>
          </w:p>
        </w:tc>
        <w:tc>
          <w:tcPr>
            <w:tcW w:w="3188" w:type="dxa"/>
            <w:tcBorders>
              <w:top w:val="single" w:sz="4" w:space="0" w:color="auto"/>
            </w:tcBorders>
          </w:tcPr>
          <w:p w14:paraId="02878F4D" w14:textId="77777777" w:rsidR="004674C2" w:rsidRPr="00CB1714" w:rsidRDefault="004674C2" w:rsidP="004674C2">
            <w:pPr>
              <w:rPr>
                <w:rFonts w:ascii="Lato" w:hAnsi="Lato"/>
                <w:sz w:val="22"/>
                <w:szCs w:val="22"/>
              </w:rPr>
            </w:pPr>
          </w:p>
        </w:tc>
      </w:tr>
      <w:tr w:rsidR="004674C2" w:rsidRPr="00CB1714" w14:paraId="32306AF3" w14:textId="77777777" w:rsidTr="00990D73">
        <w:tc>
          <w:tcPr>
            <w:tcW w:w="1316" w:type="dxa"/>
          </w:tcPr>
          <w:p w14:paraId="4CC32B8C" w14:textId="77777777" w:rsidR="004674C2" w:rsidRPr="00CB1714" w:rsidRDefault="004674C2" w:rsidP="004674C2">
            <w:pPr>
              <w:jc w:val="right"/>
              <w:rPr>
                <w:rFonts w:ascii="Lato" w:hAnsi="Lato"/>
                <w:sz w:val="22"/>
                <w:szCs w:val="22"/>
              </w:rPr>
            </w:pPr>
          </w:p>
        </w:tc>
        <w:tc>
          <w:tcPr>
            <w:tcW w:w="5891" w:type="dxa"/>
          </w:tcPr>
          <w:p w14:paraId="766A7F16" w14:textId="77777777" w:rsidR="004674C2" w:rsidRPr="00CB1714" w:rsidRDefault="004674C2" w:rsidP="004674C2">
            <w:pPr>
              <w:rPr>
                <w:rFonts w:ascii="Lato" w:hAnsi="Lato"/>
                <w:sz w:val="22"/>
                <w:szCs w:val="22"/>
              </w:rPr>
            </w:pPr>
            <w:r w:rsidRPr="00F72ED7">
              <w:rPr>
                <w:rFonts w:ascii="Lato" w:hAnsi="Lato"/>
                <w:sz w:val="22"/>
                <w:szCs w:val="22"/>
              </w:rPr>
              <w:t xml:space="preserve">favour of the </w:t>
            </w:r>
            <w:r w:rsidRPr="00CB1714">
              <w:rPr>
                <w:rFonts w:ascii="Lato" w:hAnsi="Lato"/>
                <w:sz w:val="22"/>
                <w:szCs w:val="22"/>
              </w:rPr>
              <w:t>change must represent at least 75% of votes cast;</w:t>
            </w:r>
          </w:p>
        </w:tc>
        <w:tc>
          <w:tcPr>
            <w:tcW w:w="3188" w:type="dxa"/>
          </w:tcPr>
          <w:p w14:paraId="6E9A580A" w14:textId="77777777" w:rsidR="004674C2" w:rsidRPr="00CB1714" w:rsidRDefault="004674C2" w:rsidP="004674C2">
            <w:pPr>
              <w:rPr>
                <w:rFonts w:ascii="Lato" w:hAnsi="Lato"/>
                <w:sz w:val="22"/>
                <w:szCs w:val="22"/>
              </w:rPr>
            </w:pPr>
          </w:p>
        </w:tc>
      </w:tr>
      <w:tr w:rsidR="004674C2" w:rsidRPr="00CB1714" w14:paraId="1F18DB26" w14:textId="77777777" w:rsidTr="00990D73">
        <w:tc>
          <w:tcPr>
            <w:tcW w:w="1316" w:type="dxa"/>
          </w:tcPr>
          <w:p w14:paraId="0683B4BD" w14:textId="77777777" w:rsidR="004674C2" w:rsidRPr="00CB1714" w:rsidRDefault="004674C2" w:rsidP="004674C2">
            <w:pPr>
              <w:jc w:val="right"/>
              <w:rPr>
                <w:rFonts w:ascii="Lato" w:hAnsi="Lato"/>
                <w:sz w:val="22"/>
                <w:szCs w:val="22"/>
              </w:rPr>
            </w:pPr>
          </w:p>
        </w:tc>
        <w:tc>
          <w:tcPr>
            <w:tcW w:w="5891" w:type="dxa"/>
          </w:tcPr>
          <w:p w14:paraId="05B95C94" w14:textId="77777777" w:rsidR="004674C2" w:rsidRPr="00CB1714" w:rsidRDefault="004674C2" w:rsidP="004674C2">
            <w:pPr>
              <w:jc w:val="both"/>
              <w:rPr>
                <w:rFonts w:ascii="Lato" w:hAnsi="Lato"/>
                <w:sz w:val="22"/>
                <w:szCs w:val="22"/>
              </w:rPr>
            </w:pPr>
          </w:p>
        </w:tc>
        <w:tc>
          <w:tcPr>
            <w:tcW w:w="3188" w:type="dxa"/>
            <w:tcBorders>
              <w:bottom w:val="single" w:sz="4" w:space="0" w:color="auto"/>
            </w:tcBorders>
          </w:tcPr>
          <w:p w14:paraId="332149CC" w14:textId="77777777" w:rsidR="004674C2" w:rsidRPr="00CB1714" w:rsidRDefault="004674C2" w:rsidP="004674C2">
            <w:pPr>
              <w:rPr>
                <w:rFonts w:ascii="Lato" w:hAnsi="Lato"/>
                <w:sz w:val="22"/>
                <w:szCs w:val="22"/>
              </w:rPr>
            </w:pPr>
          </w:p>
        </w:tc>
      </w:tr>
      <w:tr w:rsidR="004674C2" w:rsidRPr="00CB1714" w14:paraId="63ADF9B4" w14:textId="77777777" w:rsidTr="00990D73">
        <w:tc>
          <w:tcPr>
            <w:tcW w:w="1316" w:type="dxa"/>
          </w:tcPr>
          <w:p w14:paraId="179BF196"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548FC47C" w14:textId="77777777" w:rsidR="004674C2" w:rsidRPr="00CB1714" w:rsidRDefault="004674C2" w:rsidP="004674C2">
            <w:pPr>
              <w:jc w:val="both"/>
              <w:rPr>
                <w:rFonts w:ascii="Lato" w:hAnsi="Lato"/>
                <w:sz w:val="22"/>
                <w:szCs w:val="22"/>
              </w:rPr>
            </w:pPr>
            <w:r w:rsidRPr="00CB1714">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2A719D58" w14:textId="77777777" w:rsidR="004674C2" w:rsidRPr="00CB1714" w:rsidRDefault="004674C2" w:rsidP="004674C2">
            <w:pPr>
              <w:rPr>
                <w:rFonts w:ascii="Lato" w:hAnsi="Lato"/>
                <w:sz w:val="22"/>
                <w:szCs w:val="22"/>
              </w:rPr>
            </w:pPr>
          </w:p>
        </w:tc>
      </w:tr>
      <w:tr w:rsidR="004674C2" w:rsidRPr="00CB1714" w14:paraId="07E91E16" w14:textId="77777777" w:rsidTr="00990D73">
        <w:tc>
          <w:tcPr>
            <w:tcW w:w="1316" w:type="dxa"/>
          </w:tcPr>
          <w:p w14:paraId="24516C32" w14:textId="77777777" w:rsidR="004674C2" w:rsidRPr="00CB1714" w:rsidRDefault="004674C2" w:rsidP="004674C2">
            <w:pPr>
              <w:rPr>
                <w:rFonts w:ascii="Lato" w:hAnsi="Lato"/>
                <w:sz w:val="22"/>
                <w:szCs w:val="22"/>
              </w:rPr>
            </w:pPr>
          </w:p>
        </w:tc>
        <w:tc>
          <w:tcPr>
            <w:tcW w:w="5891" w:type="dxa"/>
          </w:tcPr>
          <w:p w14:paraId="62B09307" w14:textId="77777777" w:rsidR="004674C2" w:rsidRPr="00CB1714" w:rsidRDefault="004674C2" w:rsidP="004674C2">
            <w:pPr>
              <w:jc w:val="both"/>
              <w:rPr>
                <w:rFonts w:ascii="Lato" w:hAnsi="Lato"/>
                <w:sz w:val="22"/>
                <w:szCs w:val="22"/>
              </w:rPr>
            </w:pPr>
            <w:r w:rsidRPr="00CB1714">
              <w:rPr>
                <w:rFonts w:ascii="Lato" w:hAnsi="Lato"/>
                <w:sz w:val="22"/>
                <w:szCs w:val="22"/>
              </w:rPr>
              <w:t>otherwise exit the closed ended Qualifying Investor AIF, the Qualifying Investor AIF shall ensure that votes in</w:t>
            </w:r>
          </w:p>
        </w:tc>
        <w:tc>
          <w:tcPr>
            <w:tcW w:w="3188" w:type="dxa"/>
            <w:tcBorders>
              <w:top w:val="single" w:sz="4" w:space="0" w:color="auto"/>
            </w:tcBorders>
          </w:tcPr>
          <w:p w14:paraId="2B055DB8" w14:textId="77777777" w:rsidR="004674C2" w:rsidRPr="00CB1714" w:rsidRDefault="004674C2" w:rsidP="004674C2">
            <w:pPr>
              <w:rPr>
                <w:rFonts w:ascii="Lato" w:hAnsi="Lato"/>
                <w:sz w:val="22"/>
                <w:szCs w:val="22"/>
              </w:rPr>
            </w:pPr>
          </w:p>
        </w:tc>
      </w:tr>
      <w:tr w:rsidR="004674C2" w:rsidRPr="00CB1714" w14:paraId="37C98A56" w14:textId="77777777" w:rsidTr="00990D73">
        <w:tc>
          <w:tcPr>
            <w:tcW w:w="1316" w:type="dxa"/>
          </w:tcPr>
          <w:p w14:paraId="1533D4FD" w14:textId="77777777" w:rsidR="004674C2" w:rsidRPr="00CB1714" w:rsidRDefault="004674C2" w:rsidP="004674C2">
            <w:pPr>
              <w:rPr>
                <w:rFonts w:ascii="Lato" w:hAnsi="Lato"/>
                <w:sz w:val="22"/>
                <w:szCs w:val="22"/>
              </w:rPr>
            </w:pPr>
          </w:p>
        </w:tc>
        <w:tc>
          <w:tcPr>
            <w:tcW w:w="5891" w:type="dxa"/>
          </w:tcPr>
          <w:p w14:paraId="007E9AB9" w14:textId="77777777" w:rsidR="004674C2" w:rsidRPr="00CB1714" w:rsidRDefault="004674C2" w:rsidP="004674C2">
            <w:pPr>
              <w:jc w:val="both"/>
              <w:rPr>
                <w:rFonts w:ascii="Lato" w:hAnsi="Lato"/>
                <w:sz w:val="22"/>
                <w:szCs w:val="22"/>
              </w:rPr>
            </w:pPr>
            <w:r w:rsidRPr="00CB1714">
              <w:rPr>
                <w:rFonts w:ascii="Lato" w:hAnsi="Lato"/>
                <w:sz w:val="22"/>
                <w:szCs w:val="22"/>
              </w:rPr>
              <w:t>favour of the change must represent at least 50% of votes cast</w:t>
            </w:r>
          </w:p>
        </w:tc>
        <w:tc>
          <w:tcPr>
            <w:tcW w:w="3188" w:type="dxa"/>
          </w:tcPr>
          <w:p w14:paraId="14025026" w14:textId="77777777" w:rsidR="004674C2" w:rsidRPr="00CB1714" w:rsidRDefault="004674C2" w:rsidP="004674C2">
            <w:pPr>
              <w:rPr>
                <w:rFonts w:ascii="Lato" w:hAnsi="Lato"/>
                <w:sz w:val="22"/>
                <w:szCs w:val="22"/>
              </w:rPr>
            </w:pPr>
          </w:p>
        </w:tc>
      </w:tr>
      <w:tr w:rsidR="004674C2" w:rsidRPr="00CB1714" w14:paraId="7EEEB93C" w14:textId="77777777" w:rsidTr="00990D73">
        <w:tc>
          <w:tcPr>
            <w:tcW w:w="1316" w:type="dxa"/>
          </w:tcPr>
          <w:p w14:paraId="49CCE3FD" w14:textId="77777777" w:rsidR="004674C2" w:rsidRPr="00CB1714" w:rsidRDefault="004674C2" w:rsidP="004674C2">
            <w:pPr>
              <w:rPr>
                <w:rFonts w:ascii="Lato" w:hAnsi="Lato"/>
                <w:sz w:val="22"/>
                <w:szCs w:val="22"/>
              </w:rPr>
            </w:pPr>
          </w:p>
        </w:tc>
        <w:tc>
          <w:tcPr>
            <w:tcW w:w="5891" w:type="dxa"/>
          </w:tcPr>
          <w:p w14:paraId="545341DE" w14:textId="77777777" w:rsidR="004674C2" w:rsidRPr="00CB1714" w:rsidRDefault="004674C2" w:rsidP="004674C2">
            <w:pPr>
              <w:jc w:val="both"/>
              <w:rPr>
                <w:rFonts w:ascii="Lato" w:hAnsi="Lato"/>
                <w:sz w:val="22"/>
                <w:szCs w:val="22"/>
              </w:rPr>
            </w:pPr>
          </w:p>
        </w:tc>
        <w:tc>
          <w:tcPr>
            <w:tcW w:w="3188" w:type="dxa"/>
            <w:tcBorders>
              <w:bottom w:val="single" w:sz="4" w:space="0" w:color="auto"/>
            </w:tcBorders>
          </w:tcPr>
          <w:p w14:paraId="1912BD23" w14:textId="77777777" w:rsidR="004674C2" w:rsidRPr="00CB1714" w:rsidRDefault="004674C2" w:rsidP="004674C2">
            <w:pPr>
              <w:rPr>
                <w:rFonts w:ascii="Lato" w:hAnsi="Lato"/>
                <w:sz w:val="22"/>
                <w:szCs w:val="22"/>
              </w:rPr>
            </w:pPr>
          </w:p>
        </w:tc>
      </w:tr>
      <w:tr w:rsidR="004674C2" w:rsidRPr="00CB1714" w14:paraId="28697D90" w14:textId="77777777" w:rsidTr="00990D73">
        <w:tc>
          <w:tcPr>
            <w:tcW w:w="1316" w:type="dxa"/>
          </w:tcPr>
          <w:p w14:paraId="2745249D"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229A7194" w14:textId="77777777" w:rsidR="004674C2" w:rsidRPr="00CB1714" w:rsidRDefault="004674C2" w:rsidP="004674C2">
            <w:pPr>
              <w:jc w:val="both"/>
              <w:rPr>
                <w:rFonts w:ascii="Lato" w:hAnsi="Lato"/>
                <w:sz w:val="22"/>
                <w:szCs w:val="22"/>
              </w:rPr>
            </w:pPr>
            <w:r w:rsidRPr="00CB1714">
              <w:rPr>
                <w:rFonts w:ascii="Lato" w:hAnsi="Lato"/>
                <w:sz w:val="22"/>
                <w:szCs w:val="22"/>
              </w:rPr>
              <w:t xml:space="preserve">Provide that where the closed-ended Qualifying Investor </w:t>
            </w:r>
          </w:p>
        </w:tc>
        <w:tc>
          <w:tcPr>
            <w:tcW w:w="3188" w:type="dxa"/>
            <w:tcBorders>
              <w:top w:val="single" w:sz="4" w:space="0" w:color="auto"/>
              <w:left w:val="single" w:sz="4" w:space="0" w:color="auto"/>
              <w:bottom w:val="single" w:sz="4" w:space="0" w:color="auto"/>
              <w:right w:val="single" w:sz="4" w:space="0" w:color="auto"/>
            </w:tcBorders>
          </w:tcPr>
          <w:p w14:paraId="1A040CBD" w14:textId="77777777" w:rsidR="004674C2" w:rsidRPr="00CB1714" w:rsidRDefault="004674C2" w:rsidP="004674C2">
            <w:pPr>
              <w:rPr>
                <w:rFonts w:ascii="Lato" w:hAnsi="Lato"/>
                <w:sz w:val="22"/>
                <w:szCs w:val="22"/>
              </w:rPr>
            </w:pPr>
          </w:p>
        </w:tc>
      </w:tr>
      <w:tr w:rsidR="004674C2" w:rsidRPr="00CB1714" w14:paraId="1CB04B46" w14:textId="77777777" w:rsidTr="00990D73">
        <w:tc>
          <w:tcPr>
            <w:tcW w:w="1316" w:type="dxa"/>
          </w:tcPr>
          <w:p w14:paraId="7202BB0D" w14:textId="77777777" w:rsidR="004674C2" w:rsidRPr="00CB1714" w:rsidRDefault="004674C2" w:rsidP="004674C2">
            <w:pPr>
              <w:rPr>
                <w:rFonts w:ascii="Lato" w:hAnsi="Lato"/>
                <w:sz w:val="22"/>
                <w:szCs w:val="22"/>
              </w:rPr>
            </w:pPr>
          </w:p>
        </w:tc>
        <w:tc>
          <w:tcPr>
            <w:tcW w:w="5891" w:type="dxa"/>
          </w:tcPr>
          <w:p w14:paraId="6DCED556" w14:textId="77777777" w:rsidR="004674C2" w:rsidRPr="00CB1714" w:rsidRDefault="004674C2" w:rsidP="004674C2">
            <w:pPr>
              <w:jc w:val="both"/>
              <w:rPr>
                <w:rFonts w:ascii="Lato" w:hAnsi="Lato"/>
                <w:sz w:val="22"/>
                <w:szCs w:val="22"/>
              </w:rPr>
            </w:pPr>
            <w:r w:rsidRPr="00F72ED7">
              <w:rPr>
                <w:rFonts w:ascii="Lato" w:hAnsi="Lato"/>
                <w:sz w:val="22"/>
                <w:szCs w:val="22"/>
              </w:rPr>
              <w:t xml:space="preserve">AIF </w:t>
            </w:r>
            <w:r w:rsidRPr="00CB1714">
              <w:rPr>
                <w:rFonts w:ascii="Lato" w:hAnsi="Lato"/>
                <w:sz w:val="22"/>
                <w:szCs w:val="22"/>
              </w:rPr>
              <w:t>makes non-material changes to investment policies, it shall notify unitholders of these changes.</w:t>
            </w:r>
          </w:p>
        </w:tc>
        <w:tc>
          <w:tcPr>
            <w:tcW w:w="3188" w:type="dxa"/>
            <w:tcBorders>
              <w:top w:val="single" w:sz="4" w:space="0" w:color="auto"/>
            </w:tcBorders>
          </w:tcPr>
          <w:p w14:paraId="32DB2893" w14:textId="77777777" w:rsidR="004674C2" w:rsidRPr="00CB1714" w:rsidRDefault="004674C2" w:rsidP="004674C2">
            <w:pPr>
              <w:rPr>
                <w:rFonts w:ascii="Lato" w:hAnsi="Lato"/>
                <w:sz w:val="22"/>
                <w:szCs w:val="22"/>
              </w:rPr>
            </w:pPr>
          </w:p>
        </w:tc>
      </w:tr>
      <w:tr w:rsidR="004674C2" w:rsidRPr="00CB1714" w14:paraId="4221A8B8" w14:textId="77777777" w:rsidTr="00990D73">
        <w:tc>
          <w:tcPr>
            <w:tcW w:w="1316" w:type="dxa"/>
          </w:tcPr>
          <w:p w14:paraId="324474ED" w14:textId="77777777" w:rsidR="004674C2" w:rsidRPr="00CB1714" w:rsidRDefault="004674C2" w:rsidP="004674C2">
            <w:pPr>
              <w:rPr>
                <w:rFonts w:ascii="Lato" w:hAnsi="Lato"/>
                <w:sz w:val="22"/>
                <w:szCs w:val="22"/>
              </w:rPr>
            </w:pPr>
          </w:p>
        </w:tc>
        <w:tc>
          <w:tcPr>
            <w:tcW w:w="5891" w:type="dxa"/>
          </w:tcPr>
          <w:p w14:paraId="0746804B" w14:textId="77777777" w:rsidR="004674C2" w:rsidRPr="00CB1714" w:rsidRDefault="004674C2" w:rsidP="004674C2">
            <w:pPr>
              <w:jc w:val="both"/>
              <w:rPr>
                <w:rFonts w:ascii="Lato" w:hAnsi="Lato"/>
                <w:sz w:val="22"/>
                <w:szCs w:val="22"/>
              </w:rPr>
            </w:pPr>
            <w:r w:rsidRPr="00CB1714">
              <w:rPr>
                <w:rFonts w:ascii="Lato" w:hAnsi="Lato"/>
                <w:sz w:val="22"/>
                <w:szCs w:val="22"/>
              </w:rPr>
              <w:t>Notification can be provided by means of appropriate disclosure in the next annual report.</w:t>
            </w:r>
          </w:p>
        </w:tc>
        <w:tc>
          <w:tcPr>
            <w:tcW w:w="3188" w:type="dxa"/>
          </w:tcPr>
          <w:p w14:paraId="36B468B5" w14:textId="77777777" w:rsidR="004674C2" w:rsidRPr="00CB1714" w:rsidRDefault="004674C2" w:rsidP="004674C2">
            <w:pPr>
              <w:rPr>
                <w:rFonts w:ascii="Lato" w:hAnsi="Lato"/>
                <w:sz w:val="22"/>
                <w:szCs w:val="22"/>
              </w:rPr>
            </w:pPr>
          </w:p>
        </w:tc>
      </w:tr>
      <w:tr w:rsidR="004674C2" w:rsidRPr="00CB1714" w14:paraId="59303549" w14:textId="77777777" w:rsidTr="00990D73">
        <w:tc>
          <w:tcPr>
            <w:tcW w:w="1316" w:type="dxa"/>
          </w:tcPr>
          <w:p w14:paraId="205260D4" w14:textId="77777777" w:rsidR="004674C2" w:rsidRPr="00CB1714" w:rsidRDefault="004674C2" w:rsidP="004674C2">
            <w:pPr>
              <w:rPr>
                <w:rFonts w:ascii="Lato" w:hAnsi="Lato"/>
                <w:sz w:val="22"/>
                <w:szCs w:val="22"/>
              </w:rPr>
            </w:pPr>
          </w:p>
        </w:tc>
        <w:tc>
          <w:tcPr>
            <w:tcW w:w="5891" w:type="dxa"/>
          </w:tcPr>
          <w:p w14:paraId="13597185" w14:textId="77777777" w:rsidR="004674C2" w:rsidRPr="00CB1714" w:rsidRDefault="004674C2" w:rsidP="004674C2">
            <w:pPr>
              <w:rPr>
                <w:rFonts w:ascii="Lato" w:hAnsi="Lato"/>
                <w:sz w:val="22"/>
                <w:szCs w:val="22"/>
              </w:rPr>
            </w:pPr>
          </w:p>
        </w:tc>
        <w:tc>
          <w:tcPr>
            <w:tcW w:w="3188" w:type="dxa"/>
          </w:tcPr>
          <w:p w14:paraId="6964C040" w14:textId="77777777" w:rsidR="004674C2" w:rsidRPr="00CB1714" w:rsidRDefault="004674C2" w:rsidP="004674C2">
            <w:pPr>
              <w:rPr>
                <w:rFonts w:ascii="Lato" w:hAnsi="Lato"/>
                <w:sz w:val="22"/>
                <w:szCs w:val="22"/>
              </w:rPr>
            </w:pPr>
          </w:p>
        </w:tc>
      </w:tr>
      <w:tr w:rsidR="004674C2" w:rsidRPr="00CB1714" w14:paraId="1DFBC024" w14:textId="77777777" w:rsidTr="00990D73">
        <w:tc>
          <w:tcPr>
            <w:tcW w:w="1316" w:type="dxa"/>
          </w:tcPr>
          <w:p w14:paraId="297909C9" w14:textId="77777777" w:rsidR="004674C2" w:rsidRPr="00CB1714" w:rsidRDefault="004674C2" w:rsidP="004674C2">
            <w:pPr>
              <w:rPr>
                <w:rFonts w:ascii="Lato" w:hAnsi="Lato"/>
                <w:b/>
                <w:bCs/>
                <w:sz w:val="22"/>
                <w:szCs w:val="22"/>
              </w:rPr>
            </w:pPr>
            <w:r w:rsidRPr="00CB1714">
              <w:rPr>
                <w:rFonts w:ascii="Lato" w:hAnsi="Lato"/>
                <w:b/>
                <w:bCs/>
                <w:sz w:val="22"/>
                <w:szCs w:val="22"/>
              </w:rPr>
              <w:t>2.4</w:t>
            </w:r>
          </w:p>
        </w:tc>
        <w:tc>
          <w:tcPr>
            <w:tcW w:w="5891" w:type="dxa"/>
          </w:tcPr>
          <w:p w14:paraId="23793CD0" w14:textId="77777777" w:rsidR="004674C2" w:rsidRPr="00CB1714" w:rsidRDefault="004674C2" w:rsidP="004674C2">
            <w:pPr>
              <w:pStyle w:val="Heading4"/>
              <w:rPr>
                <w:rFonts w:ascii="Lato" w:hAnsi="Lato"/>
                <w:b w:val="0"/>
                <w:bCs w:val="0"/>
                <w:sz w:val="22"/>
                <w:szCs w:val="22"/>
              </w:rPr>
            </w:pPr>
            <w:r w:rsidRPr="00CB1714">
              <w:rPr>
                <w:rFonts w:ascii="Lato" w:hAnsi="Lato"/>
                <w:sz w:val="22"/>
                <w:szCs w:val="22"/>
              </w:rPr>
              <w:t>Leverage</w:t>
            </w:r>
          </w:p>
        </w:tc>
        <w:tc>
          <w:tcPr>
            <w:tcW w:w="3188" w:type="dxa"/>
          </w:tcPr>
          <w:p w14:paraId="7D1EB467" w14:textId="77777777" w:rsidR="004674C2" w:rsidRPr="00CB1714" w:rsidRDefault="004674C2" w:rsidP="004674C2">
            <w:pPr>
              <w:pStyle w:val="Heading4"/>
              <w:rPr>
                <w:rFonts w:ascii="Lato" w:hAnsi="Lato"/>
                <w:sz w:val="22"/>
                <w:szCs w:val="22"/>
              </w:rPr>
            </w:pPr>
          </w:p>
        </w:tc>
      </w:tr>
      <w:tr w:rsidR="004674C2" w:rsidRPr="00CB1714" w14:paraId="6062A0C5" w14:textId="77777777" w:rsidTr="00990D73">
        <w:tc>
          <w:tcPr>
            <w:tcW w:w="1316" w:type="dxa"/>
          </w:tcPr>
          <w:p w14:paraId="5E06EE22" w14:textId="77777777" w:rsidR="004674C2" w:rsidRPr="00CB1714" w:rsidRDefault="004674C2" w:rsidP="004674C2">
            <w:pPr>
              <w:rPr>
                <w:rFonts w:ascii="Lato" w:hAnsi="Lato"/>
                <w:i/>
                <w:iCs/>
                <w:sz w:val="22"/>
                <w:szCs w:val="22"/>
              </w:rPr>
            </w:pPr>
          </w:p>
        </w:tc>
        <w:tc>
          <w:tcPr>
            <w:tcW w:w="5891" w:type="dxa"/>
          </w:tcPr>
          <w:p w14:paraId="4AEA6C03" w14:textId="77777777" w:rsidR="004674C2" w:rsidRPr="00CB1714" w:rsidRDefault="004674C2" w:rsidP="004674C2">
            <w:pPr>
              <w:rPr>
                <w:rFonts w:ascii="Lato" w:hAnsi="Lato"/>
                <w:i/>
                <w:iCs/>
                <w:sz w:val="22"/>
                <w:szCs w:val="22"/>
              </w:rPr>
            </w:pPr>
          </w:p>
        </w:tc>
        <w:tc>
          <w:tcPr>
            <w:tcW w:w="3188" w:type="dxa"/>
            <w:tcBorders>
              <w:bottom w:val="single" w:sz="4" w:space="0" w:color="auto"/>
            </w:tcBorders>
          </w:tcPr>
          <w:p w14:paraId="1E3E8AE1" w14:textId="77777777" w:rsidR="004674C2" w:rsidRPr="00CB1714" w:rsidRDefault="004674C2" w:rsidP="004674C2">
            <w:pPr>
              <w:rPr>
                <w:rFonts w:ascii="Lato" w:hAnsi="Lato"/>
                <w:i/>
                <w:iCs/>
                <w:sz w:val="22"/>
                <w:szCs w:val="22"/>
              </w:rPr>
            </w:pPr>
          </w:p>
        </w:tc>
      </w:tr>
      <w:tr w:rsidR="004674C2" w:rsidRPr="00CB1714" w14:paraId="23F64CE9" w14:textId="77777777" w:rsidTr="00990D73">
        <w:tc>
          <w:tcPr>
            <w:tcW w:w="1316" w:type="dxa"/>
          </w:tcPr>
          <w:p w14:paraId="42BE86E6" w14:textId="77777777" w:rsidR="004674C2" w:rsidRPr="00CB1714" w:rsidRDefault="004674C2" w:rsidP="004674C2">
            <w:pPr>
              <w:rPr>
                <w:rFonts w:ascii="Lato" w:hAnsi="Lato"/>
                <w:sz w:val="22"/>
                <w:szCs w:val="22"/>
              </w:rPr>
            </w:pPr>
            <w:r w:rsidRPr="00CB1714">
              <w:rPr>
                <w:rFonts w:ascii="Lato" w:hAnsi="Lato"/>
                <w:sz w:val="22"/>
                <w:szCs w:val="22"/>
              </w:rPr>
              <w:t>2.4.1</w:t>
            </w:r>
          </w:p>
        </w:tc>
        <w:tc>
          <w:tcPr>
            <w:tcW w:w="5891" w:type="dxa"/>
            <w:tcBorders>
              <w:right w:val="single" w:sz="4" w:space="0" w:color="auto"/>
            </w:tcBorders>
          </w:tcPr>
          <w:p w14:paraId="2249FD86" w14:textId="77777777" w:rsidR="004674C2" w:rsidRPr="00CB1714" w:rsidRDefault="004674C2" w:rsidP="004674C2">
            <w:pPr>
              <w:jc w:val="both"/>
              <w:rPr>
                <w:rFonts w:ascii="Lato" w:hAnsi="Lato"/>
                <w:sz w:val="22"/>
                <w:szCs w:val="22"/>
              </w:rPr>
            </w:pPr>
            <w:r w:rsidRPr="00CB1714">
              <w:rPr>
                <w:rFonts w:ascii="Lato" w:hAnsi="Lato"/>
                <w:sz w:val="22"/>
                <w:szCs w:val="22"/>
              </w:rPr>
              <w:t xml:space="preserve">(i)The means through which the Qualifying Investor AIF will </w:t>
            </w:r>
          </w:p>
        </w:tc>
        <w:tc>
          <w:tcPr>
            <w:tcW w:w="3188" w:type="dxa"/>
            <w:tcBorders>
              <w:top w:val="single" w:sz="4" w:space="0" w:color="auto"/>
              <w:left w:val="single" w:sz="4" w:space="0" w:color="auto"/>
              <w:bottom w:val="single" w:sz="4" w:space="0" w:color="auto"/>
              <w:right w:val="single" w:sz="4" w:space="0" w:color="auto"/>
            </w:tcBorders>
          </w:tcPr>
          <w:p w14:paraId="0B8FBA9A" w14:textId="77777777" w:rsidR="004674C2" w:rsidRPr="00CB1714" w:rsidRDefault="004674C2" w:rsidP="004674C2">
            <w:pPr>
              <w:jc w:val="both"/>
              <w:rPr>
                <w:rFonts w:ascii="Lato" w:hAnsi="Lato"/>
                <w:sz w:val="22"/>
                <w:szCs w:val="22"/>
              </w:rPr>
            </w:pPr>
          </w:p>
        </w:tc>
      </w:tr>
      <w:tr w:rsidR="004674C2" w:rsidRPr="00CB1714" w14:paraId="4B01453F" w14:textId="77777777" w:rsidTr="00122649">
        <w:tc>
          <w:tcPr>
            <w:tcW w:w="1316" w:type="dxa"/>
          </w:tcPr>
          <w:p w14:paraId="3AF14B81" w14:textId="77777777" w:rsidR="004674C2" w:rsidRPr="00CB1714" w:rsidRDefault="004674C2" w:rsidP="004674C2">
            <w:pPr>
              <w:rPr>
                <w:rFonts w:ascii="Lato" w:hAnsi="Lato"/>
                <w:sz w:val="22"/>
                <w:szCs w:val="22"/>
              </w:rPr>
            </w:pPr>
          </w:p>
        </w:tc>
        <w:tc>
          <w:tcPr>
            <w:tcW w:w="5891" w:type="dxa"/>
          </w:tcPr>
          <w:p w14:paraId="55EA6AEE" w14:textId="77777777" w:rsidR="004674C2" w:rsidRPr="00CB1714" w:rsidRDefault="004674C2" w:rsidP="004674C2">
            <w:pPr>
              <w:jc w:val="both"/>
              <w:rPr>
                <w:rFonts w:ascii="Lato" w:hAnsi="Lato"/>
                <w:sz w:val="22"/>
                <w:szCs w:val="22"/>
              </w:rPr>
            </w:pPr>
            <w:r w:rsidRPr="00CB1714">
              <w:rPr>
                <w:rFonts w:ascii="Lato" w:hAnsi="Lato"/>
                <w:sz w:val="22"/>
                <w:szCs w:val="22"/>
              </w:rPr>
              <w:t>employ leverage.</w:t>
            </w:r>
          </w:p>
        </w:tc>
        <w:tc>
          <w:tcPr>
            <w:tcW w:w="3188" w:type="dxa"/>
            <w:tcBorders>
              <w:top w:val="single" w:sz="4" w:space="0" w:color="auto"/>
            </w:tcBorders>
          </w:tcPr>
          <w:p w14:paraId="1D1508DA" w14:textId="77777777" w:rsidR="004674C2" w:rsidRPr="00CB1714" w:rsidRDefault="004674C2" w:rsidP="004674C2">
            <w:pPr>
              <w:jc w:val="both"/>
              <w:rPr>
                <w:rFonts w:ascii="Lato" w:hAnsi="Lato"/>
                <w:sz w:val="22"/>
                <w:szCs w:val="22"/>
              </w:rPr>
            </w:pPr>
          </w:p>
        </w:tc>
      </w:tr>
      <w:tr w:rsidR="004674C2" w:rsidRPr="00CB1714" w14:paraId="2D5E391C" w14:textId="77777777" w:rsidTr="00122649">
        <w:tc>
          <w:tcPr>
            <w:tcW w:w="1316" w:type="dxa"/>
          </w:tcPr>
          <w:p w14:paraId="0ACA689E" w14:textId="77777777" w:rsidR="004674C2" w:rsidRPr="00CB1714" w:rsidRDefault="004674C2" w:rsidP="004674C2">
            <w:pPr>
              <w:rPr>
                <w:rFonts w:ascii="Lato" w:hAnsi="Lato"/>
                <w:sz w:val="22"/>
                <w:szCs w:val="22"/>
              </w:rPr>
            </w:pPr>
          </w:p>
        </w:tc>
        <w:tc>
          <w:tcPr>
            <w:tcW w:w="5891" w:type="dxa"/>
          </w:tcPr>
          <w:p w14:paraId="121C2A00"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5D84091B" w14:textId="77777777" w:rsidR="004674C2" w:rsidRPr="00CB1714" w:rsidRDefault="004674C2" w:rsidP="004674C2">
            <w:pPr>
              <w:rPr>
                <w:rFonts w:ascii="Lato" w:hAnsi="Lato"/>
                <w:sz w:val="22"/>
                <w:szCs w:val="22"/>
              </w:rPr>
            </w:pPr>
          </w:p>
        </w:tc>
      </w:tr>
      <w:tr w:rsidR="004674C2" w:rsidRPr="00CB1714" w14:paraId="44604870" w14:textId="77777777" w:rsidTr="00122649">
        <w:tc>
          <w:tcPr>
            <w:tcW w:w="1316" w:type="dxa"/>
          </w:tcPr>
          <w:p w14:paraId="12C1BB05" w14:textId="77777777" w:rsidR="004674C2" w:rsidRPr="00CB1714" w:rsidRDefault="004674C2" w:rsidP="004674C2">
            <w:pPr>
              <w:rPr>
                <w:rFonts w:ascii="Lato" w:hAnsi="Lato"/>
                <w:sz w:val="22"/>
                <w:szCs w:val="22"/>
              </w:rPr>
            </w:pPr>
            <w:r w:rsidRPr="00CB1714">
              <w:rPr>
                <w:rFonts w:ascii="Lato" w:hAnsi="Lato"/>
                <w:sz w:val="22"/>
                <w:szCs w:val="22"/>
              </w:rPr>
              <w:t>2.4.2</w:t>
            </w:r>
          </w:p>
        </w:tc>
        <w:tc>
          <w:tcPr>
            <w:tcW w:w="5891" w:type="dxa"/>
            <w:tcBorders>
              <w:right w:val="single" w:sz="4" w:space="0" w:color="auto"/>
            </w:tcBorders>
          </w:tcPr>
          <w:p w14:paraId="2D306C1C" w14:textId="77777777" w:rsidR="004674C2" w:rsidRPr="00CB1714" w:rsidRDefault="004674C2" w:rsidP="004674C2">
            <w:pPr>
              <w:rPr>
                <w:rFonts w:ascii="Lato" w:hAnsi="Lato"/>
                <w:sz w:val="22"/>
                <w:szCs w:val="22"/>
              </w:rPr>
            </w:pPr>
            <w:r w:rsidRPr="00CB1714">
              <w:rPr>
                <w:rFonts w:ascii="Lato" w:hAnsi="Lato"/>
                <w:sz w:val="22"/>
                <w:szCs w:val="22"/>
              </w:rPr>
              <w:t xml:space="preserve">The circumstances in which the Qualifying Investor AIF </w:t>
            </w:r>
          </w:p>
        </w:tc>
        <w:tc>
          <w:tcPr>
            <w:tcW w:w="3188" w:type="dxa"/>
            <w:tcBorders>
              <w:top w:val="single" w:sz="4" w:space="0" w:color="auto"/>
              <w:left w:val="single" w:sz="4" w:space="0" w:color="auto"/>
              <w:bottom w:val="single" w:sz="4" w:space="0" w:color="auto"/>
              <w:right w:val="single" w:sz="4" w:space="0" w:color="auto"/>
            </w:tcBorders>
          </w:tcPr>
          <w:p w14:paraId="35B037FA" w14:textId="77777777" w:rsidR="004674C2" w:rsidRPr="00CB1714" w:rsidRDefault="004674C2" w:rsidP="004674C2">
            <w:pPr>
              <w:rPr>
                <w:rFonts w:ascii="Lato" w:hAnsi="Lato"/>
                <w:sz w:val="22"/>
                <w:szCs w:val="22"/>
              </w:rPr>
            </w:pPr>
          </w:p>
        </w:tc>
      </w:tr>
      <w:tr w:rsidR="004674C2" w:rsidRPr="00CB1714" w14:paraId="35FEE5CE" w14:textId="77777777" w:rsidTr="00122649">
        <w:tc>
          <w:tcPr>
            <w:tcW w:w="1316" w:type="dxa"/>
          </w:tcPr>
          <w:p w14:paraId="3CC7C9A1" w14:textId="77777777" w:rsidR="004674C2" w:rsidRPr="00CB1714" w:rsidRDefault="004674C2" w:rsidP="004674C2">
            <w:pPr>
              <w:rPr>
                <w:rFonts w:ascii="Lato" w:hAnsi="Lato"/>
                <w:sz w:val="22"/>
                <w:szCs w:val="22"/>
              </w:rPr>
            </w:pPr>
          </w:p>
        </w:tc>
        <w:tc>
          <w:tcPr>
            <w:tcW w:w="5891" w:type="dxa"/>
          </w:tcPr>
          <w:p w14:paraId="578EF044" w14:textId="77777777" w:rsidR="004674C2" w:rsidRPr="00CB1714" w:rsidRDefault="004674C2" w:rsidP="004674C2">
            <w:pPr>
              <w:rPr>
                <w:rFonts w:ascii="Lato" w:hAnsi="Lato"/>
                <w:sz w:val="22"/>
                <w:szCs w:val="22"/>
              </w:rPr>
            </w:pPr>
            <w:r w:rsidRPr="00F72ED7">
              <w:rPr>
                <w:rFonts w:ascii="Lato" w:hAnsi="Lato"/>
                <w:sz w:val="22"/>
                <w:szCs w:val="22"/>
              </w:rPr>
              <w:t>may</w:t>
            </w:r>
            <w:r w:rsidRPr="00CB1714">
              <w:rPr>
                <w:rFonts w:ascii="Lato" w:hAnsi="Lato"/>
                <w:sz w:val="22"/>
                <w:szCs w:val="22"/>
              </w:rPr>
              <w:t xml:space="preserve"> use leverage</w:t>
            </w:r>
          </w:p>
        </w:tc>
        <w:tc>
          <w:tcPr>
            <w:tcW w:w="3188" w:type="dxa"/>
            <w:tcBorders>
              <w:top w:val="single" w:sz="4" w:space="0" w:color="auto"/>
            </w:tcBorders>
          </w:tcPr>
          <w:p w14:paraId="21A4452F" w14:textId="77777777" w:rsidR="004674C2" w:rsidRPr="00CB1714" w:rsidRDefault="004674C2" w:rsidP="004674C2">
            <w:pPr>
              <w:rPr>
                <w:rFonts w:ascii="Lato" w:hAnsi="Lato"/>
                <w:sz w:val="22"/>
                <w:szCs w:val="22"/>
              </w:rPr>
            </w:pPr>
          </w:p>
        </w:tc>
      </w:tr>
      <w:tr w:rsidR="004674C2" w:rsidRPr="00CB1714" w14:paraId="5B975867" w14:textId="77777777" w:rsidTr="00122649">
        <w:tc>
          <w:tcPr>
            <w:tcW w:w="1316" w:type="dxa"/>
          </w:tcPr>
          <w:p w14:paraId="0EC2DF7D" w14:textId="77777777" w:rsidR="004674C2" w:rsidRPr="00CB1714" w:rsidRDefault="004674C2" w:rsidP="004674C2">
            <w:pPr>
              <w:rPr>
                <w:rFonts w:ascii="Lato" w:hAnsi="Lato"/>
                <w:sz w:val="22"/>
                <w:szCs w:val="22"/>
              </w:rPr>
            </w:pPr>
          </w:p>
        </w:tc>
        <w:tc>
          <w:tcPr>
            <w:tcW w:w="5891" w:type="dxa"/>
          </w:tcPr>
          <w:p w14:paraId="6504751B"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770D7D93" w14:textId="77777777" w:rsidR="004674C2" w:rsidRPr="00CB1714" w:rsidRDefault="004674C2" w:rsidP="004674C2">
            <w:pPr>
              <w:rPr>
                <w:rFonts w:ascii="Lato" w:hAnsi="Lato"/>
                <w:sz w:val="22"/>
                <w:szCs w:val="22"/>
              </w:rPr>
            </w:pPr>
          </w:p>
        </w:tc>
      </w:tr>
      <w:tr w:rsidR="004674C2" w:rsidRPr="00CB1714" w14:paraId="6135DE21" w14:textId="77777777" w:rsidTr="007E3170">
        <w:tc>
          <w:tcPr>
            <w:tcW w:w="1316" w:type="dxa"/>
          </w:tcPr>
          <w:p w14:paraId="582745C0" w14:textId="77777777" w:rsidR="004674C2" w:rsidRPr="00CB1714" w:rsidRDefault="004674C2" w:rsidP="004674C2">
            <w:pPr>
              <w:rPr>
                <w:rFonts w:ascii="Lato" w:hAnsi="Lato"/>
                <w:sz w:val="22"/>
                <w:szCs w:val="22"/>
              </w:rPr>
            </w:pPr>
            <w:r w:rsidRPr="00CB1714">
              <w:rPr>
                <w:rFonts w:ascii="Lato" w:hAnsi="Lato"/>
                <w:sz w:val="22"/>
                <w:szCs w:val="22"/>
              </w:rPr>
              <w:t>2.4.3</w:t>
            </w:r>
          </w:p>
        </w:tc>
        <w:tc>
          <w:tcPr>
            <w:tcW w:w="5891" w:type="dxa"/>
            <w:tcBorders>
              <w:right w:val="single" w:sz="4" w:space="0" w:color="auto"/>
            </w:tcBorders>
          </w:tcPr>
          <w:p w14:paraId="75ABCAE3" w14:textId="77777777" w:rsidR="004674C2" w:rsidRPr="00CB1714" w:rsidRDefault="004674C2" w:rsidP="004674C2">
            <w:pPr>
              <w:rPr>
                <w:rFonts w:ascii="Lato" w:hAnsi="Lato"/>
                <w:sz w:val="22"/>
                <w:szCs w:val="22"/>
              </w:rPr>
            </w:pPr>
            <w:r w:rsidRPr="00CB1714">
              <w:rPr>
                <w:rFonts w:ascii="Lato" w:hAnsi="Lato"/>
                <w:sz w:val="22"/>
                <w:szCs w:val="22"/>
              </w:rPr>
              <w:t xml:space="preserve">The maximum level of leverage which the AIFM are </w:t>
            </w:r>
          </w:p>
        </w:tc>
        <w:tc>
          <w:tcPr>
            <w:tcW w:w="3188" w:type="dxa"/>
            <w:tcBorders>
              <w:top w:val="single" w:sz="4" w:space="0" w:color="auto"/>
              <w:left w:val="single" w:sz="4" w:space="0" w:color="auto"/>
              <w:bottom w:val="single" w:sz="4" w:space="0" w:color="auto"/>
              <w:right w:val="single" w:sz="4" w:space="0" w:color="auto"/>
            </w:tcBorders>
          </w:tcPr>
          <w:p w14:paraId="5A935522" w14:textId="77777777" w:rsidR="004674C2" w:rsidRPr="00CB1714" w:rsidRDefault="004674C2" w:rsidP="004674C2">
            <w:pPr>
              <w:rPr>
                <w:rFonts w:ascii="Lato" w:hAnsi="Lato"/>
                <w:sz w:val="22"/>
                <w:szCs w:val="22"/>
              </w:rPr>
            </w:pPr>
          </w:p>
        </w:tc>
      </w:tr>
      <w:tr w:rsidR="004674C2" w:rsidRPr="00CB1714" w14:paraId="5BF70E94" w14:textId="77777777" w:rsidTr="007E3170">
        <w:tc>
          <w:tcPr>
            <w:tcW w:w="1316" w:type="dxa"/>
          </w:tcPr>
          <w:p w14:paraId="6A977D97" w14:textId="77777777" w:rsidR="004674C2" w:rsidRPr="00CB1714" w:rsidRDefault="004674C2" w:rsidP="004674C2">
            <w:pPr>
              <w:rPr>
                <w:rFonts w:ascii="Lato" w:hAnsi="Lato"/>
                <w:sz w:val="22"/>
                <w:szCs w:val="22"/>
              </w:rPr>
            </w:pPr>
          </w:p>
        </w:tc>
        <w:tc>
          <w:tcPr>
            <w:tcW w:w="5891" w:type="dxa"/>
          </w:tcPr>
          <w:p w14:paraId="50B9EF62" w14:textId="77777777" w:rsidR="004674C2" w:rsidRPr="00CB1714" w:rsidRDefault="004674C2" w:rsidP="004674C2">
            <w:pPr>
              <w:rPr>
                <w:rFonts w:ascii="Lato" w:hAnsi="Lato"/>
                <w:sz w:val="22"/>
                <w:szCs w:val="22"/>
              </w:rPr>
            </w:pPr>
            <w:r w:rsidRPr="00F72ED7">
              <w:rPr>
                <w:rFonts w:ascii="Lato" w:hAnsi="Lato"/>
                <w:sz w:val="22"/>
                <w:szCs w:val="22"/>
              </w:rPr>
              <w:t xml:space="preserve">entitled to </w:t>
            </w:r>
            <w:r w:rsidRPr="00CB1714">
              <w:rPr>
                <w:rFonts w:ascii="Lato" w:hAnsi="Lato"/>
                <w:sz w:val="22"/>
                <w:szCs w:val="22"/>
              </w:rPr>
              <w:t>employ on behalf of the Qualifying Investor AIF</w:t>
            </w:r>
          </w:p>
          <w:p w14:paraId="0821612A" w14:textId="77777777" w:rsidR="004674C2" w:rsidRPr="00CB1714" w:rsidRDefault="004674C2" w:rsidP="004674C2">
            <w:pPr>
              <w:rPr>
                <w:rFonts w:ascii="Lato" w:hAnsi="Lato"/>
                <w:sz w:val="22"/>
                <w:szCs w:val="22"/>
              </w:rPr>
            </w:pPr>
          </w:p>
          <w:p w14:paraId="03994494" w14:textId="77777777" w:rsidR="004674C2" w:rsidRPr="00CB1714" w:rsidRDefault="004674C2" w:rsidP="004674C2">
            <w:pPr>
              <w:rPr>
                <w:rFonts w:ascii="Lato" w:hAnsi="Lato"/>
                <w:sz w:val="22"/>
                <w:szCs w:val="22"/>
              </w:rPr>
            </w:pPr>
            <w:r w:rsidRPr="00CB1714">
              <w:rPr>
                <w:rFonts w:ascii="Lato" w:hAnsi="Lato"/>
                <w:sz w:val="22"/>
                <w:szCs w:val="22"/>
              </w:rPr>
              <w:t>Note: A loan originating Qualifying Investor AIF must not have gross assets of more than 200% of net asset value</w:t>
            </w:r>
          </w:p>
        </w:tc>
        <w:tc>
          <w:tcPr>
            <w:tcW w:w="3188" w:type="dxa"/>
            <w:tcBorders>
              <w:top w:val="single" w:sz="4" w:space="0" w:color="auto"/>
            </w:tcBorders>
          </w:tcPr>
          <w:p w14:paraId="29E89DB6" w14:textId="77777777" w:rsidR="004674C2" w:rsidRPr="00CB1714" w:rsidRDefault="004674C2" w:rsidP="004674C2">
            <w:pPr>
              <w:rPr>
                <w:rFonts w:ascii="Lato" w:hAnsi="Lato"/>
                <w:sz w:val="22"/>
                <w:szCs w:val="22"/>
              </w:rPr>
            </w:pPr>
          </w:p>
        </w:tc>
      </w:tr>
      <w:tr w:rsidR="004674C2" w:rsidRPr="00CB1714" w14:paraId="1A8F2FD5" w14:textId="77777777" w:rsidTr="007E3170">
        <w:tc>
          <w:tcPr>
            <w:tcW w:w="1316" w:type="dxa"/>
          </w:tcPr>
          <w:p w14:paraId="2FF73E33" w14:textId="77777777" w:rsidR="004674C2" w:rsidRPr="00CB1714" w:rsidRDefault="004674C2" w:rsidP="004674C2">
            <w:pPr>
              <w:rPr>
                <w:rFonts w:ascii="Lato" w:hAnsi="Lato"/>
                <w:sz w:val="22"/>
                <w:szCs w:val="22"/>
              </w:rPr>
            </w:pPr>
          </w:p>
        </w:tc>
        <w:tc>
          <w:tcPr>
            <w:tcW w:w="5891" w:type="dxa"/>
          </w:tcPr>
          <w:p w14:paraId="3B19FCB9"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6F012902" w14:textId="77777777" w:rsidR="004674C2" w:rsidRPr="00CB1714" w:rsidRDefault="004674C2" w:rsidP="004674C2">
            <w:pPr>
              <w:rPr>
                <w:rFonts w:ascii="Lato" w:hAnsi="Lato"/>
                <w:sz w:val="22"/>
                <w:szCs w:val="22"/>
              </w:rPr>
            </w:pPr>
          </w:p>
        </w:tc>
      </w:tr>
      <w:tr w:rsidR="004674C2" w:rsidRPr="00CB1714" w14:paraId="3AC7ACE1" w14:textId="77777777" w:rsidTr="007E3170">
        <w:tc>
          <w:tcPr>
            <w:tcW w:w="1316" w:type="dxa"/>
          </w:tcPr>
          <w:p w14:paraId="022ACCD5" w14:textId="77777777" w:rsidR="004674C2" w:rsidRPr="00CB1714" w:rsidRDefault="004674C2" w:rsidP="004674C2">
            <w:pPr>
              <w:rPr>
                <w:rFonts w:ascii="Lato" w:hAnsi="Lato"/>
                <w:sz w:val="22"/>
                <w:szCs w:val="22"/>
              </w:rPr>
            </w:pPr>
            <w:r w:rsidRPr="00CB1714">
              <w:rPr>
                <w:rFonts w:ascii="Lato" w:hAnsi="Lato"/>
                <w:sz w:val="22"/>
                <w:szCs w:val="22"/>
              </w:rPr>
              <w:t>2.4.4</w:t>
            </w:r>
          </w:p>
        </w:tc>
        <w:tc>
          <w:tcPr>
            <w:tcW w:w="5891" w:type="dxa"/>
            <w:tcBorders>
              <w:right w:val="single" w:sz="4" w:space="0" w:color="auto"/>
            </w:tcBorders>
          </w:tcPr>
          <w:p w14:paraId="3F00C1AC" w14:textId="77777777" w:rsidR="004674C2" w:rsidRPr="00CB1714" w:rsidRDefault="004674C2" w:rsidP="004674C2">
            <w:pPr>
              <w:rPr>
                <w:rFonts w:ascii="Lato" w:hAnsi="Lato"/>
                <w:sz w:val="22"/>
                <w:szCs w:val="22"/>
              </w:rPr>
            </w:pPr>
            <w:r w:rsidRPr="00CB1714">
              <w:rPr>
                <w:rFonts w:ascii="Lato" w:hAnsi="Lato"/>
                <w:sz w:val="22"/>
                <w:szCs w:val="22"/>
              </w:rPr>
              <w:t xml:space="preserve">The types and sources of leverage permitted and the </w:t>
            </w:r>
          </w:p>
        </w:tc>
        <w:tc>
          <w:tcPr>
            <w:tcW w:w="3188" w:type="dxa"/>
            <w:tcBorders>
              <w:top w:val="single" w:sz="4" w:space="0" w:color="auto"/>
              <w:left w:val="single" w:sz="4" w:space="0" w:color="auto"/>
              <w:bottom w:val="single" w:sz="4" w:space="0" w:color="auto"/>
              <w:right w:val="single" w:sz="4" w:space="0" w:color="auto"/>
            </w:tcBorders>
          </w:tcPr>
          <w:p w14:paraId="1B12C977" w14:textId="77777777" w:rsidR="004674C2" w:rsidRPr="00CB1714" w:rsidRDefault="004674C2" w:rsidP="004674C2">
            <w:pPr>
              <w:rPr>
                <w:rFonts w:ascii="Lato" w:hAnsi="Lato"/>
                <w:sz w:val="22"/>
                <w:szCs w:val="22"/>
              </w:rPr>
            </w:pPr>
          </w:p>
        </w:tc>
      </w:tr>
      <w:tr w:rsidR="004674C2" w:rsidRPr="00CB1714" w14:paraId="35C0CBF8" w14:textId="77777777" w:rsidTr="007E3170">
        <w:tc>
          <w:tcPr>
            <w:tcW w:w="1316" w:type="dxa"/>
          </w:tcPr>
          <w:p w14:paraId="193FF4A1" w14:textId="77777777" w:rsidR="004674C2" w:rsidRPr="00CB1714" w:rsidRDefault="004674C2" w:rsidP="004674C2">
            <w:pPr>
              <w:rPr>
                <w:rFonts w:ascii="Lato" w:hAnsi="Lato"/>
                <w:sz w:val="22"/>
                <w:szCs w:val="22"/>
              </w:rPr>
            </w:pPr>
          </w:p>
        </w:tc>
        <w:tc>
          <w:tcPr>
            <w:tcW w:w="5891" w:type="dxa"/>
          </w:tcPr>
          <w:p w14:paraId="45988381" w14:textId="77777777" w:rsidR="004674C2" w:rsidRPr="00CB1714" w:rsidRDefault="004674C2" w:rsidP="004674C2">
            <w:pPr>
              <w:rPr>
                <w:rFonts w:ascii="Lato" w:hAnsi="Lato"/>
                <w:sz w:val="22"/>
                <w:szCs w:val="22"/>
              </w:rPr>
            </w:pPr>
            <w:r w:rsidRPr="00F72ED7">
              <w:rPr>
                <w:rFonts w:ascii="Lato" w:hAnsi="Lato"/>
                <w:sz w:val="22"/>
                <w:szCs w:val="22"/>
              </w:rPr>
              <w:t>associated</w:t>
            </w:r>
            <w:r w:rsidRPr="00CB1714">
              <w:rPr>
                <w:rFonts w:ascii="Lato" w:hAnsi="Lato"/>
                <w:sz w:val="22"/>
                <w:szCs w:val="22"/>
              </w:rPr>
              <w:t xml:space="preserve"> risks</w:t>
            </w:r>
          </w:p>
        </w:tc>
        <w:tc>
          <w:tcPr>
            <w:tcW w:w="3188" w:type="dxa"/>
            <w:tcBorders>
              <w:top w:val="single" w:sz="4" w:space="0" w:color="auto"/>
            </w:tcBorders>
          </w:tcPr>
          <w:p w14:paraId="06F9BC7D" w14:textId="77777777" w:rsidR="004674C2" w:rsidRPr="00CB1714" w:rsidRDefault="004674C2" w:rsidP="004674C2">
            <w:pPr>
              <w:rPr>
                <w:rFonts w:ascii="Lato" w:hAnsi="Lato"/>
                <w:sz w:val="22"/>
                <w:szCs w:val="22"/>
              </w:rPr>
            </w:pPr>
          </w:p>
        </w:tc>
      </w:tr>
      <w:tr w:rsidR="004674C2" w:rsidRPr="00CB1714" w14:paraId="0AFE0728" w14:textId="77777777" w:rsidTr="007E3170">
        <w:tc>
          <w:tcPr>
            <w:tcW w:w="1316" w:type="dxa"/>
          </w:tcPr>
          <w:p w14:paraId="405DCAA7" w14:textId="77777777" w:rsidR="004674C2" w:rsidRPr="00CB1714" w:rsidRDefault="004674C2" w:rsidP="004674C2">
            <w:pPr>
              <w:rPr>
                <w:rFonts w:ascii="Lato" w:hAnsi="Lato"/>
                <w:sz w:val="22"/>
                <w:szCs w:val="22"/>
              </w:rPr>
            </w:pPr>
          </w:p>
        </w:tc>
        <w:tc>
          <w:tcPr>
            <w:tcW w:w="5891" w:type="dxa"/>
          </w:tcPr>
          <w:p w14:paraId="69342F2C"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1202A845" w14:textId="77777777" w:rsidR="004674C2" w:rsidRPr="00CB1714" w:rsidRDefault="004674C2" w:rsidP="004674C2">
            <w:pPr>
              <w:rPr>
                <w:rFonts w:ascii="Lato" w:hAnsi="Lato"/>
                <w:sz w:val="22"/>
                <w:szCs w:val="22"/>
              </w:rPr>
            </w:pPr>
          </w:p>
        </w:tc>
      </w:tr>
      <w:tr w:rsidR="004674C2" w:rsidRPr="00CB1714" w14:paraId="02977F18" w14:textId="77777777" w:rsidTr="007E3170">
        <w:tc>
          <w:tcPr>
            <w:tcW w:w="1316" w:type="dxa"/>
          </w:tcPr>
          <w:p w14:paraId="4E6543D3" w14:textId="77777777" w:rsidR="004674C2" w:rsidRPr="00CB1714" w:rsidRDefault="004674C2" w:rsidP="004674C2">
            <w:pPr>
              <w:rPr>
                <w:rFonts w:ascii="Lato" w:hAnsi="Lato"/>
                <w:sz w:val="22"/>
                <w:szCs w:val="22"/>
              </w:rPr>
            </w:pPr>
            <w:r w:rsidRPr="00CB1714">
              <w:rPr>
                <w:rFonts w:ascii="Lato" w:hAnsi="Lato"/>
                <w:sz w:val="22"/>
                <w:szCs w:val="22"/>
              </w:rPr>
              <w:t>2.4.5</w:t>
            </w:r>
          </w:p>
        </w:tc>
        <w:tc>
          <w:tcPr>
            <w:tcW w:w="5891" w:type="dxa"/>
            <w:tcBorders>
              <w:right w:val="single" w:sz="4" w:space="0" w:color="auto"/>
            </w:tcBorders>
          </w:tcPr>
          <w:p w14:paraId="1DE7DBA2" w14:textId="77777777" w:rsidR="004674C2" w:rsidRPr="00CB1714" w:rsidRDefault="004674C2" w:rsidP="004674C2">
            <w:pPr>
              <w:rPr>
                <w:rFonts w:ascii="Lato" w:hAnsi="Lato"/>
                <w:sz w:val="22"/>
                <w:szCs w:val="22"/>
              </w:rPr>
            </w:pPr>
            <w:r w:rsidRPr="00CB1714">
              <w:rPr>
                <w:rFonts w:ascii="Lato" w:hAnsi="Lato"/>
                <w:sz w:val="22"/>
                <w:szCs w:val="22"/>
              </w:rPr>
              <w:t>Any restrictions on the use of leverage</w:t>
            </w:r>
          </w:p>
        </w:tc>
        <w:tc>
          <w:tcPr>
            <w:tcW w:w="3188" w:type="dxa"/>
            <w:tcBorders>
              <w:top w:val="single" w:sz="4" w:space="0" w:color="auto"/>
              <w:left w:val="single" w:sz="4" w:space="0" w:color="auto"/>
              <w:bottom w:val="single" w:sz="4" w:space="0" w:color="auto"/>
              <w:right w:val="single" w:sz="4" w:space="0" w:color="auto"/>
            </w:tcBorders>
          </w:tcPr>
          <w:p w14:paraId="62E1917E" w14:textId="77777777" w:rsidR="004674C2" w:rsidRPr="00CB1714" w:rsidRDefault="004674C2" w:rsidP="004674C2">
            <w:pPr>
              <w:rPr>
                <w:rFonts w:ascii="Lato" w:hAnsi="Lato"/>
                <w:sz w:val="22"/>
                <w:szCs w:val="22"/>
              </w:rPr>
            </w:pPr>
          </w:p>
        </w:tc>
      </w:tr>
      <w:tr w:rsidR="004674C2" w:rsidRPr="00CB1714" w14:paraId="0B1660F0" w14:textId="77777777" w:rsidTr="007E3170">
        <w:tc>
          <w:tcPr>
            <w:tcW w:w="1316" w:type="dxa"/>
          </w:tcPr>
          <w:p w14:paraId="08F379EA" w14:textId="77777777" w:rsidR="004674C2" w:rsidRPr="00CB1714" w:rsidRDefault="004674C2" w:rsidP="004674C2">
            <w:pPr>
              <w:rPr>
                <w:rFonts w:ascii="Lato" w:hAnsi="Lato"/>
                <w:sz w:val="22"/>
                <w:szCs w:val="22"/>
              </w:rPr>
            </w:pPr>
          </w:p>
        </w:tc>
        <w:tc>
          <w:tcPr>
            <w:tcW w:w="5891" w:type="dxa"/>
          </w:tcPr>
          <w:p w14:paraId="7F98B057"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1FB2027E" w14:textId="77777777" w:rsidR="004674C2" w:rsidRPr="00CB1714" w:rsidRDefault="004674C2" w:rsidP="004674C2">
            <w:pPr>
              <w:rPr>
                <w:rFonts w:ascii="Lato" w:hAnsi="Lato"/>
                <w:sz w:val="22"/>
                <w:szCs w:val="22"/>
              </w:rPr>
            </w:pPr>
          </w:p>
        </w:tc>
      </w:tr>
      <w:tr w:rsidR="004674C2" w:rsidRPr="00CB1714" w14:paraId="4BB72CE7" w14:textId="77777777" w:rsidTr="007E3170">
        <w:trPr>
          <w:trHeight w:val="70"/>
        </w:trPr>
        <w:tc>
          <w:tcPr>
            <w:tcW w:w="1316" w:type="dxa"/>
          </w:tcPr>
          <w:p w14:paraId="74917D66" w14:textId="77777777" w:rsidR="004674C2" w:rsidRPr="00CB1714" w:rsidRDefault="004674C2" w:rsidP="004674C2">
            <w:pPr>
              <w:rPr>
                <w:rFonts w:ascii="Lato" w:hAnsi="Lato"/>
                <w:sz w:val="22"/>
                <w:szCs w:val="22"/>
              </w:rPr>
            </w:pPr>
            <w:r w:rsidRPr="00CB1714">
              <w:rPr>
                <w:rFonts w:ascii="Lato" w:hAnsi="Lato"/>
                <w:sz w:val="22"/>
                <w:szCs w:val="22"/>
              </w:rPr>
              <w:t>2.4.6</w:t>
            </w:r>
          </w:p>
        </w:tc>
        <w:tc>
          <w:tcPr>
            <w:tcW w:w="5891" w:type="dxa"/>
            <w:tcBorders>
              <w:right w:val="single" w:sz="4" w:space="0" w:color="auto"/>
            </w:tcBorders>
          </w:tcPr>
          <w:p w14:paraId="0C84A453" w14:textId="77777777" w:rsidR="004674C2" w:rsidRPr="00CB1714" w:rsidRDefault="004674C2" w:rsidP="004674C2">
            <w:pPr>
              <w:rPr>
                <w:rFonts w:ascii="Lato" w:hAnsi="Lato"/>
                <w:sz w:val="22"/>
                <w:szCs w:val="22"/>
              </w:rPr>
            </w:pPr>
            <w:r w:rsidRPr="00CB1714">
              <w:rPr>
                <w:rFonts w:ascii="Lato" w:hAnsi="Lato"/>
                <w:sz w:val="22"/>
                <w:szCs w:val="22"/>
              </w:rPr>
              <w:t>Any collateral and asset reuse arrangements</w:t>
            </w:r>
          </w:p>
        </w:tc>
        <w:tc>
          <w:tcPr>
            <w:tcW w:w="3188" w:type="dxa"/>
            <w:tcBorders>
              <w:top w:val="single" w:sz="4" w:space="0" w:color="auto"/>
              <w:left w:val="single" w:sz="4" w:space="0" w:color="auto"/>
              <w:bottom w:val="single" w:sz="4" w:space="0" w:color="auto"/>
              <w:right w:val="single" w:sz="4" w:space="0" w:color="auto"/>
            </w:tcBorders>
          </w:tcPr>
          <w:p w14:paraId="57A0B7C7" w14:textId="77777777" w:rsidR="004674C2" w:rsidRPr="00CB1714" w:rsidRDefault="004674C2" w:rsidP="004674C2">
            <w:pPr>
              <w:rPr>
                <w:rFonts w:ascii="Lato" w:hAnsi="Lato"/>
                <w:sz w:val="22"/>
                <w:szCs w:val="22"/>
              </w:rPr>
            </w:pPr>
          </w:p>
        </w:tc>
      </w:tr>
      <w:tr w:rsidR="004674C2" w:rsidRPr="00CB1714" w14:paraId="453AB6DE" w14:textId="77777777" w:rsidTr="007E3170">
        <w:tc>
          <w:tcPr>
            <w:tcW w:w="1316" w:type="dxa"/>
          </w:tcPr>
          <w:p w14:paraId="4D426B11" w14:textId="77777777" w:rsidR="004674C2" w:rsidRPr="00CB1714" w:rsidRDefault="004674C2" w:rsidP="004674C2">
            <w:pPr>
              <w:rPr>
                <w:rFonts w:ascii="Lato" w:hAnsi="Lato"/>
                <w:sz w:val="22"/>
                <w:szCs w:val="22"/>
              </w:rPr>
            </w:pPr>
          </w:p>
        </w:tc>
        <w:tc>
          <w:tcPr>
            <w:tcW w:w="5891" w:type="dxa"/>
          </w:tcPr>
          <w:p w14:paraId="08123A27"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E4DAEE1" w14:textId="77777777" w:rsidR="004674C2" w:rsidRPr="00CB1714" w:rsidRDefault="004674C2" w:rsidP="004674C2">
            <w:pPr>
              <w:rPr>
                <w:rFonts w:ascii="Lato" w:hAnsi="Lato"/>
                <w:sz w:val="22"/>
                <w:szCs w:val="22"/>
              </w:rPr>
            </w:pPr>
          </w:p>
        </w:tc>
      </w:tr>
      <w:tr w:rsidR="004674C2" w:rsidRPr="00CB1714" w14:paraId="2207EEFC" w14:textId="77777777" w:rsidTr="007E3170">
        <w:tc>
          <w:tcPr>
            <w:tcW w:w="1316" w:type="dxa"/>
          </w:tcPr>
          <w:p w14:paraId="78864746" w14:textId="77777777" w:rsidR="004674C2" w:rsidRPr="00CB1714" w:rsidRDefault="004674C2" w:rsidP="004674C2">
            <w:pPr>
              <w:rPr>
                <w:rFonts w:ascii="Lato" w:hAnsi="Lato"/>
                <w:sz w:val="22"/>
                <w:szCs w:val="22"/>
              </w:rPr>
            </w:pPr>
            <w:r w:rsidRPr="00CB1714">
              <w:rPr>
                <w:rFonts w:ascii="Lato" w:hAnsi="Lato"/>
                <w:sz w:val="22"/>
                <w:szCs w:val="22"/>
              </w:rPr>
              <w:t>2.4.7</w:t>
            </w:r>
          </w:p>
        </w:tc>
        <w:tc>
          <w:tcPr>
            <w:tcW w:w="5891" w:type="dxa"/>
            <w:tcBorders>
              <w:right w:val="single" w:sz="4" w:space="0" w:color="auto"/>
            </w:tcBorders>
          </w:tcPr>
          <w:p w14:paraId="52694675" w14:textId="77777777" w:rsidR="004674C2" w:rsidRPr="00CB1714" w:rsidRDefault="004674C2" w:rsidP="004674C2">
            <w:pPr>
              <w:rPr>
                <w:rFonts w:ascii="Lato" w:hAnsi="Lato"/>
                <w:sz w:val="22"/>
                <w:szCs w:val="22"/>
              </w:rPr>
            </w:pPr>
            <w:r w:rsidRPr="00CB1714">
              <w:rPr>
                <w:rFonts w:ascii="Lato" w:hAnsi="Lato"/>
                <w:sz w:val="22"/>
                <w:szCs w:val="22"/>
              </w:rPr>
              <w:t xml:space="preserve">The Qualifying Investor AIFs shall not raise capital </w:t>
            </w:r>
          </w:p>
        </w:tc>
        <w:tc>
          <w:tcPr>
            <w:tcW w:w="3188" w:type="dxa"/>
            <w:tcBorders>
              <w:top w:val="single" w:sz="4" w:space="0" w:color="auto"/>
              <w:left w:val="single" w:sz="4" w:space="0" w:color="auto"/>
              <w:bottom w:val="single" w:sz="4" w:space="0" w:color="auto"/>
              <w:right w:val="single" w:sz="4" w:space="0" w:color="auto"/>
            </w:tcBorders>
          </w:tcPr>
          <w:p w14:paraId="2BC0E46D" w14:textId="77777777" w:rsidR="004674C2" w:rsidRPr="00CB1714" w:rsidRDefault="004674C2" w:rsidP="004674C2">
            <w:pPr>
              <w:rPr>
                <w:rFonts w:ascii="Lato" w:hAnsi="Lato"/>
                <w:sz w:val="22"/>
                <w:szCs w:val="22"/>
              </w:rPr>
            </w:pPr>
          </w:p>
        </w:tc>
      </w:tr>
      <w:tr w:rsidR="004674C2" w:rsidRPr="00CB1714" w14:paraId="36BB8167" w14:textId="77777777" w:rsidTr="00990D73">
        <w:tc>
          <w:tcPr>
            <w:tcW w:w="1316" w:type="dxa"/>
          </w:tcPr>
          <w:p w14:paraId="2567F4AB" w14:textId="77777777" w:rsidR="004674C2" w:rsidRPr="00CB1714" w:rsidRDefault="004674C2" w:rsidP="004674C2">
            <w:pPr>
              <w:rPr>
                <w:rFonts w:ascii="Lato" w:hAnsi="Lato"/>
                <w:sz w:val="22"/>
                <w:szCs w:val="22"/>
              </w:rPr>
            </w:pPr>
          </w:p>
        </w:tc>
        <w:tc>
          <w:tcPr>
            <w:tcW w:w="5891" w:type="dxa"/>
          </w:tcPr>
          <w:p w14:paraId="202203AA" w14:textId="77777777" w:rsidR="004674C2" w:rsidRPr="00CB1714" w:rsidRDefault="004674C2" w:rsidP="004674C2">
            <w:pPr>
              <w:rPr>
                <w:rFonts w:ascii="Lato" w:hAnsi="Lato"/>
                <w:sz w:val="22"/>
                <w:szCs w:val="22"/>
              </w:rPr>
            </w:pPr>
            <w:r w:rsidRPr="00CB1714">
              <w:rPr>
                <w:rFonts w:ascii="Lato" w:hAnsi="Lato"/>
                <w:sz w:val="22"/>
                <w:szCs w:val="22"/>
              </w:rPr>
              <w:t>from the public through the issue of debt securities. This restriction does not operate to prevent the issue of notes by Qualifying Investor AIFs on a private basis, to a lending institution to facilitate financing arrangements. Where relevant disclose details of any such note issue</w:t>
            </w:r>
          </w:p>
        </w:tc>
        <w:tc>
          <w:tcPr>
            <w:tcW w:w="3188" w:type="dxa"/>
            <w:tcBorders>
              <w:top w:val="single" w:sz="4" w:space="0" w:color="auto"/>
            </w:tcBorders>
          </w:tcPr>
          <w:p w14:paraId="53F3456E" w14:textId="77777777" w:rsidR="004674C2" w:rsidRPr="00CB1714" w:rsidRDefault="004674C2" w:rsidP="004674C2">
            <w:pPr>
              <w:rPr>
                <w:rFonts w:ascii="Lato" w:hAnsi="Lato"/>
                <w:sz w:val="22"/>
                <w:szCs w:val="22"/>
              </w:rPr>
            </w:pPr>
          </w:p>
        </w:tc>
      </w:tr>
      <w:tr w:rsidR="004674C2" w:rsidRPr="00CB1714" w14:paraId="5EDA5F0E" w14:textId="77777777" w:rsidTr="00990D73">
        <w:tc>
          <w:tcPr>
            <w:tcW w:w="1316" w:type="dxa"/>
          </w:tcPr>
          <w:p w14:paraId="52600A3C" w14:textId="77777777" w:rsidR="004674C2" w:rsidRPr="00CB1714" w:rsidRDefault="004674C2" w:rsidP="004674C2">
            <w:pPr>
              <w:rPr>
                <w:rFonts w:ascii="Lato" w:hAnsi="Lato"/>
                <w:sz w:val="22"/>
                <w:szCs w:val="22"/>
              </w:rPr>
            </w:pPr>
          </w:p>
        </w:tc>
        <w:tc>
          <w:tcPr>
            <w:tcW w:w="5891" w:type="dxa"/>
          </w:tcPr>
          <w:p w14:paraId="49757404" w14:textId="77777777" w:rsidR="004674C2" w:rsidRPr="00CB1714" w:rsidRDefault="004674C2" w:rsidP="004674C2">
            <w:pPr>
              <w:rPr>
                <w:rFonts w:ascii="Lato" w:hAnsi="Lato"/>
                <w:sz w:val="22"/>
                <w:szCs w:val="22"/>
              </w:rPr>
            </w:pPr>
            <w:r w:rsidRPr="00CB1714">
              <w:rPr>
                <w:rFonts w:ascii="Lato" w:hAnsi="Lato"/>
                <w:sz w:val="22"/>
                <w:szCs w:val="22"/>
              </w:rPr>
              <w:t xml:space="preserve">. </w:t>
            </w:r>
          </w:p>
        </w:tc>
        <w:tc>
          <w:tcPr>
            <w:tcW w:w="3188" w:type="dxa"/>
          </w:tcPr>
          <w:p w14:paraId="39F09D96" w14:textId="77777777" w:rsidR="004674C2" w:rsidRPr="00CB1714" w:rsidRDefault="004674C2" w:rsidP="004674C2">
            <w:pPr>
              <w:rPr>
                <w:rFonts w:ascii="Lato" w:hAnsi="Lato"/>
                <w:sz w:val="22"/>
                <w:szCs w:val="22"/>
              </w:rPr>
            </w:pPr>
          </w:p>
        </w:tc>
      </w:tr>
      <w:tr w:rsidR="004674C2" w:rsidRPr="00CB1714" w14:paraId="51BB0D94" w14:textId="77777777" w:rsidTr="00990D73">
        <w:tc>
          <w:tcPr>
            <w:tcW w:w="1316" w:type="dxa"/>
          </w:tcPr>
          <w:p w14:paraId="7A7D7493" w14:textId="77777777" w:rsidR="004674C2" w:rsidRPr="00CB1714" w:rsidRDefault="004674C2" w:rsidP="004674C2">
            <w:pPr>
              <w:rPr>
                <w:rFonts w:ascii="Lato" w:hAnsi="Lato"/>
                <w:sz w:val="22"/>
                <w:szCs w:val="22"/>
              </w:rPr>
            </w:pPr>
          </w:p>
        </w:tc>
        <w:tc>
          <w:tcPr>
            <w:tcW w:w="5891" w:type="dxa"/>
          </w:tcPr>
          <w:p w14:paraId="39EE1919" w14:textId="77777777" w:rsidR="004674C2" w:rsidRPr="00CB1714" w:rsidRDefault="004674C2" w:rsidP="004674C2">
            <w:pPr>
              <w:rPr>
                <w:rFonts w:ascii="Lato" w:hAnsi="Lato"/>
                <w:sz w:val="22"/>
                <w:szCs w:val="22"/>
              </w:rPr>
            </w:pPr>
          </w:p>
        </w:tc>
        <w:tc>
          <w:tcPr>
            <w:tcW w:w="3188" w:type="dxa"/>
          </w:tcPr>
          <w:p w14:paraId="7E45AAEC" w14:textId="77777777" w:rsidR="004674C2" w:rsidRPr="00CB1714" w:rsidRDefault="004674C2" w:rsidP="004674C2">
            <w:pPr>
              <w:rPr>
                <w:rFonts w:ascii="Lato" w:hAnsi="Lato"/>
                <w:sz w:val="22"/>
                <w:szCs w:val="22"/>
              </w:rPr>
            </w:pPr>
          </w:p>
        </w:tc>
      </w:tr>
      <w:tr w:rsidR="004674C2" w:rsidRPr="00CB1714" w14:paraId="489D74A3" w14:textId="77777777" w:rsidTr="00990D73">
        <w:tc>
          <w:tcPr>
            <w:tcW w:w="1316" w:type="dxa"/>
          </w:tcPr>
          <w:p w14:paraId="1004CBB3" w14:textId="77777777" w:rsidR="004674C2" w:rsidRPr="00CB1714" w:rsidRDefault="004674C2" w:rsidP="004674C2">
            <w:pPr>
              <w:pStyle w:val="Header"/>
              <w:spacing w:line="240" w:lineRule="auto"/>
              <w:rPr>
                <w:rFonts w:ascii="Lato" w:hAnsi="Lato"/>
                <w:b/>
                <w:bCs/>
                <w:szCs w:val="22"/>
              </w:rPr>
            </w:pPr>
            <w:r w:rsidRPr="00CB1714">
              <w:rPr>
                <w:rFonts w:ascii="Lato" w:hAnsi="Lato"/>
                <w:b/>
                <w:bCs/>
                <w:szCs w:val="22"/>
              </w:rPr>
              <w:t>2.5</w:t>
            </w:r>
          </w:p>
        </w:tc>
        <w:tc>
          <w:tcPr>
            <w:tcW w:w="5891" w:type="dxa"/>
          </w:tcPr>
          <w:p w14:paraId="230738D8" w14:textId="77777777" w:rsidR="004674C2" w:rsidRPr="00CB1714" w:rsidRDefault="004674C2" w:rsidP="004674C2">
            <w:pPr>
              <w:rPr>
                <w:rFonts w:ascii="Lato" w:hAnsi="Lato"/>
                <w:b/>
                <w:bCs/>
                <w:sz w:val="22"/>
                <w:szCs w:val="22"/>
              </w:rPr>
            </w:pPr>
            <w:r w:rsidRPr="00CB1714">
              <w:rPr>
                <w:rFonts w:ascii="Lato" w:hAnsi="Lato"/>
                <w:b/>
                <w:bCs/>
                <w:sz w:val="22"/>
                <w:szCs w:val="22"/>
              </w:rPr>
              <w:t>Distribution/Dividend policy</w:t>
            </w:r>
          </w:p>
        </w:tc>
        <w:tc>
          <w:tcPr>
            <w:tcW w:w="3188" w:type="dxa"/>
          </w:tcPr>
          <w:p w14:paraId="671C6D64" w14:textId="77777777" w:rsidR="004674C2" w:rsidRPr="00CB1714" w:rsidRDefault="004674C2" w:rsidP="004674C2">
            <w:pPr>
              <w:rPr>
                <w:rFonts w:ascii="Lato" w:hAnsi="Lato"/>
                <w:b/>
                <w:bCs/>
                <w:sz w:val="22"/>
                <w:szCs w:val="22"/>
              </w:rPr>
            </w:pPr>
          </w:p>
        </w:tc>
      </w:tr>
      <w:tr w:rsidR="004674C2" w:rsidRPr="00CB1714" w14:paraId="2753C7BE" w14:textId="77777777" w:rsidTr="00990D73">
        <w:tc>
          <w:tcPr>
            <w:tcW w:w="1316" w:type="dxa"/>
          </w:tcPr>
          <w:p w14:paraId="5B906CDA" w14:textId="77777777" w:rsidR="004674C2" w:rsidRPr="00CB1714" w:rsidRDefault="004674C2" w:rsidP="004674C2">
            <w:pPr>
              <w:pStyle w:val="Header"/>
              <w:spacing w:line="240" w:lineRule="auto"/>
              <w:rPr>
                <w:rFonts w:ascii="Lato" w:hAnsi="Lato"/>
                <w:szCs w:val="22"/>
              </w:rPr>
            </w:pPr>
          </w:p>
        </w:tc>
        <w:tc>
          <w:tcPr>
            <w:tcW w:w="5891" w:type="dxa"/>
          </w:tcPr>
          <w:p w14:paraId="4EACC6A7" w14:textId="77777777" w:rsidR="004674C2" w:rsidRPr="00CB1714" w:rsidRDefault="004674C2" w:rsidP="004674C2">
            <w:pPr>
              <w:rPr>
                <w:rFonts w:ascii="Lato" w:hAnsi="Lato"/>
                <w:b/>
                <w:bCs/>
                <w:sz w:val="22"/>
                <w:szCs w:val="22"/>
              </w:rPr>
            </w:pPr>
            <w:r w:rsidRPr="00CB1714">
              <w:rPr>
                <w:rFonts w:ascii="Lato" w:hAnsi="Lato"/>
                <w:b/>
                <w:bCs/>
                <w:sz w:val="22"/>
                <w:szCs w:val="22"/>
              </w:rPr>
              <w:t>Note:  Amendments to distribution policy must be notified to unitholders in advance of implementation</w:t>
            </w:r>
          </w:p>
        </w:tc>
        <w:tc>
          <w:tcPr>
            <w:tcW w:w="3188" w:type="dxa"/>
            <w:tcBorders>
              <w:bottom w:val="single" w:sz="4" w:space="0" w:color="auto"/>
            </w:tcBorders>
          </w:tcPr>
          <w:p w14:paraId="554DDE3E" w14:textId="77777777" w:rsidR="004674C2" w:rsidRPr="00CB1714" w:rsidRDefault="004674C2" w:rsidP="004674C2">
            <w:pPr>
              <w:rPr>
                <w:rFonts w:ascii="Lato" w:hAnsi="Lato"/>
                <w:b/>
                <w:bCs/>
                <w:sz w:val="22"/>
                <w:szCs w:val="22"/>
              </w:rPr>
            </w:pPr>
          </w:p>
        </w:tc>
      </w:tr>
      <w:tr w:rsidR="004674C2" w:rsidRPr="00CB1714" w14:paraId="3C4A7DB6" w14:textId="77777777" w:rsidTr="00990D73">
        <w:tc>
          <w:tcPr>
            <w:tcW w:w="1316" w:type="dxa"/>
          </w:tcPr>
          <w:p w14:paraId="542287FC" w14:textId="77777777" w:rsidR="004674C2" w:rsidRPr="00CB1714" w:rsidRDefault="004674C2" w:rsidP="004674C2">
            <w:pPr>
              <w:rPr>
                <w:rFonts w:ascii="Lato" w:hAnsi="Lato"/>
                <w:sz w:val="22"/>
                <w:szCs w:val="22"/>
              </w:rPr>
            </w:pPr>
            <w:r w:rsidRPr="00CB1714">
              <w:rPr>
                <w:rFonts w:ascii="Lato" w:hAnsi="Lato"/>
                <w:sz w:val="22"/>
                <w:szCs w:val="22"/>
              </w:rPr>
              <w:t>2.5.1 a)</w:t>
            </w:r>
          </w:p>
        </w:tc>
        <w:tc>
          <w:tcPr>
            <w:tcW w:w="5891" w:type="dxa"/>
            <w:tcBorders>
              <w:right w:val="single" w:sz="4" w:space="0" w:color="auto"/>
            </w:tcBorders>
          </w:tcPr>
          <w:p w14:paraId="4BC79EB8"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 xml:space="preserve">Disclose the distribution policy and indicate whether </w:t>
            </w:r>
          </w:p>
        </w:tc>
        <w:tc>
          <w:tcPr>
            <w:tcW w:w="3188" w:type="dxa"/>
            <w:tcBorders>
              <w:top w:val="single" w:sz="4" w:space="0" w:color="auto"/>
              <w:left w:val="single" w:sz="4" w:space="0" w:color="auto"/>
              <w:bottom w:val="single" w:sz="4" w:space="0" w:color="auto"/>
              <w:right w:val="single" w:sz="4" w:space="0" w:color="auto"/>
            </w:tcBorders>
          </w:tcPr>
          <w:p w14:paraId="4420E052" w14:textId="77777777" w:rsidR="004674C2" w:rsidRPr="00CB1714" w:rsidRDefault="004674C2" w:rsidP="004674C2">
            <w:pPr>
              <w:pStyle w:val="Heading5"/>
              <w:rPr>
                <w:rFonts w:ascii="Lato" w:hAnsi="Lato"/>
                <w:b w:val="0"/>
                <w:i w:val="0"/>
                <w:szCs w:val="22"/>
              </w:rPr>
            </w:pPr>
          </w:p>
        </w:tc>
      </w:tr>
      <w:tr w:rsidR="004674C2" w:rsidRPr="00CB1714" w14:paraId="251D15FE" w14:textId="77777777" w:rsidTr="00990D73">
        <w:tc>
          <w:tcPr>
            <w:tcW w:w="1316" w:type="dxa"/>
          </w:tcPr>
          <w:p w14:paraId="10C57361" w14:textId="77777777" w:rsidR="004674C2" w:rsidRPr="00CB1714" w:rsidRDefault="004674C2" w:rsidP="004674C2">
            <w:pPr>
              <w:rPr>
                <w:rFonts w:ascii="Lato" w:hAnsi="Lato"/>
                <w:sz w:val="22"/>
                <w:szCs w:val="22"/>
              </w:rPr>
            </w:pPr>
          </w:p>
        </w:tc>
        <w:tc>
          <w:tcPr>
            <w:tcW w:w="5891" w:type="dxa"/>
          </w:tcPr>
          <w:p w14:paraId="01E815ED"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income</w:t>
            </w:r>
            <w:r w:rsidRPr="00CB1714">
              <w:rPr>
                <w:rFonts w:ascii="Lato" w:hAnsi="Lato"/>
                <w:b w:val="0"/>
                <w:i w:val="0"/>
                <w:szCs w:val="22"/>
              </w:rPr>
              <w:t xml:space="preserve"> will be reinvested or paid to shareholders</w:t>
            </w:r>
          </w:p>
        </w:tc>
        <w:tc>
          <w:tcPr>
            <w:tcW w:w="3188" w:type="dxa"/>
            <w:tcBorders>
              <w:top w:val="single" w:sz="4" w:space="0" w:color="auto"/>
            </w:tcBorders>
          </w:tcPr>
          <w:p w14:paraId="3F9DD5BA" w14:textId="77777777" w:rsidR="004674C2" w:rsidRPr="00CB1714" w:rsidRDefault="004674C2" w:rsidP="004674C2">
            <w:pPr>
              <w:pStyle w:val="Heading5"/>
              <w:rPr>
                <w:rFonts w:ascii="Lato" w:hAnsi="Lato"/>
                <w:b w:val="0"/>
                <w:i w:val="0"/>
                <w:szCs w:val="22"/>
              </w:rPr>
            </w:pPr>
          </w:p>
        </w:tc>
      </w:tr>
      <w:tr w:rsidR="004674C2" w:rsidRPr="00CB1714" w14:paraId="69C9A8E6" w14:textId="77777777" w:rsidTr="00CB1714">
        <w:tc>
          <w:tcPr>
            <w:tcW w:w="1316" w:type="dxa"/>
          </w:tcPr>
          <w:p w14:paraId="67E17E73" w14:textId="77777777" w:rsidR="004674C2" w:rsidRPr="00CB1714" w:rsidRDefault="004674C2" w:rsidP="004674C2">
            <w:pPr>
              <w:rPr>
                <w:rFonts w:ascii="Lato" w:hAnsi="Lato"/>
                <w:sz w:val="22"/>
                <w:szCs w:val="22"/>
              </w:rPr>
            </w:pPr>
          </w:p>
        </w:tc>
        <w:tc>
          <w:tcPr>
            <w:tcW w:w="5891" w:type="dxa"/>
          </w:tcPr>
          <w:p w14:paraId="50BCDF10"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Disclose the following:</w:t>
            </w:r>
          </w:p>
        </w:tc>
        <w:tc>
          <w:tcPr>
            <w:tcW w:w="3188" w:type="dxa"/>
            <w:tcBorders>
              <w:bottom w:val="single" w:sz="4" w:space="0" w:color="auto"/>
            </w:tcBorders>
          </w:tcPr>
          <w:p w14:paraId="78C6481E" w14:textId="77777777" w:rsidR="004674C2" w:rsidRPr="00CB1714" w:rsidRDefault="004674C2" w:rsidP="004674C2">
            <w:pPr>
              <w:pStyle w:val="Heading5"/>
              <w:rPr>
                <w:rFonts w:ascii="Lato" w:hAnsi="Lato"/>
                <w:b w:val="0"/>
                <w:i w:val="0"/>
                <w:szCs w:val="22"/>
              </w:rPr>
            </w:pPr>
          </w:p>
        </w:tc>
      </w:tr>
      <w:tr w:rsidR="004674C2" w:rsidRPr="00CB1714" w14:paraId="22D771BA" w14:textId="77777777" w:rsidTr="00CB1714">
        <w:tc>
          <w:tcPr>
            <w:tcW w:w="1316" w:type="dxa"/>
          </w:tcPr>
          <w:p w14:paraId="78615F16" w14:textId="77777777" w:rsidR="004674C2" w:rsidRPr="00CB1714" w:rsidRDefault="004674C2" w:rsidP="004674C2">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4A89BF89"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Distribution date(s);</w:t>
            </w:r>
          </w:p>
        </w:tc>
        <w:tc>
          <w:tcPr>
            <w:tcW w:w="3188" w:type="dxa"/>
            <w:tcBorders>
              <w:top w:val="single" w:sz="4" w:space="0" w:color="auto"/>
              <w:left w:val="single" w:sz="4" w:space="0" w:color="auto"/>
              <w:bottom w:val="single" w:sz="4" w:space="0" w:color="auto"/>
              <w:right w:val="single" w:sz="4" w:space="0" w:color="auto"/>
            </w:tcBorders>
          </w:tcPr>
          <w:p w14:paraId="2185BE04" w14:textId="77777777" w:rsidR="004674C2" w:rsidRPr="00CB1714" w:rsidRDefault="004674C2" w:rsidP="004674C2">
            <w:pPr>
              <w:pStyle w:val="Heading5"/>
              <w:rPr>
                <w:rFonts w:ascii="Lato" w:hAnsi="Lato"/>
                <w:b w:val="0"/>
                <w:i w:val="0"/>
                <w:szCs w:val="22"/>
              </w:rPr>
            </w:pPr>
          </w:p>
        </w:tc>
      </w:tr>
      <w:tr w:rsidR="004674C2" w:rsidRPr="00CB1714" w14:paraId="7D7689A8" w14:textId="77777777" w:rsidTr="00990D73">
        <w:tc>
          <w:tcPr>
            <w:tcW w:w="1316" w:type="dxa"/>
          </w:tcPr>
          <w:p w14:paraId="3E32B0FB" w14:textId="77777777" w:rsidR="004674C2" w:rsidRPr="00CB1714" w:rsidRDefault="004674C2" w:rsidP="004674C2">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39BC60CE"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Time limit (if any) after which entitlement to dividend lapses;</w:t>
            </w:r>
          </w:p>
        </w:tc>
        <w:tc>
          <w:tcPr>
            <w:tcW w:w="3188" w:type="dxa"/>
            <w:tcBorders>
              <w:top w:val="single" w:sz="4" w:space="0" w:color="auto"/>
              <w:left w:val="single" w:sz="4" w:space="0" w:color="auto"/>
              <w:bottom w:val="single" w:sz="4" w:space="0" w:color="auto"/>
              <w:right w:val="single" w:sz="4" w:space="0" w:color="auto"/>
            </w:tcBorders>
          </w:tcPr>
          <w:p w14:paraId="0ADA8D97" w14:textId="77777777" w:rsidR="004674C2" w:rsidRPr="00CB1714" w:rsidRDefault="004674C2" w:rsidP="004674C2">
            <w:pPr>
              <w:pStyle w:val="Heading5"/>
              <w:rPr>
                <w:rFonts w:ascii="Lato" w:hAnsi="Lato"/>
                <w:b w:val="0"/>
                <w:i w:val="0"/>
                <w:szCs w:val="22"/>
              </w:rPr>
            </w:pPr>
          </w:p>
        </w:tc>
      </w:tr>
      <w:tr w:rsidR="004674C2" w:rsidRPr="00CB1714" w14:paraId="379814E7" w14:textId="77777777" w:rsidTr="00990D73">
        <w:tc>
          <w:tcPr>
            <w:tcW w:w="1316" w:type="dxa"/>
          </w:tcPr>
          <w:p w14:paraId="478BEDE3" w14:textId="77777777" w:rsidR="004674C2" w:rsidRPr="00CB1714" w:rsidRDefault="004674C2" w:rsidP="004674C2">
            <w:pPr>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5E32010B" w14:textId="77777777" w:rsidR="004674C2" w:rsidRPr="00CB1714" w:rsidRDefault="004674C2" w:rsidP="004674C2">
            <w:pPr>
              <w:rPr>
                <w:rFonts w:ascii="Lato" w:hAnsi="Lato"/>
                <w:sz w:val="22"/>
                <w:szCs w:val="22"/>
              </w:rPr>
            </w:pPr>
            <w:r w:rsidRPr="00CB1714">
              <w:rPr>
                <w:rFonts w:ascii="Lato" w:hAnsi="Lato"/>
                <w:sz w:val="22"/>
                <w:szCs w:val="22"/>
              </w:rPr>
              <w:t xml:space="preserve">and the procedure in that event; </w:t>
            </w:r>
          </w:p>
        </w:tc>
        <w:tc>
          <w:tcPr>
            <w:tcW w:w="3188" w:type="dxa"/>
            <w:tcBorders>
              <w:top w:val="single" w:sz="4" w:space="0" w:color="auto"/>
              <w:left w:val="single" w:sz="4" w:space="0" w:color="auto"/>
              <w:bottom w:val="single" w:sz="4" w:space="0" w:color="auto"/>
              <w:right w:val="single" w:sz="4" w:space="0" w:color="auto"/>
            </w:tcBorders>
          </w:tcPr>
          <w:p w14:paraId="3F5EEC32" w14:textId="77777777" w:rsidR="004674C2" w:rsidRPr="00CB1714" w:rsidRDefault="004674C2" w:rsidP="004674C2">
            <w:pPr>
              <w:pStyle w:val="Heading5"/>
              <w:rPr>
                <w:rFonts w:ascii="Lato" w:hAnsi="Lato"/>
                <w:b w:val="0"/>
                <w:i w:val="0"/>
                <w:szCs w:val="22"/>
              </w:rPr>
            </w:pPr>
          </w:p>
        </w:tc>
      </w:tr>
      <w:tr w:rsidR="004674C2" w:rsidRPr="00CB1714" w14:paraId="1BB322F2" w14:textId="77777777" w:rsidTr="00990D73">
        <w:tc>
          <w:tcPr>
            <w:tcW w:w="1316" w:type="dxa"/>
          </w:tcPr>
          <w:p w14:paraId="6066BA7B" w14:textId="77777777" w:rsidR="004674C2" w:rsidRPr="00CB1714" w:rsidRDefault="004674C2" w:rsidP="004674C2">
            <w:pPr>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600CF558" w14:textId="77777777" w:rsidR="004674C2" w:rsidRPr="00CB1714" w:rsidRDefault="004674C2" w:rsidP="004674C2">
            <w:pPr>
              <w:rPr>
                <w:rFonts w:ascii="Lato" w:hAnsi="Lato"/>
                <w:sz w:val="22"/>
                <w:szCs w:val="22"/>
              </w:rPr>
            </w:pPr>
            <w:r w:rsidRPr="00CB1714">
              <w:rPr>
                <w:rFonts w:ascii="Lato" w:hAnsi="Lato"/>
                <w:sz w:val="22"/>
                <w:szCs w:val="22"/>
              </w:rPr>
              <w:t>Method of payment of dividends and</w:t>
            </w:r>
          </w:p>
        </w:tc>
        <w:tc>
          <w:tcPr>
            <w:tcW w:w="3188" w:type="dxa"/>
            <w:tcBorders>
              <w:top w:val="single" w:sz="4" w:space="0" w:color="auto"/>
              <w:left w:val="single" w:sz="4" w:space="0" w:color="auto"/>
              <w:bottom w:val="single" w:sz="4" w:space="0" w:color="auto"/>
              <w:right w:val="single" w:sz="4" w:space="0" w:color="auto"/>
            </w:tcBorders>
          </w:tcPr>
          <w:p w14:paraId="6C2D2A0D" w14:textId="77777777" w:rsidR="004674C2" w:rsidRPr="00CB1714" w:rsidRDefault="004674C2" w:rsidP="004674C2">
            <w:pPr>
              <w:pStyle w:val="Heading5"/>
              <w:rPr>
                <w:rFonts w:ascii="Lato" w:hAnsi="Lato"/>
                <w:b w:val="0"/>
                <w:i w:val="0"/>
                <w:szCs w:val="22"/>
              </w:rPr>
            </w:pPr>
          </w:p>
        </w:tc>
      </w:tr>
      <w:tr w:rsidR="004674C2" w:rsidRPr="00CB1714" w14:paraId="709046D4" w14:textId="77777777" w:rsidTr="00990D73">
        <w:tc>
          <w:tcPr>
            <w:tcW w:w="1316" w:type="dxa"/>
          </w:tcPr>
          <w:p w14:paraId="425058E2" w14:textId="77777777" w:rsidR="004674C2" w:rsidRPr="00CB1714" w:rsidRDefault="004674C2" w:rsidP="004674C2">
            <w:pPr>
              <w:rPr>
                <w:rFonts w:ascii="Lato" w:hAnsi="Lato"/>
                <w:sz w:val="22"/>
                <w:szCs w:val="22"/>
              </w:rPr>
            </w:pPr>
            <w:r w:rsidRPr="00CB1714">
              <w:rPr>
                <w:rFonts w:ascii="Lato" w:hAnsi="Lato"/>
                <w:sz w:val="22"/>
                <w:szCs w:val="22"/>
              </w:rPr>
              <w:t>f)</w:t>
            </w:r>
          </w:p>
        </w:tc>
        <w:tc>
          <w:tcPr>
            <w:tcW w:w="5891" w:type="dxa"/>
            <w:tcBorders>
              <w:right w:val="single" w:sz="4" w:space="0" w:color="auto"/>
            </w:tcBorders>
          </w:tcPr>
          <w:p w14:paraId="1F6EAE12"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A description of the rules for determining and applying income</w:t>
            </w:r>
          </w:p>
        </w:tc>
        <w:tc>
          <w:tcPr>
            <w:tcW w:w="3188" w:type="dxa"/>
            <w:tcBorders>
              <w:top w:val="single" w:sz="4" w:space="0" w:color="auto"/>
              <w:left w:val="single" w:sz="4" w:space="0" w:color="auto"/>
              <w:bottom w:val="single" w:sz="4" w:space="0" w:color="auto"/>
              <w:right w:val="single" w:sz="4" w:space="0" w:color="auto"/>
            </w:tcBorders>
          </w:tcPr>
          <w:p w14:paraId="7418A574" w14:textId="77777777" w:rsidR="004674C2" w:rsidRPr="00CB1714" w:rsidRDefault="004674C2" w:rsidP="004674C2">
            <w:pPr>
              <w:pStyle w:val="Heading5"/>
              <w:rPr>
                <w:rFonts w:ascii="Lato" w:hAnsi="Lato"/>
                <w:b w:val="0"/>
                <w:i w:val="0"/>
                <w:szCs w:val="22"/>
              </w:rPr>
            </w:pPr>
          </w:p>
        </w:tc>
      </w:tr>
      <w:tr w:rsidR="004674C2" w:rsidRPr="00CB1714" w14:paraId="0A0AACD0" w14:textId="77777777" w:rsidTr="00990D73">
        <w:tc>
          <w:tcPr>
            <w:tcW w:w="1316" w:type="dxa"/>
          </w:tcPr>
          <w:p w14:paraId="69FA1E3C" w14:textId="77777777" w:rsidR="004674C2" w:rsidRPr="00CB1714" w:rsidRDefault="004674C2" w:rsidP="004674C2">
            <w:pPr>
              <w:rPr>
                <w:rFonts w:ascii="Lato" w:hAnsi="Lato"/>
                <w:sz w:val="22"/>
                <w:szCs w:val="22"/>
              </w:rPr>
            </w:pPr>
          </w:p>
        </w:tc>
        <w:tc>
          <w:tcPr>
            <w:tcW w:w="5891" w:type="dxa"/>
          </w:tcPr>
          <w:p w14:paraId="3B66E14D" w14:textId="77777777" w:rsidR="004674C2" w:rsidRPr="00CB1714" w:rsidRDefault="004674C2" w:rsidP="004674C2">
            <w:pPr>
              <w:pStyle w:val="Heading5"/>
              <w:rPr>
                <w:rFonts w:ascii="Lato" w:hAnsi="Lato"/>
                <w:b w:val="0"/>
                <w:i w:val="0"/>
                <w:szCs w:val="22"/>
              </w:rPr>
            </w:pPr>
          </w:p>
        </w:tc>
        <w:tc>
          <w:tcPr>
            <w:tcW w:w="3188" w:type="dxa"/>
            <w:tcBorders>
              <w:top w:val="single" w:sz="4" w:space="0" w:color="auto"/>
            </w:tcBorders>
          </w:tcPr>
          <w:p w14:paraId="74DE2A53" w14:textId="77777777" w:rsidR="004674C2" w:rsidRPr="00CB1714" w:rsidRDefault="004674C2" w:rsidP="004674C2">
            <w:pPr>
              <w:pStyle w:val="Heading5"/>
              <w:rPr>
                <w:rFonts w:ascii="Lato" w:hAnsi="Lato"/>
                <w:b w:val="0"/>
                <w:i w:val="0"/>
                <w:szCs w:val="22"/>
              </w:rPr>
            </w:pPr>
          </w:p>
        </w:tc>
      </w:tr>
      <w:tr w:rsidR="004674C2" w:rsidRPr="00CB1714" w14:paraId="3A8096E3" w14:textId="77777777" w:rsidTr="00990D73">
        <w:tc>
          <w:tcPr>
            <w:tcW w:w="1316" w:type="dxa"/>
          </w:tcPr>
          <w:p w14:paraId="56946860" w14:textId="77777777" w:rsidR="004674C2" w:rsidRPr="00CB1714" w:rsidRDefault="004674C2" w:rsidP="004674C2">
            <w:pPr>
              <w:rPr>
                <w:rFonts w:ascii="Lato" w:hAnsi="Lato"/>
                <w:b/>
                <w:sz w:val="22"/>
                <w:szCs w:val="22"/>
              </w:rPr>
            </w:pPr>
            <w:r w:rsidRPr="00CB1714">
              <w:rPr>
                <w:rFonts w:ascii="Lato" w:hAnsi="Lato"/>
                <w:b/>
                <w:sz w:val="22"/>
                <w:szCs w:val="22"/>
              </w:rPr>
              <w:t>2.6</w:t>
            </w:r>
          </w:p>
        </w:tc>
        <w:tc>
          <w:tcPr>
            <w:tcW w:w="5891" w:type="dxa"/>
          </w:tcPr>
          <w:p w14:paraId="1675094A" w14:textId="77777777" w:rsidR="004674C2" w:rsidRPr="00CB1714" w:rsidRDefault="004674C2" w:rsidP="004674C2">
            <w:pPr>
              <w:pStyle w:val="Heading5"/>
              <w:rPr>
                <w:rFonts w:ascii="Lato" w:hAnsi="Lato"/>
                <w:b w:val="0"/>
                <w:i w:val="0"/>
                <w:szCs w:val="22"/>
                <w:u w:val="single"/>
              </w:rPr>
            </w:pPr>
            <w:r w:rsidRPr="00CB1714">
              <w:rPr>
                <w:rFonts w:ascii="Lato" w:hAnsi="Lato"/>
                <w:b w:val="0"/>
                <w:i w:val="0"/>
                <w:szCs w:val="22"/>
                <w:u w:val="single"/>
              </w:rPr>
              <w:t>Paying Agents/Distributors</w:t>
            </w:r>
          </w:p>
        </w:tc>
        <w:tc>
          <w:tcPr>
            <w:tcW w:w="3188" w:type="dxa"/>
            <w:tcBorders>
              <w:bottom w:val="single" w:sz="4" w:space="0" w:color="auto"/>
            </w:tcBorders>
          </w:tcPr>
          <w:p w14:paraId="22F20A44" w14:textId="77777777" w:rsidR="004674C2" w:rsidRPr="00CB1714" w:rsidRDefault="004674C2" w:rsidP="004674C2">
            <w:pPr>
              <w:pStyle w:val="Heading5"/>
              <w:rPr>
                <w:rFonts w:ascii="Lato" w:hAnsi="Lato"/>
                <w:b w:val="0"/>
                <w:i w:val="0"/>
                <w:szCs w:val="22"/>
              </w:rPr>
            </w:pPr>
          </w:p>
        </w:tc>
      </w:tr>
      <w:tr w:rsidR="004674C2" w:rsidRPr="00CB1714" w14:paraId="0C19F78B" w14:textId="77777777" w:rsidTr="00990D73">
        <w:tc>
          <w:tcPr>
            <w:tcW w:w="1316" w:type="dxa"/>
          </w:tcPr>
          <w:p w14:paraId="7229678A" w14:textId="77777777" w:rsidR="004674C2" w:rsidRPr="00CB1714" w:rsidRDefault="004674C2" w:rsidP="004674C2">
            <w:pPr>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39761A9C"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The intention to appoint a distributor(s), where relevant</w:t>
            </w:r>
          </w:p>
        </w:tc>
        <w:tc>
          <w:tcPr>
            <w:tcW w:w="3188" w:type="dxa"/>
            <w:tcBorders>
              <w:top w:val="single" w:sz="4" w:space="0" w:color="auto"/>
              <w:left w:val="single" w:sz="4" w:space="0" w:color="auto"/>
              <w:bottom w:val="single" w:sz="4" w:space="0" w:color="auto"/>
              <w:right w:val="single" w:sz="4" w:space="0" w:color="auto"/>
            </w:tcBorders>
          </w:tcPr>
          <w:p w14:paraId="02E7A7B8" w14:textId="77777777" w:rsidR="004674C2" w:rsidRPr="00CB1714" w:rsidRDefault="004674C2" w:rsidP="004674C2">
            <w:pPr>
              <w:pStyle w:val="Heading5"/>
              <w:rPr>
                <w:rFonts w:ascii="Lato" w:hAnsi="Lato"/>
                <w:b w:val="0"/>
                <w:i w:val="0"/>
                <w:szCs w:val="22"/>
              </w:rPr>
            </w:pPr>
          </w:p>
        </w:tc>
      </w:tr>
      <w:tr w:rsidR="004674C2" w:rsidRPr="00CB1714" w14:paraId="4BA73F84" w14:textId="77777777" w:rsidTr="00990D73">
        <w:tc>
          <w:tcPr>
            <w:tcW w:w="1316" w:type="dxa"/>
          </w:tcPr>
          <w:p w14:paraId="5B3A3DBA" w14:textId="77777777" w:rsidR="004674C2" w:rsidRPr="00CB1714" w:rsidRDefault="004674C2" w:rsidP="004674C2">
            <w:pPr>
              <w:rPr>
                <w:rFonts w:ascii="Lato" w:hAnsi="Lato"/>
                <w:sz w:val="22"/>
                <w:szCs w:val="22"/>
              </w:rPr>
            </w:pPr>
            <w:r w:rsidRPr="00CB1714">
              <w:rPr>
                <w:rFonts w:ascii="Lato" w:hAnsi="Lato"/>
                <w:sz w:val="22"/>
                <w:szCs w:val="22"/>
              </w:rPr>
              <w:t>b)</w:t>
            </w:r>
          </w:p>
        </w:tc>
        <w:tc>
          <w:tcPr>
            <w:tcW w:w="5891" w:type="dxa"/>
          </w:tcPr>
          <w:p w14:paraId="645EFC2C"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Where appropriate, provide that:</w:t>
            </w:r>
          </w:p>
        </w:tc>
        <w:tc>
          <w:tcPr>
            <w:tcW w:w="3188" w:type="dxa"/>
            <w:tcBorders>
              <w:top w:val="single" w:sz="4" w:space="0" w:color="auto"/>
              <w:bottom w:val="single" w:sz="4" w:space="0" w:color="auto"/>
            </w:tcBorders>
          </w:tcPr>
          <w:p w14:paraId="2AFD1F51" w14:textId="77777777" w:rsidR="004674C2" w:rsidRPr="00CB1714" w:rsidRDefault="004674C2" w:rsidP="004674C2">
            <w:pPr>
              <w:pStyle w:val="Heading5"/>
              <w:rPr>
                <w:rFonts w:ascii="Lato" w:hAnsi="Lato"/>
                <w:b w:val="0"/>
                <w:i w:val="0"/>
                <w:szCs w:val="22"/>
              </w:rPr>
            </w:pPr>
          </w:p>
        </w:tc>
      </w:tr>
      <w:tr w:rsidR="004674C2" w:rsidRPr="00CB1714" w14:paraId="76F2B885" w14:textId="77777777" w:rsidTr="00990D73">
        <w:tc>
          <w:tcPr>
            <w:tcW w:w="1316" w:type="dxa"/>
          </w:tcPr>
          <w:p w14:paraId="6A3C83AA" w14:textId="77777777" w:rsidR="004674C2" w:rsidRPr="00CB1714" w:rsidRDefault="004674C2" w:rsidP="004674C2">
            <w:pPr>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2E94135C"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 xml:space="preserve">Local regulations in EEA countries may require the </w:t>
            </w:r>
          </w:p>
        </w:tc>
        <w:tc>
          <w:tcPr>
            <w:tcW w:w="3188" w:type="dxa"/>
            <w:tcBorders>
              <w:top w:val="single" w:sz="4" w:space="0" w:color="auto"/>
              <w:left w:val="single" w:sz="4" w:space="0" w:color="auto"/>
              <w:bottom w:val="single" w:sz="4" w:space="0" w:color="auto"/>
              <w:right w:val="single" w:sz="4" w:space="0" w:color="auto"/>
            </w:tcBorders>
          </w:tcPr>
          <w:p w14:paraId="01B77AE8" w14:textId="77777777" w:rsidR="004674C2" w:rsidRPr="00CB1714" w:rsidRDefault="004674C2" w:rsidP="004674C2">
            <w:pPr>
              <w:pStyle w:val="Heading5"/>
              <w:rPr>
                <w:rFonts w:ascii="Lato" w:hAnsi="Lato"/>
                <w:b w:val="0"/>
                <w:i w:val="0"/>
                <w:szCs w:val="22"/>
              </w:rPr>
            </w:pPr>
          </w:p>
        </w:tc>
      </w:tr>
      <w:tr w:rsidR="004674C2" w:rsidRPr="00CB1714" w14:paraId="6D2DFB89" w14:textId="77777777" w:rsidTr="00990D73">
        <w:tc>
          <w:tcPr>
            <w:tcW w:w="1316" w:type="dxa"/>
          </w:tcPr>
          <w:p w14:paraId="589DC6E5" w14:textId="77777777" w:rsidR="004674C2" w:rsidRPr="00CB1714" w:rsidRDefault="004674C2" w:rsidP="004674C2">
            <w:pPr>
              <w:rPr>
                <w:rFonts w:ascii="Lato" w:hAnsi="Lato"/>
                <w:sz w:val="22"/>
                <w:szCs w:val="22"/>
              </w:rPr>
            </w:pPr>
          </w:p>
        </w:tc>
        <w:tc>
          <w:tcPr>
            <w:tcW w:w="5891" w:type="dxa"/>
          </w:tcPr>
          <w:p w14:paraId="37E4246C"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appointment of paying agents and maintenance of accounts by;</w:t>
            </w:r>
          </w:p>
        </w:tc>
        <w:tc>
          <w:tcPr>
            <w:tcW w:w="3188" w:type="dxa"/>
            <w:tcBorders>
              <w:top w:val="single" w:sz="4" w:space="0" w:color="auto"/>
            </w:tcBorders>
          </w:tcPr>
          <w:p w14:paraId="465605EC" w14:textId="77777777" w:rsidR="004674C2" w:rsidRPr="00CB1714" w:rsidRDefault="004674C2" w:rsidP="004674C2">
            <w:pPr>
              <w:pStyle w:val="Heading5"/>
              <w:rPr>
                <w:rFonts w:ascii="Lato" w:hAnsi="Lato"/>
                <w:b w:val="0"/>
                <w:i w:val="0"/>
                <w:szCs w:val="22"/>
              </w:rPr>
            </w:pPr>
          </w:p>
        </w:tc>
      </w:tr>
      <w:tr w:rsidR="004674C2" w:rsidRPr="00CB1714" w14:paraId="6AEA1181" w14:textId="77777777" w:rsidTr="00990D73">
        <w:tc>
          <w:tcPr>
            <w:tcW w:w="1316" w:type="dxa"/>
          </w:tcPr>
          <w:p w14:paraId="18179794" w14:textId="77777777" w:rsidR="004674C2" w:rsidRPr="00CB1714" w:rsidRDefault="004674C2" w:rsidP="004674C2">
            <w:pPr>
              <w:rPr>
                <w:rFonts w:ascii="Lato" w:hAnsi="Lato"/>
                <w:sz w:val="22"/>
                <w:szCs w:val="22"/>
              </w:rPr>
            </w:pPr>
          </w:p>
        </w:tc>
        <w:tc>
          <w:tcPr>
            <w:tcW w:w="5891" w:type="dxa"/>
          </w:tcPr>
          <w:p w14:paraId="5C1ED651"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such agents through which subscriptions and redemption</w:t>
            </w:r>
          </w:p>
        </w:tc>
        <w:tc>
          <w:tcPr>
            <w:tcW w:w="3188" w:type="dxa"/>
          </w:tcPr>
          <w:p w14:paraId="2610BB31" w14:textId="77777777" w:rsidR="004674C2" w:rsidRPr="00CB1714" w:rsidRDefault="004674C2" w:rsidP="004674C2">
            <w:pPr>
              <w:pStyle w:val="Heading5"/>
              <w:rPr>
                <w:rFonts w:ascii="Lato" w:hAnsi="Lato"/>
                <w:b w:val="0"/>
                <w:i w:val="0"/>
                <w:szCs w:val="22"/>
              </w:rPr>
            </w:pPr>
          </w:p>
        </w:tc>
      </w:tr>
      <w:tr w:rsidR="004674C2" w:rsidRPr="00CB1714" w14:paraId="2831000E" w14:textId="77777777" w:rsidTr="00990D73">
        <w:tc>
          <w:tcPr>
            <w:tcW w:w="1316" w:type="dxa"/>
          </w:tcPr>
          <w:p w14:paraId="30AE5F60" w14:textId="77777777" w:rsidR="004674C2" w:rsidRPr="00CB1714" w:rsidRDefault="004674C2" w:rsidP="004674C2">
            <w:pPr>
              <w:rPr>
                <w:rFonts w:ascii="Lato" w:hAnsi="Lato"/>
                <w:sz w:val="22"/>
                <w:szCs w:val="22"/>
              </w:rPr>
            </w:pPr>
          </w:p>
        </w:tc>
        <w:tc>
          <w:tcPr>
            <w:tcW w:w="5891" w:type="dxa"/>
          </w:tcPr>
          <w:p w14:paraId="2C8DB3BA"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monies may be paid</w:t>
            </w:r>
          </w:p>
        </w:tc>
        <w:tc>
          <w:tcPr>
            <w:tcW w:w="3188" w:type="dxa"/>
          </w:tcPr>
          <w:p w14:paraId="5334B5D8" w14:textId="77777777" w:rsidR="004674C2" w:rsidRPr="00CB1714" w:rsidRDefault="004674C2" w:rsidP="004674C2">
            <w:pPr>
              <w:pStyle w:val="Heading5"/>
              <w:rPr>
                <w:rFonts w:ascii="Lato" w:hAnsi="Lato"/>
                <w:b w:val="0"/>
                <w:i w:val="0"/>
                <w:szCs w:val="22"/>
              </w:rPr>
            </w:pPr>
          </w:p>
        </w:tc>
      </w:tr>
      <w:tr w:rsidR="004674C2" w:rsidRPr="00CB1714" w14:paraId="328D3846" w14:textId="77777777" w:rsidTr="00990D73">
        <w:tc>
          <w:tcPr>
            <w:tcW w:w="1316" w:type="dxa"/>
          </w:tcPr>
          <w:p w14:paraId="7ADBD1BA" w14:textId="77777777" w:rsidR="004674C2" w:rsidRPr="00CB1714" w:rsidRDefault="004674C2" w:rsidP="004674C2">
            <w:pPr>
              <w:rPr>
                <w:rFonts w:ascii="Lato" w:hAnsi="Lato"/>
                <w:sz w:val="22"/>
                <w:szCs w:val="22"/>
              </w:rPr>
            </w:pPr>
          </w:p>
        </w:tc>
        <w:tc>
          <w:tcPr>
            <w:tcW w:w="5891" w:type="dxa"/>
          </w:tcPr>
          <w:p w14:paraId="5E09D90F"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And</w:t>
            </w:r>
          </w:p>
        </w:tc>
        <w:tc>
          <w:tcPr>
            <w:tcW w:w="3188" w:type="dxa"/>
            <w:tcBorders>
              <w:bottom w:val="single" w:sz="4" w:space="0" w:color="auto"/>
            </w:tcBorders>
          </w:tcPr>
          <w:p w14:paraId="3AD90478" w14:textId="77777777" w:rsidR="004674C2" w:rsidRPr="00CB1714" w:rsidRDefault="004674C2" w:rsidP="004674C2">
            <w:pPr>
              <w:pStyle w:val="Heading5"/>
              <w:rPr>
                <w:rFonts w:ascii="Lato" w:hAnsi="Lato"/>
                <w:b w:val="0"/>
                <w:i w:val="0"/>
                <w:szCs w:val="22"/>
              </w:rPr>
            </w:pPr>
          </w:p>
        </w:tc>
      </w:tr>
      <w:tr w:rsidR="004674C2" w:rsidRPr="00CB1714" w14:paraId="1DB843D2" w14:textId="77777777" w:rsidTr="00990D73">
        <w:tc>
          <w:tcPr>
            <w:tcW w:w="1316" w:type="dxa"/>
          </w:tcPr>
          <w:p w14:paraId="6EB4B69C" w14:textId="77777777" w:rsidR="004674C2" w:rsidRPr="00CB1714" w:rsidRDefault="004674C2" w:rsidP="004674C2">
            <w:pPr>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25CE6F11" w14:textId="77777777" w:rsidR="004674C2" w:rsidRPr="00CB1714" w:rsidRDefault="004674C2" w:rsidP="004674C2">
            <w:pPr>
              <w:pStyle w:val="Heading5"/>
              <w:rPr>
                <w:rFonts w:ascii="Lato" w:hAnsi="Lato"/>
                <w:b w:val="0"/>
                <w:i w:val="0"/>
                <w:szCs w:val="22"/>
              </w:rPr>
            </w:pPr>
            <w:r w:rsidRPr="00CB1714">
              <w:rPr>
                <w:rFonts w:ascii="Lato" w:hAnsi="Lato"/>
                <w:b w:val="0"/>
                <w:i w:val="0"/>
                <w:szCs w:val="22"/>
              </w:rPr>
              <w:t xml:space="preserve">Investors who choose, or are obliged under local </w:t>
            </w:r>
          </w:p>
        </w:tc>
        <w:tc>
          <w:tcPr>
            <w:tcW w:w="3188" w:type="dxa"/>
            <w:tcBorders>
              <w:top w:val="single" w:sz="4" w:space="0" w:color="auto"/>
              <w:left w:val="single" w:sz="4" w:space="0" w:color="auto"/>
              <w:bottom w:val="single" w:sz="4" w:space="0" w:color="auto"/>
              <w:right w:val="single" w:sz="4" w:space="0" w:color="auto"/>
            </w:tcBorders>
          </w:tcPr>
          <w:p w14:paraId="7B87A455" w14:textId="77777777" w:rsidR="004674C2" w:rsidRPr="00CB1714" w:rsidRDefault="004674C2" w:rsidP="004674C2">
            <w:pPr>
              <w:pStyle w:val="Heading5"/>
              <w:rPr>
                <w:rFonts w:ascii="Lato" w:hAnsi="Lato"/>
                <w:b w:val="0"/>
                <w:i w:val="0"/>
                <w:szCs w:val="22"/>
              </w:rPr>
            </w:pPr>
          </w:p>
        </w:tc>
      </w:tr>
      <w:tr w:rsidR="004674C2" w:rsidRPr="00CB1714" w14:paraId="22F1ABF0" w14:textId="77777777" w:rsidTr="00990D73">
        <w:tc>
          <w:tcPr>
            <w:tcW w:w="1316" w:type="dxa"/>
          </w:tcPr>
          <w:p w14:paraId="410E9B57" w14:textId="77777777" w:rsidR="004674C2" w:rsidRPr="00CB1714" w:rsidRDefault="004674C2" w:rsidP="004674C2">
            <w:pPr>
              <w:rPr>
                <w:rFonts w:ascii="Lato" w:hAnsi="Lato"/>
                <w:sz w:val="22"/>
                <w:szCs w:val="22"/>
              </w:rPr>
            </w:pPr>
          </w:p>
        </w:tc>
        <w:tc>
          <w:tcPr>
            <w:tcW w:w="5891" w:type="dxa"/>
          </w:tcPr>
          <w:p w14:paraId="686A4074"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regulations to</w:t>
            </w:r>
            <w:r w:rsidRPr="00CB1714">
              <w:rPr>
                <w:rFonts w:ascii="Lato" w:hAnsi="Lato"/>
                <w:b w:val="0"/>
                <w:i w:val="0"/>
                <w:szCs w:val="22"/>
              </w:rPr>
              <w:t xml:space="preserve"> pay/receive subscription/redemption </w:t>
            </w:r>
          </w:p>
        </w:tc>
        <w:tc>
          <w:tcPr>
            <w:tcW w:w="3188" w:type="dxa"/>
            <w:tcBorders>
              <w:top w:val="single" w:sz="4" w:space="0" w:color="auto"/>
            </w:tcBorders>
          </w:tcPr>
          <w:p w14:paraId="4F3798E7" w14:textId="77777777" w:rsidR="004674C2" w:rsidRPr="00CB1714" w:rsidRDefault="004674C2" w:rsidP="004674C2">
            <w:pPr>
              <w:pStyle w:val="Heading5"/>
              <w:rPr>
                <w:rFonts w:ascii="Lato" w:hAnsi="Lato"/>
                <w:b w:val="0"/>
                <w:i w:val="0"/>
                <w:szCs w:val="22"/>
              </w:rPr>
            </w:pPr>
          </w:p>
        </w:tc>
      </w:tr>
      <w:tr w:rsidR="004674C2" w:rsidRPr="00CB1714" w14:paraId="1C90F244" w14:textId="77777777" w:rsidTr="00990D73">
        <w:tc>
          <w:tcPr>
            <w:tcW w:w="1316" w:type="dxa"/>
          </w:tcPr>
          <w:p w14:paraId="2C5DDDBF" w14:textId="77777777" w:rsidR="004674C2" w:rsidRPr="00CB1714" w:rsidRDefault="004674C2" w:rsidP="004674C2">
            <w:pPr>
              <w:rPr>
                <w:rFonts w:ascii="Lato" w:hAnsi="Lato"/>
                <w:sz w:val="22"/>
                <w:szCs w:val="22"/>
              </w:rPr>
            </w:pPr>
          </w:p>
        </w:tc>
        <w:tc>
          <w:tcPr>
            <w:tcW w:w="5891" w:type="dxa"/>
          </w:tcPr>
          <w:p w14:paraId="2810ADC6"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monies via an intermediary</w:t>
            </w:r>
            <w:r w:rsidRPr="00CB1714">
              <w:rPr>
                <w:rFonts w:ascii="Lato" w:hAnsi="Lato"/>
                <w:b w:val="0"/>
                <w:i w:val="0"/>
                <w:szCs w:val="22"/>
              </w:rPr>
              <w:t xml:space="preserve"> entity rather than directly to </w:t>
            </w:r>
          </w:p>
        </w:tc>
        <w:tc>
          <w:tcPr>
            <w:tcW w:w="3188" w:type="dxa"/>
          </w:tcPr>
          <w:p w14:paraId="22E7400D" w14:textId="77777777" w:rsidR="004674C2" w:rsidRPr="00CB1714" w:rsidRDefault="004674C2" w:rsidP="004674C2">
            <w:pPr>
              <w:pStyle w:val="Heading5"/>
              <w:rPr>
                <w:rFonts w:ascii="Lato" w:hAnsi="Lato"/>
                <w:b w:val="0"/>
                <w:i w:val="0"/>
                <w:szCs w:val="22"/>
              </w:rPr>
            </w:pPr>
          </w:p>
        </w:tc>
      </w:tr>
      <w:tr w:rsidR="004674C2" w:rsidRPr="00CB1714" w14:paraId="124BF57D" w14:textId="77777777" w:rsidTr="00990D73">
        <w:tc>
          <w:tcPr>
            <w:tcW w:w="1316" w:type="dxa"/>
          </w:tcPr>
          <w:p w14:paraId="7FAACF60" w14:textId="77777777" w:rsidR="004674C2" w:rsidRPr="00CB1714" w:rsidRDefault="004674C2" w:rsidP="004674C2">
            <w:pPr>
              <w:rPr>
                <w:rFonts w:ascii="Lato" w:hAnsi="Lato"/>
                <w:sz w:val="22"/>
                <w:szCs w:val="22"/>
              </w:rPr>
            </w:pPr>
          </w:p>
        </w:tc>
        <w:tc>
          <w:tcPr>
            <w:tcW w:w="5891" w:type="dxa"/>
          </w:tcPr>
          <w:p w14:paraId="56E28A50"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the depositary of the Qualifying</w:t>
            </w:r>
            <w:r w:rsidRPr="00CB1714">
              <w:rPr>
                <w:rFonts w:ascii="Lato" w:hAnsi="Lato"/>
                <w:b w:val="0"/>
                <w:i w:val="0"/>
                <w:szCs w:val="22"/>
              </w:rPr>
              <w:t xml:space="preserve"> Investor AIF (e.g. a sub –</w:t>
            </w:r>
          </w:p>
        </w:tc>
        <w:tc>
          <w:tcPr>
            <w:tcW w:w="3188" w:type="dxa"/>
          </w:tcPr>
          <w:p w14:paraId="4BE10364" w14:textId="77777777" w:rsidR="004674C2" w:rsidRPr="00CB1714" w:rsidRDefault="004674C2" w:rsidP="004674C2">
            <w:pPr>
              <w:pStyle w:val="Heading5"/>
              <w:rPr>
                <w:rFonts w:ascii="Lato" w:hAnsi="Lato"/>
                <w:b w:val="0"/>
                <w:i w:val="0"/>
                <w:szCs w:val="22"/>
              </w:rPr>
            </w:pPr>
          </w:p>
        </w:tc>
      </w:tr>
      <w:tr w:rsidR="004674C2" w:rsidRPr="00CB1714" w14:paraId="3F5A9DC3" w14:textId="77777777" w:rsidTr="00990D73">
        <w:tc>
          <w:tcPr>
            <w:tcW w:w="1316" w:type="dxa"/>
          </w:tcPr>
          <w:p w14:paraId="07156DF1" w14:textId="77777777" w:rsidR="004674C2" w:rsidRPr="00CB1714" w:rsidRDefault="004674C2" w:rsidP="004674C2">
            <w:pPr>
              <w:rPr>
                <w:rFonts w:ascii="Lato" w:hAnsi="Lato"/>
                <w:sz w:val="22"/>
                <w:szCs w:val="22"/>
              </w:rPr>
            </w:pPr>
          </w:p>
        </w:tc>
        <w:tc>
          <w:tcPr>
            <w:tcW w:w="5891" w:type="dxa"/>
          </w:tcPr>
          <w:p w14:paraId="5C276C7F"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distributor or agent in the local</w:t>
            </w:r>
            <w:r w:rsidRPr="00CB1714">
              <w:rPr>
                <w:rFonts w:ascii="Lato" w:hAnsi="Lato"/>
                <w:b w:val="0"/>
                <w:i w:val="0"/>
                <w:szCs w:val="22"/>
              </w:rPr>
              <w:t xml:space="preserve"> jurisdiction) bear a credit </w:t>
            </w:r>
          </w:p>
        </w:tc>
        <w:tc>
          <w:tcPr>
            <w:tcW w:w="3188" w:type="dxa"/>
          </w:tcPr>
          <w:p w14:paraId="6F7A3BF2" w14:textId="77777777" w:rsidR="004674C2" w:rsidRPr="00CB1714" w:rsidRDefault="004674C2" w:rsidP="004674C2">
            <w:pPr>
              <w:pStyle w:val="Heading5"/>
              <w:rPr>
                <w:rFonts w:ascii="Lato" w:hAnsi="Lato"/>
                <w:b w:val="0"/>
                <w:i w:val="0"/>
                <w:szCs w:val="22"/>
              </w:rPr>
            </w:pPr>
          </w:p>
        </w:tc>
      </w:tr>
      <w:tr w:rsidR="004674C2" w:rsidRPr="00CB1714" w14:paraId="3FBA7882" w14:textId="77777777" w:rsidTr="00990D73">
        <w:tc>
          <w:tcPr>
            <w:tcW w:w="1316" w:type="dxa"/>
          </w:tcPr>
          <w:p w14:paraId="12631C95" w14:textId="77777777" w:rsidR="004674C2" w:rsidRPr="00CB1714" w:rsidRDefault="004674C2" w:rsidP="004674C2">
            <w:pPr>
              <w:rPr>
                <w:rFonts w:ascii="Lato" w:hAnsi="Lato"/>
                <w:sz w:val="22"/>
                <w:szCs w:val="22"/>
              </w:rPr>
            </w:pPr>
          </w:p>
        </w:tc>
        <w:tc>
          <w:tcPr>
            <w:tcW w:w="5891" w:type="dxa"/>
          </w:tcPr>
          <w:p w14:paraId="7F4C3254" w14:textId="77777777" w:rsidR="004674C2" w:rsidRPr="00CB1714" w:rsidRDefault="004674C2" w:rsidP="004674C2">
            <w:pPr>
              <w:pStyle w:val="Heading5"/>
              <w:rPr>
                <w:rFonts w:ascii="Lato" w:hAnsi="Lato"/>
                <w:b w:val="0"/>
                <w:i w:val="0"/>
                <w:szCs w:val="22"/>
              </w:rPr>
            </w:pPr>
            <w:r w:rsidRPr="00F72ED7">
              <w:rPr>
                <w:rFonts w:ascii="Lato" w:hAnsi="Lato"/>
                <w:b w:val="0"/>
                <w:i w:val="0"/>
                <w:szCs w:val="22"/>
              </w:rPr>
              <w:t>risk against that intermediate entity</w:t>
            </w:r>
            <w:r w:rsidRPr="00CB1714">
              <w:rPr>
                <w:rFonts w:ascii="Lato" w:hAnsi="Lato"/>
                <w:b w:val="0"/>
                <w:i w:val="0"/>
                <w:szCs w:val="22"/>
              </w:rPr>
              <w:t xml:space="preserve"> with respect to</w:t>
            </w:r>
          </w:p>
        </w:tc>
        <w:tc>
          <w:tcPr>
            <w:tcW w:w="3188" w:type="dxa"/>
          </w:tcPr>
          <w:p w14:paraId="2933B52E" w14:textId="77777777" w:rsidR="004674C2" w:rsidRPr="00CB1714" w:rsidRDefault="004674C2" w:rsidP="004674C2">
            <w:pPr>
              <w:pStyle w:val="Heading5"/>
              <w:rPr>
                <w:rFonts w:ascii="Lato" w:hAnsi="Lato"/>
                <w:b w:val="0"/>
                <w:i w:val="0"/>
                <w:szCs w:val="22"/>
              </w:rPr>
            </w:pPr>
          </w:p>
        </w:tc>
      </w:tr>
      <w:tr w:rsidR="004674C2" w:rsidRPr="00CB1714" w14:paraId="31FBF713" w14:textId="77777777" w:rsidTr="00990D73">
        <w:tc>
          <w:tcPr>
            <w:tcW w:w="1316" w:type="dxa"/>
          </w:tcPr>
          <w:p w14:paraId="6FADE20C" w14:textId="77777777" w:rsidR="004674C2" w:rsidRPr="00CB1714" w:rsidRDefault="004674C2" w:rsidP="004674C2">
            <w:pPr>
              <w:rPr>
                <w:rFonts w:ascii="Lato" w:hAnsi="Lato"/>
                <w:sz w:val="22"/>
                <w:szCs w:val="22"/>
              </w:rPr>
            </w:pPr>
          </w:p>
        </w:tc>
        <w:tc>
          <w:tcPr>
            <w:tcW w:w="5891" w:type="dxa"/>
          </w:tcPr>
          <w:p w14:paraId="7CC5E9DB" w14:textId="77777777" w:rsidR="004674C2" w:rsidRPr="00CB1714" w:rsidRDefault="004674C2" w:rsidP="004674C2">
            <w:pPr>
              <w:pStyle w:val="Heading5"/>
              <w:numPr>
                <w:ilvl w:val="0"/>
                <w:numId w:val="34"/>
              </w:numPr>
              <w:rPr>
                <w:rFonts w:ascii="Lato" w:hAnsi="Lato"/>
                <w:b w:val="0"/>
                <w:i w:val="0"/>
                <w:szCs w:val="22"/>
              </w:rPr>
            </w:pPr>
            <w:r w:rsidRPr="00CB1714">
              <w:rPr>
                <w:rFonts w:ascii="Lato" w:hAnsi="Lato"/>
                <w:b w:val="0"/>
                <w:i w:val="0"/>
                <w:szCs w:val="22"/>
              </w:rPr>
              <w:t xml:space="preserve">Subscription monies prior to the transmission of </w:t>
            </w:r>
          </w:p>
        </w:tc>
        <w:tc>
          <w:tcPr>
            <w:tcW w:w="3188" w:type="dxa"/>
          </w:tcPr>
          <w:p w14:paraId="4FA96E5E" w14:textId="77777777" w:rsidR="004674C2" w:rsidRPr="00CB1714" w:rsidRDefault="004674C2" w:rsidP="004674C2">
            <w:pPr>
              <w:pStyle w:val="Heading5"/>
              <w:rPr>
                <w:rFonts w:ascii="Lato" w:hAnsi="Lato"/>
                <w:b w:val="0"/>
                <w:i w:val="0"/>
                <w:szCs w:val="22"/>
              </w:rPr>
            </w:pPr>
          </w:p>
        </w:tc>
      </w:tr>
      <w:tr w:rsidR="004674C2" w:rsidRPr="00CB1714" w14:paraId="25E3AD62" w14:textId="77777777" w:rsidTr="00990D73">
        <w:tc>
          <w:tcPr>
            <w:tcW w:w="1316" w:type="dxa"/>
          </w:tcPr>
          <w:p w14:paraId="2A424F19" w14:textId="77777777" w:rsidR="004674C2" w:rsidRPr="00CB1714" w:rsidRDefault="004674C2" w:rsidP="004674C2">
            <w:pPr>
              <w:rPr>
                <w:rFonts w:ascii="Lato" w:hAnsi="Lato"/>
                <w:sz w:val="22"/>
                <w:szCs w:val="22"/>
              </w:rPr>
            </w:pPr>
          </w:p>
        </w:tc>
        <w:tc>
          <w:tcPr>
            <w:tcW w:w="5891" w:type="dxa"/>
          </w:tcPr>
          <w:p w14:paraId="4CE13897" w14:textId="77777777" w:rsidR="004674C2" w:rsidRPr="00CB1714" w:rsidRDefault="004674C2" w:rsidP="004674C2">
            <w:pPr>
              <w:pStyle w:val="Heading5"/>
              <w:ind w:left="720"/>
              <w:rPr>
                <w:rFonts w:ascii="Lato" w:hAnsi="Lato"/>
                <w:b w:val="0"/>
                <w:i w:val="0"/>
                <w:szCs w:val="22"/>
              </w:rPr>
            </w:pPr>
            <w:r w:rsidRPr="00F72ED7">
              <w:rPr>
                <w:rFonts w:ascii="Lato" w:hAnsi="Lato"/>
                <w:b w:val="0"/>
                <w:i w:val="0"/>
                <w:szCs w:val="22"/>
              </w:rPr>
              <w:t>such</w:t>
            </w:r>
            <w:r w:rsidRPr="00CB1714">
              <w:rPr>
                <w:rFonts w:ascii="Lato" w:hAnsi="Lato"/>
                <w:b w:val="0"/>
                <w:i w:val="0"/>
                <w:szCs w:val="22"/>
              </w:rPr>
              <w:t xml:space="preserve"> monies to the depositary for the account of                     </w:t>
            </w:r>
          </w:p>
        </w:tc>
        <w:tc>
          <w:tcPr>
            <w:tcW w:w="3188" w:type="dxa"/>
          </w:tcPr>
          <w:p w14:paraId="7744CFC5" w14:textId="77777777" w:rsidR="004674C2" w:rsidRPr="00CB1714" w:rsidRDefault="004674C2" w:rsidP="004674C2">
            <w:pPr>
              <w:pStyle w:val="Heading5"/>
              <w:rPr>
                <w:rFonts w:ascii="Lato" w:hAnsi="Lato"/>
                <w:b w:val="0"/>
                <w:i w:val="0"/>
                <w:szCs w:val="22"/>
              </w:rPr>
            </w:pPr>
          </w:p>
        </w:tc>
      </w:tr>
      <w:tr w:rsidR="004674C2" w:rsidRPr="00CB1714" w14:paraId="3581DAB9" w14:textId="77777777" w:rsidTr="00990D73">
        <w:tc>
          <w:tcPr>
            <w:tcW w:w="1316" w:type="dxa"/>
          </w:tcPr>
          <w:p w14:paraId="2A7F42F9" w14:textId="77777777" w:rsidR="004674C2" w:rsidRPr="00CB1714" w:rsidRDefault="004674C2" w:rsidP="004674C2">
            <w:pPr>
              <w:rPr>
                <w:rFonts w:ascii="Lato" w:hAnsi="Lato"/>
                <w:sz w:val="22"/>
                <w:szCs w:val="22"/>
              </w:rPr>
            </w:pPr>
          </w:p>
        </w:tc>
        <w:tc>
          <w:tcPr>
            <w:tcW w:w="5891" w:type="dxa"/>
          </w:tcPr>
          <w:p w14:paraId="6F391109" w14:textId="77777777" w:rsidR="004674C2" w:rsidRPr="00CB1714" w:rsidRDefault="004674C2" w:rsidP="004674C2">
            <w:pPr>
              <w:pStyle w:val="Heading5"/>
              <w:ind w:left="720"/>
              <w:rPr>
                <w:rFonts w:ascii="Lato" w:hAnsi="Lato"/>
                <w:b w:val="0"/>
                <w:i w:val="0"/>
                <w:szCs w:val="22"/>
              </w:rPr>
            </w:pPr>
            <w:r w:rsidRPr="00F72ED7">
              <w:rPr>
                <w:rFonts w:ascii="Lato" w:hAnsi="Lato"/>
                <w:b w:val="0"/>
                <w:i w:val="0"/>
                <w:szCs w:val="22"/>
              </w:rPr>
              <w:t>the</w:t>
            </w:r>
            <w:r w:rsidRPr="00CB1714">
              <w:rPr>
                <w:rFonts w:ascii="Lato" w:hAnsi="Lato"/>
                <w:b w:val="0"/>
                <w:i w:val="0"/>
                <w:szCs w:val="22"/>
              </w:rPr>
              <w:t xml:space="preserve"> Qualifying Investor AIF; and</w:t>
            </w:r>
          </w:p>
        </w:tc>
        <w:tc>
          <w:tcPr>
            <w:tcW w:w="3188" w:type="dxa"/>
          </w:tcPr>
          <w:p w14:paraId="7B4F8A84" w14:textId="77777777" w:rsidR="004674C2" w:rsidRPr="00CB1714" w:rsidRDefault="004674C2" w:rsidP="004674C2">
            <w:pPr>
              <w:pStyle w:val="Heading5"/>
              <w:rPr>
                <w:rFonts w:ascii="Lato" w:hAnsi="Lato"/>
                <w:b w:val="0"/>
                <w:i w:val="0"/>
                <w:szCs w:val="22"/>
              </w:rPr>
            </w:pPr>
          </w:p>
        </w:tc>
      </w:tr>
      <w:tr w:rsidR="004674C2" w:rsidRPr="00CB1714" w14:paraId="5B79938B" w14:textId="77777777" w:rsidTr="00990D73">
        <w:tc>
          <w:tcPr>
            <w:tcW w:w="1316" w:type="dxa"/>
          </w:tcPr>
          <w:p w14:paraId="51B0ACEB" w14:textId="77777777" w:rsidR="004674C2" w:rsidRPr="00CB1714" w:rsidRDefault="004674C2" w:rsidP="004674C2">
            <w:pPr>
              <w:rPr>
                <w:rFonts w:ascii="Lato" w:hAnsi="Lato"/>
                <w:sz w:val="22"/>
                <w:szCs w:val="22"/>
              </w:rPr>
            </w:pPr>
          </w:p>
        </w:tc>
        <w:tc>
          <w:tcPr>
            <w:tcW w:w="5891" w:type="dxa"/>
          </w:tcPr>
          <w:p w14:paraId="01E698AE" w14:textId="77777777" w:rsidR="004674C2" w:rsidRPr="00CB1714" w:rsidRDefault="004674C2" w:rsidP="004674C2">
            <w:pPr>
              <w:pStyle w:val="Heading5"/>
              <w:numPr>
                <w:ilvl w:val="0"/>
                <w:numId w:val="34"/>
              </w:numPr>
              <w:rPr>
                <w:rFonts w:ascii="Lato" w:hAnsi="Lato"/>
                <w:b w:val="0"/>
                <w:i w:val="0"/>
                <w:szCs w:val="22"/>
              </w:rPr>
            </w:pPr>
            <w:r w:rsidRPr="00CB1714">
              <w:rPr>
                <w:rFonts w:ascii="Lato" w:hAnsi="Lato"/>
                <w:b w:val="0"/>
                <w:i w:val="0"/>
                <w:szCs w:val="22"/>
              </w:rPr>
              <w:t xml:space="preserve">Redemption monies payable by such intermediate </w:t>
            </w:r>
          </w:p>
        </w:tc>
        <w:tc>
          <w:tcPr>
            <w:tcW w:w="3188" w:type="dxa"/>
          </w:tcPr>
          <w:p w14:paraId="067BEE82" w14:textId="77777777" w:rsidR="004674C2" w:rsidRPr="00CB1714" w:rsidRDefault="004674C2" w:rsidP="004674C2">
            <w:pPr>
              <w:pStyle w:val="Heading5"/>
              <w:rPr>
                <w:rFonts w:ascii="Lato" w:hAnsi="Lato"/>
                <w:b w:val="0"/>
                <w:i w:val="0"/>
                <w:szCs w:val="22"/>
              </w:rPr>
            </w:pPr>
          </w:p>
        </w:tc>
      </w:tr>
      <w:tr w:rsidR="004674C2" w:rsidRPr="00CB1714" w14:paraId="1D47C6AB" w14:textId="77777777" w:rsidTr="00990D73">
        <w:tc>
          <w:tcPr>
            <w:tcW w:w="1316" w:type="dxa"/>
          </w:tcPr>
          <w:p w14:paraId="621E33AC" w14:textId="77777777" w:rsidR="004674C2" w:rsidRPr="00CB1714" w:rsidRDefault="004674C2" w:rsidP="004674C2">
            <w:pPr>
              <w:rPr>
                <w:rFonts w:ascii="Lato" w:hAnsi="Lato"/>
                <w:sz w:val="22"/>
                <w:szCs w:val="22"/>
              </w:rPr>
            </w:pPr>
          </w:p>
        </w:tc>
        <w:tc>
          <w:tcPr>
            <w:tcW w:w="5891" w:type="dxa"/>
          </w:tcPr>
          <w:p w14:paraId="3BB12587" w14:textId="77777777" w:rsidR="004674C2" w:rsidRPr="00CB1714" w:rsidRDefault="004674C2" w:rsidP="004674C2">
            <w:pPr>
              <w:pStyle w:val="Heading5"/>
              <w:ind w:left="720"/>
              <w:rPr>
                <w:rFonts w:ascii="Lato" w:hAnsi="Lato"/>
                <w:b w:val="0"/>
                <w:i w:val="0"/>
                <w:szCs w:val="22"/>
              </w:rPr>
            </w:pPr>
            <w:r w:rsidRPr="00F72ED7">
              <w:rPr>
                <w:rFonts w:ascii="Lato" w:hAnsi="Lato"/>
                <w:b w:val="0"/>
                <w:i w:val="0"/>
                <w:szCs w:val="22"/>
              </w:rPr>
              <w:t>entity</w:t>
            </w:r>
            <w:r w:rsidRPr="00CB1714">
              <w:rPr>
                <w:rFonts w:ascii="Lato" w:hAnsi="Lato"/>
                <w:b w:val="0"/>
                <w:i w:val="0"/>
                <w:szCs w:val="22"/>
              </w:rPr>
              <w:t xml:space="preserve"> to the relevant investor</w:t>
            </w:r>
          </w:p>
        </w:tc>
        <w:tc>
          <w:tcPr>
            <w:tcW w:w="3188" w:type="dxa"/>
          </w:tcPr>
          <w:p w14:paraId="15F96FEE" w14:textId="77777777" w:rsidR="004674C2" w:rsidRPr="00CB1714" w:rsidRDefault="004674C2" w:rsidP="004674C2">
            <w:pPr>
              <w:pStyle w:val="Heading5"/>
              <w:rPr>
                <w:rFonts w:ascii="Lato" w:hAnsi="Lato"/>
                <w:b w:val="0"/>
                <w:i w:val="0"/>
                <w:szCs w:val="22"/>
              </w:rPr>
            </w:pPr>
          </w:p>
        </w:tc>
      </w:tr>
      <w:tr w:rsidR="004674C2" w:rsidRPr="00CB1714" w14:paraId="78404BA4" w14:textId="77777777" w:rsidTr="00990D73">
        <w:trPr>
          <w:cantSplit/>
          <w:trHeight w:val="254"/>
        </w:trPr>
        <w:tc>
          <w:tcPr>
            <w:tcW w:w="1316" w:type="dxa"/>
          </w:tcPr>
          <w:p w14:paraId="659D535A" w14:textId="77777777" w:rsidR="004674C2" w:rsidRPr="00CB1714" w:rsidRDefault="004674C2" w:rsidP="004674C2">
            <w:pPr>
              <w:rPr>
                <w:rFonts w:ascii="Lato" w:hAnsi="Lato"/>
                <w:sz w:val="22"/>
                <w:szCs w:val="22"/>
              </w:rPr>
            </w:pPr>
          </w:p>
        </w:tc>
        <w:tc>
          <w:tcPr>
            <w:tcW w:w="5891" w:type="dxa"/>
          </w:tcPr>
          <w:p w14:paraId="5F939D9A" w14:textId="77777777" w:rsidR="004674C2" w:rsidRPr="00CB1714" w:rsidRDefault="004674C2" w:rsidP="004674C2">
            <w:pPr>
              <w:rPr>
                <w:rFonts w:ascii="Lato" w:hAnsi="Lato"/>
                <w:sz w:val="22"/>
                <w:szCs w:val="22"/>
              </w:rPr>
            </w:pPr>
          </w:p>
        </w:tc>
        <w:tc>
          <w:tcPr>
            <w:tcW w:w="3188" w:type="dxa"/>
          </w:tcPr>
          <w:p w14:paraId="3D120B17" w14:textId="77777777" w:rsidR="004674C2" w:rsidRPr="00CB1714" w:rsidRDefault="004674C2" w:rsidP="004674C2">
            <w:pPr>
              <w:rPr>
                <w:rFonts w:ascii="Lato" w:hAnsi="Lato"/>
                <w:sz w:val="22"/>
                <w:szCs w:val="22"/>
              </w:rPr>
            </w:pPr>
          </w:p>
        </w:tc>
      </w:tr>
      <w:tr w:rsidR="004674C2" w:rsidRPr="00CB1714" w14:paraId="0217DCBC" w14:textId="77777777" w:rsidTr="00990D73">
        <w:trPr>
          <w:cantSplit/>
          <w:trHeight w:val="254"/>
        </w:trPr>
        <w:tc>
          <w:tcPr>
            <w:tcW w:w="1316" w:type="dxa"/>
          </w:tcPr>
          <w:p w14:paraId="55A2CE0F" w14:textId="77777777" w:rsidR="004674C2" w:rsidRPr="00CB1714" w:rsidRDefault="004674C2" w:rsidP="004674C2">
            <w:pPr>
              <w:rPr>
                <w:rFonts w:ascii="Lato" w:hAnsi="Lato"/>
                <w:b/>
                <w:sz w:val="22"/>
                <w:szCs w:val="22"/>
              </w:rPr>
            </w:pPr>
            <w:r w:rsidRPr="00CB1714">
              <w:rPr>
                <w:rFonts w:ascii="Lato" w:hAnsi="Lato"/>
                <w:b/>
                <w:sz w:val="22"/>
                <w:szCs w:val="22"/>
              </w:rPr>
              <w:t>2.7</w:t>
            </w:r>
          </w:p>
        </w:tc>
        <w:tc>
          <w:tcPr>
            <w:tcW w:w="5891" w:type="dxa"/>
          </w:tcPr>
          <w:p w14:paraId="61C7FC79" w14:textId="77777777" w:rsidR="004674C2" w:rsidRPr="00CB1714" w:rsidRDefault="004674C2" w:rsidP="004674C2">
            <w:pPr>
              <w:rPr>
                <w:rFonts w:ascii="Lato" w:hAnsi="Lato"/>
                <w:b/>
                <w:sz w:val="22"/>
                <w:szCs w:val="22"/>
              </w:rPr>
            </w:pPr>
            <w:r w:rsidRPr="00CB1714">
              <w:rPr>
                <w:rFonts w:ascii="Lato" w:hAnsi="Lato"/>
                <w:b/>
                <w:sz w:val="22"/>
                <w:szCs w:val="22"/>
              </w:rPr>
              <w:t>Material Contracts</w:t>
            </w:r>
          </w:p>
        </w:tc>
        <w:tc>
          <w:tcPr>
            <w:tcW w:w="3188" w:type="dxa"/>
            <w:tcBorders>
              <w:bottom w:val="single" w:sz="4" w:space="0" w:color="auto"/>
            </w:tcBorders>
          </w:tcPr>
          <w:p w14:paraId="502DA4CB" w14:textId="77777777" w:rsidR="004674C2" w:rsidRPr="00CB1714" w:rsidRDefault="004674C2" w:rsidP="004674C2">
            <w:pPr>
              <w:rPr>
                <w:rFonts w:ascii="Lato" w:hAnsi="Lato"/>
                <w:sz w:val="22"/>
                <w:szCs w:val="22"/>
              </w:rPr>
            </w:pPr>
          </w:p>
        </w:tc>
      </w:tr>
      <w:tr w:rsidR="004674C2" w:rsidRPr="00CB1714" w14:paraId="15EE1A08" w14:textId="77777777" w:rsidTr="00990D73">
        <w:trPr>
          <w:cantSplit/>
          <w:trHeight w:val="254"/>
        </w:trPr>
        <w:tc>
          <w:tcPr>
            <w:tcW w:w="1316" w:type="dxa"/>
          </w:tcPr>
          <w:p w14:paraId="687BDBBB"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72A9810E" w14:textId="77777777" w:rsidR="004674C2" w:rsidRPr="00CB1714" w:rsidRDefault="004674C2" w:rsidP="004674C2">
            <w:pPr>
              <w:rPr>
                <w:rFonts w:ascii="Lato" w:hAnsi="Lato"/>
                <w:sz w:val="22"/>
                <w:szCs w:val="22"/>
              </w:rPr>
            </w:pPr>
            <w:r w:rsidRPr="00CB1714">
              <w:rPr>
                <w:rFonts w:ascii="Lato" w:hAnsi="Lato"/>
                <w:sz w:val="22"/>
                <w:szCs w:val="22"/>
              </w:rPr>
              <w:t xml:space="preserve">Disclose the material provisions of the contracts between </w:t>
            </w:r>
          </w:p>
        </w:tc>
        <w:tc>
          <w:tcPr>
            <w:tcW w:w="3188" w:type="dxa"/>
            <w:tcBorders>
              <w:top w:val="single" w:sz="4" w:space="0" w:color="auto"/>
              <w:left w:val="single" w:sz="4" w:space="0" w:color="auto"/>
              <w:bottom w:val="single" w:sz="4" w:space="0" w:color="auto"/>
              <w:right w:val="single" w:sz="4" w:space="0" w:color="auto"/>
            </w:tcBorders>
          </w:tcPr>
          <w:p w14:paraId="6BC8EB0C" w14:textId="77777777" w:rsidR="004674C2" w:rsidRPr="00CB1714" w:rsidRDefault="004674C2" w:rsidP="004674C2">
            <w:pPr>
              <w:rPr>
                <w:rFonts w:ascii="Lato" w:hAnsi="Lato"/>
                <w:sz w:val="22"/>
                <w:szCs w:val="22"/>
              </w:rPr>
            </w:pPr>
          </w:p>
        </w:tc>
      </w:tr>
      <w:tr w:rsidR="004674C2" w:rsidRPr="00CB1714" w14:paraId="0994431F" w14:textId="77777777" w:rsidTr="00990D73">
        <w:trPr>
          <w:cantSplit/>
          <w:trHeight w:val="254"/>
        </w:trPr>
        <w:tc>
          <w:tcPr>
            <w:tcW w:w="1316" w:type="dxa"/>
          </w:tcPr>
          <w:p w14:paraId="6A696352" w14:textId="77777777" w:rsidR="004674C2" w:rsidRPr="00CB1714" w:rsidRDefault="004674C2" w:rsidP="004674C2">
            <w:pPr>
              <w:rPr>
                <w:rFonts w:ascii="Lato" w:hAnsi="Lato"/>
                <w:sz w:val="22"/>
                <w:szCs w:val="22"/>
              </w:rPr>
            </w:pPr>
          </w:p>
        </w:tc>
        <w:tc>
          <w:tcPr>
            <w:tcW w:w="5891" w:type="dxa"/>
          </w:tcPr>
          <w:p w14:paraId="68142664" w14:textId="77777777" w:rsidR="004674C2" w:rsidRPr="00CB1714" w:rsidRDefault="004674C2" w:rsidP="004674C2">
            <w:pPr>
              <w:rPr>
                <w:rFonts w:ascii="Lato" w:hAnsi="Lato"/>
                <w:sz w:val="22"/>
                <w:szCs w:val="22"/>
              </w:rPr>
            </w:pPr>
            <w:r w:rsidRPr="00F72ED7">
              <w:rPr>
                <w:rFonts w:ascii="Lato" w:hAnsi="Lato"/>
                <w:sz w:val="22"/>
                <w:szCs w:val="22"/>
              </w:rPr>
              <w:t xml:space="preserve">third </w:t>
            </w:r>
            <w:r w:rsidRPr="00CB1714">
              <w:rPr>
                <w:rFonts w:ascii="Lato" w:hAnsi="Lato"/>
                <w:sz w:val="22"/>
                <w:szCs w:val="22"/>
              </w:rPr>
              <w:t xml:space="preserve">parties and the management company, general </w:t>
            </w:r>
          </w:p>
        </w:tc>
        <w:tc>
          <w:tcPr>
            <w:tcW w:w="3188" w:type="dxa"/>
            <w:tcBorders>
              <w:top w:val="single" w:sz="4" w:space="0" w:color="auto"/>
            </w:tcBorders>
          </w:tcPr>
          <w:p w14:paraId="6811AFDB" w14:textId="77777777" w:rsidR="004674C2" w:rsidRPr="00CB1714" w:rsidRDefault="004674C2" w:rsidP="004674C2">
            <w:pPr>
              <w:rPr>
                <w:rFonts w:ascii="Lato" w:hAnsi="Lato"/>
                <w:sz w:val="22"/>
                <w:szCs w:val="22"/>
              </w:rPr>
            </w:pPr>
          </w:p>
        </w:tc>
      </w:tr>
      <w:tr w:rsidR="004674C2" w:rsidRPr="00CB1714" w14:paraId="48CB4A4B" w14:textId="77777777" w:rsidTr="00990D73">
        <w:trPr>
          <w:cantSplit/>
          <w:trHeight w:val="254"/>
        </w:trPr>
        <w:tc>
          <w:tcPr>
            <w:tcW w:w="1316" w:type="dxa"/>
          </w:tcPr>
          <w:p w14:paraId="17DFB895" w14:textId="77777777" w:rsidR="004674C2" w:rsidRPr="00CB1714" w:rsidRDefault="004674C2" w:rsidP="004674C2">
            <w:pPr>
              <w:rPr>
                <w:rFonts w:ascii="Lato" w:hAnsi="Lato"/>
                <w:sz w:val="22"/>
                <w:szCs w:val="22"/>
              </w:rPr>
            </w:pPr>
          </w:p>
        </w:tc>
        <w:tc>
          <w:tcPr>
            <w:tcW w:w="5891" w:type="dxa"/>
          </w:tcPr>
          <w:p w14:paraId="7CB8E811" w14:textId="77777777" w:rsidR="004674C2" w:rsidRPr="00CB1714" w:rsidRDefault="004674C2" w:rsidP="004674C2">
            <w:pPr>
              <w:rPr>
                <w:rFonts w:ascii="Lato" w:hAnsi="Lato"/>
                <w:sz w:val="22"/>
                <w:szCs w:val="22"/>
              </w:rPr>
            </w:pPr>
            <w:r w:rsidRPr="00F72ED7">
              <w:rPr>
                <w:rFonts w:ascii="Lato" w:hAnsi="Lato"/>
                <w:sz w:val="22"/>
                <w:szCs w:val="22"/>
              </w:rPr>
              <w:t xml:space="preserve">partner, ICAV or </w:t>
            </w:r>
            <w:r w:rsidRPr="00CB1714">
              <w:rPr>
                <w:rFonts w:ascii="Lato" w:hAnsi="Lato"/>
                <w:sz w:val="22"/>
                <w:szCs w:val="22"/>
              </w:rPr>
              <w:t>investment company which may be relevant to unitholders</w:t>
            </w:r>
          </w:p>
        </w:tc>
        <w:tc>
          <w:tcPr>
            <w:tcW w:w="3188" w:type="dxa"/>
          </w:tcPr>
          <w:p w14:paraId="5CABE05D" w14:textId="77777777" w:rsidR="004674C2" w:rsidRPr="00CB1714" w:rsidRDefault="004674C2" w:rsidP="004674C2">
            <w:pPr>
              <w:rPr>
                <w:rFonts w:ascii="Lato" w:hAnsi="Lato"/>
                <w:sz w:val="22"/>
                <w:szCs w:val="22"/>
              </w:rPr>
            </w:pPr>
          </w:p>
        </w:tc>
      </w:tr>
      <w:tr w:rsidR="004674C2" w:rsidRPr="00CB1714" w14:paraId="19DF7735" w14:textId="77777777" w:rsidTr="007E3170">
        <w:trPr>
          <w:cantSplit/>
          <w:trHeight w:val="254"/>
        </w:trPr>
        <w:tc>
          <w:tcPr>
            <w:tcW w:w="1316" w:type="dxa"/>
          </w:tcPr>
          <w:p w14:paraId="39EDF869" w14:textId="77777777" w:rsidR="004674C2" w:rsidRPr="00CB1714" w:rsidRDefault="004674C2" w:rsidP="004674C2">
            <w:pPr>
              <w:rPr>
                <w:rFonts w:ascii="Lato" w:hAnsi="Lato"/>
                <w:sz w:val="22"/>
                <w:szCs w:val="22"/>
              </w:rPr>
            </w:pPr>
          </w:p>
        </w:tc>
        <w:tc>
          <w:tcPr>
            <w:tcW w:w="5891" w:type="dxa"/>
          </w:tcPr>
          <w:p w14:paraId="795FB3D3"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6782A421" w14:textId="77777777" w:rsidR="004674C2" w:rsidRPr="00CB1714" w:rsidRDefault="004674C2" w:rsidP="004674C2">
            <w:pPr>
              <w:rPr>
                <w:rFonts w:ascii="Lato" w:hAnsi="Lato"/>
                <w:sz w:val="22"/>
                <w:szCs w:val="22"/>
              </w:rPr>
            </w:pPr>
          </w:p>
        </w:tc>
      </w:tr>
      <w:tr w:rsidR="004674C2" w:rsidRPr="00CB1714" w14:paraId="77C651E6" w14:textId="77777777" w:rsidTr="007E3170">
        <w:trPr>
          <w:cantSplit/>
          <w:trHeight w:val="254"/>
        </w:trPr>
        <w:tc>
          <w:tcPr>
            <w:tcW w:w="1316" w:type="dxa"/>
          </w:tcPr>
          <w:p w14:paraId="2CECF157" w14:textId="77777777" w:rsidR="004674C2" w:rsidRPr="00CB1714" w:rsidRDefault="004674C2" w:rsidP="004674C2">
            <w:pPr>
              <w:rPr>
                <w:rFonts w:ascii="Lato" w:hAnsi="Lato"/>
                <w:sz w:val="22"/>
                <w:szCs w:val="22"/>
              </w:rPr>
            </w:pPr>
            <w:r w:rsidRPr="00CB1714">
              <w:rPr>
                <w:rFonts w:ascii="Lato" w:hAnsi="Lato"/>
                <w:sz w:val="22"/>
                <w:szCs w:val="22"/>
              </w:rPr>
              <w:t>2.7.1</w:t>
            </w:r>
          </w:p>
        </w:tc>
        <w:tc>
          <w:tcPr>
            <w:tcW w:w="5891" w:type="dxa"/>
            <w:tcBorders>
              <w:right w:val="single" w:sz="4" w:space="0" w:color="auto"/>
            </w:tcBorders>
          </w:tcPr>
          <w:p w14:paraId="18F35C37" w14:textId="77777777" w:rsidR="004674C2" w:rsidRPr="00CB1714" w:rsidRDefault="004674C2" w:rsidP="004674C2">
            <w:pPr>
              <w:rPr>
                <w:rFonts w:ascii="Lato" w:hAnsi="Lato"/>
                <w:sz w:val="22"/>
                <w:szCs w:val="22"/>
              </w:rPr>
            </w:pPr>
            <w:r w:rsidRPr="00CB1714">
              <w:rPr>
                <w:rFonts w:ascii="Lato" w:hAnsi="Lato"/>
                <w:sz w:val="22"/>
                <w:szCs w:val="22"/>
              </w:rPr>
              <w:t xml:space="preserve">Disclose a description of the main legal implications of the </w:t>
            </w:r>
          </w:p>
        </w:tc>
        <w:tc>
          <w:tcPr>
            <w:tcW w:w="3188" w:type="dxa"/>
            <w:tcBorders>
              <w:top w:val="single" w:sz="4" w:space="0" w:color="auto"/>
              <w:left w:val="single" w:sz="4" w:space="0" w:color="auto"/>
              <w:bottom w:val="single" w:sz="4" w:space="0" w:color="auto"/>
              <w:right w:val="single" w:sz="4" w:space="0" w:color="auto"/>
            </w:tcBorders>
          </w:tcPr>
          <w:p w14:paraId="4B257A01" w14:textId="77777777" w:rsidR="004674C2" w:rsidRPr="00CB1714" w:rsidRDefault="004674C2" w:rsidP="004674C2">
            <w:pPr>
              <w:rPr>
                <w:rFonts w:ascii="Lato" w:hAnsi="Lato"/>
                <w:sz w:val="22"/>
                <w:szCs w:val="22"/>
              </w:rPr>
            </w:pPr>
          </w:p>
        </w:tc>
      </w:tr>
      <w:tr w:rsidR="004674C2" w:rsidRPr="00CB1714" w14:paraId="36D9CD9B" w14:textId="77777777" w:rsidTr="007E3170">
        <w:trPr>
          <w:cantSplit/>
          <w:trHeight w:val="254"/>
        </w:trPr>
        <w:tc>
          <w:tcPr>
            <w:tcW w:w="1316" w:type="dxa"/>
          </w:tcPr>
          <w:p w14:paraId="0E40E715" w14:textId="77777777" w:rsidR="004674C2" w:rsidRPr="00CB1714" w:rsidRDefault="004674C2" w:rsidP="004674C2">
            <w:pPr>
              <w:rPr>
                <w:rFonts w:ascii="Lato" w:hAnsi="Lato"/>
                <w:sz w:val="22"/>
                <w:szCs w:val="22"/>
              </w:rPr>
            </w:pPr>
          </w:p>
        </w:tc>
        <w:tc>
          <w:tcPr>
            <w:tcW w:w="5891" w:type="dxa"/>
          </w:tcPr>
          <w:p w14:paraId="6AEDD449" w14:textId="77777777" w:rsidR="004674C2" w:rsidRPr="00CB1714" w:rsidRDefault="004674C2" w:rsidP="004674C2">
            <w:pPr>
              <w:rPr>
                <w:rFonts w:ascii="Lato" w:hAnsi="Lato"/>
                <w:sz w:val="22"/>
                <w:szCs w:val="22"/>
              </w:rPr>
            </w:pPr>
            <w:r w:rsidRPr="00CB1714">
              <w:rPr>
                <w:rFonts w:ascii="Lato" w:hAnsi="Lato"/>
                <w:sz w:val="22"/>
                <w:szCs w:val="22"/>
              </w:rPr>
              <w:t xml:space="preserve">contractual relationship entered into for the purpose of </w:t>
            </w:r>
          </w:p>
        </w:tc>
        <w:tc>
          <w:tcPr>
            <w:tcW w:w="3188" w:type="dxa"/>
            <w:tcBorders>
              <w:top w:val="single" w:sz="4" w:space="0" w:color="auto"/>
            </w:tcBorders>
          </w:tcPr>
          <w:p w14:paraId="40F5F58C" w14:textId="77777777" w:rsidR="004674C2" w:rsidRPr="00CB1714" w:rsidRDefault="004674C2" w:rsidP="004674C2">
            <w:pPr>
              <w:rPr>
                <w:rFonts w:ascii="Lato" w:hAnsi="Lato"/>
                <w:sz w:val="22"/>
                <w:szCs w:val="22"/>
              </w:rPr>
            </w:pPr>
          </w:p>
        </w:tc>
      </w:tr>
      <w:tr w:rsidR="004674C2" w:rsidRPr="00CB1714" w14:paraId="192BEEFC" w14:textId="77777777" w:rsidTr="00990D73">
        <w:trPr>
          <w:cantSplit/>
          <w:trHeight w:val="254"/>
        </w:trPr>
        <w:tc>
          <w:tcPr>
            <w:tcW w:w="1316" w:type="dxa"/>
          </w:tcPr>
          <w:p w14:paraId="5CB193AA" w14:textId="77777777" w:rsidR="004674C2" w:rsidRPr="00CB1714" w:rsidRDefault="004674C2" w:rsidP="004674C2">
            <w:pPr>
              <w:rPr>
                <w:rFonts w:ascii="Lato" w:hAnsi="Lato"/>
                <w:sz w:val="22"/>
                <w:szCs w:val="22"/>
              </w:rPr>
            </w:pPr>
          </w:p>
        </w:tc>
        <w:tc>
          <w:tcPr>
            <w:tcW w:w="5891" w:type="dxa"/>
          </w:tcPr>
          <w:p w14:paraId="237AD13A" w14:textId="77777777" w:rsidR="004674C2" w:rsidRPr="00CB1714" w:rsidRDefault="004674C2" w:rsidP="004674C2">
            <w:pPr>
              <w:rPr>
                <w:rFonts w:ascii="Lato" w:hAnsi="Lato"/>
                <w:sz w:val="22"/>
                <w:szCs w:val="22"/>
              </w:rPr>
            </w:pPr>
            <w:r w:rsidRPr="00CB1714">
              <w:rPr>
                <w:rFonts w:ascii="Lato" w:hAnsi="Lato"/>
                <w:sz w:val="22"/>
                <w:szCs w:val="22"/>
              </w:rPr>
              <w:t xml:space="preserve">Investment, including information on jurisdiction, on the </w:t>
            </w:r>
          </w:p>
        </w:tc>
        <w:tc>
          <w:tcPr>
            <w:tcW w:w="3188" w:type="dxa"/>
          </w:tcPr>
          <w:p w14:paraId="39B96A33" w14:textId="77777777" w:rsidR="004674C2" w:rsidRPr="00CB1714" w:rsidRDefault="004674C2" w:rsidP="004674C2">
            <w:pPr>
              <w:rPr>
                <w:rFonts w:ascii="Lato" w:hAnsi="Lato"/>
                <w:sz w:val="22"/>
                <w:szCs w:val="22"/>
              </w:rPr>
            </w:pPr>
          </w:p>
        </w:tc>
      </w:tr>
      <w:tr w:rsidR="004674C2" w:rsidRPr="00CB1714" w14:paraId="6A633FD5" w14:textId="77777777" w:rsidTr="00990D73">
        <w:trPr>
          <w:cantSplit/>
          <w:trHeight w:val="254"/>
        </w:trPr>
        <w:tc>
          <w:tcPr>
            <w:tcW w:w="1316" w:type="dxa"/>
          </w:tcPr>
          <w:p w14:paraId="457C05D3" w14:textId="77777777" w:rsidR="004674C2" w:rsidRPr="00CB1714" w:rsidRDefault="004674C2" w:rsidP="004674C2">
            <w:pPr>
              <w:rPr>
                <w:rFonts w:ascii="Lato" w:hAnsi="Lato"/>
                <w:sz w:val="22"/>
                <w:szCs w:val="22"/>
              </w:rPr>
            </w:pPr>
          </w:p>
        </w:tc>
        <w:tc>
          <w:tcPr>
            <w:tcW w:w="5891" w:type="dxa"/>
          </w:tcPr>
          <w:p w14:paraId="41F8460B" w14:textId="77777777" w:rsidR="004674C2" w:rsidRPr="00CB1714" w:rsidRDefault="004674C2" w:rsidP="004674C2">
            <w:pPr>
              <w:rPr>
                <w:rFonts w:ascii="Lato" w:hAnsi="Lato"/>
                <w:sz w:val="22"/>
                <w:szCs w:val="22"/>
              </w:rPr>
            </w:pPr>
            <w:r w:rsidRPr="00CB1714">
              <w:rPr>
                <w:rFonts w:ascii="Lato" w:hAnsi="Lato"/>
                <w:sz w:val="22"/>
                <w:szCs w:val="22"/>
              </w:rPr>
              <w:t xml:space="preserve">ipplicable law and on the existence or not of any legal instruments providing for the recognition and enforcement </w:t>
            </w:r>
          </w:p>
        </w:tc>
        <w:tc>
          <w:tcPr>
            <w:tcW w:w="3188" w:type="dxa"/>
          </w:tcPr>
          <w:p w14:paraId="6CA3FE64" w14:textId="77777777" w:rsidR="004674C2" w:rsidRPr="00CB1714" w:rsidRDefault="004674C2" w:rsidP="004674C2">
            <w:pPr>
              <w:rPr>
                <w:rFonts w:ascii="Lato" w:hAnsi="Lato"/>
                <w:sz w:val="22"/>
                <w:szCs w:val="22"/>
              </w:rPr>
            </w:pPr>
          </w:p>
        </w:tc>
      </w:tr>
      <w:tr w:rsidR="004674C2" w:rsidRPr="00CB1714" w14:paraId="54D61E77" w14:textId="77777777" w:rsidTr="00990D73">
        <w:trPr>
          <w:cantSplit/>
          <w:trHeight w:val="254"/>
        </w:trPr>
        <w:tc>
          <w:tcPr>
            <w:tcW w:w="1316" w:type="dxa"/>
          </w:tcPr>
          <w:p w14:paraId="7C94B1CE" w14:textId="77777777" w:rsidR="004674C2" w:rsidRPr="00CB1714" w:rsidRDefault="004674C2" w:rsidP="004674C2">
            <w:pPr>
              <w:rPr>
                <w:rFonts w:ascii="Lato" w:hAnsi="Lato"/>
                <w:sz w:val="22"/>
                <w:szCs w:val="22"/>
              </w:rPr>
            </w:pPr>
          </w:p>
        </w:tc>
        <w:tc>
          <w:tcPr>
            <w:tcW w:w="5891" w:type="dxa"/>
          </w:tcPr>
          <w:p w14:paraId="6F762D76" w14:textId="77777777" w:rsidR="004674C2" w:rsidRPr="00CB1714" w:rsidRDefault="004674C2" w:rsidP="004674C2">
            <w:pPr>
              <w:rPr>
                <w:rFonts w:ascii="Lato" w:hAnsi="Lato"/>
                <w:sz w:val="22"/>
                <w:szCs w:val="22"/>
              </w:rPr>
            </w:pPr>
            <w:r w:rsidRPr="00F72ED7">
              <w:rPr>
                <w:rFonts w:ascii="Lato" w:hAnsi="Lato"/>
                <w:sz w:val="22"/>
                <w:szCs w:val="22"/>
              </w:rPr>
              <w:t xml:space="preserve">of </w:t>
            </w:r>
            <w:r w:rsidRPr="00CB1714">
              <w:rPr>
                <w:rFonts w:ascii="Lato" w:hAnsi="Lato"/>
                <w:sz w:val="22"/>
                <w:szCs w:val="22"/>
              </w:rPr>
              <w:t xml:space="preserve">judgements in the territory where the Qualifying </w:t>
            </w:r>
          </w:p>
        </w:tc>
        <w:tc>
          <w:tcPr>
            <w:tcW w:w="3188" w:type="dxa"/>
          </w:tcPr>
          <w:p w14:paraId="23BAEB00" w14:textId="77777777" w:rsidR="004674C2" w:rsidRPr="00CB1714" w:rsidRDefault="004674C2" w:rsidP="004674C2">
            <w:pPr>
              <w:rPr>
                <w:rFonts w:ascii="Lato" w:hAnsi="Lato"/>
                <w:sz w:val="22"/>
                <w:szCs w:val="22"/>
              </w:rPr>
            </w:pPr>
          </w:p>
        </w:tc>
      </w:tr>
      <w:tr w:rsidR="004674C2" w:rsidRPr="00CB1714" w14:paraId="254F1557" w14:textId="77777777" w:rsidTr="00990D73">
        <w:trPr>
          <w:cantSplit/>
          <w:trHeight w:val="254"/>
        </w:trPr>
        <w:tc>
          <w:tcPr>
            <w:tcW w:w="1316" w:type="dxa"/>
          </w:tcPr>
          <w:p w14:paraId="355B8F4D" w14:textId="77777777" w:rsidR="004674C2" w:rsidRPr="00CB1714" w:rsidRDefault="004674C2" w:rsidP="004674C2">
            <w:pPr>
              <w:rPr>
                <w:rFonts w:ascii="Lato" w:hAnsi="Lato"/>
                <w:sz w:val="22"/>
                <w:szCs w:val="22"/>
              </w:rPr>
            </w:pPr>
          </w:p>
        </w:tc>
        <w:tc>
          <w:tcPr>
            <w:tcW w:w="5891" w:type="dxa"/>
          </w:tcPr>
          <w:p w14:paraId="14954F2C" w14:textId="77777777" w:rsidR="004674C2" w:rsidRPr="00CB1714" w:rsidRDefault="004674C2" w:rsidP="004674C2">
            <w:pPr>
              <w:rPr>
                <w:rFonts w:ascii="Lato" w:hAnsi="Lato"/>
                <w:sz w:val="22"/>
                <w:szCs w:val="22"/>
              </w:rPr>
            </w:pPr>
            <w:r w:rsidRPr="00F72ED7">
              <w:rPr>
                <w:rFonts w:ascii="Lato" w:hAnsi="Lato"/>
                <w:sz w:val="22"/>
                <w:szCs w:val="22"/>
              </w:rPr>
              <w:t>Investor AIF</w:t>
            </w:r>
            <w:r w:rsidRPr="00CB1714">
              <w:rPr>
                <w:rFonts w:ascii="Lato" w:hAnsi="Lato"/>
                <w:sz w:val="22"/>
                <w:szCs w:val="22"/>
              </w:rPr>
              <w:t xml:space="preserve"> is established</w:t>
            </w:r>
          </w:p>
        </w:tc>
        <w:tc>
          <w:tcPr>
            <w:tcW w:w="3188" w:type="dxa"/>
          </w:tcPr>
          <w:p w14:paraId="3F0B086D" w14:textId="77777777" w:rsidR="004674C2" w:rsidRPr="00CB1714" w:rsidRDefault="004674C2" w:rsidP="004674C2">
            <w:pPr>
              <w:rPr>
                <w:rFonts w:ascii="Lato" w:hAnsi="Lato"/>
                <w:sz w:val="22"/>
                <w:szCs w:val="22"/>
              </w:rPr>
            </w:pPr>
          </w:p>
        </w:tc>
      </w:tr>
      <w:tr w:rsidR="004674C2" w:rsidRPr="00CB1714" w14:paraId="54BCF2CD" w14:textId="77777777" w:rsidTr="00990D73">
        <w:trPr>
          <w:cantSplit/>
          <w:trHeight w:val="254"/>
        </w:trPr>
        <w:tc>
          <w:tcPr>
            <w:tcW w:w="1316" w:type="dxa"/>
          </w:tcPr>
          <w:p w14:paraId="65F278FA" w14:textId="77777777" w:rsidR="004674C2" w:rsidRPr="00CB1714" w:rsidRDefault="004674C2" w:rsidP="004674C2">
            <w:pPr>
              <w:rPr>
                <w:rFonts w:ascii="Lato" w:hAnsi="Lato"/>
                <w:sz w:val="22"/>
                <w:szCs w:val="22"/>
              </w:rPr>
            </w:pPr>
          </w:p>
        </w:tc>
        <w:tc>
          <w:tcPr>
            <w:tcW w:w="5891" w:type="dxa"/>
          </w:tcPr>
          <w:p w14:paraId="22180EE0" w14:textId="77777777" w:rsidR="004674C2" w:rsidRPr="00CB1714" w:rsidRDefault="004674C2" w:rsidP="004674C2">
            <w:pPr>
              <w:rPr>
                <w:rFonts w:ascii="Lato" w:hAnsi="Lato"/>
                <w:sz w:val="22"/>
                <w:szCs w:val="22"/>
              </w:rPr>
            </w:pPr>
          </w:p>
        </w:tc>
        <w:tc>
          <w:tcPr>
            <w:tcW w:w="3188" w:type="dxa"/>
          </w:tcPr>
          <w:p w14:paraId="0FFF6B1D" w14:textId="77777777" w:rsidR="004674C2" w:rsidRPr="00CB1714" w:rsidRDefault="004674C2" w:rsidP="004674C2">
            <w:pPr>
              <w:rPr>
                <w:rFonts w:ascii="Lato" w:hAnsi="Lato"/>
                <w:sz w:val="22"/>
                <w:szCs w:val="22"/>
              </w:rPr>
            </w:pPr>
          </w:p>
        </w:tc>
      </w:tr>
      <w:tr w:rsidR="004674C2" w:rsidRPr="00CB1714" w14:paraId="2C58BF65" w14:textId="77777777" w:rsidTr="004009A0">
        <w:trPr>
          <w:cantSplit/>
          <w:trHeight w:val="254"/>
        </w:trPr>
        <w:tc>
          <w:tcPr>
            <w:tcW w:w="1316" w:type="dxa"/>
          </w:tcPr>
          <w:p w14:paraId="6FBB964F" w14:textId="77777777" w:rsidR="004674C2" w:rsidRPr="00CB1714" w:rsidRDefault="004674C2" w:rsidP="004674C2">
            <w:pPr>
              <w:rPr>
                <w:rFonts w:ascii="Lato" w:hAnsi="Lato"/>
                <w:sz w:val="22"/>
                <w:szCs w:val="22"/>
              </w:rPr>
            </w:pPr>
            <w:r w:rsidRPr="00CB1714">
              <w:rPr>
                <w:rFonts w:ascii="Lato" w:hAnsi="Lato"/>
                <w:sz w:val="22"/>
                <w:szCs w:val="22"/>
              </w:rPr>
              <w:t>2.7.2</w:t>
            </w:r>
          </w:p>
        </w:tc>
        <w:tc>
          <w:tcPr>
            <w:tcW w:w="5891" w:type="dxa"/>
          </w:tcPr>
          <w:p w14:paraId="0A824DDD" w14:textId="77777777" w:rsidR="004674C2" w:rsidRPr="00CB1714" w:rsidRDefault="004674C2" w:rsidP="004674C2">
            <w:pPr>
              <w:rPr>
                <w:rFonts w:ascii="Lato" w:hAnsi="Lato"/>
                <w:b/>
                <w:sz w:val="22"/>
                <w:szCs w:val="22"/>
              </w:rPr>
            </w:pPr>
            <w:r w:rsidRPr="00CB1714">
              <w:rPr>
                <w:rFonts w:ascii="Lato" w:hAnsi="Lato"/>
                <w:b/>
                <w:sz w:val="22"/>
                <w:szCs w:val="22"/>
              </w:rPr>
              <w:t>Information Concerning the AIFM</w:t>
            </w:r>
          </w:p>
        </w:tc>
        <w:tc>
          <w:tcPr>
            <w:tcW w:w="3188" w:type="dxa"/>
          </w:tcPr>
          <w:p w14:paraId="43F1BFD2" w14:textId="77777777" w:rsidR="004674C2" w:rsidRPr="00CB1714" w:rsidRDefault="004674C2" w:rsidP="004674C2">
            <w:pPr>
              <w:rPr>
                <w:rFonts w:ascii="Lato" w:hAnsi="Lato"/>
                <w:sz w:val="22"/>
                <w:szCs w:val="22"/>
              </w:rPr>
            </w:pPr>
          </w:p>
        </w:tc>
      </w:tr>
      <w:tr w:rsidR="004674C2" w:rsidRPr="00CB1714" w14:paraId="5E53B744" w14:textId="77777777" w:rsidTr="00990D73">
        <w:trPr>
          <w:cantSplit/>
          <w:trHeight w:val="254"/>
        </w:trPr>
        <w:tc>
          <w:tcPr>
            <w:tcW w:w="1316" w:type="dxa"/>
          </w:tcPr>
          <w:p w14:paraId="63B352F1" w14:textId="77777777" w:rsidR="004674C2" w:rsidRPr="00CB1714" w:rsidRDefault="004674C2" w:rsidP="004674C2">
            <w:pPr>
              <w:rPr>
                <w:rFonts w:ascii="Lato" w:hAnsi="Lato"/>
                <w:sz w:val="22"/>
                <w:szCs w:val="22"/>
              </w:rPr>
            </w:pPr>
          </w:p>
        </w:tc>
        <w:tc>
          <w:tcPr>
            <w:tcW w:w="5891" w:type="dxa"/>
          </w:tcPr>
          <w:p w14:paraId="7181CBCD"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1B747907" w14:textId="77777777" w:rsidR="004674C2" w:rsidRPr="00CB1714" w:rsidRDefault="004674C2" w:rsidP="004674C2">
            <w:pPr>
              <w:rPr>
                <w:rFonts w:ascii="Lato" w:hAnsi="Lato"/>
                <w:sz w:val="22"/>
                <w:szCs w:val="22"/>
              </w:rPr>
            </w:pPr>
          </w:p>
        </w:tc>
      </w:tr>
      <w:tr w:rsidR="004674C2" w:rsidRPr="00CB1714" w14:paraId="327957DA" w14:textId="77777777" w:rsidTr="00990D73">
        <w:trPr>
          <w:cantSplit/>
          <w:trHeight w:val="254"/>
        </w:trPr>
        <w:tc>
          <w:tcPr>
            <w:tcW w:w="1316" w:type="dxa"/>
          </w:tcPr>
          <w:p w14:paraId="4CAA8E9C"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462DC785" w14:textId="77777777" w:rsidR="004674C2" w:rsidRPr="00CB1714" w:rsidRDefault="004674C2" w:rsidP="004674C2">
            <w:pPr>
              <w:rPr>
                <w:rFonts w:ascii="Lato" w:hAnsi="Lato"/>
                <w:sz w:val="22"/>
                <w:szCs w:val="22"/>
              </w:rPr>
            </w:pPr>
            <w:r w:rsidRPr="00CB1714">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654C12C7" w14:textId="77777777" w:rsidR="004674C2" w:rsidRPr="00CB1714" w:rsidRDefault="004674C2" w:rsidP="004674C2">
            <w:pPr>
              <w:rPr>
                <w:rFonts w:ascii="Lato" w:hAnsi="Lato"/>
                <w:sz w:val="22"/>
                <w:szCs w:val="22"/>
              </w:rPr>
            </w:pPr>
          </w:p>
        </w:tc>
      </w:tr>
      <w:tr w:rsidR="004674C2" w:rsidRPr="00CB1714" w14:paraId="460EA260" w14:textId="77777777" w:rsidTr="00990D73">
        <w:trPr>
          <w:cantSplit/>
          <w:trHeight w:val="254"/>
        </w:trPr>
        <w:tc>
          <w:tcPr>
            <w:tcW w:w="1316" w:type="dxa"/>
          </w:tcPr>
          <w:p w14:paraId="742C0DD3"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591B4A5E" w14:textId="77777777" w:rsidR="004674C2" w:rsidRPr="00CB1714" w:rsidRDefault="004674C2" w:rsidP="004674C2">
            <w:pPr>
              <w:rPr>
                <w:rFonts w:ascii="Lato" w:hAnsi="Lato"/>
                <w:sz w:val="22"/>
                <w:szCs w:val="22"/>
              </w:rPr>
            </w:pPr>
            <w:r w:rsidRPr="00CB1714">
              <w:rPr>
                <w:rFonts w:ascii="Lato" w:hAnsi="Lato"/>
                <w:sz w:val="22"/>
                <w:szCs w:val="22"/>
              </w:rPr>
              <w:t xml:space="preserve">Disclose the jurisdication and regulatory status (for non </w:t>
            </w:r>
          </w:p>
        </w:tc>
        <w:tc>
          <w:tcPr>
            <w:tcW w:w="3188" w:type="dxa"/>
            <w:tcBorders>
              <w:top w:val="single" w:sz="4" w:space="0" w:color="auto"/>
              <w:left w:val="single" w:sz="4" w:space="0" w:color="auto"/>
              <w:bottom w:val="single" w:sz="4" w:space="0" w:color="auto"/>
              <w:right w:val="single" w:sz="4" w:space="0" w:color="auto"/>
            </w:tcBorders>
          </w:tcPr>
          <w:p w14:paraId="0700D596" w14:textId="77777777" w:rsidR="004674C2" w:rsidRPr="00CB1714" w:rsidRDefault="004674C2" w:rsidP="004674C2">
            <w:pPr>
              <w:rPr>
                <w:rFonts w:ascii="Lato" w:hAnsi="Lato"/>
                <w:sz w:val="22"/>
                <w:szCs w:val="22"/>
              </w:rPr>
            </w:pPr>
          </w:p>
        </w:tc>
      </w:tr>
      <w:tr w:rsidR="004674C2" w:rsidRPr="00CB1714" w14:paraId="7D76B3BC" w14:textId="77777777" w:rsidTr="00A70AEC">
        <w:trPr>
          <w:cantSplit/>
          <w:trHeight w:val="117"/>
        </w:trPr>
        <w:tc>
          <w:tcPr>
            <w:tcW w:w="1316" w:type="dxa"/>
          </w:tcPr>
          <w:p w14:paraId="3A781045" w14:textId="77777777" w:rsidR="004674C2" w:rsidRPr="00CB1714" w:rsidRDefault="004674C2" w:rsidP="004674C2">
            <w:pPr>
              <w:rPr>
                <w:rFonts w:ascii="Lato" w:hAnsi="Lato"/>
                <w:sz w:val="22"/>
                <w:szCs w:val="22"/>
              </w:rPr>
            </w:pPr>
          </w:p>
        </w:tc>
        <w:tc>
          <w:tcPr>
            <w:tcW w:w="5891" w:type="dxa"/>
          </w:tcPr>
          <w:p w14:paraId="2B150747" w14:textId="77777777" w:rsidR="004674C2" w:rsidRPr="00CB1714" w:rsidRDefault="004674C2" w:rsidP="004674C2">
            <w:pPr>
              <w:rPr>
                <w:rFonts w:ascii="Lato" w:hAnsi="Lato"/>
                <w:sz w:val="22"/>
                <w:szCs w:val="22"/>
              </w:rPr>
            </w:pPr>
            <w:r w:rsidRPr="00F72ED7">
              <w:rPr>
                <w:rFonts w:ascii="Lato" w:hAnsi="Lato"/>
                <w:sz w:val="22"/>
                <w:szCs w:val="22"/>
              </w:rPr>
              <w:t xml:space="preserve">Irish </w:t>
            </w:r>
            <w:r w:rsidRPr="00CB1714">
              <w:rPr>
                <w:rFonts w:ascii="Lato" w:hAnsi="Lato"/>
                <w:sz w:val="22"/>
                <w:szCs w:val="22"/>
              </w:rPr>
              <w:t>entities)</w:t>
            </w:r>
          </w:p>
        </w:tc>
        <w:tc>
          <w:tcPr>
            <w:tcW w:w="3188" w:type="dxa"/>
            <w:tcBorders>
              <w:top w:val="single" w:sz="4" w:space="0" w:color="auto"/>
            </w:tcBorders>
          </w:tcPr>
          <w:p w14:paraId="60C4EAF5" w14:textId="77777777" w:rsidR="004674C2" w:rsidRPr="00CB1714" w:rsidRDefault="004674C2" w:rsidP="004674C2">
            <w:pPr>
              <w:rPr>
                <w:rFonts w:ascii="Lato" w:hAnsi="Lato"/>
                <w:sz w:val="22"/>
                <w:szCs w:val="22"/>
              </w:rPr>
            </w:pPr>
          </w:p>
        </w:tc>
      </w:tr>
      <w:tr w:rsidR="004674C2" w:rsidRPr="00CB1714" w14:paraId="164ED5ED" w14:textId="77777777" w:rsidTr="00A70AEC">
        <w:trPr>
          <w:cantSplit/>
          <w:trHeight w:val="117"/>
        </w:trPr>
        <w:tc>
          <w:tcPr>
            <w:tcW w:w="1316" w:type="dxa"/>
          </w:tcPr>
          <w:p w14:paraId="4DDA215E" w14:textId="77777777" w:rsidR="004674C2" w:rsidRPr="00CB1714" w:rsidRDefault="004674C2" w:rsidP="004674C2">
            <w:pPr>
              <w:rPr>
                <w:rFonts w:ascii="Lato" w:hAnsi="Lato"/>
                <w:sz w:val="22"/>
                <w:szCs w:val="22"/>
              </w:rPr>
            </w:pPr>
          </w:p>
        </w:tc>
        <w:tc>
          <w:tcPr>
            <w:tcW w:w="5891" w:type="dxa"/>
          </w:tcPr>
          <w:p w14:paraId="443EE68B" w14:textId="77777777" w:rsidR="004674C2" w:rsidRPr="00CB1714" w:rsidRDefault="004674C2" w:rsidP="004674C2">
            <w:pPr>
              <w:rPr>
                <w:rFonts w:ascii="Lato" w:hAnsi="Lato"/>
                <w:sz w:val="22"/>
                <w:szCs w:val="22"/>
              </w:rPr>
            </w:pPr>
          </w:p>
        </w:tc>
        <w:tc>
          <w:tcPr>
            <w:tcW w:w="3188" w:type="dxa"/>
          </w:tcPr>
          <w:p w14:paraId="3C1F42B4" w14:textId="77777777" w:rsidR="004674C2" w:rsidRPr="00CB1714" w:rsidRDefault="004674C2" w:rsidP="004674C2">
            <w:pPr>
              <w:rPr>
                <w:rFonts w:ascii="Lato" w:hAnsi="Lato"/>
                <w:sz w:val="22"/>
                <w:szCs w:val="22"/>
              </w:rPr>
            </w:pPr>
          </w:p>
        </w:tc>
      </w:tr>
      <w:tr w:rsidR="004674C2" w:rsidRPr="00CB1714" w14:paraId="58FE2FAB" w14:textId="77777777" w:rsidTr="00990D73">
        <w:trPr>
          <w:cantSplit/>
          <w:trHeight w:val="117"/>
        </w:trPr>
        <w:tc>
          <w:tcPr>
            <w:tcW w:w="1316" w:type="dxa"/>
          </w:tcPr>
          <w:p w14:paraId="6971931A"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Pr>
          <w:p w14:paraId="45253A84" w14:textId="77777777" w:rsidR="004674C2" w:rsidRPr="00CB1714" w:rsidRDefault="004674C2" w:rsidP="004674C2">
            <w:pPr>
              <w:rPr>
                <w:rFonts w:ascii="Lato" w:hAnsi="Lato"/>
                <w:sz w:val="22"/>
                <w:szCs w:val="22"/>
              </w:rPr>
            </w:pPr>
            <w:r w:rsidRPr="00CB1714">
              <w:rPr>
                <w:rFonts w:ascii="Lato" w:hAnsi="Lato"/>
                <w:sz w:val="22"/>
                <w:szCs w:val="22"/>
              </w:rPr>
              <w:t xml:space="preserve">Disclose the other significant activities </w:t>
            </w:r>
          </w:p>
        </w:tc>
        <w:tc>
          <w:tcPr>
            <w:tcW w:w="3188" w:type="dxa"/>
            <w:tcBorders>
              <w:bottom w:val="single" w:sz="4" w:space="0" w:color="auto"/>
            </w:tcBorders>
          </w:tcPr>
          <w:p w14:paraId="4042AD46" w14:textId="77777777" w:rsidR="004674C2" w:rsidRPr="00CB1714" w:rsidRDefault="004674C2" w:rsidP="004674C2">
            <w:pPr>
              <w:rPr>
                <w:rFonts w:ascii="Lato" w:hAnsi="Lato"/>
                <w:sz w:val="22"/>
                <w:szCs w:val="22"/>
              </w:rPr>
            </w:pPr>
          </w:p>
        </w:tc>
      </w:tr>
      <w:tr w:rsidR="004674C2" w:rsidRPr="00CB1714" w14:paraId="7B5EBF13" w14:textId="77777777" w:rsidTr="00990D73">
        <w:trPr>
          <w:cantSplit/>
          <w:trHeight w:val="117"/>
        </w:trPr>
        <w:tc>
          <w:tcPr>
            <w:tcW w:w="1316" w:type="dxa"/>
          </w:tcPr>
          <w:p w14:paraId="2A7799C6" w14:textId="77777777" w:rsidR="004674C2" w:rsidRPr="00CB1714" w:rsidRDefault="004674C2" w:rsidP="004674C2">
            <w:pPr>
              <w:rPr>
                <w:rFonts w:ascii="Lato" w:hAnsi="Lato"/>
                <w:sz w:val="22"/>
                <w:szCs w:val="22"/>
              </w:rPr>
            </w:pPr>
          </w:p>
        </w:tc>
        <w:tc>
          <w:tcPr>
            <w:tcW w:w="5891" w:type="dxa"/>
          </w:tcPr>
          <w:p w14:paraId="495314ED" w14:textId="77777777" w:rsidR="004674C2" w:rsidRPr="00CB1714" w:rsidRDefault="004674C2" w:rsidP="004674C2">
            <w:pPr>
              <w:rPr>
                <w:rFonts w:ascii="Lato" w:hAnsi="Lato"/>
                <w:sz w:val="22"/>
                <w:szCs w:val="22"/>
              </w:rPr>
            </w:pPr>
          </w:p>
        </w:tc>
        <w:tc>
          <w:tcPr>
            <w:tcW w:w="3188" w:type="dxa"/>
          </w:tcPr>
          <w:p w14:paraId="13569354" w14:textId="77777777" w:rsidR="004674C2" w:rsidRPr="00CB1714" w:rsidRDefault="004674C2" w:rsidP="004674C2">
            <w:pPr>
              <w:rPr>
                <w:rFonts w:ascii="Lato" w:hAnsi="Lato"/>
                <w:sz w:val="22"/>
                <w:szCs w:val="22"/>
              </w:rPr>
            </w:pPr>
          </w:p>
        </w:tc>
      </w:tr>
      <w:tr w:rsidR="004674C2" w:rsidRPr="00CB1714" w14:paraId="1B46DD17" w14:textId="77777777" w:rsidTr="00990D73">
        <w:trPr>
          <w:cantSplit/>
          <w:trHeight w:val="117"/>
        </w:trPr>
        <w:tc>
          <w:tcPr>
            <w:tcW w:w="1316" w:type="dxa"/>
          </w:tcPr>
          <w:p w14:paraId="7CD539A1" w14:textId="77777777" w:rsidR="004674C2" w:rsidRPr="00CB1714" w:rsidRDefault="004674C2" w:rsidP="004674C2">
            <w:pPr>
              <w:jc w:val="right"/>
              <w:rPr>
                <w:rFonts w:ascii="Lato" w:hAnsi="Lato"/>
                <w:sz w:val="22"/>
                <w:szCs w:val="22"/>
              </w:rPr>
            </w:pPr>
            <w:r w:rsidRPr="00CB1714">
              <w:rPr>
                <w:rFonts w:ascii="Lato" w:hAnsi="Lato"/>
                <w:sz w:val="22"/>
                <w:szCs w:val="22"/>
              </w:rPr>
              <w:t>d)</w:t>
            </w:r>
          </w:p>
        </w:tc>
        <w:tc>
          <w:tcPr>
            <w:tcW w:w="5891" w:type="dxa"/>
          </w:tcPr>
          <w:p w14:paraId="1B10CDE7" w14:textId="77777777" w:rsidR="004674C2" w:rsidRPr="00CB1714" w:rsidRDefault="004674C2" w:rsidP="004674C2">
            <w:pPr>
              <w:rPr>
                <w:rFonts w:ascii="Lato" w:hAnsi="Lato"/>
                <w:sz w:val="22"/>
                <w:szCs w:val="22"/>
              </w:rPr>
            </w:pPr>
            <w:r w:rsidRPr="00CB1714">
              <w:rPr>
                <w:rFonts w:ascii="Lato" w:hAnsi="Lato"/>
                <w:sz w:val="22"/>
                <w:szCs w:val="22"/>
              </w:rPr>
              <w:t>A description of how the AIFM is complying with the requirements of Regulation 14</w:t>
            </w:r>
          </w:p>
        </w:tc>
        <w:tc>
          <w:tcPr>
            <w:tcW w:w="3188" w:type="dxa"/>
          </w:tcPr>
          <w:p w14:paraId="6EB7C67F" w14:textId="77777777" w:rsidR="004674C2" w:rsidRPr="00CB1714" w:rsidRDefault="004674C2" w:rsidP="004674C2">
            <w:pPr>
              <w:rPr>
                <w:rFonts w:ascii="Lato" w:hAnsi="Lato"/>
                <w:sz w:val="22"/>
                <w:szCs w:val="22"/>
              </w:rPr>
            </w:pPr>
          </w:p>
        </w:tc>
      </w:tr>
      <w:tr w:rsidR="004674C2" w:rsidRPr="00CB1714" w14:paraId="5D9D89DA" w14:textId="77777777" w:rsidTr="00990D73">
        <w:trPr>
          <w:cantSplit/>
          <w:trHeight w:val="117"/>
        </w:trPr>
        <w:tc>
          <w:tcPr>
            <w:tcW w:w="1316" w:type="dxa"/>
          </w:tcPr>
          <w:p w14:paraId="089C8504" w14:textId="77777777" w:rsidR="004674C2" w:rsidRPr="00CB1714" w:rsidRDefault="004674C2" w:rsidP="004674C2">
            <w:pPr>
              <w:rPr>
                <w:rFonts w:ascii="Lato" w:hAnsi="Lato"/>
                <w:sz w:val="22"/>
                <w:szCs w:val="22"/>
              </w:rPr>
            </w:pPr>
          </w:p>
        </w:tc>
        <w:tc>
          <w:tcPr>
            <w:tcW w:w="5891" w:type="dxa"/>
          </w:tcPr>
          <w:p w14:paraId="77A78CC4" w14:textId="77777777" w:rsidR="004674C2" w:rsidRPr="00CB1714" w:rsidRDefault="004674C2" w:rsidP="004674C2">
            <w:pPr>
              <w:rPr>
                <w:rFonts w:ascii="Lato" w:hAnsi="Lato"/>
                <w:sz w:val="22"/>
                <w:szCs w:val="22"/>
              </w:rPr>
            </w:pPr>
          </w:p>
        </w:tc>
        <w:tc>
          <w:tcPr>
            <w:tcW w:w="3188" w:type="dxa"/>
          </w:tcPr>
          <w:p w14:paraId="71D042BF" w14:textId="77777777" w:rsidR="004674C2" w:rsidRPr="00CB1714" w:rsidRDefault="004674C2" w:rsidP="004674C2">
            <w:pPr>
              <w:rPr>
                <w:rFonts w:ascii="Lato" w:hAnsi="Lato"/>
                <w:sz w:val="22"/>
                <w:szCs w:val="22"/>
              </w:rPr>
            </w:pPr>
          </w:p>
        </w:tc>
      </w:tr>
      <w:tr w:rsidR="004674C2" w:rsidRPr="00CB1714" w14:paraId="308618B1" w14:textId="77777777" w:rsidTr="00990D73">
        <w:tc>
          <w:tcPr>
            <w:tcW w:w="1316" w:type="dxa"/>
          </w:tcPr>
          <w:p w14:paraId="7FBE62C2" w14:textId="77777777" w:rsidR="004674C2" w:rsidRPr="00CB1714" w:rsidRDefault="004674C2" w:rsidP="004674C2">
            <w:pPr>
              <w:rPr>
                <w:rFonts w:ascii="Lato" w:hAnsi="Lato"/>
                <w:bCs/>
                <w:sz w:val="22"/>
                <w:szCs w:val="22"/>
              </w:rPr>
            </w:pPr>
            <w:r w:rsidRPr="00CB1714">
              <w:rPr>
                <w:rFonts w:ascii="Lato" w:hAnsi="Lato"/>
                <w:bCs/>
                <w:sz w:val="22"/>
                <w:szCs w:val="22"/>
              </w:rPr>
              <w:t>2.7.3</w:t>
            </w:r>
          </w:p>
        </w:tc>
        <w:tc>
          <w:tcPr>
            <w:tcW w:w="5891" w:type="dxa"/>
          </w:tcPr>
          <w:p w14:paraId="45DFA244" w14:textId="77777777" w:rsidR="004674C2" w:rsidRPr="00CB1714" w:rsidRDefault="004674C2" w:rsidP="004674C2">
            <w:pPr>
              <w:rPr>
                <w:rFonts w:ascii="Lato" w:hAnsi="Lato"/>
                <w:b/>
                <w:bCs/>
                <w:sz w:val="22"/>
                <w:szCs w:val="22"/>
              </w:rPr>
            </w:pPr>
            <w:r w:rsidRPr="00CB1714">
              <w:rPr>
                <w:rFonts w:ascii="Lato" w:hAnsi="Lato"/>
                <w:b/>
                <w:bCs/>
                <w:sz w:val="22"/>
                <w:szCs w:val="22"/>
              </w:rPr>
              <w:t>Information Concerning the Management Company/General Partner</w:t>
            </w:r>
          </w:p>
        </w:tc>
        <w:tc>
          <w:tcPr>
            <w:tcW w:w="3188" w:type="dxa"/>
          </w:tcPr>
          <w:p w14:paraId="2F60D2DC" w14:textId="77777777" w:rsidR="004674C2" w:rsidRPr="00CB1714" w:rsidRDefault="004674C2" w:rsidP="004674C2">
            <w:pPr>
              <w:rPr>
                <w:rFonts w:ascii="Lato" w:hAnsi="Lato"/>
                <w:b/>
                <w:bCs/>
                <w:sz w:val="22"/>
                <w:szCs w:val="22"/>
              </w:rPr>
            </w:pPr>
          </w:p>
        </w:tc>
      </w:tr>
      <w:tr w:rsidR="004674C2" w:rsidRPr="00CB1714" w14:paraId="4519EFC5" w14:textId="77777777" w:rsidTr="00990D73">
        <w:tc>
          <w:tcPr>
            <w:tcW w:w="1316" w:type="dxa"/>
          </w:tcPr>
          <w:p w14:paraId="236DFED1" w14:textId="77777777" w:rsidR="004674C2" w:rsidRPr="00CB1714" w:rsidRDefault="004674C2" w:rsidP="004674C2">
            <w:pPr>
              <w:rPr>
                <w:rFonts w:ascii="Lato" w:hAnsi="Lato"/>
                <w:sz w:val="22"/>
                <w:szCs w:val="22"/>
              </w:rPr>
            </w:pPr>
          </w:p>
        </w:tc>
        <w:tc>
          <w:tcPr>
            <w:tcW w:w="5891" w:type="dxa"/>
          </w:tcPr>
          <w:p w14:paraId="4DD55A76"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0CFC4619" w14:textId="77777777" w:rsidR="004674C2" w:rsidRPr="00CB1714" w:rsidRDefault="004674C2" w:rsidP="004674C2">
            <w:pPr>
              <w:rPr>
                <w:rFonts w:ascii="Lato" w:hAnsi="Lato"/>
                <w:b/>
                <w:bCs/>
                <w:sz w:val="22"/>
                <w:szCs w:val="22"/>
              </w:rPr>
            </w:pPr>
          </w:p>
        </w:tc>
      </w:tr>
      <w:tr w:rsidR="004674C2" w:rsidRPr="00CB1714" w14:paraId="76B8F46C" w14:textId="77777777" w:rsidTr="00990D73">
        <w:tc>
          <w:tcPr>
            <w:tcW w:w="1316" w:type="dxa"/>
          </w:tcPr>
          <w:p w14:paraId="0F10255F"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797667F4" w14:textId="77777777" w:rsidR="004674C2" w:rsidRPr="00CB1714" w:rsidRDefault="004674C2" w:rsidP="004674C2">
            <w:pPr>
              <w:rPr>
                <w:rFonts w:ascii="Lato" w:hAnsi="Lato"/>
                <w:sz w:val="22"/>
                <w:szCs w:val="22"/>
              </w:rPr>
            </w:pPr>
            <w:r w:rsidRPr="00CB1714">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4E7EEF8E" w14:textId="77777777" w:rsidR="004674C2" w:rsidRPr="00CB1714" w:rsidRDefault="004674C2" w:rsidP="004674C2">
            <w:pPr>
              <w:rPr>
                <w:rFonts w:ascii="Lato" w:hAnsi="Lato"/>
                <w:sz w:val="22"/>
                <w:szCs w:val="22"/>
              </w:rPr>
            </w:pPr>
          </w:p>
        </w:tc>
      </w:tr>
      <w:tr w:rsidR="004674C2" w:rsidRPr="00CB1714" w14:paraId="50588A77" w14:textId="77777777" w:rsidTr="00990D73">
        <w:tc>
          <w:tcPr>
            <w:tcW w:w="1316" w:type="dxa"/>
          </w:tcPr>
          <w:p w14:paraId="3085CB45" w14:textId="77777777" w:rsidR="004674C2" w:rsidRPr="00CB1714" w:rsidRDefault="004674C2" w:rsidP="004674C2">
            <w:pPr>
              <w:jc w:val="right"/>
              <w:rPr>
                <w:rFonts w:ascii="Lato" w:hAnsi="Lato"/>
                <w:sz w:val="22"/>
                <w:szCs w:val="22"/>
              </w:rPr>
            </w:pPr>
          </w:p>
        </w:tc>
        <w:tc>
          <w:tcPr>
            <w:tcW w:w="5891" w:type="dxa"/>
          </w:tcPr>
          <w:p w14:paraId="17D3EF9C"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89BE979" w14:textId="77777777" w:rsidR="004674C2" w:rsidRPr="00CB1714" w:rsidRDefault="004674C2" w:rsidP="004674C2">
            <w:pPr>
              <w:rPr>
                <w:rFonts w:ascii="Lato" w:hAnsi="Lato"/>
                <w:sz w:val="22"/>
                <w:szCs w:val="22"/>
              </w:rPr>
            </w:pPr>
          </w:p>
        </w:tc>
      </w:tr>
      <w:tr w:rsidR="004674C2" w:rsidRPr="00CB1714" w14:paraId="49A9D53B" w14:textId="77777777" w:rsidTr="00990D73">
        <w:tc>
          <w:tcPr>
            <w:tcW w:w="1316" w:type="dxa"/>
          </w:tcPr>
          <w:p w14:paraId="6FC4EA51"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705E25A0" w14:textId="77777777" w:rsidR="004674C2" w:rsidRPr="00CB1714" w:rsidRDefault="004674C2" w:rsidP="004674C2">
            <w:pPr>
              <w:rPr>
                <w:rFonts w:ascii="Lato" w:hAnsi="Lato"/>
                <w:sz w:val="22"/>
                <w:szCs w:val="22"/>
              </w:rPr>
            </w:pPr>
            <w:r w:rsidRPr="00CB1714">
              <w:rPr>
                <w:rFonts w:ascii="Lato" w:hAnsi="Lato"/>
                <w:sz w:val="22"/>
                <w:szCs w:val="22"/>
              </w:rPr>
              <w:t>Form in law</w:t>
            </w:r>
          </w:p>
        </w:tc>
        <w:tc>
          <w:tcPr>
            <w:tcW w:w="3188" w:type="dxa"/>
            <w:tcBorders>
              <w:top w:val="single" w:sz="4" w:space="0" w:color="auto"/>
              <w:left w:val="single" w:sz="4" w:space="0" w:color="auto"/>
              <w:bottom w:val="single" w:sz="4" w:space="0" w:color="auto"/>
              <w:right w:val="single" w:sz="4" w:space="0" w:color="auto"/>
            </w:tcBorders>
          </w:tcPr>
          <w:p w14:paraId="66D6633C" w14:textId="77777777" w:rsidR="004674C2" w:rsidRPr="00CB1714" w:rsidRDefault="004674C2" w:rsidP="004674C2">
            <w:pPr>
              <w:rPr>
                <w:rFonts w:ascii="Lato" w:hAnsi="Lato"/>
                <w:sz w:val="22"/>
                <w:szCs w:val="22"/>
              </w:rPr>
            </w:pPr>
          </w:p>
        </w:tc>
      </w:tr>
      <w:tr w:rsidR="004674C2" w:rsidRPr="00CB1714" w14:paraId="4B439F3E" w14:textId="77777777" w:rsidTr="00990D73">
        <w:tc>
          <w:tcPr>
            <w:tcW w:w="1316" w:type="dxa"/>
          </w:tcPr>
          <w:p w14:paraId="13660982" w14:textId="77777777" w:rsidR="004674C2" w:rsidRPr="00CB1714" w:rsidRDefault="004674C2" w:rsidP="004674C2">
            <w:pPr>
              <w:jc w:val="right"/>
              <w:rPr>
                <w:rFonts w:ascii="Lato" w:hAnsi="Lato"/>
                <w:sz w:val="22"/>
                <w:szCs w:val="22"/>
              </w:rPr>
            </w:pPr>
          </w:p>
        </w:tc>
        <w:tc>
          <w:tcPr>
            <w:tcW w:w="5891" w:type="dxa"/>
          </w:tcPr>
          <w:p w14:paraId="4C87883B"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06822EA2" w14:textId="77777777" w:rsidR="004674C2" w:rsidRPr="00CB1714" w:rsidRDefault="004674C2" w:rsidP="004674C2">
            <w:pPr>
              <w:rPr>
                <w:rFonts w:ascii="Lato" w:hAnsi="Lato"/>
                <w:sz w:val="22"/>
                <w:szCs w:val="22"/>
              </w:rPr>
            </w:pPr>
          </w:p>
        </w:tc>
      </w:tr>
      <w:tr w:rsidR="004674C2" w:rsidRPr="00CB1714" w14:paraId="7BCC1F03" w14:textId="77777777" w:rsidTr="00990D73">
        <w:tc>
          <w:tcPr>
            <w:tcW w:w="1316" w:type="dxa"/>
          </w:tcPr>
          <w:p w14:paraId="7C40F5AC"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631DB3C1" w14:textId="77777777" w:rsidR="004674C2" w:rsidRPr="00CB1714" w:rsidRDefault="004674C2" w:rsidP="004674C2">
            <w:pPr>
              <w:rPr>
                <w:rFonts w:ascii="Lato" w:hAnsi="Lato"/>
                <w:sz w:val="22"/>
                <w:szCs w:val="22"/>
              </w:rPr>
            </w:pPr>
            <w:r w:rsidRPr="00CB1714">
              <w:rPr>
                <w:rFonts w:ascii="Lato" w:hAnsi="Lato"/>
                <w:sz w:val="22"/>
                <w:szCs w:val="22"/>
              </w:rPr>
              <w:t>Registered office</w:t>
            </w:r>
          </w:p>
        </w:tc>
        <w:tc>
          <w:tcPr>
            <w:tcW w:w="3188" w:type="dxa"/>
            <w:tcBorders>
              <w:top w:val="single" w:sz="4" w:space="0" w:color="auto"/>
              <w:left w:val="single" w:sz="4" w:space="0" w:color="auto"/>
              <w:bottom w:val="single" w:sz="4" w:space="0" w:color="auto"/>
              <w:right w:val="single" w:sz="4" w:space="0" w:color="auto"/>
            </w:tcBorders>
          </w:tcPr>
          <w:p w14:paraId="0585DF17" w14:textId="77777777" w:rsidR="004674C2" w:rsidRPr="00CB1714" w:rsidRDefault="004674C2" w:rsidP="004674C2">
            <w:pPr>
              <w:rPr>
                <w:rFonts w:ascii="Lato" w:hAnsi="Lato"/>
                <w:sz w:val="22"/>
                <w:szCs w:val="22"/>
              </w:rPr>
            </w:pPr>
          </w:p>
        </w:tc>
      </w:tr>
      <w:tr w:rsidR="004674C2" w:rsidRPr="00CB1714" w14:paraId="5D878C4B" w14:textId="77777777" w:rsidTr="00990D73">
        <w:tc>
          <w:tcPr>
            <w:tcW w:w="1316" w:type="dxa"/>
          </w:tcPr>
          <w:p w14:paraId="60CEB5FE" w14:textId="77777777" w:rsidR="004674C2" w:rsidRPr="00CB1714" w:rsidRDefault="004674C2" w:rsidP="004674C2">
            <w:pPr>
              <w:jc w:val="right"/>
              <w:rPr>
                <w:rFonts w:ascii="Lato" w:hAnsi="Lato"/>
                <w:sz w:val="22"/>
                <w:szCs w:val="22"/>
              </w:rPr>
            </w:pPr>
          </w:p>
        </w:tc>
        <w:tc>
          <w:tcPr>
            <w:tcW w:w="5891" w:type="dxa"/>
          </w:tcPr>
          <w:p w14:paraId="7528AD82"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4954512" w14:textId="77777777" w:rsidR="004674C2" w:rsidRPr="00CB1714" w:rsidRDefault="004674C2" w:rsidP="004674C2">
            <w:pPr>
              <w:rPr>
                <w:rFonts w:ascii="Lato" w:hAnsi="Lato"/>
                <w:sz w:val="22"/>
                <w:szCs w:val="22"/>
              </w:rPr>
            </w:pPr>
          </w:p>
        </w:tc>
      </w:tr>
      <w:tr w:rsidR="004674C2" w:rsidRPr="00CB1714" w14:paraId="19BE01C3" w14:textId="77777777" w:rsidTr="00990D73">
        <w:tc>
          <w:tcPr>
            <w:tcW w:w="1316" w:type="dxa"/>
          </w:tcPr>
          <w:p w14:paraId="341E0166" w14:textId="77777777" w:rsidR="004674C2" w:rsidRPr="00CB1714" w:rsidRDefault="004674C2" w:rsidP="004674C2">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7E286BF6" w14:textId="77777777" w:rsidR="004674C2" w:rsidRPr="00CB1714" w:rsidRDefault="004674C2" w:rsidP="004674C2">
            <w:pPr>
              <w:rPr>
                <w:rFonts w:ascii="Lato" w:hAnsi="Lato"/>
                <w:sz w:val="22"/>
                <w:szCs w:val="22"/>
              </w:rPr>
            </w:pPr>
            <w:r w:rsidRPr="00CB1714">
              <w:rPr>
                <w:rFonts w:ascii="Lato" w:hAnsi="Lato"/>
                <w:sz w:val="22"/>
                <w:szCs w:val="22"/>
              </w:rPr>
              <w:t>Head office (if different from registered office)</w:t>
            </w:r>
          </w:p>
        </w:tc>
        <w:tc>
          <w:tcPr>
            <w:tcW w:w="3188" w:type="dxa"/>
            <w:tcBorders>
              <w:top w:val="single" w:sz="4" w:space="0" w:color="auto"/>
              <w:left w:val="single" w:sz="4" w:space="0" w:color="auto"/>
              <w:bottom w:val="single" w:sz="4" w:space="0" w:color="auto"/>
              <w:right w:val="single" w:sz="4" w:space="0" w:color="auto"/>
            </w:tcBorders>
          </w:tcPr>
          <w:p w14:paraId="6FC2A843" w14:textId="77777777" w:rsidR="004674C2" w:rsidRPr="00CB1714" w:rsidRDefault="004674C2" w:rsidP="004674C2">
            <w:pPr>
              <w:rPr>
                <w:rFonts w:ascii="Lato" w:hAnsi="Lato"/>
                <w:sz w:val="22"/>
                <w:szCs w:val="22"/>
              </w:rPr>
            </w:pPr>
          </w:p>
        </w:tc>
      </w:tr>
      <w:tr w:rsidR="004674C2" w:rsidRPr="00CB1714" w14:paraId="73673CCC" w14:textId="77777777" w:rsidTr="00990D73">
        <w:tc>
          <w:tcPr>
            <w:tcW w:w="1316" w:type="dxa"/>
          </w:tcPr>
          <w:p w14:paraId="29564D37" w14:textId="77777777" w:rsidR="004674C2" w:rsidRPr="00CB1714" w:rsidRDefault="004674C2" w:rsidP="004674C2">
            <w:pPr>
              <w:jc w:val="right"/>
              <w:rPr>
                <w:rFonts w:ascii="Lato" w:hAnsi="Lato"/>
                <w:sz w:val="22"/>
                <w:szCs w:val="22"/>
              </w:rPr>
            </w:pPr>
          </w:p>
        </w:tc>
        <w:tc>
          <w:tcPr>
            <w:tcW w:w="5891" w:type="dxa"/>
          </w:tcPr>
          <w:p w14:paraId="6EDCF35F"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2D716CCA" w14:textId="77777777" w:rsidR="004674C2" w:rsidRPr="00CB1714" w:rsidRDefault="004674C2" w:rsidP="004674C2">
            <w:pPr>
              <w:rPr>
                <w:rFonts w:ascii="Lato" w:hAnsi="Lato"/>
                <w:sz w:val="22"/>
                <w:szCs w:val="22"/>
              </w:rPr>
            </w:pPr>
          </w:p>
        </w:tc>
      </w:tr>
      <w:tr w:rsidR="004674C2" w:rsidRPr="00CB1714" w14:paraId="45F4276C" w14:textId="77777777" w:rsidTr="00990D73">
        <w:tc>
          <w:tcPr>
            <w:tcW w:w="1316" w:type="dxa"/>
          </w:tcPr>
          <w:p w14:paraId="5A945FE2" w14:textId="77777777" w:rsidR="004674C2" w:rsidRPr="00CB1714" w:rsidRDefault="004674C2" w:rsidP="004674C2">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092F5206" w14:textId="77777777" w:rsidR="004674C2" w:rsidRPr="00CB1714" w:rsidRDefault="004674C2" w:rsidP="004674C2">
            <w:pPr>
              <w:rPr>
                <w:rFonts w:ascii="Lato" w:hAnsi="Lato"/>
                <w:sz w:val="22"/>
                <w:szCs w:val="22"/>
              </w:rPr>
            </w:pPr>
            <w:r w:rsidRPr="00CB1714">
              <w:rPr>
                <w:rFonts w:ascii="Lato" w:hAnsi="Lato"/>
                <w:sz w:val="22"/>
                <w:szCs w:val="22"/>
              </w:rPr>
              <w:t xml:space="preserve">If the management company or general partner is part of a </w:t>
            </w:r>
          </w:p>
        </w:tc>
        <w:tc>
          <w:tcPr>
            <w:tcW w:w="3188" w:type="dxa"/>
            <w:tcBorders>
              <w:top w:val="single" w:sz="4" w:space="0" w:color="auto"/>
              <w:left w:val="single" w:sz="4" w:space="0" w:color="auto"/>
              <w:bottom w:val="single" w:sz="4" w:space="0" w:color="auto"/>
              <w:right w:val="single" w:sz="4" w:space="0" w:color="auto"/>
            </w:tcBorders>
          </w:tcPr>
          <w:p w14:paraId="776A5963" w14:textId="77777777" w:rsidR="004674C2" w:rsidRPr="00CB1714" w:rsidRDefault="004674C2" w:rsidP="004674C2">
            <w:pPr>
              <w:rPr>
                <w:rFonts w:ascii="Lato" w:hAnsi="Lato"/>
                <w:sz w:val="22"/>
                <w:szCs w:val="22"/>
              </w:rPr>
            </w:pPr>
          </w:p>
        </w:tc>
      </w:tr>
      <w:tr w:rsidR="004674C2" w:rsidRPr="00CB1714" w14:paraId="34CC198F" w14:textId="77777777" w:rsidTr="00990D73">
        <w:tc>
          <w:tcPr>
            <w:tcW w:w="1316" w:type="dxa"/>
          </w:tcPr>
          <w:p w14:paraId="429928D6" w14:textId="77777777" w:rsidR="004674C2" w:rsidRPr="00CB1714" w:rsidRDefault="004674C2" w:rsidP="004674C2">
            <w:pPr>
              <w:jc w:val="right"/>
              <w:rPr>
                <w:rFonts w:ascii="Lato" w:hAnsi="Lato"/>
                <w:sz w:val="22"/>
                <w:szCs w:val="22"/>
              </w:rPr>
            </w:pPr>
          </w:p>
        </w:tc>
        <w:tc>
          <w:tcPr>
            <w:tcW w:w="5891" w:type="dxa"/>
          </w:tcPr>
          <w:p w14:paraId="08C061FA" w14:textId="77777777" w:rsidR="004674C2" w:rsidRPr="00CB1714" w:rsidRDefault="004674C2" w:rsidP="004674C2">
            <w:pPr>
              <w:rPr>
                <w:rFonts w:ascii="Lato" w:hAnsi="Lato"/>
                <w:sz w:val="22"/>
                <w:szCs w:val="22"/>
              </w:rPr>
            </w:pPr>
            <w:r w:rsidRPr="00CB1714">
              <w:rPr>
                <w:rFonts w:ascii="Lato" w:hAnsi="Lato"/>
                <w:sz w:val="22"/>
                <w:szCs w:val="22"/>
              </w:rPr>
              <w:t>group, the name of the group</w:t>
            </w:r>
          </w:p>
        </w:tc>
        <w:tc>
          <w:tcPr>
            <w:tcW w:w="3188" w:type="dxa"/>
            <w:tcBorders>
              <w:top w:val="single" w:sz="4" w:space="0" w:color="auto"/>
            </w:tcBorders>
          </w:tcPr>
          <w:p w14:paraId="577B6B31" w14:textId="77777777" w:rsidR="004674C2" w:rsidRPr="00CB1714" w:rsidRDefault="004674C2" w:rsidP="004674C2">
            <w:pPr>
              <w:rPr>
                <w:rFonts w:ascii="Lato" w:hAnsi="Lato"/>
                <w:sz w:val="22"/>
                <w:szCs w:val="22"/>
              </w:rPr>
            </w:pPr>
          </w:p>
        </w:tc>
      </w:tr>
      <w:tr w:rsidR="004674C2" w:rsidRPr="00CB1714" w14:paraId="30E3FD80" w14:textId="77777777" w:rsidTr="00990D73">
        <w:tc>
          <w:tcPr>
            <w:tcW w:w="1316" w:type="dxa"/>
          </w:tcPr>
          <w:p w14:paraId="14FD45DD" w14:textId="77777777" w:rsidR="004674C2" w:rsidRPr="00CB1714" w:rsidRDefault="004674C2" w:rsidP="004674C2">
            <w:pPr>
              <w:jc w:val="right"/>
              <w:rPr>
                <w:rFonts w:ascii="Lato" w:hAnsi="Lato"/>
                <w:sz w:val="22"/>
                <w:szCs w:val="22"/>
              </w:rPr>
            </w:pPr>
          </w:p>
        </w:tc>
        <w:tc>
          <w:tcPr>
            <w:tcW w:w="5891" w:type="dxa"/>
          </w:tcPr>
          <w:p w14:paraId="536DEAA1"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3ACEF6EF" w14:textId="77777777" w:rsidR="004674C2" w:rsidRPr="00CB1714" w:rsidRDefault="004674C2" w:rsidP="004674C2">
            <w:pPr>
              <w:rPr>
                <w:rFonts w:ascii="Lato" w:hAnsi="Lato"/>
                <w:sz w:val="22"/>
                <w:szCs w:val="22"/>
              </w:rPr>
            </w:pPr>
          </w:p>
        </w:tc>
      </w:tr>
      <w:tr w:rsidR="004674C2" w:rsidRPr="00CB1714" w14:paraId="489E6D82" w14:textId="77777777" w:rsidTr="00990D73">
        <w:tc>
          <w:tcPr>
            <w:tcW w:w="1316" w:type="dxa"/>
          </w:tcPr>
          <w:p w14:paraId="3580E6B3" w14:textId="77777777" w:rsidR="004674C2" w:rsidRPr="00CB1714" w:rsidRDefault="004674C2" w:rsidP="004674C2">
            <w:pPr>
              <w:jc w:val="right"/>
              <w:rPr>
                <w:rFonts w:ascii="Lato" w:hAnsi="Lato"/>
                <w:sz w:val="22"/>
                <w:szCs w:val="22"/>
              </w:rPr>
            </w:pPr>
            <w:r w:rsidRPr="00CB1714">
              <w:rPr>
                <w:rFonts w:ascii="Lato" w:hAnsi="Lato"/>
                <w:sz w:val="22"/>
                <w:szCs w:val="22"/>
              </w:rPr>
              <w:t>f)</w:t>
            </w:r>
          </w:p>
        </w:tc>
        <w:tc>
          <w:tcPr>
            <w:tcW w:w="5891" w:type="dxa"/>
            <w:tcBorders>
              <w:right w:val="single" w:sz="4" w:space="0" w:color="auto"/>
            </w:tcBorders>
          </w:tcPr>
          <w:p w14:paraId="2D1F3AA5" w14:textId="77777777" w:rsidR="004674C2" w:rsidRPr="00CB1714" w:rsidRDefault="004674C2" w:rsidP="004674C2">
            <w:pPr>
              <w:rPr>
                <w:rFonts w:ascii="Lato" w:hAnsi="Lato"/>
                <w:sz w:val="22"/>
                <w:szCs w:val="22"/>
              </w:rPr>
            </w:pPr>
            <w:r w:rsidRPr="00CB1714">
              <w:rPr>
                <w:rFonts w:ascii="Lato" w:hAnsi="Lato"/>
                <w:sz w:val="22"/>
                <w:szCs w:val="22"/>
              </w:rPr>
              <w:t xml:space="preserve">Date of incorporation </w:t>
            </w:r>
          </w:p>
        </w:tc>
        <w:tc>
          <w:tcPr>
            <w:tcW w:w="3188" w:type="dxa"/>
            <w:tcBorders>
              <w:top w:val="single" w:sz="4" w:space="0" w:color="auto"/>
              <w:left w:val="single" w:sz="4" w:space="0" w:color="auto"/>
              <w:bottom w:val="single" w:sz="4" w:space="0" w:color="auto"/>
              <w:right w:val="single" w:sz="4" w:space="0" w:color="auto"/>
            </w:tcBorders>
          </w:tcPr>
          <w:p w14:paraId="221988B6" w14:textId="77777777" w:rsidR="004674C2" w:rsidRPr="00CB1714" w:rsidRDefault="004674C2" w:rsidP="004674C2">
            <w:pPr>
              <w:rPr>
                <w:rFonts w:ascii="Lato" w:hAnsi="Lato"/>
                <w:sz w:val="22"/>
                <w:szCs w:val="22"/>
              </w:rPr>
            </w:pPr>
          </w:p>
        </w:tc>
      </w:tr>
      <w:tr w:rsidR="004674C2" w:rsidRPr="00CB1714" w14:paraId="7FCBF2F6" w14:textId="77777777" w:rsidTr="00FB541F">
        <w:trPr>
          <w:trHeight w:val="248"/>
        </w:trPr>
        <w:tc>
          <w:tcPr>
            <w:tcW w:w="1316" w:type="dxa"/>
          </w:tcPr>
          <w:p w14:paraId="00DBE155" w14:textId="77777777" w:rsidR="004674C2" w:rsidRPr="00CB1714" w:rsidRDefault="004674C2" w:rsidP="004674C2">
            <w:pPr>
              <w:rPr>
                <w:rFonts w:ascii="Lato" w:hAnsi="Lato"/>
                <w:sz w:val="22"/>
                <w:szCs w:val="22"/>
              </w:rPr>
            </w:pPr>
          </w:p>
        </w:tc>
        <w:tc>
          <w:tcPr>
            <w:tcW w:w="5891" w:type="dxa"/>
          </w:tcPr>
          <w:p w14:paraId="0E6029D6"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1A31B3D0" w14:textId="77777777" w:rsidR="004674C2" w:rsidRPr="00CB1714" w:rsidRDefault="004674C2" w:rsidP="004674C2">
            <w:pPr>
              <w:rPr>
                <w:rFonts w:ascii="Lato" w:hAnsi="Lato"/>
                <w:sz w:val="22"/>
                <w:szCs w:val="22"/>
              </w:rPr>
            </w:pPr>
          </w:p>
        </w:tc>
      </w:tr>
      <w:tr w:rsidR="004674C2" w:rsidRPr="00CB1714" w14:paraId="5263E0D9" w14:textId="77777777" w:rsidTr="00990D73">
        <w:tc>
          <w:tcPr>
            <w:tcW w:w="1316" w:type="dxa"/>
          </w:tcPr>
          <w:p w14:paraId="4E34B8FF" w14:textId="77777777" w:rsidR="004674C2" w:rsidRPr="00CB1714" w:rsidRDefault="004674C2" w:rsidP="004674C2">
            <w:pPr>
              <w:jc w:val="right"/>
              <w:rPr>
                <w:rFonts w:ascii="Lato" w:hAnsi="Lato"/>
                <w:sz w:val="22"/>
                <w:szCs w:val="22"/>
              </w:rPr>
            </w:pPr>
            <w:r w:rsidRPr="00CB1714">
              <w:rPr>
                <w:rFonts w:ascii="Lato" w:hAnsi="Lato"/>
                <w:sz w:val="22"/>
                <w:szCs w:val="22"/>
              </w:rPr>
              <w:t>g)</w:t>
            </w:r>
          </w:p>
        </w:tc>
        <w:tc>
          <w:tcPr>
            <w:tcW w:w="5891" w:type="dxa"/>
            <w:tcBorders>
              <w:right w:val="single" w:sz="4" w:space="0" w:color="auto"/>
            </w:tcBorders>
          </w:tcPr>
          <w:p w14:paraId="57A9E6FA" w14:textId="77777777" w:rsidR="004674C2" w:rsidRPr="00CB1714" w:rsidRDefault="004674C2" w:rsidP="004674C2">
            <w:pPr>
              <w:rPr>
                <w:rFonts w:ascii="Lato" w:hAnsi="Lato"/>
                <w:sz w:val="22"/>
                <w:szCs w:val="22"/>
              </w:rPr>
            </w:pPr>
            <w:r w:rsidRPr="00CB1714">
              <w:rPr>
                <w:rFonts w:ascii="Lato" w:hAnsi="Lato"/>
                <w:sz w:val="22"/>
                <w:szCs w:val="22"/>
              </w:rPr>
              <w:t>Indication of duration, if limited</w:t>
            </w:r>
          </w:p>
        </w:tc>
        <w:tc>
          <w:tcPr>
            <w:tcW w:w="3188" w:type="dxa"/>
            <w:tcBorders>
              <w:top w:val="single" w:sz="4" w:space="0" w:color="auto"/>
              <w:left w:val="single" w:sz="4" w:space="0" w:color="auto"/>
              <w:bottom w:val="single" w:sz="4" w:space="0" w:color="auto"/>
              <w:right w:val="single" w:sz="4" w:space="0" w:color="auto"/>
            </w:tcBorders>
          </w:tcPr>
          <w:p w14:paraId="2C0EE495" w14:textId="77777777" w:rsidR="004674C2" w:rsidRPr="00CB1714" w:rsidRDefault="004674C2" w:rsidP="004674C2">
            <w:pPr>
              <w:rPr>
                <w:rFonts w:ascii="Lato" w:hAnsi="Lato"/>
                <w:sz w:val="22"/>
                <w:szCs w:val="22"/>
              </w:rPr>
            </w:pPr>
          </w:p>
        </w:tc>
      </w:tr>
      <w:tr w:rsidR="004674C2" w:rsidRPr="00CB1714" w14:paraId="2A10D912" w14:textId="77777777" w:rsidTr="00990D73">
        <w:tc>
          <w:tcPr>
            <w:tcW w:w="1316" w:type="dxa"/>
          </w:tcPr>
          <w:p w14:paraId="5CB5D1ED" w14:textId="77777777" w:rsidR="004674C2" w:rsidRPr="00CB1714" w:rsidRDefault="004674C2" w:rsidP="004674C2">
            <w:pPr>
              <w:jc w:val="right"/>
              <w:rPr>
                <w:rFonts w:ascii="Lato" w:hAnsi="Lato"/>
                <w:sz w:val="22"/>
                <w:szCs w:val="22"/>
              </w:rPr>
            </w:pPr>
          </w:p>
        </w:tc>
        <w:tc>
          <w:tcPr>
            <w:tcW w:w="5891" w:type="dxa"/>
          </w:tcPr>
          <w:p w14:paraId="46435CEB"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21508BD3" w14:textId="77777777" w:rsidR="004674C2" w:rsidRPr="00CB1714" w:rsidRDefault="004674C2" w:rsidP="004674C2">
            <w:pPr>
              <w:rPr>
                <w:rFonts w:ascii="Lato" w:hAnsi="Lato"/>
                <w:sz w:val="22"/>
                <w:szCs w:val="22"/>
              </w:rPr>
            </w:pPr>
          </w:p>
        </w:tc>
      </w:tr>
      <w:tr w:rsidR="004674C2" w:rsidRPr="00CB1714" w14:paraId="476C7EC1" w14:textId="77777777" w:rsidTr="00990D73">
        <w:tc>
          <w:tcPr>
            <w:tcW w:w="1316" w:type="dxa"/>
          </w:tcPr>
          <w:p w14:paraId="636462F3" w14:textId="77777777" w:rsidR="004674C2" w:rsidRPr="00CB1714" w:rsidRDefault="004674C2" w:rsidP="004674C2">
            <w:pPr>
              <w:jc w:val="right"/>
              <w:rPr>
                <w:rFonts w:ascii="Lato" w:hAnsi="Lato"/>
                <w:sz w:val="22"/>
                <w:szCs w:val="22"/>
              </w:rPr>
            </w:pPr>
            <w:r w:rsidRPr="00CB1714">
              <w:rPr>
                <w:rFonts w:ascii="Lato" w:hAnsi="Lato"/>
                <w:sz w:val="22"/>
                <w:szCs w:val="22"/>
              </w:rPr>
              <w:t>h)</w:t>
            </w:r>
          </w:p>
        </w:tc>
        <w:tc>
          <w:tcPr>
            <w:tcW w:w="5891" w:type="dxa"/>
            <w:tcBorders>
              <w:right w:val="single" w:sz="4" w:space="0" w:color="auto"/>
            </w:tcBorders>
          </w:tcPr>
          <w:p w14:paraId="1D34F532" w14:textId="77777777" w:rsidR="004674C2" w:rsidRPr="00CB1714" w:rsidRDefault="004674C2" w:rsidP="004674C2">
            <w:pPr>
              <w:rPr>
                <w:rFonts w:ascii="Lato" w:hAnsi="Lato"/>
                <w:sz w:val="22"/>
                <w:szCs w:val="22"/>
              </w:rPr>
            </w:pPr>
            <w:r w:rsidRPr="00CB1714">
              <w:rPr>
                <w:rFonts w:ascii="Lato" w:hAnsi="Lato"/>
                <w:sz w:val="22"/>
                <w:szCs w:val="22"/>
              </w:rPr>
              <w:t>Names and positions in the management company/general</w:t>
            </w:r>
          </w:p>
        </w:tc>
        <w:tc>
          <w:tcPr>
            <w:tcW w:w="3188" w:type="dxa"/>
            <w:tcBorders>
              <w:top w:val="single" w:sz="4" w:space="0" w:color="auto"/>
              <w:left w:val="single" w:sz="4" w:space="0" w:color="auto"/>
              <w:bottom w:val="single" w:sz="4" w:space="0" w:color="auto"/>
              <w:right w:val="single" w:sz="4" w:space="0" w:color="auto"/>
            </w:tcBorders>
          </w:tcPr>
          <w:p w14:paraId="13AF4EBE" w14:textId="77777777" w:rsidR="004674C2" w:rsidRPr="00CB1714" w:rsidRDefault="004674C2" w:rsidP="004674C2">
            <w:pPr>
              <w:rPr>
                <w:rFonts w:ascii="Lato" w:hAnsi="Lato"/>
                <w:sz w:val="22"/>
                <w:szCs w:val="22"/>
              </w:rPr>
            </w:pPr>
          </w:p>
        </w:tc>
      </w:tr>
      <w:tr w:rsidR="004674C2" w:rsidRPr="00CB1714" w14:paraId="5D0248BF" w14:textId="77777777" w:rsidTr="00990D73">
        <w:tc>
          <w:tcPr>
            <w:tcW w:w="1316" w:type="dxa"/>
          </w:tcPr>
          <w:p w14:paraId="284780A4" w14:textId="77777777" w:rsidR="004674C2" w:rsidRPr="00CB1714" w:rsidRDefault="004674C2" w:rsidP="004674C2">
            <w:pPr>
              <w:jc w:val="right"/>
              <w:rPr>
                <w:rFonts w:ascii="Lato" w:hAnsi="Lato"/>
                <w:sz w:val="22"/>
                <w:szCs w:val="22"/>
              </w:rPr>
            </w:pPr>
          </w:p>
        </w:tc>
        <w:tc>
          <w:tcPr>
            <w:tcW w:w="5891" w:type="dxa"/>
          </w:tcPr>
          <w:p w14:paraId="5A1ED4D7" w14:textId="77777777" w:rsidR="004674C2" w:rsidRPr="00CB1714" w:rsidRDefault="004674C2" w:rsidP="004674C2">
            <w:pPr>
              <w:rPr>
                <w:rFonts w:ascii="Lato" w:hAnsi="Lato"/>
                <w:sz w:val="22"/>
                <w:szCs w:val="22"/>
              </w:rPr>
            </w:pPr>
            <w:r w:rsidRPr="00CB1714">
              <w:rPr>
                <w:rFonts w:ascii="Lato" w:hAnsi="Lato"/>
                <w:sz w:val="22"/>
                <w:szCs w:val="22"/>
              </w:rPr>
              <w:t>partner of members of the administrative management and</w:t>
            </w:r>
          </w:p>
        </w:tc>
        <w:tc>
          <w:tcPr>
            <w:tcW w:w="3188" w:type="dxa"/>
            <w:tcBorders>
              <w:top w:val="single" w:sz="4" w:space="0" w:color="auto"/>
            </w:tcBorders>
          </w:tcPr>
          <w:p w14:paraId="6BD81DF6" w14:textId="77777777" w:rsidR="004674C2" w:rsidRPr="00CB1714" w:rsidRDefault="004674C2" w:rsidP="004674C2">
            <w:pPr>
              <w:rPr>
                <w:rFonts w:ascii="Lato" w:hAnsi="Lato"/>
                <w:sz w:val="22"/>
                <w:szCs w:val="22"/>
              </w:rPr>
            </w:pPr>
          </w:p>
        </w:tc>
      </w:tr>
      <w:tr w:rsidR="004674C2" w:rsidRPr="00CB1714" w14:paraId="070C453D" w14:textId="77777777" w:rsidTr="00990D73">
        <w:tc>
          <w:tcPr>
            <w:tcW w:w="1316" w:type="dxa"/>
          </w:tcPr>
          <w:p w14:paraId="3BADB442" w14:textId="77777777" w:rsidR="004674C2" w:rsidRPr="00CB1714" w:rsidRDefault="004674C2" w:rsidP="004674C2">
            <w:pPr>
              <w:jc w:val="right"/>
              <w:rPr>
                <w:rFonts w:ascii="Lato" w:hAnsi="Lato"/>
                <w:sz w:val="22"/>
                <w:szCs w:val="22"/>
              </w:rPr>
            </w:pPr>
          </w:p>
        </w:tc>
        <w:tc>
          <w:tcPr>
            <w:tcW w:w="5891" w:type="dxa"/>
          </w:tcPr>
          <w:p w14:paraId="11E91EE6" w14:textId="77777777" w:rsidR="004674C2" w:rsidRPr="00CB1714" w:rsidRDefault="004674C2" w:rsidP="004674C2">
            <w:pPr>
              <w:rPr>
                <w:rFonts w:ascii="Lato" w:hAnsi="Lato"/>
                <w:sz w:val="22"/>
                <w:szCs w:val="22"/>
              </w:rPr>
            </w:pPr>
            <w:r w:rsidRPr="00CB1714">
              <w:rPr>
                <w:rFonts w:ascii="Lato" w:hAnsi="Lato"/>
                <w:sz w:val="22"/>
                <w:szCs w:val="22"/>
              </w:rPr>
              <w:t xml:space="preserve">supervisoryfunctions  and disclose their experience past </w:t>
            </w:r>
          </w:p>
        </w:tc>
        <w:tc>
          <w:tcPr>
            <w:tcW w:w="3188" w:type="dxa"/>
          </w:tcPr>
          <w:p w14:paraId="375305A4" w14:textId="77777777" w:rsidR="004674C2" w:rsidRPr="00CB1714" w:rsidRDefault="004674C2" w:rsidP="004674C2">
            <w:pPr>
              <w:rPr>
                <w:rFonts w:ascii="Lato" w:hAnsi="Lato"/>
                <w:sz w:val="22"/>
                <w:szCs w:val="22"/>
              </w:rPr>
            </w:pPr>
          </w:p>
        </w:tc>
      </w:tr>
      <w:tr w:rsidR="004674C2" w:rsidRPr="00CB1714" w14:paraId="347CDFA2" w14:textId="77777777" w:rsidTr="00990D73">
        <w:tc>
          <w:tcPr>
            <w:tcW w:w="1316" w:type="dxa"/>
          </w:tcPr>
          <w:p w14:paraId="7CC8F4C5" w14:textId="77777777" w:rsidR="004674C2" w:rsidRPr="00CB1714" w:rsidRDefault="004674C2" w:rsidP="004674C2">
            <w:pPr>
              <w:jc w:val="right"/>
              <w:rPr>
                <w:rFonts w:ascii="Lato" w:hAnsi="Lato"/>
                <w:sz w:val="22"/>
                <w:szCs w:val="22"/>
              </w:rPr>
            </w:pPr>
          </w:p>
        </w:tc>
        <w:tc>
          <w:tcPr>
            <w:tcW w:w="5891" w:type="dxa"/>
          </w:tcPr>
          <w:p w14:paraId="446331F0" w14:textId="77777777" w:rsidR="004674C2" w:rsidRPr="00CB1714" w:rsidRDefault="004674C2" w:rsidP="004674C2">
            <w:pPr>
              <w:rPr>
                <w:rFonts w:ascii="Lato" w:hAnsi="Lato"/>
                <w:sz w:val="22"/>
                <w:szCs w:val="22"/>
              </w:rPr>
            </w:pPr>
            <w:r w:rsidRPr="00F72ED7">
              <w:rPr>
                <w:rFonts w:ascii="Lato" w:hAnsi="Lato"/>
                <w:sz w:val="22"/>
                <w:szCs w:val="22"/>
              </w:rPr>
              <w:t>and</w:t>
            </w:r>
            <w:r w:rsidRPr="00CB1714">
              <w:rPr>
                <w:rFonts w:ascii="Lato" w:hAnsi="Lato"/>
                <w:sz w:val="22"/>
                <w:szCs w:val="22"/>
              </w:rPr>
              <w:t xml:space="preserve"> present which is relevant to the Qualifying Investor AIF</w:t>
            </w:r>
          </w:p>
        </w:tc>
        <w:tc>
          <w:tcPr>
            <w:tcW w:w="3188" w:type="dxa"/>
          </w:tcPr>
          <w:p w14:paraId="2C7F8E25" w14:textId="77777777" w:rsidR="004674C2" w:rsidRPr="00CB1714" w:rsidRDefault="004674C2" w:rsidP="004674C2">
            <w:pPr>
              <w:rPr>
                <w:rFonts w:ascii="Lato" w:hAnsi="Lato"/>
                <w:sz w:val="22"/>
                <w:szCs w:val="22"/>
              </w:rPr>
            </w:pPr>
          </w:p>
        </w:tc>
      </w:tr>
      <w:tr w:rsidR="004674C2" w:rsidRPr="00CB1714" w14:paraId="02A0FD53" w14:textId="77777777" w:rsidTr="00990D73">
        <w:tc>
          <w:tcPr>
            <w:tcW w:w="1316" w:type="dxa"/>
          </w:tcPr>
          <w:p w14:paraId="359C1A8D" w14:textId="77777777" w:rsidR="004674C2" w:rsidRPr="00CB1714" w:rsidRDefault="004674C2" w:rsidP="004674C2">
            <w:pPr>
              <w:jc w:val="right"/>
              <w:rPr>
                <w:rFonts w:ascii="Lato" w:hAnsi="Lato"/>
                <w:sz w:val="22"/>
                <w:szCs w:val="22"/>
              </w:rPr>
            </w:pPr>
          </w:p>
        </w:tc>
        <w:tc>
          <w:tcPr>
            <w:tcW w:w="5891" w:type="dxa"/>
          </w:tcPr>
          <w:p w14:paraId="40B35EC0"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3C46C930" w14:textId="77777777" w:rsidR="004674C2" w:rsidRPr="00CB1714" w:rsidRDefault="004674C2" w:rsidP="004674C2">
            <w:pPr>
              <w:rPr>
                <w:rFonts w:ascii="Lato" w:hAnsi="Lato"/>
                <w:sz w:val="22"/>
                <w:szCs w:val="22"/>
              </w:rPr>
            </w:pPr>
          </w:p>
        </w:tc>
      </w:tr>
      <w:tr w:rsidR="004674C2" w:rsidRPr="00CB1714" w14:paraId="5E3FA979" w14:textId="77777777" w:rsidTr="00990D73">
        <w:tc>
          <w:tcPr>
            <w:tcW w:w="1316" w:type="dxa"/>
          </w:tcPr>
          <w:p w14:paraId="7523062E"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5BB11948" w14:textId="77777777" w:rsidR="004674C2" w:rsidRPr="00CB1714" w:rsidRDefault="004674C2" w:rsidP="004674C2">
            <w:pPr>
              <w:rPr>
                <w:rFonts w:ascii="Lato" w:hAnsi="Lato"/>
                <w:sz w:val="22"/>
                <w:szCs w:val="22"/>
              </w:rPr>
            </w:pPr>
            <w:r w:rsidRPr="00CB1714">
              <w:rPr>
                <w:rFonts w:ascii="Lato" w:hAnsi="Lato"/>
                <w:sz w:val="22"/>
                <w:szCs w:val="22"/>
              </w:rPr>
              <w:t>The main activities of those in section 2.6.2 (h) outside the</w:t>
            </w:r>
          </w:p>
        </w:tc>
        <w:tc>
          <w:tcPr>
            <w:tcW w:w="3188" w:type="dxa"/>
            <w:tcBorders>
              <w:top w:val="single" w:sz="4" w:space="0" w:color="auto"/>
              <w:left w:val="single" w:sz="4" w:space="0" w:color="auto"/>
              <w:bottom w:val="single" w:sz="4" w:space="0" w:color="auto"/>
              <w:right w:val="single" w:sz="4" w:space="0" w:color="auto"/>
            </w:tcBorders>
          </w:tcPr>
          <w:p w14:paraId="3423D8C4" w14:textId="77777777" w:rsidR="004674C2" w:rsidRPr="00CB1714" w:rsidRDefault="004674C2" w:rsidP="004674C2">
            <w:pPr>
              <w:rPr>
                <w:rFonts w:ascii="Lato" w:hAnsi="Lato"/>
                <w:sz w:val="22"/>
                <w:szCs w:val="22"/>
              </w:rPr>
            </w:pPr>
          </w:p>
        </w:tc>
      </w:tr>
      <w:tr w:rsidR="004674C2" w:rsidRPr="00CB1714" w14:paraId="43FA4D69" w14:textId="77777777" w:rsidTr="00990D73">
        <w:tc>
          <w:tcPr>
            <w:tcW w:w="1316" w:type="dxa"/>
          </w:tcPr>
          <w:p w14:paraId="4B5571BB" w14:textId="77777777" w:rsidR="004674C2" w:rsidRPr="00CB1714" w:rsidRDefault="004674C2" w:rsidP="004674C2">
            <w:pPr>
              <w:jc w:val="right"/>
              <w:rPr>
                <w:rFonts w:ascii="Lato" w:hAnsi="Lato"/>
                <w:sz w:val="22"/>
                <w:szCs w:val="22"/>
              </w:rPr>
            </w:pPr>
          </w:p>
        </w:tc>
        <w:tc>
          <w:tcPr>
            <w:tcW w:w="5891" w:type="dxa"/>
          </w:tcPr>
          <w:p w14:paraId="27F8E68E" w14:textId="77777777" w:rsidR="004674C2" w:rsidRPr="00CB1714" w:rsidRDefault="004674C2" w:rsidP="004674C2">
            <w:pPr>
              <w:rPr>
                <w:rFonts w:ascii="Lato" w:hAnsi="Lato"/>
                <w:sz w:val="22"/>
                <w:szCs w:val="22"/>
              </w:rPr>
            </w:pPr>
            <w:r w:rsidRPr="00CB1714">
              <w:rPr>
                <w:rFonts w:ascii="Lato" w:hAnsi="Lato"/>
                <w:sz w:val="22"/>
                <w:szCs w:val="22"/>
              </w:rPr>
              <w:t xml:space="preserve">management company or general partner which are of </w:t>
            </w:r>
          </w:p>
        </w:tc>
        <w:tc>
          <w:tcPr>
            <w:tcW w:w="3188" w:type="dxa"/>
            <w:tcBorders>
              <w:top w:val="single" w:sz="4" w:space="0" w:color="auto"/>
            </w:tcBorders>
          </w:tcPr>
          <w:p w14:paraId="12B1A457" w14:textId="77777777" w:rsidR="004674C2" w:rsidRPr="00CB1714" w:rsidRDefault="004674C2" w:rsidP="004674C2">
            <w:pPr>
              <w:rPr>
                <w:rFonts w:ascii="Lato" w:hAnsi="Lato"/>
                <w:sz w:val="22"/>
                <w:szCs w:val="22"/>
              </w:rPr>
            </w:pPr>
          </w:p>
        </w:tc>
      </w:tr>
      <w:tr w:rsidR="004674C2" w:rsidRPr="00CB1714" w14:paraId="36A6BAC3" w14:textId="77777777" w:rsidTr="00990D73">
        <w:tc>
          <w:tcPr>
            <w:tcW w:w="1316" w:type="dxa"/>
          </w:tcPr>
          <w:p w14:paraId="74788AA3" w14:textId="77777777" w:rsidR="004674C2" w:rsidRPr="00CB1714" w:rsidRDefault="004674C2" w:rsidP="004674C2">
            <w:pPr>
              <w:jc w:val="right"/>
              <w:rPr>
                <w:rFonts w:ascii="Lato" w:hAnsi="Lato"/>
                <w:sz w:val="22"/>
                <w:szCs w:val="22"/>
              </w:rPr>
            </w:pPr>
          </w:p>
        </w:tc>
        <w:tc>
          <w:tcPr>
            <w:tcW w:w="5891" w:type="dxa"/>
          </w:tcPr>
          <w:p w14:paraId="4F6B72B8" w14:textId="77777777" w:rsidR="004674C2" w:rsidRPr="00CB1714" w:rsidRDefault="004674C2" w:rsidP="004674C2">
            <w:pPr>
              <w:rPr>
                <w:rFonts w:ascii="Lato" w:hAnsi="Lato"/>
                <w:sz w:val="22"/>
                <w:szCs w:val="22"/>
              </w:rPr>
            </w:pPr>
            <w:r w:rsidRPr="00CB1714">
              <w:rPr>
                <w:rFonts w:ascii="Lato" w:hAnsi="Lato"/>
                <w:sz w:val="22"/>
                <w:szCs w:val="22"/>
              </w:rPr>
              <w:t>significance with respect to the management company or</w:t>
            </w:r>
          </w:p>
        </w:tc>
        <w:tc>
          <w:tcPr>
            <w:tcW w:w="3188" w:type="dxa"/>
          </w:tcPr>
          <w:p w14:paraId="681CDF13" w14:textId="77777777" w:rsidR="004674C2" w:rsidRPr="00CB1714" w:rsidRDefault="004674C2" w:rsidP="004674C2">
            <w:pPr>
              <w:rPr>
                <w:rFonts w:ascii="Lato" w:hAnsi="Lato"/>
                <w:sz w:val="22"/>
                <w:szCs w:val="22"/>
              </w:rPr>
            </w:pPr>
          </w:p>
        </w:tc>
      </w:tr>
      <w:tr w:rsidR="004674C2" w:rsidRPr="00CB1714" w14:paraId="74667E9C" w14:textId="77777777" w:rsidTr="00990D73">
        <w:tc>
          <w:tcPr>
            <w:tcW w:w="1316" w:type="dxa"/>
          </w:tcPr>
          <w:p w14:paraId="3557A308" w14:textId="77777777" w:rsidR="004674C2" w:rsidRPr="00CB1714" w:rsidRDefault="004674C2" w:rsidP="004674C2">
            <w:pPr>
              <w:jc w:val="right"/>
              <w:rPr>
                <w:rFonts w:ascii="Lato" w:hAnsi="Lato"/>
                <w:sz w:val="22"/>
                <w:szCs w:val="22"/>
              </w:rPr>
            </w:pPr>
          </w:p>
        </w:tc>
        <w:tc>
          <w:tcPr>
            <w:tcW w:w="5891" w:type="dxa"/>
          </w:tcPr>
          <w:p w14:paraId="7E163BB9" w14:textId="77777777" w:rsidR="004674C2" w:rsidRPr="00CB1714" w:rsidRDefault="004674C2" w:rsidP="004674C2">
            <w:pPr>
              <w:rPr>
                <w:rFonts w:ascii="Lato" w:hAnsi="Lato"/>
                <w:sz w:val="22"/>
                <w:szCs w:val="22"/>
              </w:rPr>
            </w:pPr>
            <w:r w:rsidRPr="00CB1714">
              <w:rPr>
                <w:rFonts w:ascii="Lato" w:hAnsi="Lato"/>
                <w:sz w:val="22"/>
                <w:szCs w:val="22"/>
              </w:rPr>
              <w:t>general partner</w:t>
            </w:r>
          </w:p>
        </w:tc>
        <w:tc>
          <w:tcPr>
            <w:tcW w:w="3188" w:type="dxa"/>
          </w:tcPr>
          <w:p w14:paraId="35FE35E6" w14:textId="77777777" w:rsidR="004674C2" w:rsidRPr="00CB1714" w:rsidRDefault="004674C2" w:rsidP="004674C2">
            <w:pPr>
              <w:rPr>
                <w:rFonts w:ascii="Lato" w:hAnsi="Lato"/>
                <w:sz w:val="22"/>
                <w:szCs w:val="22"/>
              </w:rPr>
            </w:pPr>
          </w:p>
        </w:tc>
      </w:tr>
      <w:tr w:rsidR="004674C2" w:rsidRPr="00CB1714" w14:paraId="6AC730AB" w14:textId="77777777" w:rsidTr="00990D73">
        <w:tc>
          <w:tcPr>
            <w:tcW w:w="1316" w:type="dxa"/>
          </w:tcPr>
          <w:p w14:paraId="1B142082" w14:textId="77777777" w:rsidR="004674C2" w:rsidRPr="00CB1714" w:rsidRDefault="004674C2" w:rsidP="004674C2">
            <w:pPr>
              <w:jc w:val="right"/>
              <w:rPr>
                <w:rFonts w:ascii="Lato" w:hAnsi="Lato"/>
                <w:sz w:val="22"/>
                <w:szCs w:val="22"/>
              </w:rPr>
            </w:pPr>
          </w:p>
        </w:tc>
        <w:tc>
          <w:tcPr>
            <w:tcW w:w="5891" w:type="dxa"/>
          </w:tcPr>
          <w:p w14:paraId="6E2FDC30"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3D1F09C9" w14:textId="77777777" w:rsidR="004674C2" w:rsidRPr="00CB1714" w:rsidRDefault="004674C2" w:rsidP="004674C2">
            <w:pPr>
              <w:rPr>
                <w:rFonts w:ascii="Lato" w:hAnsi="Lato"/>
                <w:sz w:val="22"/>
                <w:szCs w:val="22"/>
              </w:rPr>
            </w:pPr>
          </w:p>
        </w:tc>
      </w:tr>
      <w:tr w:rsidR="004674C2" w:rsidRPr="00CB1714" w14:paraId="0E5CF605" w14:textId="77777777" w:rsidTr="00990D73">
        <w:tc>
          <w:tcPr>
            <w:tcW w:w="1316" w:type="dxa"/>
          </w:tcPr>
          <w:p w14:paraId="76A3095A" w14:textId="77777777" w:rsidR="004674C2" w:rsidRPr="00CB1714" w:rsidRDefault="004674C2" w:rsidP="004674C2">
            <w:pPr>
              <w:jc w:val="right"/>
              <w:rPr>
                <w:rFonts w:ascii="Lato" w:hAnsi="Lato"/>
                <w:sz w:val="22"/>
                <w:szCs w:val="22"/>
              </w:rPr>
            </w:pPr>
            <w:r w:rsidRPr="00CB1714">
              <w:rPr>
                <w:rFonts w:ascii="Lato" w:hAnsi="Lato"/>
                <w:sz w:val="22"/>
                <w:szCs w:val="22"/>
              </w:rPr>
              <w:t>j)</w:t>
            </w:r>
          </w:p>
        </w:tc>
        <w:tc>
          <w:tcPr>
            <w:tcW w:w="5891" w:type="dxa"/>
            <w:tcBorders>
              <w:right w:val="single" w:sz="4" w:space="0" w:color="auto"/>
            </w:tcBorders>
          </w:tcPr>
          <w:p w14:paraId="67AABE00" w14:textId="77777777" w:rsidR="004674C2" w:rsidRPr="00CB1714" w:rsidRDefault="004674C2" w:rsidP="004674C2">
            <w:pPr>
              <w:rPr>
                <w:rFonts w:ascii="Lato" w:hAnsi="Lato"/>
                <w:sz w:val="22"/>
                <w:szCs w:val="22"/>
              </w:rPr>
            </w:pPr>
            <w:r w:rsidRPr="00CB1714">
              <w:rPr>
                <w:rFonts w:ascii="Lato" w:hAnsi="Lato"/>
                <w:sz w:val="22"/>
                <w:szCs w:val="22"/>
              </w:rPr>
              <w:t xml:space="preserve">Amount of prescribed capital and and indicate the amount </w:t>
            </w:r>
          </w:p>
        </w:tc>
        <w:tc>
          <w:tcPr>
            <w:tcW w:w="3188" w:type="dxa"/>
            <w:tcBorders>
              <w:top w:val="single" w:sz="4" w:space="0" w:color="auto"/>
              <w:left w:val="single" w:sz="4" w:space="0" w:color="auto"/>
              <w:bottom w:val="single" w:sz="4" w:space="0" w:color="auto"/>
              <w:right w:val="single" w:sz="4" w:space="0" w:color="auto"/>
            </w:tcBorders>
          </w:tcPr>
          <w:p w14:paraId="1C47ED07" w14:textId="77777777" w:rsidR="004674C2" w:rsidRPr="00CB1714" w:rsidRDefault="004674C2" w:rsidP="004674C2">
            <w:pPr>
              <w:rPr>
                <w:rFonts w:ascii="Lato" w:hAnsi="Lato"/>
                <w:sz w:val="22"/>
                <w:szCs w:val="22"/>
              </w:rPr>
            </w:pPr>
          </w:p>
        </w:tc>
      </w:tr>
      <w:tr w:rsidR="004674C2" w:rsidRPr="00CB1714" w14:paraId="55B81295" w14:textId="77777777" w:rsidTr="004009A0">
        <w:trPr>
          <w:cantSplit/>
          <w:trHeight w:val="253"/>
        </w:trPr>
        <w:tc>
          <w:tcPr>
            <w:tcW w:w="1316" w:type="dxa"/>
          </w:tcPr>
          <w:p w14:paraId="1F56D471" w14:textId="77777777" w:rsidR="004674C2" w:rsidRPr="00CB1714" w:rsidRDefault="004674C2" w:rsidP="004674C2">
            <w:pPr>
              <w:jc w:val="right"/>
              <w:rPr>
                <w:rFonts w:ascii="Lato" w:hAnsi="Lato"/>
                <w:sz w:val="22"/>
                <w:szCs w:val="22"/>
              </w:rPr>
            </w:pPr>
          </w:p>
        </w:tc>
        <w:tc>
          <w:tcPr>
            <w:tcW w:w="5891" w:type="dxa"/>
          </w:tcPr>
          <w:p w14:paraId="6120B67C" w14:textId="77777777" w:rsidR="004674C2" w:rsidRPr="00CB1714" w:rsidRDefault="004674C2" w:rsidP="004674C2">
            <w:pPr>
              <w:rPr>
                <w:rFonts w:ascii="Lato" w:hAnsi="Lato"/>
                <w:sz w:val="22"/>
                <w:szCs w:val="22"/>
              </w:rPr>
            </w:pPr>
            <w:r w:rsidRPr="00F72ED7">
              <w:rPr>
                <w:rFonts w:ascii="Lato" w:hAnsi="Lato"/>
                <w:sz w:val="22"/>
                <w:szCs w:val="22"/>
              </w:rPr>
              <w:t>of</w:t>
            </w:r>
            <w:r w:rsidRPr="00CB1714">
              <w:rPr>
                <w:rFonts w:ascii="Lato" w:hAnsi="Lato"/>
                <w:sz w:val="22"/>
                <w:szCs w:val="22"/>
              </w:rPr>
              <w:t xml:space="preserve"> capital paid up</w:t>
            </w:r>
          </w:p>
        </w:tc>
        <w:tc>
          <w:tcPr>
            <w:tcW w:w="3188" w:type="dxa"/>
            <w:tcBorders>
              <w:top w:val="single" w:sz="4" w:space="0" w:color="auto"/>
            </w:tcBorders>
          </w:tcPr>
          <w:p w14:paraId="3F059F2B" w14:textId="77777777" w:rsidR="004674C2" w:rsidRPr="00CB1714" w:rsidRDefault="004674C2" w:rsidP="004674C2">
            <w:pPr>
              <w:rPr>
                <w:rFonts w:ascii="Lato" w:hAnsi="Lato"/>
                <w:sz w:val="22"/>
                <w:szCs w:val="22"/>
              </w:rPr>
            </w:pPr>
          </w:p>
        </w:tc>
      </w:tr>
      <w:tr w:rsidR="004674C2" w:rsidRPr="00CB1714" w14:paraId="2FB7DC54" w14:textId="77777777" w:rsidTr="00990D73">
        <w:tc>
          <w:tcPr>
            <w:tcW w:w="1316" w:type="dxa"/>
          </w:tcPr>
          <w:p w14:paraId="11ADAF6E" w14:textId="77777777" w:rsidR="004674C2" w:rsidRPr="00CB1714" w:rsidRDefault="004674C2" w:rsidP="004674C2">
            <w:pPr>
              <w:rPr>
                <w:rFonts w:ascii="Lato" w:hAnsi="Lato"/>
                <w:sz w:val="22"/>
                <w:szCs w:val="22"/>
              </w:rPr>
            </w:pPr>
          </w:p>
        </w:tc>
        <w:tc>
          <w:tcPr>
            <w:tcW w:w="5891" w:type="dxa"/>
          </w:tcPr>
          <w:p w14:paraId="4F2FC582" w14:textId="77777777" w:rsidR="004674C2" w:rsidRPr="00CB1714" w:rsidRDefault="004674C2" w:rsidP="004674C2">
            <w:pPr>
              <w:rPr>
                <w:rFonts w:ascii="Lato" w:hAnsi="Lato"/>
                <w:sz w:val="22"/>
                <w:szCs w:val="22"/>
              </w:rPr>
            </w:pPr>
          </w:p>
        </w:tc>
        <w:tc>
          <w:tcPr>
            <w:tcW w:w="3188" w:type="dxa"/>
          </w:tcPr>
          <w:p w14:paraId="76B8EF0E" w14:textId="77777777" w:rsidR="004674C2" w:rsidRPr="00CB1714" w:rsidRDefault="004674C2" w:rsidP="004674C2">
            <w:pPr>
              <w:rPr>
                <w:rFonts w:ascii="Lato" w:hAnsi="Lato"/>
                <w:sz w:val="22"/>
                <w:szCs w:val="22"/>
              </w:rPr>
            </w:pPr>
          </w:p>
        </w:tc>
      </w:tr>
      <w:tr w:rsidR="004674C2" w:rsidRPr="00CB1714" w14:paraId="36936BEC" w14:textId="77777777" w:rsidTr="00990D73">
        <w:tc>
          <w:tcPr>
            <w:tcW w:w="1316" w:type="dxa"/>
          </w:tcPr>
          <w:p w14:paraId="3B8C6040" w14:textId="77777777" w:rsidR="004674C2" w:rsidRPr="00CB1714" w:rsidRDefault="004674C2" w:rsidP="004674C2">
            <w:pPr>
              <w:rPr>
                <w:rFonts w:ascii="Lato" w:hAnsi="Lato"/>
                <w:bCs/>
                <w:sz w:val="22"/>
                <w:szCs w:val="22"/>
              </w:rPr>
            </w:pPr>
            <w:r w:rsidRPr="00CB1714">
              <w:rPr>
                <w:rFonts w:ascii="Lato" w:hAnsi="Lato"/>
                <w:bCs/>
                <w:sz w:val="22"/>
                <w:szCs w:val="22"/>
              </w:rPr>
              <w:t>2.7.4</w:t>
            </w:r>
          </w:p>
        </w:tc>
        <w:tc>
          <w:tcPr>
            <w:tcW w:w="5891" w:type="dxa"/>
          </w:tcPr>
          <w:p w14:paraId="13555A02" w14:textId="77777777" w:rsidR="004674C2" w:rsidRPr="00CB1714" w:rsidRDefault="004674C2" w:rsidP="004674C2">
            <w:pPr>
              <w:rPr>
                <w:rFonts w:ascii="Lato" w:hAnsi="Lato"/>
                <w:b/>
                <w:bCs/>
                <w:sz w:val="22"/>
                <w:szCs w:val="22"/>
              </w:rPr>
            </w:pPr>
            <w:r w:rsidRPr="00CB1714">
              <w:rPr>
                <w:rFonts w:ascii="Lato" w:hAnsi="Lato"/>
                <w:b/>
                <w:bCs/>
                <w:sz w:val="22"/>
                <w:szCs w:val="22"/>
              </w:rPr>
              <w:t xml:space="preserve">Information concerning the Investment Manager and other Service Providers </w:t>
            </w:r>
          </w:p>
        </w:tc>
        <w:tc>
          <w:tcPr>
            <w:tcW w:w="3188" w:type="dxa"/>
          </w:tcPr>
          <w:p w14:paraId="4C6AC1A3" w14:textId="77777777" w:rsidR="004674C2" w:rsidRPr="00CB1714" w:rsidRDefault="004674C2" w:rsidP="004674C2">
            <w:pPr>
              <w:rPr>
                <w:rFonts w:ascii="Lato" w:hAnsi="Lato"/>
                <w:b/>
                <w:bCs/>
                <w:sz w:val="22"/>
                <w:szCs w:val="22"/>
              </w:rPr>
            </w:pPr>
          </w:p>
        </w:tc>
      </w:tr>
      <w:tr w:rsidR="004674C2" w:rsidRPr="00CB1714" w14:paraId="0CA2F5E0" w14:textId="77777777" w:rsidTr="00990D73">
        <w:tc>
          <w:tcPr>
            <w:tcW w:w="1316" w:type="dxa"/>
          </w:tcPr>
          <w:p w14:paraId="50A0112E" w14:textId="77777777" w:rsidR="004674C2" w:rsidRPr="00CB1714" w:rsidRDefault="004674C2" w:rsidP="004674C2">
            <w:pPr>
              <w:rPr>
                <w:rFonts w:ascii="Lato" w:hAnsi="Lato"/>
                <w:sz w:val="22"/>
                <w:szCs w:val="22"/>
              </w:rPr>
            </w:pPr>
          </w:p>
        </w:tc>
        <w:tc>
          <w:tcPr>
            <w:tcW w:w="5891" w:type="dxa"/>
          </w:tcPr>
          <w:p w14:paraId="27BFE063"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0710052B" w14:textId="77777777" w:rsidR="004674C2" w:rsidRPr="00CB1714" w:rsidRDefault="004674C2" w:rsidP="004674C2">
            <w:pPr>
              <w:rPr>
                <w:rFonts w:ascii="Lato" w:hAnsi="Lato"/>
                <w:b/>
                <w:bCs/>
                <w:sz w:val="22"/>
                <w:szCs w:val="22"/>
              </w:rPr>
            </w:pPr>
          </w:p>
        </w:tc>
      </w:tr>
      <w:tr w:rsidR="004674C2" w:rsidRPr="00CB1714" w14:paraId="1620C201" w14:textId="77777777" w:rsidTr="00990D73">
        <w:tc>
          <w:tcPr>
            <w:tcW w:w="1316" w:type="dxa"/>
          </w:tcPr>
          <w:p w14:paraId="62BF4F24"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604BFDD4" w14:textId="77777777" w:rsidR="004674C2" w:rsidRPr="00CB1714" w:rsidRDefault="004674C2" w:rsidP="004674C2">
            <w:pPr>
              <w:rPr>
                <w:rFonts w:ascii="Lato" w:hAnsi="Lato"/>
                <w:sz w:val="22"/>
                <w:szCs w:val="22"/>
              </w:rPr>
            </w:pPr>
            <w:r w:rsidRPr="00CB1714">
              <w:rPr>
                <w:rFonts w:ascii="Lato" w:hAnsi="Lato"/>
                <w:sz w:val="22"/>
                <w:szCs w:val="22"/>
              </w:rPr>
              <w:t xml:space="preserve">Disclose details of the service providers to the Qualifying </w:t>
            </w:r>
          </w:p>
        </w:tc>
        <w:tc>
          <w:tcPr>
            <w:tcW w:w="3188" w:type="dxa"/>
            <w:tcBorders>
              <w:top w:val="single" w:sz="4" w:space="0" w:color="auto"/>
              <w:left w:val="single" w:sz="4" w:space="0" w:color="auto"/>
              <w:bottom w:val="single" w:sz="4" w:space="0" w:color="auto"/>
              <w:right w:val="single" w:sz="4" w:space="0" w:color="auto"/>
            </w:tcBorders>
          </w:tcPr>
          <w:p w14:paraId="5E55A17B" w14:textId="77777777" w:rsidR="004674C2" w:rsidRPr="00CB1714" w:rsidRDefault="004674C2" w:rsidP="004674C2">
            <w:pPr>
              <w:rPr>
                <w:rFonts w:ascii="Lato" w:hAnsi="Lato"/>
                <w:sz w:val="22"/>
                <w:szCs w:val="22"/>
              </w:rPr>
            </w:pPr>
          </w:p>
        </w:tc>
      </w:tr>
      <w:tr w:rsidR="004674C2" w:rsidRPr="00CB1714" w14:paraId="2CC707C2" w14:textId="77777777" w:rsidTr="00990D73">
        <w:tc>
          <w:tcPr>
            <w:tcW w:w="1316" w:type="dxa"/>
          </w:tcPr>
          <w:p w14:paraId="01BF5D6F" w14:textId="77777777" w:rsidR="004674C2" w:rsidRPr="00CB1714" w:rsidRDefault="004674C2" w:rsidP="004674C2">
            <w:pPr>
              <w:jc w:val="right"/>
              <w:rPr>
                <w:rFonts w:ascii="Lato" w:hAnsi="Lato"/>
                <w:sz w:val="22"/>
                <w:szCs w:val="22"/>
              </w:rPr>
            </w:pPr>
          </w:p>
        </w:tc>
        <w:tc>
          <w:tcPr>
            <w:tcW w:w="5891" w:type="dxa"/>
          </w:tcPr>
          <w:p w14:paraId="2570203A" w14:textId="77777777" w:rsidR="004674C2" w:rsidRPr="00CB1714" w:rsidRDefault="004674C2" w:rsidP="004674C2">
            <w:pPr>
              <w:rPr>
                <w:rFonts w:ascii="Lato" w:hAnsi="Lato"/>
                <w:sz w:val="22"/>
                <w:szCs w:val="22"/>
              </w:rPr>
            </w:pPr>
            <w:r w:rsidRPr="00CB1714">
              <w:rPr>
                <w:rFonts w:ascii="Lato" w:hAnsi="Lato"/>
                <w:sz w:val="22"/>
                <w:szCs w:val="22"/>
              </w:rPr>
              <w:t>Investor AIF</w:t>
            </w:r>
          </w:p>
        </w:tc>
        <w:tc>
          <w:tcPr>
            <w:tcW w:w="3188" w:type="dxa"/>
            <w:tcBorders>
              <w:top w:val="single" w:sz="4" w:space="0" w:color="auto"/>
              <w:bottom w:val="single" w:sz="4" w:space="0" w:color="auto"/>
            </w:tcBorders>
          </w:tcPr>
          <w:p w14:paraId="59910DB0" w14:textId="77777777" w:rsidR="004674C2" w:rsidRPr="00CB1714" w:rsidRDefault="004674C2" w:rsidP="004674C2">
            <w:pPr>
              <w:rPr>
                <w:rFonts w:ascii="Lato" w:hAnsi="Lato"/>
                <w:sz w:val="22"/>
                <w:szCs w:val="22"/>
              </w:rPr>
            </w:pPr>
          </w:p>
        </w:tc>
      </w:tr>
      <w:tr w:rsidR="004674C2" w:rsidRPr="00CB1714" w14:paraId="5EBA237B" w14:textId="77777777" w:rsidTr="00990D73">
        <w:tc>
          <w:tcPr>
            <w:tcW w:w="1316" w:type="dxa"/>
          </w:tcPr>
          <w:p w14:paraId="6A8169C0"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01C2E782" w14:textId="77777777" w:rsidR="004674C2" w:rsidRPr="00CB1714" w:rsidRDefault="004674C2" w:rsidP="004674C2">
            <w:pPr>
              <w:rPr>
                <w:rFonts w:ascii="Lato" w:hAnsi="Lato"/>
                <w:sz w:val="22"/>
                <w:szCs w:val="22"/>
              </w:rPr>
            </w:pPr>
            <w:r w:rsidRPr="00CB1714">
              <w:rPr>
                <w:rFonts w:ascii="Lato" w:hAnsi="Lato"/>
                <w:sz w:val="22"/>
                <w:szCs w:val="22"/>
              </w:rPr>
              <w:t>Name</w:t>
            </w:r>
          </w:p>
        </w:tc>
        <w:tc>
          <w:tcPr>
            <w:tcW w:w="3188" w:type="dxa"/>
            <w:tcBorders>
              <w:top w:val="single" w:sz="4" w:space="0" w:color="auto"/>
              <w:left w:val="single" w:sz="4" w:space="0" w:color="auto"/>
              <w:bottom w:val="single" w:sz="4" w:space="0" w:color="auto"/>
              <w:right w:val="single" w:sz="4" w:space="0" w:color="auto"/>
            </w:tcBorders>
          </w:tcPr>
          <w:p w14:paraId="2D382A43" w14:textId="77777777" w:rsidR="004674C2" w:rsidRPr="00CB1714" w:rsidRDefault="004674C2" w:rsidP="004674C2">
            <w:pPr>
              <w:rPr>
                <w:rFonts w:ascii="Lato" w:hAnsi="Lato"/>
                <w:sz w:val="22"/>
                <w:szCs w:val="22"/>
              </w:rPr>
            </w:pPr>
          </w:p>
        </w:tc>
      </w:tr>
      <w:tr w:rsidR="004674C2" w:rsidRPr="00CB1714" w14:paraId="0E4FE139" w14:textId="77777777" w:rsidTr="004009A0">
        <w:tc>
          <w:tcPr>
            <w:tcW w:w="1316" w:type="dxa"/>
          </w:tcPr>
          <w:p w14:paraId="25F0200B" w14:textId="77777777" w:rsidR="004674C2" w:rsidRPr="00CB1714" w:rsidRDefault="004674C2" w:rsidP="004674C2">
            <w:pPr>
              <w:jc w:val="right"/>
              <w:rPr>
                <w:rFonts w:ascii="Lato" w:hAnsi="Lato"/>
                <w:sz w:val="22"/>
                <w:szCs w:val="22"/>
              </w:rPr>
            </w:pPr>
          </w:p>
        </w:tc>
        <w:tc>
          <w:tcPr>
            <w:tcW w:w="5891" w:type="dxa"/>
          </w:tcPr>
          <w:p w14:paraId="080A113A"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05439FA3" w14:textId="77777777" w:rsidR="004674C2" w:rsidRPr="00CB1714" w:rsidRDefault="004674C2" w:rsidP="004674C2">
            <w:pPr>
              <w:rPr>
                <w:rFonts w:ascii="Lato" w:hAnsi="Lato"/>
                <w:sz w:val="22"/>
                <w:szCs w:val="22"/>
              </w:rPr>
            </w:pPr>
          </w:p>
        </w:tc>
      </w:tr>
      <w:tr w:rsidR="004674C2" w:rsidRPr="00CB1714" w14:paraId="000DA607" w14:textId="77777777" w:rsidTr="004009A0">
        <w:tc>
          <w:tcPr>
            <w:tcW w:w="1316" w:type="dxa"/>
          </w:tcPr>
          <w:p w14:paraId="297FF33E"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2CA35975" w14:textId="77777777" w:rsidR="004674C2" w:rsidRPr="00CB1714" w:rsidRDefault="004674C2" w:rsidP="004674C2">
            <w:pPr>
              <w:rPr>
                <w:rFonts w:ascii="Lato" w:hAnsi="Lato"/>
                <w:sz w:val="22"/>
                <w:szCs w:val="22"/>
              </w:rPr>
            </w:pPr>
            <w:r w:rsidRPr="00CB1714">
              <w:rPr>
                <w:rFonts w:ascii="Lato" w:hAnsi="Lato"/>
                <w:sz w:val="22"/>
                <w:szCs w:val="22"/>
              </w:rPr>
              <w:t>Address</w:t>
            </w:r>
          </w:p>
        </w:tc>
        <w:tc>
          <w:tcPr>
            <w:tcW w:w="3188" w:type="dxa"/>
            <w:tcBorders>
              <w:top w:val="single" w:sz="4" w:space="0" w:color="auto"/>
              <w:left w:val="single" w:sz="4" w:space="0" w:color="auto"/>
              <w:bottom w:val="single" w:sz="4" w:space="0" w:color="auto"/>
              <w:right w:val="single" w:sz="4" w:space="0" w:color="auto"/>
            </w:tcBorders>
          </w:tcPr>
          <w:p w14:paraId="11AB9F5E" w14:textId="77777777" w:rsidR="004674C2" w:rsidRPr="00CB1714" w:rsidRDefault="004674C2" w:rsidP="004674C2">
            <w:pPr>
              <w:rPr>
                <w:rFonts w:ascii="Lato" w:hAnsi="Lato"/>
                <w:sz w:val="22"/>
                <w:szCs w:val="22"/>
              </w:rPr>
            </w:pPr>
          </w:p>
        </w:tc>
      </w:tr>
      <w:tr w:rsidR="004674C2" w:rsidRPr="00CB1714" w14:paraId="4C00D7F3" w14:textId="77777777" w:rsidTr="004009A0">
        <w:tc>
          <w:tcPr>
            <w:tcW w:w="1316" w:type="dxa"/>
          </w:tcPr>
          <w:p w14:paraId="26A71BF5" w14:textId="77777777" w:rsidR="004674C2" w:rsidRPr="00CB1714" w:rsidRDefault="004674C2" w:rsidP="004674C2">
            <w:pPr>
              <w:jc w:val="right"/>
              <w:rPr>
                <w:rFonts w:ascii="Lato" w:hAnsi="Lato"/>
                <w:sz w:val="22"/>
                <w:szCs w:val="22"/>
              </w:rPr>
            </w:pPr>
          </w:p>
        </w:tc>
        <w:tc>
          <w:tcPr>
            <w:tcW w:w="5891" w:type="dxa"/>
          </w:tcPr>
          <w:p w14:paraId="73E84F6F"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23C3D1A" w14:textId="77777777" w:rsidR="004674C2" w:rsidRPr="00CB1714" w:rsidRDefault="004674C2" w:rsidP="004674C2">
            <w:pPr>
              <w:rPr>
                <w:rFonts w:ascii="Lato" w:hAnsi="Lato"/>
                <w:sz w:val="22"/>
                <w:szCs w:val="22"/>
              </w:rPr>
            </w:pPr>
          </w:p>
        </w:tc>
      </w:tr>
      <w:tr w:rsidR="004674C2" w:rsidRPr="00CB1714" w14:paraId="6B2FEADA" w14:textId="77777777" w:rsidTr="004009A0">
        <w:tc>
          <w:tcPr>
            <w:tcW w:w="1316" w:type="dxa"/>
          </w:tcPr>
          <w:p w14:paraId="57696662" w14:textId="77777777" w:rsidR="004674C2" w:rsidRPr="00CB1714" w:rsidRDefault="004674C2" w:rsidP="004674C2">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0189A708" w14:textId="77777777" w:rsidR="004674C2" w:rsidRPr="00CB1714" w:rsidRDefault="004674C2" w:rsidP="004674C2">
            <w:pPr>
              <w:rPr>
                <w:rFonts w:ascii="Lato" w:hAnsi="Lato"/>
                <w:sz w:val="22"/>
                <w:szCs w:val="22"/>
              </w:rPr>
            </w:pPr>
            <w:r w:rsidRPr="00CB1714">
              <w:rPr>
                <w:rFonts w:ascii="Lato" w:hAnsi="Lato"/>
                <w:sz w:val="22"/>
                <w:szCs w:val="22"/>
              </w:rPr>
              <w:t>Main Activity</w:t>
            </w:r>
          </w:p>
        </w:tc>
        <w:tc>
          <w:tcPr>
            <w:tcW w:w="3188" w:type="dxa"/>
            <w:tcBorders>
              <w:top w:val="single" w:sz="4" w:space="0" w:color="auto"/>
              <w:left w:val="single" w:sz="4" w:space="0" w:color="auto"/>
              <w:bottom w:val="single" w:sz="4" w:space="0" w:color="auto"/>
              <w:right w:val="single" w:sz="4" w:space="0" w:color="auto"/>
            </w:tcBorders>
          </w:tcPr>
          <w:p w14:paraId="18D980D3" w14:textId="77777777" w:rsidR="004674C2" w:rsidRPr="00CB1714" w:rsidRDefault="004674C2" w:rsidP="004674C2">
            <w:pPr>
              <w:rPr>
                <w:rFonts w:ascii="Lato" w:hAnsi="Lato"/>
                <w:sz w:val="22"/>
                <w:szCs w:val="22"/>
              </w:rPr>
            </w:pPr>
          </w:p>
        </w:tc>
      </w:tr>
      <w:tr w:rsidR="004674C2" w:rsidRPr="00CB1714" w14:paraId="49450E7A" w14:textId="77777777" w:rsidTr="004009A0">
        <w:tc>
          <w:tcPr>
            <w:tcW w:w="1316" w:type="dxa"/>
          </w:tcPr>
          <w:p w14:paraId="2851AE7C" w14:textId="77777777" w:rsidR="004674C2" w:rsidRPr="00CB1714" w:rsidRDefault="004674C2" w:rsidP="004674C2">
            <w:pPr>
              <w:jc w:val="right"/>
              <w:rPr>
                <w:rFonts w:ascii="Lato" w:hAnsi="Lato"/>
                <w:sz w:val="22"/>
                <w:szCs w:val="22"/>
              </w:rPr>
            </w:pPr>
          </w:p>
        </w:tc>
        <w:tc>
          <w:tcPr>
            <w:tcW w:w="5891" w:type="dxa"/>
          </w:tcPr>
          <w:p w14:paraId="609FA1E3"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67126F4F" w14:textId="77777777" w:rsidR="004674C2" w:rsidRPr="00CB1714" w:rsidRDefault="004674C2" w:rsidP="004674C2">
            <w:pPr>
              <w:rPr>
                <w:rFonts w:ascii="Lato" w:hAnsi="Lato"/>
                <w:sz w:val="22"/>
                <w:szCs w:val="22"/>
              </w:rPr>
            </w:pPr>
          </w:p>
        </w:tc>
      </w:tr>
      <w:tr w:rsidR="004674C2" w:rsidRPr="00CB1714" w14:paraId="24166C1C" w14:textId="77777777" w:rsidTr="00990D73">
        <w:tc>
          <w:tcPr>
            <w:tcW w:w="1316" w:type="dxa"/>
          </w:tcPr>
          <w:p w14:paraId="794943EB" w14:textId="77777777" w:rsidR="004674C2" w:rsidRPr="00CB1714" w:rsidRDefault="004674C2" w:rsidP="004674C2">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0ABF9A44" w14:textId="77777777" w:rsidR="004674C2" w:rsidRPr="00CB1714" w:rsidRDefault="004674C2" w:rsidP="004674C2">
            <w:pPr>
              <w:rPr>
                <w:rFonts w:ascii="Lato" w:hAnsi="Lato"/>
                <w:sz w:val="22"/>
                <w:szCs w:val="22"/>
              </w:rPr>
            </w:pPr>
            <w:r w:rsidRPr="00CB1714">
              <w:rPr>
                <w:rFonts w:ascii="Lato" w:hAnsi="Lato"/>
                <w:sz w:val="22"/>
                <w:szCs w:val="22"/>
              </w:rPr>
              <w:t xml:space="preserve">disclose the other </w:t>
            </w:r>
          </w:p>
        </w:tc>
        <w:tc>
          <w:tcPr>
            <w:tcW w:w="3188" w:type="dxa"/>
            <w:tcBorders>
              <w:top w:val="single" w:sz="4" w:space="0" w:color="auto"/>
              <w:left w:val="single" w:sz="4" w:space="0" w:color="auto"/>
              <w:bottom w:val="single" w:sz="4" w:space="0" w:color="auto"/>
              <w:right w:val="single" w:sz="4" w:space="0" w:color="auto"/>
            </w:tcBorders>
          </w:tcPr>
          <w:p w14:paraId="738DDAF9" w14:textId="77777777" w:rsidR="004674C2" w:rsidRPr="00CB1714" w:rsidRDefault="004674C2" w:rsidP="004674C2">
            <w:pPr>
              <w:rPr>
                <w:rFonts w:ascii="Lato" w:hAnsi="Lato"/>
                <w:sz w:val="22"/>
                <w:szCs w:val="22"/>
              </w:rPr>
            </w:pPr>
          </w:p>
        </w:tc>
      </w:tr>
      <w:tr w:rsidR="004674C2" w:rsidRPr="00CB1714" w14:paraId="62626002" w14:textId="77777777" w:rsidTr="00990D73">
        <w:tc>
          <w:tcPr>
            <w:tcW w:w="1316" w:type="dxa"/>
          </w:tcPr>
          <w:p w14:paraId="0B3E2626" w14:textId="77777777" w:rsidR="004674C2" w:rsidRPr="00CB1714" w:rsidRDefault="004674C2" w:rsidP="004674C2">
            <w:pPr>
              <w:jc w:val="right"/>
              <w:rPr>
                <w:rFonts w:ascii="Lato" w:hAnsi="Lato"/>
                <w:sz w:val="22"/>
                <w:szCs w:val="22"/>
              </w:rPr>
            </w:pPr>
          </w:p>
        </w:tc>
        <w:tc>
          <w:tcPr>
            <w:tcW w:w="5891" w:type="dxa"/>
          </w:tcPr>
          <w:p w14:paraId="6A4A2737" w14:textId="77777777" w:rsidR="004674C2" w:rsidRPr="00CB1714" w:rsidRDefault="004674C2" w:rsidP="004674C2">
            <w:pPr>
              <w:rPr>
                <w:rFonts w:ascii="Lato" w:hAnsi="Lato"/>
                <w:sz w:val="22"/>
                <w:szCs w:val="22"/>
              </w:rPr>
            </w:pPr>
            <w:r w:rsidRPr="00CB1714">
              <w:rPr>
                <w:rFonts w:ascii="Lato" w:hAnsi="Lato"/>
                <w:sz w:val="22"/>
                <w:szCs w:val="22"/>
              </w:rPr>
              <w:t>significant activities of any entity performing investment managernent</w:t>
            </w:r>
          </w:p>
        </w:tc>
        <w:tc>
          <w:tcPr>
            <w:tcW w:w="3188" w:type="dxa"/>
            <w:tcBorders>
              <w:top w:val="single" w:sz="4" w:space="0" w:color="auto"/>
            </w:tcBorders>
          </w:tcPr>
          <w:p w14:paraId="39CF57A6" w14:textId="77777777" w:rsidR="004674C2" w:rsidRPr="00CB1714" w:rsidRDefault="004674C2" w:rsidP="004674C2">
            <w:pPr>
              <w:rPr>
                <w:rFonts w:ascii="Lato" w:hAnsi="Lato"/>
                <w:sz w:val="22"/>
                <w:szCs w:val="22"/>
              </w:rPr>
            </w:pPr>
          </w:p>
        </w:tc>
      </w:tr>
      <w:tr w:rsidR="004674C2" w:rsidRPr="00CB1714" w14:paraId="731D7126" w14:textId="77777777" w:rsidTr="00990D73">
        <w:tc>
          <w:tcPr>
            <w:tcW w:w="1316" w:type="dxa"/>
          </w:tcPr>
          <w:p w14:paraId="730A0B5C" w14:textId="77777777" w:rsidR="004674C2" w:rsidRPr="00CB1714" w:rsidRDefault="004674C2" w:rsidP="004674C2">
            <w:pPr>
              <w:rPr>
                <w:rFonts w:ascii="Lato" w:hAnsi="Lato"/>
                <w:sz w:val="22"/>
                <w:szCs w:val="22"/>
              </w:rPr>
            </w:pPr>
          </w:p>
        </w:tc>
        <w:tc>
          <w:tcPr>
            <w:tcW w:w="5891" w:type="dxa"/>
          </w:tcPr>
          <w:p w14:paraId="6362B212" w14:textId="77777777" w:rsidR="004674C2" w:rsidRPr="00CB1714" w:rsidRDefault="004674C2" w:rsidP="004674C2">
            <w:pPr>
              <w:rPr>
                <w:rFonts w:ascii="Lato" w:hAnsi="Lato"/>
                <w:sz w:val="22"/>
                <w:szCs w:val="22"/>
              </w:rPr>
            </w:pPr>
          </w:p>
        </w:tc>
        <w:tc>
          <w:tcPr>
            <w:tcW w:w="3188" w:type="dxa"/>
          </w:tcPr>
          <w:p w14:paraId="5C563ADF" w14:textId="77777777" w:rsidR="004674C2" w:rsidRPr="00CB1714" w:rsidRDefault="004674C2" w:rsidP="004674C2">
            <w:pPr>
              <w:rPr>
                <w:rFonts w:ascii="Lato" w:hAnsi="Lato"/>
                <w:sz w:val="22"/>
                <w:szCs w:val="22"/>
              </w:rPr>
            </w:pPr>
          </w:p>
        </w:tc>
      </w:tr>
      <w:tr w:rsidR="004674C2" w:rsidRPr="00CB1714" w14:paraId="2647A116" w14:textId="77777777" w:rsidTr="00990D73">
        <w:tc>
          <w:tcPr>
            <w:tcW w:w="1316" w:type="dxa"/>
          </w:tcPr>
          <w:p w14:paraId="4B8AAD79" w14:textId="77777777" w:rsidR="004674C2" w:rsidRPr="00CB1714" w:rsidRDefault="004674C2" w:rsidP="004674C2">
            <w:pPr>
              <w:rPr>
                <w:rFonts w:ascii="Lato" w:hAnsi="Lato"/>
                <w:sz w:val="22"/>
                <w:szCs w:val="22"/>
              </w:rPr>
            </w:pPr>
            <w:r w:rsidRPr="00CB1714">
              <w:rPr>
                <w:rFonts w:ascii="Lato" w:hAnsi="Lato"/>
                <w:sz w:val="22"/>
                <w:szCs w:val="22"/>
              </w:rPr>
              <w:t>2.7.5</w:t>
            </w:r>
          </w:p>
        </w:tc>
        <w:tc>
          <w:tcPr>
            <w:tcW w:w="5891" w:type="dxa"/>
          </w:tcPr>
          <w:p w14:paraId="222DDFBD" w14:textId="77777777" w:rsidR="004674C2" w:rsidRPr="00CB1714" w:rsidRDefault="004674C2" w:rsidP="004674C2">
            <w:pPr>
              <w:rPr>
                <w:rFonts w:ascii="Lato" w:hAnsi="Lato"/>
                <w:b/>
                <w:sz w:val="22"/>
                <w:szCs w:val="22"/>
              </w:rPr>
            </w:pPr>
            <w:r w:rsidRPr="00CB1714">
              <w:rPr>
                <w:rFonts w:ascii="Lato" w:hAnsi="Lato"/>
                <w:b/>
                <w:sz w:val="22"/>
                <w:szCs w:val="22"/>
              </w:rPr>
              <w:t>Delegation</w:t>
            </w:r>
          </w:p>
        </w:tc>
        <w:tc>
          <w:tcPr>
            <w:tcW w:w="3188" w:type="dxa"/>
          </w:tcPr>
          <w:p w14:paraId="54ED14E6" w14:textId="77777777" w:rsidR="004674C2" w:rsidRPr="00CB1714" w:rsidRDefault="004674C2" w:rsidP="004674C2">
            <w:pPr>
              <w:rPr>
                <w:rFonts w:ascii="Lato" w:hAnsi="Lato"/>
                <w:sz w:val="22"/>
                <w:szCs w:val="22"/>
              </w:rPr>
            </w:pPr>
          </w:p>
        </w:tc>
      </w:tr>
      <w:tr w:rsidR="004674C2" w:rsidRPr="00CB1714" w14:paraId="0F0426B9" w14:textId="77777777" w:rsidTr="007E3170">
        <w:tc>
          <w:tcPr>
            <w:tcW w:w="1316" w:type="dxa"/>
          </w:tcPr>
          <w:p w14:paraId="24FB8131" w14:textId="77777777" w:rsidR="004674C2" w:rsidRPr="00CB1714" w:rsidRDefault="004674C2" w:rsidP="004674C2">
            <w:pPr>
              <w:rPr>
                <w:rFonts w:ascii="Lato" w:hAnsi="Lato"/>
                <w:sz w:val="22"/>
                <w:szCs w:val="22"/>
              </w:rPr>
            </w:pPr>
            <w:r w:rsidRPr="00CB1714">
              <w:rPr>
                <w:rFonts w:ascii="Lato" w:hAnsi="Lato"/>
                <w:sz w:val="22"/>
                <w:szCs w:val="22"/>
              </w:rPr>
              <w:t>a)</w:t>
            </w:r>
          </w:p>
        </w:tc>
        <w:tc>
          <w:tcPr>
            <w:tcW w:w="5891" w:type="dxa"/>
          </w:tcPr>
          <w:p w14:paraId="5F97F11E" w14:textId="77777777" w:rsidR="004674C2" w:rsidRPr="00CB1714" w:rsidRDefault="004674C2" w:rsidP="004674C2">
            <w:pPr>
              <w:rPr>
                <w:rFonts w:ascii="Lato" w:hAnsi="Lato"/>
                <w:sz w:val="22"/>
                <w:szCs w:val="22"/>
              </w:rPr>
            </w:pPr>
            <w:r w:rsidRPr="00CB1714">
              <w:rPr>
                <w:rFonts w:ascii="Lato" w:hAnsi="Lato"/>
                <w:sz w:val="22"/>
                <w:szCs w:val="22"/>
              </w:rPr>
              <w:t xml:space="preserve">Dislcose a description of : </w:t>
            </w:r>
          </w:p>
        </w:tc>
        <w:tc>
          <w:tcPr>
            <w:tcW w:w="3188" w:type="dxa"/>
            <w:tcBorders>
              <w:bottom w:val="single" w:sz="4" w:space="0" w:color="auto"/>
            </w:tcBorders>
          </w:tcPr>
          <w:p w14:paraId="6309EE34" w14:textId="77777777" w:rsidR="004674C2" w:rsidRPr="00CB1714" w:rsidRDefault="004674C2" w:rsidP="004674C2">
            <w:pPr>
              <w:rPr>
                <w:rFonts w:ascii="Lato" w:hAnsi="Lato"/>
                <w:sz w:val="22"/>
                <w:szCs w:val="22"/>
              </w:rPr>
            </w:pPr>
          </w:p>
        </w:tc>
      </w:tr>
      <w:tr w:rsidR="004674C2" w:rsidRPr="00CB1714" w14:paraId="6AD5F967" w14:textId="77777777" w:rsidTr="00FB541F">
        <w:tc>
          <w:tcPr>
            <w:tcW w:w="1316" w:type="dxa"/>
          </w:tcPr>
          <w:p w14:paraId="2D4E34EA"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2C50C735" w14:textId="77777777" w:rsidR="004674C2" w:rsidRPr="00CB1714" w:rsidRDefault="004674C2" w:rsidP="004674C2">
            <w:pPr>
              <w:rPr>
                <w:rFonts w:ascii="Lato" w:hAnsi="Lato"/>
                <w:sz w:val="22"/>
                <w:szCs w:val="22"/>
              </w:rPr>
            </w:pPr>
            <w:r w:rsidRPr="00CB1714">
              <w:rPr>
                <w:rFonts w:ascii="Lato" w:hAnsi="Lato"/>
                <w:sz w:val="22"/>
                <w:szCs w:val="22"/>
              </w:rPr>
              <w:t>(i)any delegated management function  by the AIFM</w:t>
            </w:r>
          </w:p>
        </w:tc>
        <w:tc>
          <w:tcPr>
            <w:tcW w:w="3188" w:type="dxa"/>
            <w:tcBorders>
              <w:top w:val="single" w:sz="4" w:space="0" w:color="auto"/>
              <w:left w:val="single" w:sz="4" w:space="0" w:color="auto"/>
              <w:bottom w:val="single" w:sz="4" w:space="0" w:color="auto"/>
              <w:right w:val="single" w:sz="4" w:space="0" w:color="auto"/>
            </w:tcBorders>
          </w:tcPr>
          <w:p w14:paraId="31F6F9B2" w14:textId="77777777" w:rsidR="004674C2" w:rsidRPr="00CB1714" w:rsidRDefault="004674C2" w:rsidP="004674C2">
            <w:pPr>
              <w:rPr>
                <w:rFonts w:ascii="Lato" w:hAnsi="Lato"/>
                <w:sz w:val="22"/>
                <w:szCs w:val="22"/>
              </w:rPr>
            </w:pPr>
          </w:p>
        </w:tc>
      </w:tr>
      <w:tr w:rsidR="004674C2" w:rsidRPr="00CB1714" w14:paraId="5CCCCF76" w14:textId="77777777" w:rsidTr="00FB541F">
        <w:tc>
          <w:tcPr>
            <w:tcW w:w="1316" w:type="dxa"/>
          </w:tcPr>
          <w:p w14:paraId="2DCDD928"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4D10AD5F" w14:textId="77777777" w:rsidR="004674C2" w:rsidRPr="00CB1714" w:rsidRDefault="004674C2" w:rsidP="004674C2">
            <w:pPr>
              <w:rPr>
                <w:rFonts w:ascii="Lato" w:hAnsi="Lato"/>
                <w:sz w:val="22"/>
                <w:szCs w:val="22"/>
              </w:rPr>
            </w:pPr>
            <w:r w:rsidRPr="00CB1714">
              <w:rPr>
                <w:rFonts w:ascii="Lato" w:hAnsi="Lato"/>
                <w:sz w:val="22"/>
                <w:szCs w:val="22"/>
              </w:rPr>
              <w:t>(ii)any safe-keeping funcation delegated by the depositary</w:t>
            </w:r>
          </w:p>
        </w:tc>
        <w:tc>
          <w:tcPr>
            <w:tcW w:w="3188" w:type="dxa"/>
            <w:tcBorders>
              <w:top w:val="single" w:sz="4" w:space="0" w:color="auto"/>
              <w:left w:val="single" w:sz="4" w:space="0" w:color="auto"/>
              <w:bottom w:val="single" w:sz="4" w:space="0" w:color="auto"/>
              <w:right w:val="single" w:sz="4" w:space="0" w:color="auto"/>
            </w:tcBorders>
          </w:tcPr>
          <w:p w14:paraId="13D7E730" w14:textId="77777777" w:rsidR="004674C2" w:rsidRPr="00CB1714" w:rsidRDefault="004674C2" w:rsidP="004674C2">
            <w:pPr>
              <w:rPr>
                <w:rFonts w:ascii="Lato" w:hAnsi="Lato"/>
                <w:sz w:val="22"/>
                <w:szCs w:val="22"/>
              </w:rPr>
            </w:pPr>
          </w:p>
        </w:tc>
      </w:tr>
      <w:tr w:rsidR="004674C2" w:rsidRPr="00CB1714" w14:paraId="05AC2687" w14:textId="77777777" w:rsidTr="00FB541F">
        <w:tc>
          <w:tcPr>
            <w:tcW w:w="1316" w:type="dxa"/>
          </w:tcPr>
          <w:p w14:paraId="383FD675" w14:textId="77777777" w:rsidR="004674C2" w:rsidRPr="00CB1714" w:rsidRDefault="004674C2" w:rsidP="004674C2">
            <w:pPr>
              <w:rPr>
                <w:rFonts w:ascii="Lato" w:hAnsi="Lato"/>
                <w:sz w:val="22"/>
                <w:szCs w:val="22"/>
              </w:rPr>
            </w:pPr>
          </w:p>
        </w:tc>
        <w:tc>
          <w:tcPr>
            <w:tcW w:w="5891" w:type="dxa"/>
          </w:tcPr>
          <w:p w14:paraId="04131243"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6AB039F4" w14:textId="77777777" w:rsidR="004674C2" w:rsidRPr="00CB1714" w:rsidRDefault="004674C2" w:rsidP="004674C2">
            <w:pPr>
              <w:rPr>
                <w:rFonts w:ascii="Lato" w:hAnsi="Lato"/>
                <w:sz w:val="22"/>
                <w:szCs w:val="22"/>
              </w:rPr>
            </w:pPr>
          </w:p>
        </w:tc>
      </w:tr>
      <w:tr w:rsidR="004674C2" w:rsidRPr="00CB1714" w14:paraId="267393CE" w14:textId="77777777" w:rsidTr="007E3170">
        <w:tc>
          <w:tcPr>
            <w:tcW w:w="1316" w:type="dxa"/>
          </w:tcPr>
          <w:p w14:paraId="384EB733" w14:textId="77777777" w:rsidR="004674C2" w:rsidRPr="00CB1714" w:rsidRDefault="004674C2" w:rsidP="004674C2">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3ED6F52C" w14:textId="77777777" w:rsidR="004674C2" w:rsidRPr="00CB1714" w:rsidRDefault="004674C2" w:rsidP="004674C2">
            <w:pPr>
              <w:rPr>
                <w:rFonts w:ascii="Lato" w:hAnsi="Lato"/>
                <w:sz w:val="22"/>
                <w:szCs w:val="22"/>
              </w:rPr>
            </w:pPr>
            <w:r w:rsidRPr="00CB1714">
              <w:rPr>
                <w:rFonts w:ascii="Lato" w:hAnsi="Lato"/>
                <w:sz w:val="22"/>
                <w:szCs w:val="22"/>
              </w:rPr>
              <w:t>Disclose (i) the identification of the delegate</w:t>
            </w:r>
          </w:p>
        </w:tc>
        <w:tc>
          <w:tcPr>
            <w:tcW w:w="3188" w:type="dxa"/>
            <w:tcBorders>
              <w:top w:val="single" w:sz="4" w:space="0" w:color="auto"/>
              <w:left w:val="single" w:sz="4" w:space="0" w:color="auto"/>
              <w:bottom w:val="single" w:sz="4" w:space="0" w:color="auto"/>
              <w:right w:val="single" w:sz="4" w:space="0" w:color="auto"/>
            </w:tcBorders>
          </w:tcPr>
          <w:p w14:paraId="57886410" w14:textId="77777777" w:rsidR="004674C2" w:rsidRPr="00CB1714" w:rsidRDefault="004674C2" w:rsidP="004674C2">
            <w:pPr>
              <w:rPr>
                <w:rFonts w:ascii="Lato" w:hAnsi="Lato"/>
                <w:sz w:val="22"/>
                <w:szCs w:val="22"/>
              </w:rPr>
            </w:pPr>
          </w:p>
        </w:tc>
      </w:tr>
      <w:tr w:rsidR="004674C2" w:rsidRPr="00CB1714" w14:paraId="02B9B9C8" w14:textId="77777777" w:rsidTr="007E3170">
        <w:tc>
          <w:tcPr>
            <w:tcW w:w="1316" w:type="dxa"/>
          </w:tcPr>
          <w:p w14:paraId="3AF9FF15"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23BB99C7" w14:textId="77777777" w:rsidR="004674C2" w:rsidRPr="00CB1714" w:rsidRDefault="004674C2" w:rsidP="004674C2">
            <w:pPr>
              <w:rPr>
                <w:rFonts w:ascii="Lato" w:hAnsi="Lato"/>
                <w:sz w:val="22"/>
                <w:szCs w:val="22"/>
              </w:rPr>
            </w:pPr>
            <w:r w:rsidRPr="00CB1714">
              <w:rPr>
                <w:rFonts w:ascii="Lato" w:hAnsi="Lato"/>
                <w:sz w:val="22"/>
                <w:szCs w:val="22"/>
              </w:rPr>
              <w:t>(ii)any conflicts of interest that may arise from such delegations</w:t>
            </w:r>
          </w:p>
        </w:tc>
        <w:tc>
          <w:tcPr>
            <w:tcW w:w="3188" w:type="dxa"/>
            <w:tcBorders>
              <w:top w:val="single" w:sz="4" w:space="0" w:color="auto"/>
              <w:left w:val="single" w:sz="4" w:space="0" w:color="auto"/>
              <w:bottom w:val="single" w:sz="4" w:space="0" w:color="auto"/>
              <w:right w:val="single" w:sz="4" w:space="0" w:color="auto"/>
            </w:tcBorders>
          </w:tcPr>
          <w:p w14:paraId="6F073644" w14:textId="77777777" w:rsidR="004674C2" w:rsidRPr="00CB1714" w:rsidRDefault="004674C2" w:rsidP="004674C2">
            <w:pPr>
              <w:rPr>
                <w:rFonts w:ascii="Lato" w:hAnsi="Lato"/>
                <w:sz w:val="22"/>
                <w:szCs w:val="22"/>
              </w:rPr>
            </w:pPr>
          </w:p>
        </w:tc>
      </w:tr>
      <w:tr w:rsidR="004674C2" w:rsidRPr="00CB1714" w14:paraId="66D71C8C" w14:textId="77777777" w:rsidTr="00990D73">
        <w:tc>
          <w:tcPr>
            <w:tcW w:w="1316" w:type="dxa"/>
          </w:tcPr>
          <w:p w14:paraId="2A18D080" w14:textId="77777777" w:rsidR="004674C2" w:rsidRPr="00CB1714" w:rsidRDefault="004674C2" w:rsidP="004674C2">
            <w:pPr>
              <w:rPr>
                <w:rFonts w:ascii="Lato" w:hAnsi="Lato"/>
                <w:sz w:val="22"/>
                <w:szCs w:val="22"/>
              </w:rPr>
            </w:pPr>
          </w:p>
        </w:tc>
        <w:tc>
          <w:tcPr>
            <w:tcW w:w="5891" w:type="dxa"/>
          </w:tcPr>
          <w:p w14:paraId="150383BD" w14:textId="77777777" w:rsidR="004674C2" w:rsidRPr="00CB1714" w:rsidRDefault="004674C2" w:rsidP="004674C2">
            <w:pPr>
              <w:rPr>
                <w:rFonts w:ascii="Lato" w:hAnsi="Lato"/>
                <w:sz w:val="22"/>
                <w:szCs w:val="22"/>
              </w:rPr>
            </w:pPr>
          </w:p>
        </w:tc>
        <w:tc>
          <w:tcPr>
            <w:tcW w:w="3188" w:type="dxa"/>
          </w:tcPr>
          <w:p w14:paraId="42E1ADD8" w14:textId="77777777" w:rsidR="004674C2" w:rsidRPr="00CB1714" w:rsidRDefault="004674C2" w:rsidP="004674C2">
            <w:pPr>
              <w:rPr>
                <w:rFonts w:ascii="Lato" w:hAnsi="Lato"/>
                <w:sz w:val="22"/>
                <w:szCs w:val="22"/>
              </w:rPr>
            </w:pPr>
          </w:p>
        </w:tc>
      </w:tr>
      <w:tr w:rsidR="004674C2" w:rsidRPr="00CB1714" w14:paraId="397E6AB2" w14:textId="77777777" w:rsidTr="00990D73">
        <w:tc>
          <w:tcPr>
            <w:tcW w:w="1316" w:type="dxa"/>
          </w:tcPr>
          <w:p w14:paraId="656F01F8" w14:textId="77777777" w:rsidR="004674C2" w:rsidRPr="00CB1714" w:rsidRDefault="004674C2" w:rsidP="004674C2">
            <w:pPr>
              <w:rPr>
                <w:rFonts w:ascii="Lato" w:hAnsi="Lato"/>
                <w:b/>
                <w:bCs/>
                <w:sz w:val="22"/>
                <w:szCs w:val="22"/>
              </w:rPr>
            </w:pPr>
            <w:r w:rsidRPr="00CB1714">
              <w:rPr>
                <w:rFonts w:ascii="Lato" w:hAnsi="Lato"/>
                <w:b/>
                <w:bCs/>
                <w:sz w:val="22"/>
                <w:szCs w:val="22"/>
              </w:rPr>
              <w:t>2.8</w:t>
            </w:r>
          </w:p>
        </w:tc>
        <w:tc>
          <w:tcPr>
            <w:tcW w:w="5891" w:type="dxa"/>
          </w:tcPr>
          <w:p w14:paraId="6EAB8280" w14:textId="77777777" w:rsidR="004674C2" w:rsidRPr="00CB1714" w:rsidRDefault="004674C2" w:rsidP="004674C2">
            <w:pPr>
              <w:rPr>
                <w:rFonts w:ascii="Lato" w:hAnsi="Lato"/>
                <w:b/>
                <w:bCs/>
                <w:sz w:val="22"/>
                <w:szCs w:val="22"/>
              </w:rPr>
            </w:pPr>
            <w:r w:rsidRPr="00CB1714">
              <w:rPr>
                <w:rFonts w:ascii="Lato" w:hAnsi="Lato"/>
                <w:b/>
                <w:bCs/>
                <w:sz w:val="22"/>
                <w:szCs w:val="22"/>
              </w:rPr>
              <w:t>General Information</w:t>
            </w:r>
          </w:p>
        </w:tc>
        <w:tc>
          <w:tcPr>
            <w:tcW w:w="3188" w:type="dxa"/>
          </w:tcPr>
          <w:p w14:paraId="44BA488F" w14:textId="77777777" w:rsidR="004674C2" w:rsidRPr="00CB1714" w:rsidRDefault="004674C2" w:rsidP="004674C2">
            <w:pPr>
              <w:rPr>
                <w:rFonts w:ascii="Lato" w:hAnsi="Lato"/>
                <w:b/>
                <w:bCs/>
                <w:sz w:val="22"/>
                <w:szCs w:val="22"/>
              </w:rPr>
            </w:pPr>
          </w:p>
        </w:tc>
      </w:tr>
      <w:tr w:rsidR="004674C2" w:rsidRPr="00CB1714" w14:paraId="7B0EA384" w14:textId="77777777" w:rsidTr="00990D73">
        <w:tc>
          <w:tcPr>
            <w:tcW w:w="1316" w:type="dxa"/>
          </w:tcPr>
          <w:p w14:paraId="41CFF2D9" w14:textId="77777777" w:rsidR="004674C2" w:rsidRPr="00CB1714" w:rsidRDefault="004674C2" w:rsidP="004674C2">
            <w:pPr>
              <w:rPr>
                <w:rFonts w:ascii="Lato" w:hAnsi="Lato"/>
                <w:sz w:val="22"/>
                <w:szCs w:val="22"/>
              </w:rPr>
            </w:pPr>
          </w:p>
        </w:tc>
        <w:tc>
          <w:tcPr>
            <w:tcW w:w="5891" w:type="dxa"/>
          </w:tcPr>
          <w:p w14:paraId="61A453E9" w14:textId="77777777" w:rsidR="004674C2" w:rsidRPr="00CB1714" w:rsidRDefault="004674C2" w:rsidP="004674C2">
            <w:pPr>
              <w:rPr>
                <w:rFonts w:ascii="Lato" w:hAnsi="Lato"/>
                <w:sz w:val="22"/>
                <w:szCs w:val="22"/>
              </w:rPr>
            </w:pPr>
          </w:p>
        </w:tc>
        <w:tc>
          <w:tcPr>
            <w:tcW w:w="3188" w:type="dxa"/>
          </w:tcPr>
          <w:p w14:paraId="7833ECC1" w14:textId="77777777" w:rsidR="004674C2" w:rsidRPr="00CB1714" w:rsidRDefault="004674C2" w:rsidP="004674C2">
            <w:pPr>
              <w:rPr>
                <w:rFonts w:ascii="Lato" w:hAnsi="Lato"/>
                <w:sz w:val="22"/>
                <w:szCs w:val="22"/>
              </w:rPr>
            </w:pPr>
          </w:p>
        </w:tc>
      </w:tr>
      <w:tr w:rsidR="004674C2" w:rsidRPr="00CB1714" w14:paraId="1104122E" w14:textId="77777777" w:rsidTr="00990D73">
        <w:tc>
          <w:tcPr>
            <w:tcW w:w="1316" w:type="dxa"/>
          </w:tcPr>
          <w:p w14:paraId="7BA40572" w14:textId="77777777" w:rsidR="004674C2" w:rsidRPr="00CB1714" w:rsidRDefault="004674C2" w:rsidP="004674C2">
            <w:pPr>
              <w:rPr>
                <w:rFonts w:ascii="Lato" w:hAnsi="Lato"/>
                <w:sz w:val="22"/>
                <w:szCs w:val="22"/>
              </w:rPr>
            </w:pPr>
            <w:r w:rsidRPr="00CB1714">
              <w:rPr>
                <w:rFonts w:ascii="Lato" w:hAnsi="Lato"/>
                <w:sz w:val="22"/>
                <w:szCs w:val="22"/>
              </w:rPr>
              <w:t>2.8.1</w:t>
            </w:r>
          </w:p>
        </w:tc>
        <w:tc>
          <w:tcPr>
            <w:tcW w:w="5891" w:type="dxa"/>
          </w:tcPr>
          <w:p w14:paraId="5E71E86A"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Conflict of Interests</w:t>
            </w:r>
          </w:p>
        </w:tc>
        <w:tc>
          <w:tcPr>
            <w:tcW w:w="3188" w:type="dxa"/>
            <w:tcBorders>
              <w:bottom w:val="single" w:sz="4" w:space="0" w:color="auto"/>
            </w:tcBorders>
          </w:tcPr>
          <w:p w14:paraId="52EE0A0A" w14:textId="77777777" w:rsidR="004674C2" w:rsidRPr="00CB1714" w:rsidRDefault="004674C2" w:rsidP="004674C2">
            <w:pPr>
              <w:rPr>
                <w:rFonts w:ascii="Lato" w:hAnsi="Lato"/>
                <w:sz w:val="22"/>
                <w:szCs w:val="22"/>
              </w:rPr>
            </w:pPr>
          </w:p>
        </w:tc>
      </w:tr>
      <w:tr w:rsidR="004674C2" w:rsidRPr="00CB1714" w14:paraId="7AC13449" w14:textId="77777777" w:rsidTr="00990D73">
        <w:trPr>
          <w:cantSplit/>
          <w:trHeight w:val="257"/>
        </w:trPr>
        <w:tc>
          <w:tcPr>
            <w:tcW w:w="1316" w:type="dxa"/>
            <w:vMerge w:val="restart"/>
          </w:tcPr>
          <w:p w14:paraId="643A1B71"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vMerge w:val="restart"/>
            <w:tcBorders>
              <w:right w:val="single" w:sz="4" w:space="0" w:color="auto"/>
            </w:tcBorders>
          </w:tcPr>
          <w:p w14:paraId="243BA8C0" w14:textId="77777777" w:rsidR="004674C2" w:rsidRPr="00CB1714" w:rsidRDefault="004674C2" w:rsidP="004674C2">
            <w:pPr>
              <w:rPr>
                <w:rFonts w:ascii="Lato" w:hAnsi="Lato"/>
                <w:sz w:val="22"/>
                <w:szCs w:val="22"/>
              </w:rPr>
            </w:pPr>
            <w:r w:rsidRPr="00CB1714">
              <w:rPr>
                <w:rFonts w:ascii="Lato" w:hAnsi="Lato"/>
                <w:sz w:val="22"/>
                <w:szCs w:val="22"/>
              </w:rPr>
              <w:t>A description of the potential conflicts of interest which could arise between the AIFM, management company or general partner and investment manager and the Qualifying Investor AIF</w:t>
            </w:r>
          </w:p>
        </w:tc>
        <w:tc>
          <w:tcPr>
            <w:tcW w:w="3188" w:type="dxa"/>
            <w:tcBorders>
              <w:top w:val="single" w:sz="4" w:space="0" w:color="auto"/>
              <w:bottom w:val="single" w:sz="4" w:space="0" w:color="auto"/>
              <w:right w:val="single" w:sz="4" w:space="0" w:color="auto"/>
            </w:tcBorders>
          </w:tcPr>
          <w:p w14:paraId="1FC59A67" w14:textId="77777777" w:rsidR="004674C2" w:rsidRPr="00CB1714" w:rsidRDefault="004674C2" w:rsidP="004674C2">
            <w:pPr>
              <w:rPr>
                <w:rFonts w:ascii="Lato" w:hAnsi="Lato"/>
                <w:sz w:val="22"/>
                <w:szCs w:val="22"/>
              </w:rPr>
            </w:pPr>
          </w:p>
        </w:tc>
      </w:tr>
      <w:tr w:rsidR="004674C2" w:rsidRPr="00CB1714" w14:paraId="56056A27" w14:textId="77777777" w:rsidTr="00990D73">
        <w:trPr>
          <w:cantSplit/>
          <w:trHeight w:val="254"/>
        </w:trPr>
        <w:tc>
          <w:tcPr>
            <w:tcW w:w="1316" w:type="dxa"/>
            <w:vMerge/>
          </w:tcPr>
          <w:p w14:paraId="60FFD0AD" w14:textId="77777777" w:rsidR="004674C2" w:rsidRPr="00CB1714" w:rsidRDefault="004674C2" w:rsidP="004674C2">
            <w:pPr>
              <w:jc w:val="right"/>
              <w:rPr>
                <w:rFonts w:ascii="Lato" w:hAnsi="Lato"/>
                <w:sz w:val="22"/>
                <w:szCs w:val="22"/>
              </w:rPr>
            </w:pPr>
          </w:p>
        </w:tc>
        <w:tc>
          <w:tcPr>
            <w:tcW w:w="5891" w:type="dxa"/>
            <w:vMerge/>
          </w:tcPr>
          <w:p w14:paraId="50F555F0"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6EEEB0E6" w14:textId="77777777" w:rsidR="004674C2" w:rsidRPr="00CB1714" w:rsidRDefault="004674C2" w:rsidP="004674C2">
            <w:pPr>
              <w:rPr>
                <w:rFonts w:ascii="Lato" w:hAnsi="Lato"/>
                <w:sz w:val="22"/>
                <w:szCs w:val="22"/>
              </w:rPr>
            </w:pPr>
          </w:p>
        </w:tc>
      </w:tr>
      <w:tr w:rsidR="004674C2" w:rsidRPr="00CB1714" w14:paraId="68244E17" w14:textId="77777777" w:rsidTr="00990D73">
        <w:trPr>
          <w:cantSplit/>
          <w:trHeight w:val="254"/>
        </w:trPr>
        <w:tc>
          <w:tcPr>
            <w:tcW w:w="1316" w:type="dxa"/>
            <w:vMerge/>
          </w:tcPr>
          <w:p w14:paraId="28C64B16" w14:textId="77777777" w:rsidR="004674C2" w:rsidRPr="00CB1714" w:rsidRDefault="004674C2" w:rsidP="004674C2">
            <w:pPr>
              <w:jc w:val="right"/>
              <w:rPr>
                <w:rFonts w:ascii="Lato" w:hAnsi="Lato"/>
                <w:sz w:val="22"/>
                <w:szCs w:val="22"/>
              </w:rPr>
            </w:pPr>
          </w:p>
        </w:tc>
        <w:tc>
          <w:tcPr>
            <w:tcW w:w="5891" w:type="dxa"/>
            <w:vMerge/>
          </w:tcPr>
          <w:p w14:paraId="5A3B5A91" w14:textId="77777777" w:rsidR="004674C2" w:rsidRPr="00CB1714" w:rsidRDefault="004674C2" w:rsidP="004674C2">
            <w:pPr>
              <w:rPr>
                <w:rFonts w:ascii="Lato" w:hAnsi="Lato"/>
                <w:sz w:val="22"/>
                <w:szCs w:val="22"/>
              </w:rPr>
            </w:pPr>
          </w:p>
        </w:tc>
        <w:tc>
          <w:tcPr>
            <w:tcW w:w="3188" w:type="dxa"/>
          </w:tcPr>
          <w:p w14:paraId="320E42C5" w14:textId="77777777" w:rsidR="004674C2" w:rsidRPr="00CB1714" w:rsidRDefault="004674C2" w:rsidP="004674C2">
            <w:pPr>
              <w:rPr>
                <w:rFonts w:ascii="Lato" w:hAnsi="Lato"/>
                <w:sz w:val="22"/>
                <w:szCs w:val="22"/>
              </w:rPr>
            </w:pPr>
          </w:p>
        </w:tc>
      </w:tr>
      <w:tr w:rsidR="004674C2" w:rsidRPr="00CB1714" w14:paraId="7E1B1BE2" w14:textId="77777777" w:rsidTr="00990D73">
        <w:trPr>
          <w:cantSplit/>
          <w:trHeight w:val="254"/>
        </w:trPr>
        <w:tc>
          <w:tcPr>
            <w:tcW w:w="1316" w:type="dxa"/>
            <w:vMerge/>
          </w:tcPr>
          <w:p w14:paraId="53D4AFFB" w14:textId="77777777" w:rsidR="004674C2" w:rsidRPr="00CB1714" w:rsidRDefault="004674C2" w:rsidP="004674C2">
            <w:pPr>
              <w:jc w:val="right"/>
              <w:rPr>
                <w:rFonts w:ascii="Lato" w:hAnsi="Lato"/>
                <w:sz w:val="22"/>
                <w:szCs w:val="22"/>
              </w:rPr>
            </w:pPr>
          </w:p>
        </w:tc>
        <w:tc>
          <w:tcPr>
            <w:tcW w:w="5891" w:type="dxa"/>
            <w:vMerge/>
          </w:tcPr>
          <w:p w14:paraId="2170120B" w14:textId="77777777" w:rsidR="004674C2" w:rsidRPr="00CB1714" w:rsidRDefault="004674C2" w:rsidP="004674C2">
            <w:pPr>
              <w:rPr>
                <w:rFonts w:ascii="Lato" w:hAnsi="Lato"/>
                <w:sz w:val="22"/>
                <w:szCs w:val="22"/>
              </w:rPr>
            </w:pPr>
          </w:p>
        </w:tc>
        <w:tc>
          <w:tcPr>
            <w:tcW w:w="3188" w:type="dxa"/>
          </w:tcPr>
          <w:p w14:paraId="6370EC03" w14:textId="77777777" w:rsidR="004674C2" w:rsidRPr="00CB1714" w:rsidRDefault="004674C2" w:rsidP="004674C2">
            <w:pPr>
              <w:rPr>
                <w:rFonts w:ascii="Lato" w:hAnsi="Lato"/>
                <w:sz w:val="22"/>
                <w:szCs w:val="22"/>
              </w:rPr>
            </w:pPr>
          </w:p>
        </w:tc>
      </w:tr>
      <w:tr w:rsidR="004674C2" w:rsidRPr="00CB1714" w14:paraId="54FC7D1E" w14:textId="77777777" w:rsidTr="00990D73">
        <w:trPr>
          <w:cantSplit/>
          <w:trHeight w:val="255"/>
        </w:trPr>
        <w:tc>
          <w:tcPr>
            <w:tcW w:w="1316" w:type="dxa"/>
            <w:vMerge w:val="restart"/>
          </w:tcPr>
          <w:p w14:paraId="7109A369"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vMerge w:val="restart"/>
            <w:tcBorders>
              <w:right w:val="single" w:sz="4" w:space="0" w:color="auto"/>
            </w:tcBorders>
          </w:tcPr>
          <w:p w14:paraId="19CEEC28" w14:textId="77777777" w:rsidR="004674C2" w:rsidRPr="00CB1714" w:rsidRDefault="004674C2" w:rsidP="004674C2">
            <w:pPr>
              <w:rPr>
                <w:rFonts w:ascii="Lato" w:hAnsi="Lato"/>
                <w:sz w:val="22"/>
                <w:szCs w:val="22"/>
              </w:rPr>
            </w:pPr>
            <w:r w:rsidRPr="00CB1714">
              <w:rPr>
                <w:rFonts w:ascii="Lato" w:hAnsi="Lato"/>
                <w:sz w:val="22"/>
                <w:szCs w:val="22"/>
              </w:rPr>
              <w:t xml:space="preserve">Indicate how these will be resolved  </w:t>
            </w:r>
          </w:p>
        </w:tc>
        <w:tc>
          <w:tcPr>
            <w:tcW w:w="3188" w:type="dxa"/>
            <w:tcBorders>
              <w:top w:val="single" w:sz="4" w:space="0" w:color="auto"/>
              <w:left w:val="single" w:sz="4" w:space="0" w:color="auto"/>
              <w:bottom w:val="single" w:sz="4" w:space="0" w:color="auto"/>
              <w:right w:val="single" w:sz="4" w:space="0" w:color="auto"/>
            </w:tcBorders>
          </w:tcPr>
          <w:p w14:paraId="32467B7F" w14:textId="77777777" w:rsidR="004674C2" w:rsidRPr="00CB1714" w:rsidRDefault="004674C2" w:rsidP="004674C2">
            <w:pPr>
              <w:rPr>
                <w:rFonts w:ascii="Lato" w:hAnsi="Lato"/>
                <w:sz w:val="22"/>
                <w:szCs w:val="22"/>
              </w:rPr>
            </w:pPr>
          </w:p>
        </w:tc>
      </w:tr>
      <w:tr w:rsidR="004674C2" w:rsidRPr="00CB1714" w14:paraId="509C5017" w14:textId="77777777" w:rsidTr="00990D73">
        <w:trPr>
          <w:cantSplit/>
          <w:trHeight w:val="254"/>
        </w:trPr>
        <w:tc>
          <w:tcPr>
            <w:tcW w:w="1316" w:type="dxa"/>
            <w:vMerge/>
          </w:tcPr>
          <w:p w14:paraId="7558DAC3" w14:textId="77777777" w:rsidR="004674C2" w:rsidRPr="00CB1714" w:rsidRDefault="004674C2" w:rsidP="004674C2">
            <w:pPr>
              <w:jc w:val="right"/>
              <w:rPr>
                <w:rFonts w:ascii="Lato" w:hAnsi="Lato"/>
                <w:sz w:val="22"/>
                <w:szCs w:val="22"/>
              </w:rPr>
            </w:pPr>
          </w:p>
        </w:tc>
        <w:tc>
          <w:tcPr>
            <w:tcW w:w="5891" w:type="dxa"/>
            <w:vMerge/>
          </w:tcPr>
          <w:p w14:paraId="6CCD5622"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1C6E5AC1" w14:textId="77777777" w:rsidR="004674C2" w:rsidRPr="00CB1714" w:rsidRDefault="004674C2" w:rsidP="004674C2">
            <w:pPr>
              <w:rPr>
                <w:rFonts w:ascii="Lato" w:hAnsi="Lato"/>
                <w:sz w:val="22"/>
                <w:szCs w:val="22"/>
              </w:rPr>
            </w:pPr>
          </w:p>
        </w:tc>
      </w:tr>
      <w:tr w:rsidR="004674C2" w:rsidRPr="00CB1714" w14:paraId="7695D898" w14:textId="77777777" w:rsidTr="00990D73">
        <w:tc>
          <w:tcPr>
            <w:tcW w:w="1316" w:type="dxa"/>
          </w:tcPr>
          <w:p w14:paraId="17B9621E" w14:textId="77777777" w:rsidR="004674C2" w:rsidRPr="00CB1714" w:rsidRDefault="004674C2" w:rsidP="004674C2">
            <w:pPr>
              <w:rPr>
                <w:rFonts w:ascii="Lato" w:hAnsi="Lato"/>
                <w:sz w:val="22"/>
                <w:szCs w:val="22"/>
              </w:rPr>
            </w:pPr>
            <w:r w:rsidRPr="00CB1714">
              <w:rPr>
                <w:rFonts w:ascii="Lato" w:hAnsi="Lato"/>
                <w:sz w:val="22"/>
                <w:szCs w:val="22"/>
              </w:rPr>
              <w:t>2.8.2     (i)</w:t>
            </w:r>
          </w:p>
        </w:tc>
        <w:tc>
          <w:tcPr>
            <w:tcW w:w="5891" w:type="dxa"/>
            <w:tcBorders>
              <w:right w:val="single" w:sz="4" w:space="0" w:color="auto"/>
            </w:tcBorders>
          </w:tcPr>
          <w:p w14:paraId="3DF5D19F"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Insert a description of how the AIFM ensures a fair treatment of </w:t>
            </w:r>
          </w:p>
        </w:tc>
        <w:tc>
          <w:tcPr>
            <w:tcW w:w="3188" w:type="dxa"/>
            <w:tcBorders>
              <w:top w:val="single" w:sz="4" w:space="0" w:color="auto"/>
              <w:left w:val="single" w:sz="4" w:space="0" w:color="auto"/>
              <w:bottom w:val="single" w:sz="4" w:space="0" w:color="auto"/>
              <w:right w:val="single" w:sz="4" w:space="0" w:color="auto"/>
            </w:tcBorders>
          </w:tcPr>
          <w:p w14:paraId="1A77877F" w14:textId="77777777" w:rsidR="004674C2" w:rsidRPr="00CB1714" w:rsidRDefault="004674C2" w:rsidP="004674C2">
            <w:pPr>
              <w:rPr>
                <w:rFonts w:ascii="Lato" w:hAnsi="Lato"/>
                <w:sz w:val="22"/>
                <w:szCs w:val="22"/>
              </w:rPr>
            </w:pPr>
          </w:p>
        </w:tc>
      </w:tr>
      <w:tr w:rsidR="004674C2" w:rsidRPr="00CB1714" w14:paraId="20FE3C16" w14:textId="77777777" w:rsidTr="00990D73">
        <w:tc>
          <w:tcPr>
            <w:tcW w:w="1316" w:type="dxa"/>
          </w:tcPr>
          <w:p w14:paraId="6DA327AB" w14:textId="77777777" w:rsidR="004674C2" w:rsidRPr="00CB1714" w:rsidRDefault="004674C2" w:rsidP="004674C2">
            <w:pPr>
              <w:rPr>
                <w:rFonts w:ascii="Lato" w:hAnsi="Lato"/>
                <w:sz w:val="22"/>
                <w:szCs w:val="22"/>
              </w:rPr>
            </w:pPr>
          </w:p>
        </w:tc>
        <w:tc>
          <w:tcPr>
            <w:tcW w:w="5891" w:type="dxa"/>
          </w:tcPr>
          <w:p w14:paraId="2735AD0E"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unitholders; and</w:t>
            </w:r>
          </w:p>
        </w:tc>
        <w:tc>
          <w:tcPr>
            <w:tcW w:w="3188" w:type="dxa"/>
            <w:tcBorders>
              <w:top w:val="single" w:sz="4" w:space="0" w:color="auto"/>
              <w:bottom w:val="single" w:sz="4" w:space="0" w:color="auto"/>
            </w:tcBorders>
          </w:tcPr>
          <w:p w14:paraId="513CB525" w14:textId="77777777" w:rsidR="004674C2" w:rsidRPr="00CB1714" w:rsidRDefault="004674C2" w:rsidP="004674C2">
            <w:pPr>
              <w:rPr>
                <w:rFonts w:ascii="Lato" w:hAnsi="Lato"/>
                <w:sz w:val="22"/>
                <w:szCs w:val="22"/>
              </w:rPr>
            </w:pPr>
          </w:p>
        </w:tc>
      </w:tr>
      <w:tr w:rsidR="004674C2" w:rsidRPr="00CB1714" w14:paraId="070D57DC" w14:textId="77777777" w:rsidTr="00990D73">
        <w:tc>
          <w:tcPr>
            <w:tcW w:w="1316" w:type="dxa"/>
          </w:tcPr>
          <w:p w14:paraId="5453E431" w14:textId="77777777" w:rsidR="004674C2" w:rsidRPr="00CB1714" w:rsidRDefault="004674C2" w:rsidP="004674C2">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31662197"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whenever a unitholder obtains preferential treatment or </w:t>
            </w:r>
          </w:p>
        </w:tc>
        <w:tc>
          <w:tcPr>
            <w:tcW w:w="3188" w:type="dxa"/>
            <w:tcBorders>
              <w:top w:val="single" w:sz="4" w:space="0" w:color="auto"/>
              <w:left w:val="single" w:sz="4" w:space="0" w:color="auto"/>
              <w:bottom w:val="single" w:sz="4" w:space="0" w:color="auto"/>
              <w:right w:val="single" w:sz="4" w:space="0" w:color="auto"/>
            </w:tcBorders>
          </w:tcPr>
          <w:p w14:paraId="36236603" w14:textId="77777777" w:rsidR="004674C2" w:rsidRPr="00CB1714" w:rsidRDefault="004674C2" w:rsidP="004674C2">
            <w:pPr>
              <w:rPr>
                <w:rFonts w:ascii="Lato" w:hAnsi="Lato"/>
                <w:sz w:val="22"/>
                <w:szCs w:val="22"/>
              </w:rPr>
            </w:pPr>
          </w:p>
        </w:tc>
      </w:tr>
      <w:tr w:rsidR="004674C2" w:rsidRPr="00CB1714" w14:paraId="56CECEDF" w14:textId="77777777" w:rsidTr="00990D73">
        <w:tc>
          <w:tcPr>
            <w:tcW w:w="1316" w:type="dxa"/>
          </w:tcPr>
          <w:p w14:paraId="25F05370" w14:textId="77777777" w:rsidR="004674C2" w:rsidRPr="00CB1714" w:rsidRDefault="004674C2" w:rsidP="004674C2">
            <w:pPr>
              <w:rPr>
                <w:rFonts w:ascii="Lato" w:hAnsi="Lato"/>
                <w:sz w:val="22"/>
                <w:szCs w:val="22"/>
              </w:rPr>
            </w:pPr>
          </w:p>
        </w:tc>
        <w:tc>
          <w:tcPr>
            <w:tcW w:w="5891" w:type="dxa"/>
          </w:tcPr>
          <w:p w14:paraId="0FBDB23A" w14:textId="77777777" w:rsidR="004674C2" w:rsidRPr="00CB1714" w:rsidRDefault="004674C2" w:rsidP="004674C2">
            <w:pPr>
              <w:pStyle w:val="Heading1"/>
              <w:spacing w:before="0" w:after="0" w:line="240" w:lineRule="auto"/>
              <w:rPr>
                <w:rFonts w:ascii="Lato" w:hAnsi="Lato"/>
                <w:color w:val="auto"/>
                <w:sz w:val="22"/>
                <w:szCs w:val="22"/>
              </w:rPr>
            </w:pPr>
            <w:r w:rsidRPr="00F72ED7">
              <w:rPr>
                <w:rFonts w:ascii="Lato" w:hAnsi="Lato"/>
                <w:color w:val="auto"/>
                <w:sz w:val="22"/>
                <w:szCs w:val="22"/>
              </w:rPr>
              <w:t xml:space="preserve">the right </w:t>
            </w:r>
            <w:r w:rsidRPr="00CB1714">
              <w:rPr>
                <w:rFonts w:ascii="Lato" w:hAnsi="Lato"/>
                <w:color w:val="auto"/>
                <w:sz w:val="22"/>
                <w:szCs w:val="22"/>
              </w:rPr>
              <w:t>to obtain preferential treatment, a description of that preferential treatment, the type of unitholders who obtain such preferential treatment and, where relevant, their legal or economic links with the AIF or AIFM</w:t>
            </w:r>
          </w:p>
        </w:tc>
        <w:tc>
          <w:tcPr>
            <w:tcW w:w="3188" w:type="dxa"/>
            <w:tcBorders>
              <w:top w:val="single" w:sz="4" w:space="0" w:color="auto"/>
            </w:tcBorders>
          </w:tcPr>
          <w:p w14:paraId="7B6B19EF" w14:textId="77777777" w:rsidR="004674C2" w:rsidRPr="00CB1714" w:rsidRDefault="004674C2" w:rsidP="004674C2">
            <w:pPr>
              <w:rPr>
                <w:rFonts w:ascii="Lato" w:hAnsi="Lato"/>
                <w:sz w:val="22"/>
                <w:szCs w:val="22"/>
              </w:rPr>
            </w:pPr>
          </w:p>
        </w:tc>
      </w:tr>
      <w:tr w:rsidR="004674C2" w:rsidRPr="00CB1714" w14:paraId="309F96CD" w14:textId="77777777" w:rsidTr="004009A0">
        <w:tc>
          <w:tcPr>
            <w:tcW w:w="1316" w:type="dxa"/>
          </w:tcPr>
          <w:p w14:paraId="56E33453" w14:textId="77777777" w:rsidR="004674C2" w:rsidRPr="00CB1714" w:rsidRDefault="004674C2" w:rsidP="004674C2">
            <w:pPr>
              <w:rPr>
                <w:rFonts w:ascii="Lato" w:hAnsi="Lato"/>
                <w:sz w:val="22"/>
                <w:szCs w:val="22"/>
              </w:rPr>
            </w:pPr>
          </w:p>
        </w:tc>
        <w:tc>
          <w:tcPr>
            <w:tcW w:w="5891" w:type="dxa"/>
          </w:tcPr>
          <w:p w14:paraId="655B42E5" w14:textId="77777777" w:rsidR="004674C2" w:rsidRPr="00CB1714" w:rsidRDefault="004674C2" w:rsidP="004674C2">
            <w:pPr>
              <w:pStyle w:val="Heading1"/>
              <w:spacing w:before="0" w:after="0" w:line="240" w:lineRule="auto"/>
              <w:rPr>
                <w:rFonts w:ascii="Lato" w:hAnsi="Lato"/>
                <w:color w:val="auto"/>
                <w:sz w:val="22"/>
                <w:szCs w:val="22"/>
              </w:rPr>
            </w:pPr>
          </w:p>
        </w:tc>
        <w:tc>
          <w:tcPr>
            <w:tcW w:w="3188" w:type="dxa"/>
          </w:tcPr>
          <w:p w14:paraId="792236DC" w14:textId="77777777" w:rsidR="004674C2" w:rsidRPr="00CB1714" w:rsidRDefault="004674C2" w:rsidP="004674C2">
            <w:pPr>
              <w:rPr>
                <w:rFonts w:ascii="Lato" w:hAnsi="Lato"/>
                <w:sz w:val="22"/>
                <w:szCs w:val="22"/>
              </w:rPr>
            </w:pPr>
          </w:p>
        </w:tc>
      </w:tr>
      <w:tr w:rsidR="004674C2" w:rsidRPr="00CB1714" w14:paraId="17B210E3" w14:textId="77777777" w:rsidTr="00990D73">
        <w:tc>
          <w:tcPr>
            <w:tcW w:w="1316" w:type="dxa"/>
          </w:tcPr>
          <w:p w14:paraId="7568FA21" w14:textId="77777777" w:rsidR="004674C2" w:rsidRPr="00CB1714" w:rsidRDefault="004674C2" w:rsidP="004674C2">
            <w:pPr>
              <w:rPr>
                <w:rFonts w:ascii="Lato" w:hAnsi="Lato"/>
                <w:b/>
                <w:sz w:val="22"/>
                <w:szCs w:val="22"/>
              </w:rPr>
            </w:pPr>
            <w:r w:rsidRPr="00CB1714">
              <w:rPr>
                <w:rFonts w:ascii="Lato" w:hAnsi="Lato"/>
                <w:b/>
                <w:sz w:val="22"/>
                <w:szCs w:val="22"/>
              </w:rPr>
              <w:t>2.8.3</w:t>
            </w:r>
          </w:p>
        </w:tc>
        <w:tc>
          <w:tcPr>
            <w:tcW w:w="5891" w:type="dxa"/>
          </w:tcPr>
          <w:p w14:paraId="5750C504" w14:textId="77777777" w:rsidR="004674C2" w:rsidRPr="00CB1714" w:rsidRDefault="004674C2" w:rsidP="004674C2">
            <w:pPr>
              <w:pStyle w:val="Heading1"/>
              <w:spacing w:before="0" w:after="0" w:line="240" w:lineRule="auto"/>
              <w:rPr>
                <w:rFonts w:ascii="Lato" w:hAnsi="Lato"/>
                <w:b/>
                <w:color w:val="auto"/>
                <w:sz w:val="22"/>
                <w:szCs w:val="22"/>
              </w:rPr>
            </w:pPr>
            <w:r w:rsidRPr="00CB1714">
              <w:rPr>
                <w:rFonts w:ascii="Lato" w:hAnsi="Lato"/>
                <w:b/>
                <w:color w:val="auto"/>
                <w:sz w:val="22"/>
                <w:szCs w:val="22"/>
              </w:rPr>
              <w:t>Dealings by management company, general partner, depositary, AIFM, investment manager, or by delegates and group companies of these</w:t>
            </w:r>
          </w:p>
        </w:tc>
        <w:tc>
          <w:tcPr>
            <w:tcW w:w="3188" w:type="dxa"/>
            <w:tcBorders>
              <w:bottom w:val="single" w:sz="4" w:space="0" w:color="auto"/>
            </w:tcBorders>
          </w:tcPr>
          <w:p w14:paraId="50A2FC33" w14:textId="77777777" w:rsidR="004674C2" w:rsidRPr="00CB1714" w:rsidRDefault="004674C2" w:rsidP="004674C2">
            <w:pPr>
              <w:rPr>
                <w:rFonts w:ascii="Lato" w:hAnsi="Lato"/>
                <w:sz w:val="22"/>
                <w:szCs w:val="22"/>
              </w:rPr>
            </w:pPr>
          </w:p>
        </w:tc>
      </w:tr>
      <w:tr w:rsidR="004674C2" w:rsidRPr="00CB1714" w14:paraId="2643C89F" w14:textId="77777777" w:rsidTr="00990D73">
        <w:tc>
          <w:tcPr>
            <w:tcW w:w="1316" w:type="dxa"/>
          </w:tcPr>
          <w:p w14:paraId="253E9E92"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6E56132A"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Provide full disclosure where it is envisaged that </w:t>
            </w:r>
          </w:p>
        </w:tc>
        <w:tc>
          <w:tcPr>
            <w:tcW w:w="3188" w:type="dxa"/>
            <w:tcBorders>
              <w:top w:val="single" w:sz="4" w:space="0" w:color="auto"/>
              <w:left w:val="single" w:sz="4" w:space="0" w:color="auto"/>
              <w:bottom w:val="single" w:sz="4" w:space="0" w:color="auto"/>
              <w:right w:val="single" w:sz="4" w:space="0" w:color="auto"/>
            </w:tcBorders>
          </w:tcPr>
          <w:p w14:paraId="772A2113" w14:textId="77777777" w:rsidR="004674C2" w:rsidRPr="00CB1714" w:rsidRDefault="004674C2" w:rsidP="004674C2">
            <w:pPr>
              <w:rPr>
                <w:rFonts w:ascii="Lato" w:hAnsi="Lato"/>
                <w:sz w:val="22"/>
                <w:szCs w:val="22"/>
              </w:rPr>
            </w:pPr>
          </w:p>
        </w:tc>
      </w:tr>
      <w:tr w:rsidR="004674C2" w:rsidRPr="00CB1714" w14:paraId="5BEFD986" w14:textId="77777777" w:rsidTr="00990D73">
        <w:tc>
          <w:tcPr>
            <w:tcW w:w="1316" w:type="dxa"/>
          </w:tcPr>
          <w:p w14:paraId="117432D6" w14:textId="77777777" w:rsidR="004674C2" w:rsidRPr="00CB1714" w:rsidRDefault="004674C2" w:rsidP="004674C2">
            <w:pPr>
              <w:jc w:val="right"/>
              <w:rPr>
                <w:rFonts w:ascii="Lato" w:hAnsi="Lato"/>
                <w:sz w:val="22"/>
                <w:szCs w:val="22"/>
              </w:rPr>
            </w:pPr>
          </w:p>
        </w:tc>
        <w:tc>
          <w:tcPr>
            <w:tcW w:w="5891" w:type="dxa"/>
          </w:tcPr>
          <w:p w14:paraId="31CF02A0" w14:textId="77777777" w:rsidR="004674C2" w:rsidRPr="00CB1714" w:rsidRDefault="004674C2" w:rsidP="004674C2">
            <w:pPr>
              <w:pStyle w:val="Heading1"/>
              <w:spacing w:before="0" w:after="0" w:line="240" w:lineRule="auto"/>
              <w:rPr>
                <w:rFonts w:ascii="Lato" w:hAnsi="Lato"/>
                <w:color w:val="auto"/>
                <w:sz w:val="22"/>
                <w:szCs w:val="22"/>
              </w:rPr>
            </w:pPr>
            <w:r w:rsidRPr="00F72ED7">
              <w:rPr>
                <w:rFonts w:ascii="Lato" w:hAnsi="Lato"/>
                <w:color w:val="auto"/>
                <w:sz w:val="22"/>
                <w:szCs w:val="22"/>
              </w:rPr>
              <w:t xml:space="preserve">transactions </w:t>
            </w:r>
            <w:r w:rsidRPr="00CB1714">
              <w:rPr>
                <w:rFonts w:ascii="Lato" w:hAnsi="Lato"/>
                <w:color w:val="auto"/>
                <w:sz w:val="22"/>
                <w:szCs w:val="22"/>
              </w:rPr>
              <w:t>with a general partner, management company, depositary, AIFM, investment manager, and/or its delegate or associated or group companies may be entered into</w:t>
            </w:r>
          </w:p>
        </w:tc>
        <w:tc>
          <w:tcPr>
            <w:tcW w:w="3188" w:type="dxa"/>
            <w:tcBorders>
              <w:top w:val="single" w:sz="4" w:space="0" w:color="auto"/>
            </w:tcBorders>
          </w:tcPr>
          <w:p w14:paraId="6DA48785" w14:textId="77777777" w:rsidR="004674C2" w:rsidRPr="00CB1714" w:rsidRDefault="004674C2" w:rsidP="004674C2">
            <w:pPr>
              <w:rPr>
                <w:rFonts w:ascii="Lato" w:hAnsi="Lato"/>
                <w:sz w:val="22"/>
                <w:szCs w:val="22"/>
              </w:rPr>
            </w:pPr>
          </w:p>
        </w:tc>
      </w:tr>
      <w:tr w:rsidR="004674C2" w:rsidRPr="00CB1714" w14:paraId="197C4CB9" w14:textId="77777777" w:rsidTr="00990D73">
        <w:tc>
          <w:tcPr>
            <w:tcW w:w="1316" w:type="dxa"/>
          </w:tcPr>
          <w:p w14:paraId="1B78CC37" w14:textId="77777777" w:rsidR="004674C2" w:rsidRPr="00CB1714" w:rsidRDefault="004674C2" w:rsidP="004674C2">
            <w:pPr>
              <w:jc w:val="right"/>
              <w:rPr>
                <w:rFonts w:ascii="Lato" w:hAnsi="Lato"/>
                <w:sz w:val="22"/>
                <w:szCs w:val="22"/>
              </w:rPr>
            </w:pPr>
          </w:p>
        </w:tc>
        <w:tc>
          <w:tcPr>
            <w:tcW w:w="5891" w:type="dxa"/>
          </w:tcPr>
          <w:p w14:paraId="043F07FE" w14:textId="77777777" w:rsidR="004674C2" w:rsidRPr="00CB1714" w:rsidRDefault="004674C2" w:rsidP="004674C2">
            <w:pPr>
              <w:pStyle w:val="Heading1"/>
              <w:spacing w:before="0" w:after="0" w:line="240" w:lineRule="auto"/>
              <w:rPr>
                <w:rFonts w:ascii="Lato" w:hAnsi="Lato"/>
                <w:color w:val="auto"/>
                <w:sz w:val="22"/>
                <w:szCs w:val="22"/>
              </w:rPr>
            </w:pPr>
          </w:p>
        </w:tc>
        <w:tc>
          <w:tcPr>
            <w:tcW w:w="3188" w:type="dxa"/>
          </w:tcPr>
          <w:p w14:paraId="01223C9F" w14:textId="77777777" w:rsidR="004674C2" w:rsidRPr="00CB1714" w:rsidRDefault="004674C2" w:rsidP="004674C2">
            <w:pPr>
              <w:rPr>
                <w:rFonts w:ascii="Lato" w:hAnsi="Lato"/>
                <w:sz w:val="22"/>
                <w:szCs w:val="22"/>
              </w:rPr>
            </w:pPr>
          </w:p>
        </w:tc>
      </w:tr>
      <w:tr w:rsidR="004674C2" w:rsidRPr="00CB1714" w14:paraId="6B0766CD" w14:textId="77777777" w:rsidTr="00990D73">
        <w:trPr>
          <w:cantSplit/>
          <w:trHeight w:val="253"/>
        </w:trPr>
        <w:tc>
          <w:tcPr>
            <w:tcW w:w="1316" w:type="dxa"/>
            <w:vMerge w:val="restart"/>
          </w:tcPr>
          <w:p w14:paraId="50980815" w14:textId="77777777" w:rsidR="004674C2" w:rsidRPr="00CB1714" w:rsidRDefault="004674C2" w:rsidP="004674C2">
            <w:pPr>
              <w:jc w:val="right"/>
              <w:rPr>
                <w:rFonts w:ascii="Lato" w:hAnsi="Lato"/>
                <w:sz w:val="22"/>
                <w:szCs w:val="22"/>
              </w:rPr>
            </w:pPr>
            <w:r w:rsidRPr="00CB1714">
              <w:rPr>
                <w:rFonts w:ascii="Lato" w:hAnsi="Lato"/>
                <w:sz w:val="22"/>
                <w:szCs w:val="22"/>
              </w:rPr>
              <w:t xml:space="preserve">(b) </w:t>
            </w:r>
          </w:p>
        </w:tc>
        <w:tc>
          <w:tcPr>
            <w:tcW w:w="5891" w:type="dxa"/>
            <w:vMerge w:val="restart"/>
          </w:tcPr>
          <w:p w14:paraId="737AFFC8" w14:textId="77777777" w:rsidR="004674C2" w:rsidRPr="00CB1714" w:rsidRDefault="004674C2" w:rsidP="004674C2">
            <w:pPr>
              <w:jc w:val="both"/>
              <w:rPr>
                <w:rFonts w:ascii="Lato" w:hAnsi="Lato"/>
                <w:sz w:val="22"/>
                <w:szCs w:val="22"/>
              </w:rPr>
            </w:pPr>
            <w:r w:rsidRPr="00CB1714">
              <w:rPr>
                <w:rFonts w:ascii="Lato" w:hAnsi="Lato"/>
                <w:sz w:val="22"/>
                <w:szCs w:val="22"/>
              </w:rPr>
              <w:t>Insert:</w:t>
            </w:r>
          </w:p>
          <w:p w14:paraId="50B37E43" w14:textId="77777777" w:rsidR="004674C2" w:rsidRPr="00CB1714" w:rsidRDefault="004674C2" w:rsidP="004674C2">
            <w:pPr>
              <w:jc w:val="both"/>
              <w:rPr>
                <w:rFonts w:ascii="Lato" w:hAnsi="Lato"/>
                <w:sz w:val="22"/>
                <w:szCs w:val="22"/>
              </w:rPr>
            </w:pPr>
            <w:r w:rsidRPr="00CB1714">
              <w:rPr>
                <w:rFonts w:ascii="Lato" w:hAnsi="Lato"/>
                <w:sz w:val="22"/>
                <w:szCs w:val="22"/>
              </w:rPr>
              <w:lastRenderedPageBreak/>
              <w:t xml:space="preserve"> (i) The Qualifying Investor AIF shall only enter into a transaction with a management company, general partner, depositary, AIFM, investment manager or by delegates or group companies of these where it is effected on normal commercial terms negotiated at arm’s length. Transactions must be in the best interests of the unitholders.</w:t>
            </w:r>
          </w:p>
          <w:p w14:paraId="10FFABAE" w14:textId="77777777" w:rsidR="004674C2" w:rsidRPr="00CB1714" w:rsidRDefault="004674C2" w:rsidP="004674C2">
            <w:pPr>
              <w:jc w:val="both"/>
              <w:rPr>
                <w:rFonts w:ascii="Lato" w:hAnsi="Lato"/>
                <w:sz w:val="22"/>
                <w:szCs w:val="22"/>
              </w:rPr>
            </w:pPr>
            <w:r w:rsidRPr="00CB1714" w:rsidDel="000377EC">
              <w:rPr>
                <w:rFonts w:ascii="Lato" w:hAnsi="Lato"/>
                <w:sz w:val="22"/>
                <w:szCs w:val="22"/>
              </w:rPr>
              <w:t xml:space="preserve"> </w:t>
            </w:r>
          </w:p>
        </w:tc>
        <w:tc>
          <w:tcPr>
            <w:tcW w:w="3188" w:type="dxa"/>
            <w:tcBorders>
              <w:bottom w:val="single" w:sz="4" w:space="0" w:color="auto"/>
            </w:tcBorders>
          </w:tcPr>
          <w:p w14:paraId="3B69F5CC" w14:textId="77777777" w:rsidR="004674C2" w:rsidRPr="00CB1714" w:rsidRDefault="004674C2" w:rsidP="004674C2">
            <w:pPr>
              <w:rPr>
                <w:rFonts w:ascii="Lato" w:hAnsi="Lato"/>
                <w:sz w:val="22"/>
                <w:szCs w:val="22"/>
              </w:rPr>
            </w:pPr>
          </w:p>
        </w:tc>
      </w:tr>
      <w:tr w:rsidR="004674C2" w:rsidRPr="00CB1714" w14:paraId="3E9509D4" w14:textId="77777777" w:rsidTr="00990D73">
        <w:trPr>
          <w:cantSplit/>
          <w:trHeight w:val="251"/>
        </w:trPr>
        <w:tc>
          <w:tcPr>
            <w:tcW w:w="1316" w:type="dxa"/>
            <w:vMerge/>
          </w:tcPr>
          <w:p w14:paraId="15FFC28F" w14:textId="77777777" w:rsidR="004674C2" w:rsidRPr="00CB1714" w:rsidRDefault="004674C2" w:rsidP="004674C2">
            <w:pPr>
              <w:jc w:val="right"/>
              <w:rPr>
                <w:rFonts w:ascii="Lato" w:hAnsi="Lato"/>
                <w:sz w:val="22"/>
                <w:szCs w:val="22"/>
              </w:rPr>
            </w:pPr>
          </w:p>
        </w:tc>
        <w:tc>
          <w:tcPr>
            <w:tcW w:w="5891" w:type="dxa"/>
            <w:vMerge/>
            <w:tcBorders>
              <w:right w:val="single" w:sz="4" w:space="0" w:color="auto"/>
            </w:tcBorders>
          </w:tcPr>
          <w:p w14:paraId="0FD793A3" w14:textId="77777777" w:rsidR="004674C2" w:rsidRPr="00CB1714" w:rsidRDefault="004674C2" w:rsidP="004674C2">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5C4783B8" w14:textId="77777777" w:rsidR="004674C2" w:rsidRPr="00CB1714" w:rsidRDefault="004674C2" w:rsidP="004674C2">
            <w:pPr>
              <w:rPr>
                <w:rFonts w:ascii="Lato" w:hAnsi="Lato"/>
                <w:sz w:val="22"/>
                <w:szCs w:val="22"/>
              </w:rPr>
            </w:pPr>
          </w:p>
        </w:tc>
      </w:tr>
      <w:tr w:rsidR="004674C2" w:rsidRPr="00CB1714" w14:paraId="015F95C7" w14:textId="77777777" w:rsidTr="00990D73">
        <w:trPr>
          <w:cantSplit/>
          <w:trHeight w:val="251"/>
        </w:trPr>
        <w:tc>
          <w:tcPr>
            <w:tcW w:w="1316" w:type="dxa"/>
            <w:vMerge/>
          </w:tcPr>
          <w:p w14:paraId="76A6D7A3" w14:textId="77777777" w:rsidR="004674C2" w:rsidRPr="00CB1714" w:rsidRDefault="004674C2" w:rsidP="004674C2">
            <w:pPr>
              <w:jc w:val="right"/>
              <w:rPr>
                <w:rFonts w:ascii="Lato" w:hAnsi="Lato"/>
                <w:sz w:val="22"/>
                <w:szCs w:val="22"/>
              </w:rPr>
            </w:pPr>
          </w:p>
        </w:tc>
        <w:tc>
          <w:tcPr>
            <w:tcW w:w="5891" w:type="dxa"/>
            <w:vMerge/>
          </w:tcPr>
          <w:p w14:paraId="79AB8F4F" w14:textId="77777777" w:rsidR="004674C2" w:rsidRPr="00CB1714" w:rsidRDefault="004674C2" w:rsidP="004674C2">
            <w:pPr>
              <w:jc w:val="both"/>
              <w:rPr>
                <w:rFonts w:ascii="Lato" w:hAnsi="Lato"/>
                <w:sz w:val="22"/>
                <w:szCs w:val="22"/>
              </w:rPr>
            </w:pPr>
          </w:p>
        </w:tc>
        <w:tc>
          <w:tcPr>
            <w:tcW w:w="3188" w:type="dxa"/>
            <w:tcBorders>
              <w:top w:val="single" w:sz="4" w:space="0" w:color="auto"/>
              <w:bottom w:val="single" w:sz="4" w:space="0" w:color="auto"/>
            </w:tcBorders>
          </w:tcPr>
          <w:p w14:paraId="45A5B6B8" w14:textId="77777777" w:rsidR="004674C2" w:rsidRPr="00CB1714" w:rsidRDefault="004674C2" w:rsidP="004674C2">
            <w:pPr>
              <w:rPr>
                <w:rFonts w:ascii="Lato" w:hAnsi="Lato"/>
                <w:sz w:val="22"/>
                <w:szCs w:val="22"/>
              </w:rPr>
            </w:pPr>
          </w:p>
        </w:tc>
      </w:tr>
      <w:tr w:rsidR="004674C2" w:rsidRPr="00CB1714" w14:paraId="1C353F65" w14:textId="77777777" w:rsidTr="00990D73">
        <w:trPr>
          <w:cantSplit/>
          <w:trHeight w:val="251"/>
        </w:trPr>
        <w:tc>
          <w:tcPr>
            <w:tcW w:w="1316" w:type="dxa"/>
          </w:tcPr>
          <w:p w14:paraId="4B019A1B"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1781DB19" w14:textId="77777777" w:rsidR="004674C2" w:rsidRPr="00CB1714" w:rsidRDefault="004674C2" w:rsidP="004674C2">
            <w:pPr>
              <w:jc w:val="both"/>
              <w:rPr>
                <w:rFonts w:ascii="Lato" w:hAnsi="Lato"/>
                <w:sz w:val="22"/>
                <w:szCs w:val="22"/>
              </w:rPr>
            </w:pPr>
            <w:r w:rsidRPr="00CB1714">
              <w:rPr>
                <w:rFonts w:ascii="Lato" w:hAnsi="Lato"/>
                <w:sz w:val="22"/>
                <w:szCs w:val="22"/>
              </w:rPr>
              <w:t>(ii)Transactions permitted are subject to:</w:t>
            </w:r>
          </w:p>
        </w:tc>
        <w:tc>
          <w:tcPr>
            <w:tcW w:w="3188" w:type="dxa"/>
            <w:tcBorders>
              <w:top w:val="single" w:sz="4" w:space="0" w:color="auto"/>
              <w:left w:val="single" w:sz="4" w:space="0" w:color="auto"/>
              <w:bottom w:val="single" w:sz="4" w:space="0" w:color="auto"/>
              <w:right w:val="single" w:sz="4" w:space="0" w:color="auto"/>
            </w:tcBorders>
          </w:tcPr>
          <w:p w14:paraId="6BBF127D" w14:textId="77777777" w:rsidR="004674C2" w:rsidRPr="00CB1714" w:rsidRDefault="004674C2" w:rsidP="004674C2">
            <w:pPr>
              <w:rPr>
                <w:rFonts w:ascii="Lato" w:hAnsi="Lato"/>
                <w:sz w:val="22"/>
                <w:szCs w:val="22"/>
              </w:rPr>
            </w:pPr>
          </w:p>
        </w:tc>
      </w:tr>
      <w:tr w:rsidR="004674C2" w:rsidRPr="00CB1714" w14:paraId="146D17C3" w14:textId="77777777" w:rsidTr="00990D73">
        <w:trPr>
          <w:cantSplit/>
          <w:trHeight w:val="251"/>
        </w:trPr>
        <w:tc>
          <w:tcPr>
            <w:tcW w:w="1316" w:type="dxa"/>
          </w:tcPr>
          <w:p w14:paraId="41CDD471" w14:textId="77777777" w:rsidR="004674C2" w:rsidRPr="00CB1714" w:rsidRDefault="004674C2" w:rsidP="004674C2">
            <w:pPr>
              <w:rPr>
                <w:rFonts w:ascii="Lato" w:hAnsi="Lato"/>
                <w:sz w:val="22"/>
                <w:szCs w:val="22"/>
              </w:rPr>
            </w:pPr>
          </w:p>
        </w:tc>
        <w:tc>
          <w:tcPr>
            <w:tcW w:w="5891" w:type="dxa"/>
          </w:tcPr>
          <w:p w14:paraId="105BC939" w14:textId="77777777" w:rsidR="004674C2" w:rsidRPr="00CB1714" w:rsidRDefault="004674C2" w:rsidP="004674C2">
            <w:pPr>
              <w:jc w:val="both"/>
              <w:rPr>
                <w:rFonts w:ascii="Lato" w:hAnsi="Lato"/>
                <w:sz w:val="22"/>
                <w:szCs w:val="22"/>
              </w:rPr>
            </w:pPr>
            <w:r w:rsidRPr="00CB1714">
              <w:rPr>
                <w:rFonts w:ascii="Lato" w:hAnsi="Lato"/>
                <w:sz w:val="22"/>
                <w:szCs w:val="22"/>
              </w:rPr>
              <w:t>(1) certified valuation by a person approved by the depositary, or the Qualifying Investor AIF in the case of transactions involving the depositary, as independent and competent; or</w:t>
            </w:r>
          </w:p>
          <w:p w14:paraId="2C433ED7" w14:textId="77777777" w:rsidR="004674C2" w:rsidRPr="00CB1714" w:rsidRDefault="004674C2" w:rsidP="004674C2">
            <w:pPr>
              <w:jc w:val="both"/>
              <w:rPr>
                <w:rFonts w:ascii="Lato" w:hAnsi="Lato"/>
                <w:sz w:val="22"/>
                <w:szCs w:val="22"/>
              </w:rPr>
            </w:pPr>
            <w:r w:rsidRPr="00CB1714">
              <w:rPr>
                <w:rFonts w:ascii="Lato" w:hAnsi="Lato"/>
                <w:sz w:val="22"/>
                <w:szCs w:val="22"/>
              </w:rPr>
              <w:t>(2) execution on best terms on organised investment exchanges under their rules; or</w:t>
            </w:r>
          </w:p>
          <w:p w14:paraId="2ACE7B40" w14:textId="77777777" w:rsidR="004674C2" w:rsidRPr="00CB1714" w:rsidRDefault="004674C2" w:rsidP="004674C2">
            <w:pPr>
              <w:jc w:val="both"/>
              <w:rPr>
                <w:rFonts w:ascii="Lato" w:hAnsi="Lato"/>
                <w:sz w:val="22"/>
                <w:szCs w:val="22"/>
              </w:rPr>
            </w:pPr>
            <w:r w:rsidRPr="00CB1714">
              <w:rPr>
                <w:rFonts w:ascii="Lato" w:hAnsi="Lato"/>
                <w:sz w:val="22"/>
                <w:szCs w:val="22"/>
              </w:rPr>
              <w:t>(3) where (1) and (2) are not practical, execution on terms which the depositary, or the Qualifying Investor AIF in the case of transactions involving the depositary, is satisfied conform to the principles outlined in paragraph (b)(i) of this section.</w:t>
            </w:r>
          </w:p>
        </w:tc>
        <w:tc>
          <w:tcPr>
            <w:tcW w:w="3188" w:type="dxa"/>
            <w:tcBorders>
              <w:top w:val="single" w:sz="4" w:space="0" w:color="auto"/>
            </w:tcBorders>
          </w:tcPr>
          <w:p w14:paraId="4E5B021E" w14:textId="77777777" w:rsidR="004674C2" w:rsidRPr="00CB1714" w:rsidRDefault="004674C2" w:rsidP="004674C2">
            <w:pPr>
              <w:rPr>
                <w:rFonts w:ascii="Lato" w:hAnsi="Lato"/>
                <w:sz w:val="22"/>
                <w:szCs w:val="22"/>
              </w:rPr>
            </w:pPr>
          </w:p>
        </w:tc>
      </w:tr>
      <w:tr w:rsidR="004674C2" w:rsidRPr="00CB1714" w14:paraId="5A2303CC" w14:textId="77777777" w:rsidTr="007E3170">
        <w:tc>
          <w:tcPr>
            <w:tcW w:w="1316" w:type="dxa"/>
          </w:tcPr>
          <w:p w14:paraId="383545AB" w14:textId="77777777" w:rsidR="004674C2" w:rsidRPr="00CB1714" w:rsidRDefault="004674C2" w:rsidP="004674C2">
            <w:pPr>
              <w:rPr>
                <w:rFonts w:ascii="Lato" w:hAnsi="Lato"/>
                <w:sz w:val="22"/>
                <w:szCs w:val="22"/>
              </w:rPr>
            </w:pPr>
          </w:p>
        </w:tc>
        <w:tc>
          <w:tcPr>
            <w:tcW w:w="5891" w:type="dxa"/>
          </w:tcPr>
          <w:p w14:paraId="6EBE82F1" w14:textId="77777777" w:rsidR="004674C2" w:rsidRPr="00CB1714" w:rsidRDefault="004674C2" w:rsidP="004674C2">
            <w:pPr>
              <w:jc w:val="both"/>
              <w:rPr>
                <w:rFonts w:ascii="Lato" w:hAnsi="Lato"/>
                <w:sz w:val="22"/>
                <w:szCs w:val="22"/>
              </w:rPr>
            </w:pPr>
          </w:p>
        </w:tc>
        <w:tc>
          <w:tcPr>
            <w:tcW w:w="3188" w:type="dxa"/>
            <w:tcBorders>
              <w:bottom w:val="single" w:sz="4" w:space="0" w:color="auto"/>
            </w:tcBorders>
          </w:tcPr>
          <w:p w14:paraId="1DB23EE1" w14:textId="77777777" w:rsidR="004674C2" w:rsidRPr="00CB1714" w:rsidRDefault="004674C2" w:rsidP="004674C2">
            <w:pPr>
              <w:rPr>
                <w:rFonts w:ascii="Lato" w:hAnsi="Lato"/>
                <w:sz w:val="22"/>
                <w:szCs w:val="22"/>
              </w:rPr>
            </w:pPr>
          </w:p>
        </w:tc>
      </w:tr>
      <w:tr w:rsidR="004674C2" w:rsidRPr="00CB1714" w14:paraId="1C19011D" w14:textId="77777777" w:rsidTr="007E3170">
        <w:tc>
          <w:tcPr>
            <w:tcW w:w="1316" w:type="dxa"/>
          </w:tcPr>
          <w:p w14:paraId="0C557C95" w14:textId="77777777" w:rsidR="004674C2" w:rsidRPr="00CB1714" w:rsidRDefault="004674C2" w:rsidP="004674C2">
            <w:pPr>
              <w:rPr>
                <w:rFonts w:ascii="Lato" w:hAnsi="Lato"/>
                <w:sz w:val="22"/>
                <w:szCs w:val="22"/>
              </w:rPr>
            </w:pPr>
            <w:r w:rsidRPr="00CB1714">
              <w:rPr>
                <w:rFonts w:ascii="Lato" w:hAnsi="Lato"/>
                <w:sz w:val="22"/>
                <w:szCs w:val="22"/>
              </w:rPr>
              <w:t>2.8.4 (a)</w:t>
            </w:r>
          </w:p>
        </w:tc>
        <w:tc>
          <w:tcPr>
            <w:tcW w:w="5891" w:type="dxa"/>
            <w:tcBorders>
              <w:right w:val="single" w:sz="4" w:space="0" w:color="auto"/>
            </w:tcBorders>
          </w:tcPr>
          <w:p w14:paraId="469920F1" w14:textId="77777777" w:rsidR="004674C2" w:rsidRPr="00CB1714" w:rsidRDefault="004674C2" w:rsidP="004674C2">
            <w:pPr>
              <w:jc w:val="both"/>
              <w:rPr>
                <w:rFonts w:ascii="Lato" w:hAnsi="Lato"/>
                <w:sz w:val="22"/>
                <w:szCs w:val="22"/>
              </w:rPr>
            </w:pPr>
            <w:r w:rsidRPr="00CB1714">
              <w:rPr>
                <w:rFonts w:ascii="Lato" w:hAnsi="Lato"/>
                <w:sz w:val="22"/>
                <w:szCs w:val="22"/>
              </w:rPr>
              <w:t xml:space="preserve">Disclose that the AIFM will inform investors before they </w:t>
            </w:r>
          </w:p>
        </w:tc>
        <w:tc>
          <w:tcPr>
            <w:tcW w:w="3188" w:type="dxa"/>
            <w:tcBorders>
              <w:top w:val="single" w:sz="4" w:space="0" w:color="auto"/>
              <w:left w:val="single" w:sz="4" w:space="0" w:color="auto"/>
              <w:bottom w:val="single" w:sz="4" w:space="0" w:color="auto"/>
              <w:right w:val="single" w:sz="4" w:space="0" w:color="auto"/>
            </w:tcBorders>
          </w:tcPr>
          <w:p w14:paraId="7B919BF5" w14:textId="77777777" w:rsidR="004674C2" w:rsidRPr="00CB1714" w:rsidRDefault="004674C2" w:rsidP="004674C2">
            <w:pPr>
              <w:rPr>
                <w:rFonts w:ascii="Lato" w:hAnsi="Lato"/>
                <w:sz w:val="22"/>
                <w:szCs w:val="22"/>
              </w:rPr>
            </w:pPr>
          </w:p>
        </w:tc>
      </w:tr>
      <w:tr w:rsidR="004674C2" w:rsidRPr="00CB1714" w14:paraId="3BF4CE14" w14:textId="77777777" w:rsidTr="007E3170">
        <w:tc>
          <w:tcPr>
            <w:tcW w:w="1316" w:type="dxa"/>
          </w:tcPr>
          <w:p w14:paraId="064C79CC" w14:textId="77777777" w:rsidR="004674C2" w:rsidRPr="00CB1714" w:rsidRDefault="004674C2" w:rsidP="004674C2">
            <w:pPr>
              <w:rPr>
                <w:rFonts w:ascii="Lato" w:hAnsi="Lato"/>
                <w:sz w:val="22"/>
                <w:szCs w:val="22"/>
              </w:rPr>
            </w:pPr>
          </w:p>
        </w:tc>
        <w:tc>
          <w:tcPr>
            <w:tcW w:w="5891" w:type="dxa"/>
          </w:tcPr>
          <w:p w14:paraId="3EE94CCB" w14:textId="77777777" w:rsidR="004674C2" w:rsidRPr="00CB1714" w:rsidRDefault="004674C2" w:rsidP="004674C2">
            <w:pPr>
              <w:jc w:val="both"/>
              <w:rPr>
                <w:rFonts w:ascii="Lato" w:hAnsi="Lato"/>
                <w:sz w:val="22"/>
                <w:szCs w:val="22"/>
              </w:rPr>
            </w:pPr>
            <w:r w:rsidRPr="00F72ED7">
              <w:rPr>
                <w:rFonts w:ascii="Lato" w:hAnsi="Lato"/>
                <w:sz w:val="22"/>
                <w:szCs w:val="22"/>
              </w:rPr>
              <w:t xml:space="preserve">invest </w:t>
            </w:r>
            <w:r w:rsidRPr="00CB1714">
              <w:rPr>
                <w:rFonts w:ascii="Lato" w:hAnsi="Lato"/>
                <w:sz w:val="22"/>
                <w:szCs w:val="22"/>
              </w:rPr>
              <w:t xml:space="preserve">in the Qualifying Investor AIF of any arrangement </w:t>
            </w:r>
          </w:p>
        </w:tc>
        <w:tc>
          <w:tcPr>
            <w:tcW w:w="3188" w:type="dxa"/>
            <w:tcBorders>
              <w:top w:val="single" w:sz="4" w:space="0" w:color="auto"/>
            </w:tcBorders>
          </w:tcPr>
          <w:p w14:paraId="1733DEBE" w14:textId="77777777" w:rsidR="004674C2" w:rsidRPr="00CB1714" w:rsidRDefault="004674C2" w:rsidP="004674C2">
            <w:pPr>
              <w:rPr>
                <w:rFonts w:ascii="Lato" w:hAnsi="Lato"/>
                <w:sz w:val="22"/>
                <w:szCs w:val="22"/>
              </w:rPr>
            </w:pPr>
          </w:p>
        </w:tc>
      </w:tr>
      <w:tr w:rsidR="004674C2" w:rsidRPr="00CB1714" w14:paraId="1CD4066E" w14:textId="77777777" w:rsidTr="007E3170">
        <w:tc>
          <w:tcPr>
            <w:tcW w:w="1316" w:type="dxa"/>
          </w:tcPr>
          <w:p w14:paraId="3992B1CE" w14:textId="77777777" w:rsidR="004674C2" w:rsidRPr="00CB1714" w:rsidRDefault="004674C2" w:rsidP="004674C2">
            <w:pPr>
              <w:rPr>
                <w:rFonts w:ascii="Lato" w:hAnsi="Lato"/>
                <w:sz w:val="22"/>
                <w:szCs w:val="22"/>
              </w:rPr>
            </w:pPr>
          </w:p>
        </w:tc>
        <w:tc>
          <w:tcPr>
            <w:tcW w:w="5891" w:type="dxa"/>
          </w:tcPr>
          <w:p w14:paraId="4BBBEBD3" w14:textId="77777777" w:rsidR="004674C2" w:rsidRPr="00CB1714" w:rsidRDefault="004674C2" w:rsidP="004674C2">
            <w:pPr>
              <w:jc w:val="both"/>
              <w:rPr>
                <w:rFonts w:ascii="Lato" w:hAnsi="Lato"/>
                <w:sz w:val="22"/>
                <w:szCs w:val="22"/>
              </w:rPr>
            </w:pPr>
            <w:r w:rsidRPr="00F72ED7">
              <w:rPr>
                <w:rFonts w:ascii="Lato" w:hAnsi="Lato"/>
                <w:sz w:val="22"/>
                <w:szCs w:val="22"/>
              </w:rPr>
              <w:t>made by the</w:t>
            </w:r>
            <w:r w:rsidRPr="00CB1714">
              <w:rPr>
                <w:rFonts w:ascii="Lato" w:hAnsi="Lato"/>
                <w:sz w:val="22"/>
                <w:szCs w:val="22"/>
              </w:rPr>
              <w:t xml:space="preserve"> depositary  to contractually discharge itself of any liability</w:t>
            </w:r>
          </w:p>
        </w:tc>
        <w:tc>
          <w:tcPr>
            <w:tcW w:w="3188" w:type="dxa"/>
            <w:tcBorders>
              <w:bottom w:val="single" w:sz="4" w:space="0" w:color="auto"/>
            </w:tcBorders>
          </w:tcPr>
          <w:p w14:paraId="0352DC24" w14:textId="77777777" w:rsidR="004674C2" w:rsidRPr="00CB1714" w:rsidRDefault="004674C2" w:rsidP="004674C2">
            <w:pPr>
              <w:rPr>
                <w:rFonts w:ascii="Lato" w:hAnsi="Lato"/>
                <w:sz w:val="22"/>
                <w:szCs w:val="22"/>
              </w:rPr>
            </w:pPr>
          </w:p>
        </w:tc>
      </w:tr>
      <w:tr w:rsidR="004674C2" w:rsidRPr="00CB1714" w14:paraId="04272D4A" w14:textId="77777777" w:rsidTr="007E3170">
        <w:tc>
          <w:tcPr>
            <w:tcW w:w="1316" w:type="dxa"/>
          </w:tcPr>
          <w:p w14:paraId="0D076A08" w14:textId="77777777" w:rsidR="004674C2" w:rsidRPr="00CB1714" w:rsidRDefault="004674C2" w:rsidP="004674C2">
            <w:pPr>
              <w:rPr>
                <w:rFonts w:ascii="Lato" w:hAnsi="Lato"/>
                <w:sz w:val="22"/>
                <w:szCs w:val="22"/>
              </w:rPr>
            </w:pPr>
            <w:r w:rsidRPr="00CB1714">
              <w:rPr>
                <w:rFonts w:ascii="Lato" w:hAnsi="Lato"/>
                <w:sz w:val="22"/>
                <w:szCs w:val="22"/>
              </w:rPr>
              <w:t xml:space="preserve">          (b)</w:t>
            </w:r>
          </w:p>
        </w:tc>
        <w:tc>
          <w:tcPr>
            <w:tcW w:w="5891" w:type="dxa"/>
            <w:tcBorders>
              <w:right w:val="single" w:sz="4" w:space="0" w:color="auto"/>
            </w:tcBorders>
          </w:tcPr>
          <w:p w14:paraId="707B64A2" w14:textId="77777777" w:rsidR="004674C2" w:rsidRPr="00CB1714" w:rsidRDefault="004674C2" w:rsidP="004674C2">
            <w:pPr>
              <w:jc w:val="both"/>
              <w:rPr>
                <w:rFonts w:ascii="Lato" w:hAnsi="Lato"/>
                <w:sz w:val="22"/>
                <w:szCs w:val="22"/>
              </w:rPr>
            </w:pPr>
            <w:r w:rsidRPr="00CB1714">
              <w:rPr>
                <w:rFonts w:ascii="Lato" w:hAnsi="Lato"/>
                <w:sz w:val="22"/>
                <w:szCs w:val="22"/>
              </w:rPr>
              <w:t>Disclose that the AIFM must also inform unitholders of any</w:t>
            </w:r>
          </w:p>
        </w:tc>
        <w:tc>
          <w:tcPr>
            <w:tcW w:w="3188" w:type="dxa"/>
            <w:tcBorders>
              <w:top w:val="single" w:sz="4" w:space="0" w:color="auto"/>
              <w:left w:val="single" w:sz="4" w:space="0" w:color="auto"/>
              <w:bottom w:val="single" w:sz="4" w:space="0" w:color="auto"/>
              <w:right w:val="single" w:sz="4" w:space="0" w:color="auto"/>
            </w:tcBorders>
          </w:tcPr>
          <w:p w14:paraId="48D08FBD" w14:textId="77777777" w:rsidR="004674C2" w:rsidRPr="00CB1714" w:rsidRDefault="004674C2" w:rsidP="004674C2">
            <w:pPr>
              <w:rPr>
                <w:rFonts w:ascii="Lato" w:hAnsi="Lato"/>
                <w:sz w:val="22"/>
                <w:szCs w:val="22"/>
              </w:rPr>
            </w:pPr>
          </w:p>
        </w:tc>
      </w:tr>
      <w:tr w:rsidR="004674C2" w:rsidRPr="00CB1714" w14:paraId="358F31F7" w14:textId="77777777" w:rsidTr="007E3170">
        <w:tc>
          <w:tcPr>
            <w:tcW w:w="1316" w:type="dxa"/>
          </w:tcPr>
          <w:p w14:paraId="6E012B60" w14:textId="77777777" w:rsidR="004674C2" w:rsidRPr="00CB1714" w:rsidRDefault="004674C2" w:rsidP="004674C2">
            <w:pPr>
              <w:rPr>
                <w:rFonts w:ascii="Lato" w:hAnsi="Lato"/>
                <w:sz w:val="22"/>
                <w:szCs w:val="22"/>
              </w:rPr>
            </w:pPr>
          </w:p>
        </w:tc>
        <w:tc>
          <w:tcPr>
            <w:tcW w:w="5891" w:type="dxa"/>
          </w:tcPr>
          <w:p w14:paraId="3DE9E442" w14:textId="77777777" w:rsidR="004674C2" w:rsidRPr="00CB1714" w:rsidRDefault="004674C2" w:rsidP="004674C2">
            <w:pPr>
              <w:jc w:val="both"/>
              <w:rPr>
                <w:rFonts w:ascii="Lato" w:hAnsi="Lato"/>
                <w:sz w:val="22"/>
                <w:szCs w:val="22"/>
              </w:rPr>
            </w:pPr>
            <w:r w:rsidRPr="00CB1714">
              <w:rPr>
                <w:rFonts w:ascii="Lato" w:hAnsi="Lato"/>
                <w:sz w:val="22"/>
                <w:szCs w:val="22"/>
              </w:rPr>
              <w:t>changes with respect to depositary liability without delay</w:t>
            </w:r>
          </w:p>
        </w:tc>
        <w:tc>
          <w:tcPr>
            <w:tcW w:w="3188" w:type="dxa"/>
            <w:tcBorders>
              <w:top w:val="single" w:sz="4" w:space="0" w:color="auto"/>
            </w:tcBorders>
          </w:tcPr>
          <w:p w14:paraId="50E67E7C" w14:textId="77777777" w:rsidR="004674C2" w:rsidRPr="00CB1714" w:rsidRDefault="004674C2" w:rsidP="004674C2">
            <w:pPr>
              <w:rPr>
                <w:rFonts w:ascii="Lato" w:hAnsi="Lato"/>
                <w:sz w:val="22"/>
                <w:szCs w:val="22"/>
              </w:rPr>
            </w:pPr>
          </w:p>
        </w:tc>
      </w:tr>
      <w:tr w:rsidR="004674C2" w:rsidRPr="00CB1714" w14:paraId="4BE501A1" w14:textId="77777777" w:rsidTr="00990D73">
        <w:tc>
          <w:tcPr>
            <w:tcW w:w="1316" w:type="dxa"/>
          </w:tcPr>
          <w:p w14:paraId="517C9F2E" w14:textId="77777777" w:rsidR="004674C2" w:rsidRPr="00CB1714" w:rsidRDefault="004674C2" w:rsidP="004674C2">
            <w:pPr>
              <w:rPr>
                <w:rFonts w:ascii="Lato" w:hAnsi="Lato"/>
                <w:sz w:val="22"/>
                <w:szCs w:val="22"/>
              </w:rPr>
            </w:pPr>
          </w:p>
        </w:tc>
        <w:tc>
          <w:tcPr>
            <w:tcW w:w="5891" w:type="dxa"/>
          </w:tcPr>
          <w:p w14:paraId="34F3885F" w14:textId="77777777" w:rsidR="004674C2" w:rsidRPr="00CB1714" w:rsidRDefault="004674C2" w:rsidP="004674C2">
            <w:pPr>
              <w:jc w:val="both"/>
              <w:rPr>
                <w:rFonts w:ascii="Lato" w:hAnsi="Lato"/>
                <w:sz w:val="22"/>
                <w:szCs w:val="22"/>
              </w:rPr>
            </w:pPr>
          </w:p>
        </w:tc>
        <w:tc>
          <w:tcPr>
            <w:tcW w:w="3188" w:type="dxa"/>
          </w:tcPr>
          <w:p w14:paraId="7DC3641F" w14:textId="77777777" w:rsidR="004674C2" w:rsidRPr="00CB1714" w:rsidRDefault="004674C2" w:rsidP="004674C2">
            <w:pPr>
              <w:rPr>
                <w:rFonts w:ascii="Lato" w:hAnsi="Lato"/>
                <w:sz w:val="22"/>
                <w:szCs w:val="22"/>
              </w:rPr>
            </w:pPr>
          </w:p>
        </w:tc>
      </w:tr>
      <w:tr w:rsidR="004674C2" w:rsidRPr="00CB1714" w14:paraId="1B7E8D13" w14:textId="77777777" w:rsidTr="00990D73">
        <w:tc>
          <w:tcPr>
            <w:tcW w:w="1316" w:type="dxa"/>
          </w:tcPr>
          <w:p w14:paraId="2B7C6DCF" w14:textId="77777777" w:rsidR="004674C2" w:rsidRPr="00CB1714" w:rsidRDefault="004674C2" w:rsidP="004674C2">
            <w:pPr>
              <w:rPr>
                <w:rFonts w:ascii="Lato" w:hAnsi="Lato"/>
                <w:sz w:val="22"/>
                <w:szCs w:val="22"/>
              </w:rPr>
            </w:pPr>
            <w:r w:rsidRPr="00CB1714">
              <w:rPr>
                <w:rFonts w:ascii="Lato" w:hAnsi="Lato"/>
                <w:sz w:val="22"/>
                <w:szCs w:val="22"/>
              </w:rPr>
              <w:t>2.8.5</w:t>
            </w:r>
          </w:p>
        </w:tc>
        <w:tc>
          <w:tcPr>
            <w:tcW w:w="5891" w:type="dxa"/>
          </w:tcPr>
          <w:p w14:paraId="5F8D5C63"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Soft commissions </w:t>
            </w:r>
          </w:p>
        </w:tc>
        <w:tc>
          <w:tcPr>
            <w:tcW w:w="3188" w:type="dxa"/>
            <w:tcBorders>
              <w:bottom w:val="single" w:sz="4" w:space="0" w:color="auto"/>
            </w:tcBorders>
          </w:tcPr>
          <w:p w14:paraId="4D1E3907" w14:textId="77777777" w:rsidR="004674C2" w:rsidRPr="00CB1714" w:rsidRDefault="004674C2" w:rsidP="004674C2">
            <w:pPr>
              <w:rPr>
                <w:rFonts w:ascii="Lato" w:hAnsi="Lato"/>
                <w:sz w:val="22"/>
                <w:szCs w:val="22"/>
              </w:rPr>
            </w:pPr>
          </w:p>
        </w:tc>
      </w:tr>
      <w:tr w:rsidR="004674C2" w:rsidRPr="00CB1714" w14:paraId="5E74E84D" w14:textId="77777777" w:rsidTr="00990D73">
        <w:trPr>
          <w:cantSplit/>
          <w:trHeight w:val="253"/>
        </w:trPr>
        <w:tc>
          <w:tcPr>
            <w:tcW w:w="1316" w:type="dxa"/>
          </w:tcPr>
          <w:p w14:paraId="60F6C8F9"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7688E5B3" w14:textId="77777777" w:rsidR="004674C2" w:rsidRPr="00CB1714" w:rsidRDefault="004674C2" w:rsidP="004674C2">
            <w:pPr>
              <w:jc w:val="both"/>
              <w:rPr>
                <w:rFonts w:ascii="Lato" w:hAnsi="Lato"/>
                <w:sz w:val="22"/>
                <w:szCs w:val="22"/>
              </w:rPr>
            </w:pPr>
            <w:r w:rsidRPr="00CB1714">
              <w:rPr>
                <w:rFonts w:ascii="Lato" w:hAnsi="Lato"/>
                <w:sz w:val="22"/>
                <w:szCs w:val="22"/>
              </w:rPr>
              <w:t xml:space="preserve">A description of soft commission arrangements which may </w:t>
            </w:r>
          </w:p>
        </w:tc>
        <w:tc>
          <w:tcPr>
            <w:tcW w:w="3188" w:type="dxa"/>
            <w:tcBorders>
              <w:top w:val="single" w:sz="4" w:space="0" w:color="auto"/>
              <w:bottom w:val="single" w:sz="4" w:space="0" w:color="auto"/>
              <w:right w:val="single" w:sz="4" w:space="0" w:color="auto"/>
            </w:tcBorders>
          </w:tcPr>
          <w:p w14:paraId="7CE0FDC8" w14:textId="77777777" w:rsidR="004674C2" w:rsidRPr="00CB1714" w:rsidRDefault="004674C2" w:rsidP="004674C2">
            <w:pPr>
              <w:rPr>
                <w:rFonts w:ascii="Lato" w:hAnsi="Lato"/>
                <w:sz w:val="22"/>
                <w:szCs w:val="22"/>
              </w:rPr>
            </w:pPr>
          </w:p>
        </w:tc>
      </w:tr>
      <w:tr w:rsidR="004674C2" w:rsidRPr="00CB1714" w14:paraId="4B74E13E" w14:textId="77777777" w:rsidTr="00990D73">
        <w:trPr>
          <w:cantSplit/>
          <w:trHeight w:val="253"/>
        </w:trPr>
        <w:tc>
          <w:tcPr>
            <w:tcW w:w="1316" w:type="dxa"/>
          </w:tcPr>
          <w:p w14:paraId="4600BB8C" w14:textId="77777777" w:rsidR="004674C2" w:rsidRPr="00CB1714" w:rsidRDefault="004674C2" w:rsidP="004674C2">
            <w:pPr>
              <w:jc w:val="right"/>
              <w:rPr>
                <w:rFonts w:ascii="Lato" w:hAnsi="Lato"/>
                <w:sz w:val="22"/>
                <w:szCs w:val="22"/>
              </w:rPr>
            </w:pPr>
          </w:p>
        </w:tc>
        <w:tc>
          <w:tcPr>
            <w:tcW w:w="5891" w:type="dxa"/>
          </w:tcPr>
          <w:p w14:paraId="2527C114" w14:textId="77777777" w:rsidR="004674C2" w:rsidRPr="00CB1714" w:rsidRDefault="004674C2" w:rsidP="004674C2">
            <w:pPr>
              <w:jc w:val="both"/>
              <w:rPr>
                <w:rFonts w:ascii="Lato" w:hAnsi="Lato"/>
                <w:sz w:val="22"/>
                <w:szCs w:val="22"/>
              </w:rPr>
            </w:pPr>
            <w:r w:rsidRPr="00F72ED7">
              <w:rPr>
                <w:rFonts w:ascii="Lato" w:hAnsi="Lato"/>
                <w:sz w:val="22"/>
                <w:szCs w:val="22"/>
              </w:rPr>
              <w:t xml:space="preserve">be </w:t>
            </w:r>
            <w:r w:rsidRPr="00CB1714">
              <w:rPr>
                <w:rFonts w:ascii="Lato" w:hAnsi="Lato"/>
                <w:sz w:val="22"/>
                <w:szCs w:val="22"/>
              </w:rPr>
              <w:t>entered into by the Qualifying Investor AIF.</w:t>
            </w:r>
          </w:p>
        </w:tc>
        <w:tc>
          <w:tcPr>
            <w:tcW w:w="3188" w:type="dxa"/>
            <w:tcBorders>
              <w:top w:val="single" w:sz="4" w:space="0" w:color="auto"/>
            </w:tcBorders>
          </w:tcPr>
          <w:p w14:paraId="0126E03B" w14:textId="77777777" w:rsidR="004674C2" w:rsidRPr="00CB1714" w:rsidRDefault="004674C2" w:rsidP="004674C2">
            <w:pPr>
              <w:rPr>
                <w:rFonts w:ascii="Lato" w:hAnsi="Lato"/>
                <w:sz w:val="22"/>
                <w:szCs w:val="22"/>
              </w:rPr>
            </w:pPr>
          </w:p>
        </w:tc>
      </w:tr>
      <w:tr w:rsidR="004674C2" w:rsidRPr="00CB1714" w14:paraId="7FF49897" w14:textId="77777777" w:rsidTr="00990D73">
        <w:trPr>
          <w:cantSplit/>
          <w:trHeight w:val="271"/>
        </w:trPr>
        <w:tc>
          <w:tcPr>
            <w:tcW w:w="1316" w:type="dxa"/>
          </w:tcPr>
          <w:p w14:paraId="5DF1EF00" w14:textId="77777777" w:rsidR="004674C2" w:rsidRPr="00CB1714" w:rsidRDefault="004674C2" w:rsidP="004674C2">
            <w:pPr>
              <w:jc w:val="right"/>
              <w:rPr>
                <w:rFonts w:ascii="Lato" w:hAnsi="Lato"/>
                <w:sz w:val="22"/>
                <w:szCs w:val="22"/>
              </w:rPr>
            </w:pPr>
          </w:p>
        </w:tc>
        <w:tc>
          <w:tcPr>
            <w:tcW w:w="5891" w:type="dxa"/>
          </w:tcPr>
          <w:p w14:paraId="256AB263" w14:textId="77777777" w:rsidR="004674C2" w:rsidRPr="00CB1714" w:rsidRDefault="004674C2" w:rsidP="004674C2">
            <w:pPr>
              <w:jc w:val="both"/>
              <w:rPr>
                <w:rFonts w:ascii="Lato" w:hAnsi="Lato"/>
                <w:sz w:val="22"/>
                <w:szCs w:val="22"/>
              </w:rPr>
            </w:pPr>
          </w:p>
        </w:tc>
        <w:tc>
          <w:tcPr>
            <w:tcW w:w="3188" w:type="dxa"/>
          </w:tcPr>
          <w:p w14:paraId="094A3C36" w14:textId="77777777" w:rsidR="004674C2" w:rsidRPr="00CB1714" w:rsidRDefault="004674C2" w:rsidP="004674C2">
            <w:pPr>
              <w:rPr>
                <w:rFonts w:ascii="Lato" w:hAnsi="Lato"/>
                <w:sz w:val="22"/>
                <w:szCs w:val="22"/>
              </w:rPr>
            </w:pPr>
          </w:p>
        </w:tc>
      </w:tr>
      <w:tr w:rsidR="004674C2" w:rsidRPr="00CB1714" w14:paraId="0FEBF875" w14:textId="77777777" w:rsidTr="007E3170">
        <w:tc>
          <w:tcPr>
            <w:tcW w:w="1316" w:type="dxa"/>
          </w:tcPr>
          <w:p w14:paraId="658EC2CD" w14:textId="77777777" w:rsidR="004674C2" w:rsidRPr="00CB1714" w:rsidRDefault="004674C2" w:rsidP="004674C2">
            <w:pPr>
              <w:pStyle w:val="Header"/>
              <w:spacing w:line="240" w:lineRule="auto"/>
              <w:rPr>
                <w:rFonts w:ascii="Lato" w:hAnsi="Lato"/>
                <w:b/>
                <w:bCs/>
                <w:szCs w:val="22"/>
              </w:rPr>
            </w:pPr>
            <w:r w:rsidRPr="00CB1714">
              <w:rPr>
                <w:rFonts w:ascii="Lato" w:hAnsi="Lato"/>
                <w:b/>
                <w:bCs/>
                <w:szCs w:val="22"/>
              </w:rPr>
              <w:t>2.9</w:t>
            </w:r>
          </w:p>
        </w:tc>
        <w:tc>
          <w:tcPr>
            <w:tcW w:w="5891" w:type="dxa"/>
          </w:tcPr>
          <w:p w14:paraId="30D42CAF" w14:textId="77777777" w:rsidR="004674C2" w:rsidRPr="00CB1714" w:rsidRDefault="004674C2" w:rsidP="004674C2">
            <w:pPr>
              <w:rPr>
                <w:rFonts w:ascii="Lato" w:hAnsi="Lato"/>
                <w:b/>
                <w:bCs/>
                <w:sz w:val="22"/>
                <w:szCs w:val="22"/>
              </w:rPr>
            </w:pPr>
            <w:r w:rsidRPr="00CB1714">
              <w:rPr>
                <w:rFonts w:ascii="Lato" w:hAnsi="Lato"/>
                <w:b/>
                <w:bCs/>
                <w:sz w:val="22"/>
                <w:szCs w:val="22"/>
              </w:rPr>
              <w:t>Reports and Accounts</w:t>
            </w:r>
          </w:p>
        </w:tc>
        <w:tc>
          <w:tcPr>
            <w:tcW w:w="3188" w:type="dxa"/>
          </w:tcPr>
          <w:p w14:paraId="56C2F2DD" w14:textId="77777777" w:rsidR="004674C2" w:rsidRPr="00CB1714" w:rsidRDefault="004674C2" w:rsidP="004674C2">
            <w:pPr>
              <w:rPr>
                <w:rFonts w:ascii="Lato" w:hAnsi="Lato"/>
                <w:b/>
                <w:bCs/>
                <w:sz w:val="22"/>
                <w:szCs w:val="22"/>
              </w:rPr>
            </w:pPr>
          </w:p>
        </w:tc>
      </w:tr>
      <w:tr w:rsidR="004674C2" w:rsidRPr="00CB1714" w14:paraId="131D7EC9" w14:textId="77777777" w:rsidTr="007E3170">
        <w:tc>
          <w:tcPr>
            <w:tcW w:w="1316" w:type="dxa"/>
          </w:tcPr>
          <w:p w14:paraId="6AA750C1" w14:textId="77777777" w:rsidR="004674C2" w:rsidRPr="00CB1714" w:rsidRDefault="004674C2" w:rsidP="004674C2">
            <w:pPr>
              <w:pStyle w:val="Header"/>
              <w:spacing w:line="240" w:lineRule="auto"/>
              <w:rPr>
                <w:rFonts w:ascii="Lato" w:hAnsi="Lato"/>
                <w:szCs w:val="22"/>
              </w:rPr>
            </w:pPr>
          </w:p>
        </w:tc>
        <w:tc>
          <w:tcPr>
            <w:tcW w:w="5891" w:type="dxa"/>
          </w:tcPr>
          <w:p w14:paraId="2FD1FB6B" w14:textId="77777777" w:rsidR="004674C2" w:rsidRPr="00CB1714" w:rsidRDefault="004674C2" w:rsidP="004674C2">
            <w:pPr>
              <w:rPr>
                <w:rFonts w:ascii="Lato" w:hAnsi="Lato"/>
                <w:b/>
                <w:bCs/>
                <w:sz w:val="22"/>
                <w:szCs w:val="22"/>
              </w:rPr>
            </w:pPr>
          </w:p>
        </w:tc>
        <w:tc>
          <w:tcPr>
            <w:tcW w:w="3188" w:type="dxa"/>
            <w:tcBorders>
              <w:bottom w:val="single" w:sz="4" w:space="0" w:color="auto"/>
            </w:tcBorders>
          </w:tcPr>
          <w:p w14:paraId="25A702A7" w14:textId="77777777" w:rsidR="004674C2" w:rsidRPr="00CB1714" w:rsidRDefault="004674C2" w:rsidP="004674C2">
            <w:pPr>
              <w:rPr>
                <w:rFonts w:ascii="Lato" w:hAnsi="Lato"/>
                <w:b/>
                <w:bCs/>
                <w:sz w:val="22"/>
                <w:szCs w:val="22"/>
              </w:rPr>
            </w:pPr>
          </w:p>
        </w:tc>
      </w:tr>
      <w:tr w:rsidR="004674C2" w:rsidRPr="00CB1714" w14:paraId="51755A2C" w14:textId="77777777" w:rsidTr="00990D73">
        <w:tc>
          <w:tcPr>
            <w:tcW w:w="1316" w:type="dxa"/>
          </w:tcPr>
          <w:p w14:paraId="6D95AEBF" w14:textId="77777777" w:rsidR="004674C2" w:rsidRPr="00CB1714" w:rsidRDefault="004674C2" w:rsidP="004674C2">
            <w:pPr>
              <w:rPr>
                <w:rFonts w:ascii="Lato" w:hAnsi="Lato"/>
                <w:sz w:val="22"/>
                <w:szCs w:val="22"/>
              </w:rPr>
            </w:pPr>
            <w:r w:rsidRPr="00CB1714">
              <w:rPr>
                <w:rFonts w:ascii="Lato" w:hAnsi="Lato"/>
                <w:sz w:val="22"/>
                <w:szCs w:val="22"/>
              </w:rPr>
              <w:t>2.9.1</w:t>
            </w:r>
          </w:p>
        </w:tc>
        <w:tc>
          <w:tcPr>
            <w:tcW w:w="5891" w:type="dxa"/>
            <w:tcBorders>
              <w:right w:val="single" w:sz="4" w:space="0" w:color="auto"/>
            </w:tcBorders>
          </w:tcPr>
          <w:p w14:paraId="225DCB67" w14:textId="77777777" w:rsidR="004674C2" w:rsidRPr="00CB1714" w:rsidRDefault="004674C2" w:rsidP="004674C2">
            <w:pPr>
              <w:rPr>
                <w:rFonts w:ascii="Lato" w:hAnsi="Lato"/>
                <w:sz w:val="22"/>
                <w:szCs w:val="22"/>
              </w:rPr>
            </w:pPr>
            <w:r w:rsidRPr="00CB1714">
              <w:rPr>
                <w:rFonts w:ascii="Lato" w:hAnsi="Lato"/>
                <w:sz w:val="22"/>
                <w:szCs w:val="22"/>
              </w:rPr>
              <w:t xml:space="preserve">Disclose the relevant accounting date(s) for the Qualifying </w:t>
            </w:r>
          </w:p>
        </w:tc>
        <w:tc>
          <w:tcPr>
            <w:tcW w:w="3188" w:type="dxa"/>
            <w:tcBorders>
              <w:top w:val="single" w:sz="4" w:space="0" w:color="auto"/>
              <w:left w:val="single" w:sz="4" w:space="0" w:color="auto"/>
              <w:bottom w:val="single" w:sz="4" w:space="0" w:color="auto"/>
              <w:right w:val="single" w:sz="4" w:space="0" w:color="auto"/>
            </w:tcBorders>
          </w:tcPr>
          <w:p w14:paraId="0350E532" w14:textId="77777777" w:rsidR="004674C2" w:rsidRPr="00CB1714" w:rsidRDefault="004674C2" w:rsidP="004674C2">
            <w:pPr>
              <w:rPr>
                <w:rFonts w:ascii="Lato" w:hAnsi="Lato"/>
                <w:sz w:val="22"/>
                <w:szCs w:val="22"/>
              </w:rPr>
            </w:pPr>
          </w:p>
        </w:tc>
      </w:tr>
      <w:tr w:rsidR="004674C2" w:rsidRPr="00CB1714" w14:paraId="33CBBE54" w14:textId="77777777" w:rsidTr="007E3170">
        <w:tc>
          <w:tcPr>
            <w:tcW w:w="1316" w:type="dxa"/>
          </w:tcPr>
          <w:p w14:paraId="1E112DDE" w14:textId="77777777" w:rsidR="004674C2" w:rsidRPr="00CB1714" w:rsidRDefault="004674C2" w:rsidP="004674C2">
            <w:pPr>
              <w:rPr>
                <w:rFonts w:ascii="Lato" w:hAnsi="Lato"/>
                <w:sz w:val="22"/>
                <w:szCs w:val="22"/>
              </w:rPr>
            </w:pPr>
          </w:p>
        </w:tc>
        <w:tc>
          <w:tcPr>
            <w:tcW w:w="5891" w:type="dxa"/>
          </w:tcPr>
          <w:p w14:paraId="14196D00" w14:textId="77777777" w:rsidR="004674C2" w:rsidRPr="00CB1714" w:rsidRDefault="004674C2" w:rsidP="004674C2">
            <w:pPr>
              <w:rPr>
                <w:rFonts w:ascii="Lato" w:hAnsi="Lato"/>
                <w:sz w:val="22"/>
                <w:szCs w:val="22"/>
              </w:rPr>
            </w:pPr>
            <w:r w:rsidRPr="00CB1714">
              <w:rPr>
                <w:rFonts w:ascii="Lato" w:hAnsi="Lato"/>
                <w:sz w:val="22"/>
                <w:szCs w:val="22"/>
              </w:rPr>
              <w:t>Investor AIF</w:t>
            </w:r>
          </w:p>
        </w:tc>
        <w:tc>
          <w:tcPr>
            <w:tcW w:w="3188" w:type="dxa"/>
            <w:tcBorders>
              <w:top w:val="single" w:sz="4" w:space="0" w:color="auto"/>
            </w:tcBorders>
          </w:tcPr>
          <w:p w14:paraId="2E775A30" w14:textId="77777777" w:rsidR="004674C2" w:rsidRPr="00CB1714" w:rsidRDefault="004674C2" w:rsidP="004674C2">
            <w:pPr>
              <w:rPr>
                <w:rFonts w:ascii="Lato" w:hAnsi="Lato"/>
                <w:sz w:val="22"/>
                <w:szCs w:val="22"/>
              </w:rPr>
            </w:pPr>
          </w:p>
        </w:tc>
      </w:tr>
      <w:tr w:rsidR="004674C2" w:rsidRPr="00CB1714" w14:paraId="33FD2DD4" w14:textId="77777777" w:rsidTr="007E3170">
        <w:tc>
          <w:tcPr>
            <w:tcW w:w="1316" w:type="dxa"/>
          </w:tcPr>
          <w:p w14:paraId="2A515CA8" w14:textId="77777777" w:rsidR="004674C2" w:rsidRPr="00CB1714" w:rsidRDefault="004674C2" w:rsidP="004674C2">
            <w:pPr>
              <w:rPr>
                <w:rFonts w:ascii="Lato" w:hAnsi="Lato"/>
                <w:sz w:val="22"/>
                <w:szCs w:val="22"/>
              </w:rPr>
            </w:pPr>
          </w:p>
        </w:tc>
        <w:tc>
          <w:tcPr>
            <w:tcW w:w="5891" w:type="dxa"/>
          </w:tcPr>
          <w:p w14:paraId="0E5C5F18"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08B8C8D4" w14:textId="77777777" w:rsidR="004674C2" w:rsidRPr="00CB1714" w:rsidRDefault="004674C2" w:rsidP="004674C2">
            <w:pPr>
              <w:rPr>
                <w:rFonts w:ascii="Lato" w:hAnsi="Lato"/>
                <w:sz w:val="22"/>
                <w:szCs w:val="22"/>
              </w:rPr>
            </w:pPr>
          </w:p>
        </w:tc>
      </w:tr>
      <w:tr w:rsidR="004674C2" w:rsidRPr="00CB1714" w14:paraId="24A44740" w14:textId="77777777" w:rsidTr="007E3170">
        <w:tc>
          <w:tcPr>
            <w:tcW w:w="1316" w:type="dxa"/>
          </w:tcPr>
          <w:p w14:paraId="12D3FC6E" w14:textId="77777777" w:rsidR="004674C2" w:rsidRPr="00CB1714" w:rsidRDefault="004674C2" w:rsidP="004674C2">
            <w:pPr>
              <w:rPr>
                <w:rFonts w:ascii="Lato" w:hAnsi="Lato"/>
                <w:sz w:val="22"/>
                <w:szCs w:val="22"/>
              </w:rPr>
            </w:pPr>
            <w:r w:rsidRPr="00CB1714">
              <w:rPr>
                <w:rFonts w:ascii="Lato" w:hAnsi="Lato"/>
                <w:sz w:val="22"/>
                <w:szCs w:val="22"/>
              </w:rPr>
              <w:t>2.9.2</w:t>
            </w:r>
          </w:p>
        </w:tc>
        <w:tc>
          <w:tcPr>
            <w:tcW w:w="5891" w:type="dxa"/>
            <w:tcBorders>
              <w:right w:val="single" w:sz="4" w:space="0" w:color="auto"/>
            </w:tcBorders>
          </w:tcPr>
          <w:p w14:paraId="6987B657" w14:textId="77777777" w:rsidR="004674C2" w:rsidRPr="00CB1714" w:rsidRDefault="004674C2" w:rsidP="004674C2">
            <w:pPr>
              <w:rPr>
                <w:rFonts w:ascii="Lato" w:hAnsi="Lato"/>
                <w:sz w:val="22"/>
                <w:szCs w:val="22"/>
              </w:rPr>
            </w:pPr>
            <w:r w:rsidRPr="00CB1714">
              <w:rPr>
                <w:rFonts w:ascii="Lato" w:hAnsi="Lato"/>
                <w:sz w:val="22"/>
              </w:rPr>
              <w:t>Annual accounting date</w:t>
            </w:r>
          </w:p>
        </w:tc>
        <w:tc>
          <w:tcPr>
            <w:tcW w:w="3188" w:type="dxa"/>
            <w:tcBorders>
              <w:top w:val="single" w:sz="4" w:space="0" w:color="auto"/>
              <w:left w:val="single" w:sz="4" w:space="0" w:color="auto"/>
              <w:bottom w:val="single" w:sz="4" w:space="0" w:color="auto"/>
              <w:right w:val="single" w:sz="4" w:space="0" w:color="auto"/>
            </w:tcBorders>
          </w:tcPr>
          <w:p w14:paraId="166B1228" w14:textId="77777777" w:rsidR="004674C2" w:rsidRPr="00CB1714" w:rsidRDefault="004674C2" w:rsidP="004674C2">
            <w:pPr>
              <w:rPr>
                <w:rFonts w:ascii="Lato" w:hAnsi="Lato"/>
                <w:sz w:val="22"/>
                <w:szCs w:val="22"/>
              </w:rPr>
            </w:pPr>
          </w:p>
        </w:tc>
      </w:tr>
      <w:tr w:rsidR="004674C2" w:rsidRPr="00CB1714" w14:paraId="320C4BAE" w14:textId="77777777" w:rsidTr="007E3170">
        <w:tc>
          <w:tcPr>
            <w:tcW w:w="1316" w:type="dxa"/>
          </w:tcPr>
          <w:p w14:paraId="4D4E1700" w14:textId="77777777" w:rsidR="004674C2" w:rsidRPr="00CB1714" w:rsidRDefault="004674C2" w:rsidP="004674C2">
            <w:pPr>
              <w:rPr>
                <w:rFonts w:ascii="Lato" w:hAnsi="Lato"/>
                <w:sz w:val="22"/>
                <w:szCs w:val="22"/>
              </w:rPr>
            </w:pPr>
          </w:p>
        </w:tc>
        <w:tc>
          <w:tcPr>
            <w:tcW w:w="5891" w:type="dxa"/>
          </w:tcPr>
          <w:p w14:paraId="47D5300B"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58A0F60E" w14:textId="77777777" w:rsidR="004674C2" w:rsidRPr="00CB1714" w:rsidRDefault="004674C2" w:rsidP="004674C2">
            <w:pPr>
              <w:rPr>
                <w:rFonts w:ascii="Lato" w:hAnsi="Lato"/>
                <w:sz w:val="22"/>
                <w:szCs w:val="22"/>
              </w:rPr>
            </w:pPr>
          </w:p>
        </w:tc>
      </w:tr>
      <w:tr w:rsidR="004674C2" w:rsidRPr="00CB1714" w14:paraId="6D16D75B" w14:textId="77777777" w:rsidTr="00990D73">
        <w:tc>
          <w:tcPr>
            <w:tcW w:w="1316" w:type="dxa"/>
          </w:tcPr>
          <w:p w14:paraId="1CC02ED3" w14:textId="77777777" w:rsidR="004674C2" w:rsidRPr="00CB1714" w:rsidRDefault="004674C2" w:rsidP="004674C2">
            <w:pPr>
              <w:rPr>
                <w:rFonts w:ascii="Lato" w:hAnsi="Lato"/>
                <w:sz w:val="22"/>
              </w:rPr>
            </w:pPr>
            <w:r w:rsidRPr="00CB1714">
              <w:rPr>
                <w:rFonts w:ascii="Lato" w:hAnsi="Lato"/>
                <w:sz w:val="22"/>
              </w:rPr>
              <w:t>2.9.3</w:t>
            </w:r>
          </w:p>
        </w:tc>
        <w:tc>
          <w:tcPr>
            <w:tcW w:w="5891" w:type="dxa"/>
            <w:tcBorders>
              <w:right w:val="single" w:sz="4" w:space="0" w:color="auto"/>
            </w:tcBorders>
          </w:tcPr>
          <w:p w14:paraId="13D11B9D" w14:textId="77777777" w:rsidR="004674C2" w:rsidRPr="00CB1714" w:rsidRDefault="004674C2" w:rsidP="004674C2">
            <w:pPr>
              <w:rPr>
                <w:rFonts w:ascii="Lato" w:hAnsi="Lato"/>
                <w:sz w:val="22"/>
              </w:rPr>
            </w:pPr>
            <w:r w:rsidRPr="00CB1714">
              <w:rPr>
                <w:rFonts w:ascii="Lato" w:hAnsi="Lato"/>
                <w:sz w:val="22"/>
              </w:rPr>
              <w:t>Date of the initial annual reports</w:t>
            </w:r>
          </w:p>
        </w:tc>
        <w:tc>
          <w:tcPr>
            <w:tcW w:w="3188" w:type="dxa"/>
            <w:tcBorders>
              <w:top w:val="single" w:sz="4" w:space="0" w:color="auto"/>
              <w:left w:val="single" w:sz="4" w:space="0" w:color="auto"/>
              <w:bottom w:val="single" w:sz="4" w:space="0" w:color="auto"/>
              <w:right w:val="single" w:sz="4" w:space="0" w:color="auto"/>
            </w:tcBorders>
          </w:tcPr>
          <w:p w14:paraId="581D0A09" w14:textId="77777777" w:rsidR="004674C2" w:rsidRPr="00CB1714" w:rsidRDefault="004674C2" w:rsidP="004674C2">
            <w:pPr>
              <w:rPr>
                <w:rFonts w:ascii="Lato" w:hAnsi="Lato"/>
                <w:sz w:val="22"/>
              </w:rPr>
            </w:pPr>
          </w:p>
        </w:tc>
      </w:tr>
      <w:tr w:rsidR="004674C2" w:rsidRPr="00CB1714" w14:paraId="780FCBA0" w14:textId="77777777" w:rsidTr="00990D73">
        <w:tc>
          <w:tcPr>
            <w:tcW w:w="1316" w:type="dxa"/>
          </w:tcPr>
          <w:p w14:paraId="2050A0F7" w14:textId="77777777" w:rsidR="004674C2" w:rsidRPr="00CB1714" w:rsidRDefault="004674C2" w:rsidP="004674C2">
            <w:pPr>
              <w:rPr>
                <w:rFonts w:ascii="Lato" w:hAnsi="Lato"/>
                <w:sz w:val="22"/>
              </w:rPr>
            </w:pPr>
          </w:p>
        </w:tc>
        <w:tc>
          <w:tcPr>
            <w:tcW w:w="5891" w:type="dxa"/>
          </w:tcPr>
          <w:p w14:paraId="503BF494" w14:textId="77777777" w:rsidR="004674C2" w:rsidRPr="00CB1714" w:rsidRDefault="004674C2" w:rsidP="004674C2">
            <w:pPr>
              <w:rPr>
                <w:rFonts w:ascii="Lato" w:hAnsi="Lato"/>
                <w:sz w:val="22"/>
              </w:rPr>
            </w:pPr>
          </w:p>
        </w:tc>
        <w:tc>
          <w:tcPr>
            <w:tcW w:w="3188" w:type="dxa"/>
            <w:tcBorders>
              <w:top w:val="single" w:sz="4" w:space="0" w:color="auto"/>
              <w:bottom w:val="single" w:sz="4" w:space="0" w:color="auto"/>
            </w:tcBorders>
          </w:tcPr>
          <w:p w14:paraId="2722AB3B" w14:textId="77777777" w:rsidR="004674C2" w:rsidRPr="00CB1714" w:rsidRDefault="004674C2" w:rsidP="004674C2">
            <w:pPr>
              <w:rPr>
                <w:rFonts w:ascii="Lato" w:hAnsi="Lato"/>
                <w:sz w:val="22"/>
              </w:rPr>
            </w:pPr>
          </w:p>
        </w:tc>
      </w:tr>
      <w:tr w:rsidR="004674C2" w:rsidRPr="00CB1714" w14:paraId="22D558F8" w14:textId="77777777" w:rsidTr="00990D73">
        <w:tc>
          <w:tcPr>
            <w:tcW w:w="1316" w:type="dxa"/>
          </w:tcPr>
          <w:p w14:paraId="1103A71F" w14:textId="77777777" w:rsidR="004674C2" w:rsidRPr="00CB1714" w:rsidRDefault="004674C2" w:rsidP="004674C2">
            <w:pPr>
              <w:rPr>
                <w:rFonts w:ascii="Lato" w:hAnsi="Lato"/>
                <w:sz w:val="22"/>
              </w:rPr>
            </w:pPr>
            <w:r w:rsidRPr="00CB1714">
              <w:rPr>
                <w:rFonts w:ascii="Lato" w:hAnsi="Lato"/>
                <w:sz w:val="22"/>
              </w:rPr>
              <w:t>2.9.4</w:t>
            </w:r>
          </w:p>
        </w:tc>
        <w:tc>
          <w:tcPr>
            <w:tcW w:w="5891" w:type="dxa"/>
            <w:tcBorders>
              <w:right w:val="single" w:sz="4" w:space="0" w:color="auto"/>
            </w:tcBorders>
          </w:tcPr>
          <w:p w14:paraId="542F1C9D" w14:textId="77777777" w:rsidR="004674C2" w:rsidRPr="00CB1714" w:rsidRDefault="004674C2" w:rsidP="004674C2">
            <w:pPr>
              <w:rPr>
                <w:rFonts w:ascii="Lato" w:hAnsi="Lato"/>
                <w:sz w:val="22"/>
              </w:rPr>
            </w:pPr>
            <w:r w:rsidRPr="00CB1714">
              <w:rPr>
                <w:rFonts w:ascii="Lato" w:hAnsi="Lato"/>
                <w:sz w:val="22"/>
              </w:rPr>
              <w:t>The interim accounting date</w:t>
            </w:r>
            <w:r w:rsidRPr="00CB1714">
              <w:rPr>
                <w:rStyle w:val="FootnoteReference"/>
                <w:rFonts w:ascii="Lato" w:hAnsi="Lato"/>
                <w:sz w:val="22"/>
                <w:szCs w:val="22"/>
              </w:rPr>
              <w:footnoteReference w:id="1"/>
            </w:r>
          </w:p>
        </w:tc>
        <w:tc>
          <w:tcPr>
            <w:tcW w:w="3188" w:type="dxa"/>
            <w:tcBorders>
              <w:top w:val="single" w:sz="4" w:space="0" w:color="auto"/>
              <w:left w:val="single" w:sz="4" w:space="0" w:color="auto"/>
              <w:bottom w:val="single" w:sz="4" w:space="0" w:color="auto"/>
              <w:right w:val="single" w:sz="4" w:space="0" w:color="auto"/>
            </w:tcBorders>
          </w:tcPr>
          <w:p w14:paraId="2E699066" w14:textId="77777777" w:rsidR="004674C2" w:rsidRPr="00CB1714" w:rsidRDefault="004674C2" w:rsidP="004674C2">
            <w:pPr>
              <w:rPr>
                <w:rFonts w:ascii="Lato" w:hAnsi="Lato"/>
                <w:sz w:val="22"/>
              </w:rPr>
            </w:pPr>
          </w:p>
        </w:tc>
      </w:tr>
      <w:tr w:rsidR="004674C2" w:rsidRPr="00CB1714" w14:paraId="439108EE" w14:textId="77777777" w:rsidTr="00990D73">
        <w:tc>
          <w:tcPr>
            <w:tcW w:w="1316" w:type="dxa"/>
          </w:tcPr>
          <w:p w14:paraId="6DC2F99C" w14:textId="77777777" w:rsidR="004674C2" w:rsidRPr="00CB1714" w:rsidRDefault="004674C2" w:rsidP="004674C2">
            <w:pPr>
              <w:rPr>
                <w:rFonts w:ascii="Lato" w:hAnsi="Lato"/>
                <w:sz w:val="22"/>
                <w:szCs w:val="22"/>
              </w:rPr>
            </w:pPr>
          </w:p>
        </w:tc>
        <w:tc>
          <w:tcPr>
            <w:tcW w:w="5891" w:type="dxa"/>
          </w:tcPr>
          <w:p w14:paraId="6BEEB581"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FB5FBFE" w14:textId="77777777" w:rsidR="004674C2" w:rsidRPr="00CB1714" w:rsidRDefault="004674C2" w:rsidP="004674C2">
            <w:pPr>
              <w:rPr>
                <w:rFonts w:ascii="Lato" w:hAnsi="Lato"/>
                <w:sz w:val="22"/>
                <w:szCs w:val="22"/>
              </w:rPr>
            </w:pPr>
          </w:p>
        </w:tc>
      </w:tr>
      <w:tr w:rsidR="004674C2" w:rsidRPr="00CB1714" w14:paraId="7D4EC2AB" w14:textId="77777777" w:rsidTr="00990D73">
        <w:tc>
          <w:tcPr>
            <w:tcW w:w="1316" w:type="dxa"/>
          </w:tcPr>
          <w:p w14:paraId="2E105B25" w14:textId="77777777" w:rsidR="004674C2" w:rsidRPr="00CB1714" w:rsidRDefault="004674C2" w:rsidP="004674C2">
            <w:pPr>
              <w:rPr>
                <w:rFonts w:ascii="Lato" w:hAnsi="Lato"/>
                <w:sz w:val="22"/>
                <w:szCs w:val="22"/>
              </w:rPr>
            </w:pPr>
            <w:r w:rsidRPr="00CB1714">
              <w:rPr>
                <w:rFonts w:ascii="Lato" w:hAnsi="Lato"/>
                <w:sz w:val="22"/>
                <w:szCs w:val="22"/>
              </w:rPr>
              <w:t>2.9.5</w:t>
            </w:r>
          </w:p>
        </w:tc>
        <w:tc>
          <w:tcPr>
            <w:tcW w:w="5891" w:type="dxa"/>
            <w:tcBorders>
              <w:right w:val="single" w:sz="4" w:space="0" w:color="auto"/>
            </w:tcBorders>
          </w:tcPr>
          <w:p w14:paraId="44855543" w14:textId="77777777" w:rsidR="004674C2" w:rsidRPr="00CB1714" w:rsidRDefault="004674C2" w:rsidP="004674C2">
            <w:pPr>
              <w:rPr>
                <w:rFonts w:ascii="Lato" w:hAnsi="Lato"/>
                <w:sz w:val="22"/>
                <w:szCs w:val="22"/>
              </w:rPr>
            </w:pPr>
            <w:r w:rsidRPr="00CB1714">
              <w:rPr>
                <w:rFonts w:ascii="Lato" w:hAnsi="Lato"/>
                <w:sz w:val="22"/>
                <w:szCs w:val="22"/>
              </w:rPr>
              <w:t xml:space="preserve">Date of the initial interim report </w:t>
            </w:r>
          </w:p>
        </w:tc>
        <w:tc>
          <w:tcPr>
            <w:tcW w:w="3188" w:type="dxa"/>
            <w:tcBorders>
              <w:top w:val="single" w:sz="4" w:space="0" w:color="auto"/>
              <w:left w:val="single" w:sz="4" w:space="0" w:color="auto"/>
              <w:bottom w:val="single" w:sz="4" w:space="0" w:color="auto"/>
              <w:right w:val="single" w:sz="4" w:space="0" w:color="auto"/>
            </w:tcBorders>
          </w:tcPr>
          <w:p w14:paraId="4A24B55E" w14:textId="77777777" w:rsidR="004674C2" w:rsidRPr="00CB1714" w:rsidRDefault="004674C2" w:rsidP="004674C2">
            <w:pPr>
              <w:rPr>
                <w:rFonts w:ascii="Lato" w:hAnsi="Lato"/>
                <w:sz w:val="22"/>
                <w:szCs w:val="22"/>
              </w:rPr>
            </w:pPr>
          </w:p>
        </w:tc>
      </w:tr>
      <w:tr w:rsidR="004674C2" w:rsidRPr="00CB1714" w14:paraId="65BBF743" w14:textId="77777777" w:rsidTr="00990D73">
        <w:tc>
          <w:tcPr>
            <w:tcW w:w="1316" w:type="dxa"/>
          </w:tcPr>
          <w:p w14:paraId="518F0D0F" w14:textId="77777777" w:rsidR="004674C2" w:rsidRPr="00CB1714" w:rsidRDefault="004674C2" w:rsidP="004674C2">
            <w:pPr>
              <w:rPr>
                <w:rFonts w:ascii="Lato" w:hAnsi="Lato"/>
                <w:sz w:val="22"/>
                <w:szCs w:val="22"/>
              </w:rPr>
            </w:pPr>
          </w:p>
        </w:tc>
        <w:tc>
          <w:tcPr>
            <w:tcW w:w="5891" w:type="dxa"/>
          </w:tcPr>
          <w:p w14:paraId="77F4EADD"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09E30824" w14:textId="77777777" w:rsidR="004674C2" w:rsidRPr="00CB1714" w:rsidRDefault="004674C2" w:rsidP="004674C2">
            <w:pPr>
              <w:rPr>
                <w:rFonts w:ascii="Lato" w:hAnsi="Lato"/>
                <w:sz w:val="22"/>
                <w:szCs w:val="22"/>
              </w:rPr>
            </w:pPr>
          </w:p>
        </w:tc>
      </w:tr>
      <w:tr w:rsidR="004674C2" w:rsidRPr="00CB1714" w14:paraId="45E472BE" w14:textId="77777777" w:rsidTr="00990D73">
        <w:trPr>
          <w:cantSplit/>
          <w:trHeight w:val="253"/>
        </w:trPr>
        <w:tc>
          <w:tcPr>
            <w:tcW w:w="1316" w:type="dxa"/>
            <w:vMerge w:val="restart"/>
          </w:tcPr>
          <w:p w14:paraId="7709A94B" w14:textId="77777777" w:rsidR="004674C2" w:rsidRPr="00CB1714" w:rsidRDefault="004674C2" w:rsidP="004674C2">
            <w:pPr>
              <w:rPr>
                <w:rFonts w:ascii="Lato" w:hAnsi="Lato"/>
                <w:sz w:val="22"/>
                <w:szCs w:val="22"/>
              </w:rPr>
            </w:pPr>
          </w:p>
        </w:tc>
        <w:tc>
          <w:tcPr>
            <w:tcW w:w="5891" w:type="dxa"/>
            <w:vMerge w:val="restart"/>
            <w:tcBorders>
              <w:right w:val="single" w:sz="4" w:space="0" w:color="auto"/>
            </w:tcBorders>
          </w:tcPr>
          <w:p w14:paraId="48B087EC"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375B554E" w14:textId="77777777" w:rsidR="004674C2" w:rsidRPr="00CB1714" w:rsidRDefault="004674C2" w:rsidP="004674C2">
            <w:pPr>
              <w:rPr>
                <w:rFonts w:ascii="Lato" w:hAnsi="Lato"/>
                <w:sz w:val="22"/>
                <w:szCs w:val="22"/>
              </w:rPr>
            </w:pPr>
          </w:p>
        </w:tc>
      </w:tr>
      <w:tr w:rsidR="004674C2" w:rsidRPr="00CB1714" w14:paraId="6883E1B4" w14:textId="77777777" w:rsidTr="00990D73">
        <w:trPr>
          <w:cantSplit/>
          <w:trHeight w:val="251"/>
        </w:trPr>
        <w:tc>
          <w:tcPr>
            <w:tcW w:w="1316" w:type="dxa"/>
            <w:vMerge/>
          </w:tcPr>
          <w:p w14:paraId="6812C1F5" w14:textId="77777777" w:rsidR="004674C2" w:rsidRPr="00CB1714" w:rsidRDefault="004674C2" w:rsidP="004674C2">
            <w:pPr>
              <w:rPr>
                <w:rFonts w:ascii="Lato" w:hAnsi="Lato"/>
                <w:sz w:val="22"/>
                <w:szCs w:val="22"/>
              </w:rPr>
            </w:pPr>
          </w:p>
        </w:tc>
        <w:tc>
          <w:tcPr>
            <w:tcW w:w="5891" w:type="dxa"/>
            <w:vMerge/>
          </w:tcPr>
          <w:p w14:paraId="32A7B32A"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top w:val="single" w:sz="4" w:space="0" w:color="auto"/>
            </w:tcBorders>
          </w:tcPr>
          <w:p w14:paraId="66911FF5" w14:textId="77777777" w:rsidR="004674C2" w:rsidRPr="00CB1714" w:rsidRDefault="004674C2" w:rsidP="004674C2">
            <w:pPr>
              <w:rPr>
                <w:rFonts w:ascii="Lato" w:hAnsi="Lato"/>
                <w:sz w:val="22"/>
                <w:szCs w:val="22"/>
              </w:rPr>
            </w:pPr>
          </w:p>
        </w:tc>
      </w:tr>
      <w:tr w:rsidR="004674C2" w:rsidRPr="00CB1714" w14:paraId="6F6BCD4E" w14:textId="77777777" w:rsidTr="00990D73">
        <w:trPr>
          <w:cantSplit/>
          <w:trHeight w:val="251"/>
        </w:trPr>
        <w:tc>
          <w:tcPr>
            <w:tcW w:w="1316" w:type="dxa"/>
            <w:vMerge/>
          </w:tcPr>
          <w:p w14:paraId="26769F38" w14:textId="77777777" w:rsidR="004674C2" w:rsidRPr="00CB1714" w:rsidRDefault="004674C2" w:rsidP="004674C2">
            <w:pPr>
              <w:rPr>
                <w:rFonts w:ascii="Lato" w:hAnsi="Lato"/>
                <w:sz w:val="22"/>
                <w:szCs w:val="22"/>
              </w:rPr>
            </w:pPr>
          </w:p>
        </w:tc>
        <w:tc>
          <w:tcPr>
            <w:tcW w:w="5891" w:type="dxa"/>
            <w:vMerge/>
          </w:tcPr>
          <w:p w14:paraId="2FC6DF3E"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Pr>
          <w:p w14:paraId="7B6F1454" w14:textId="77777777" w:rsidR="004674C2" w:rsidRPr="00CB1714" w:rsidRDefault="004674C2" w:rsidP="004674C2">
            <w:pPr>
              <w:rPr>
                <w:rFonts w:ascii="Lato" w:hAnsi="Lato"/>
                <w:sz w:val="22"/>
                <w:szCs w:val="22"/>
              </w:rPr>
            </w:pPr>
          </w:p>
        </w:tc>
      </w:tr>
      <w:tr w:rsidR="004674C2" w:rsidRPr="00CB1714" w14:paraId="3B31B9C2" w14:textId="77777777" w:rsidTr="00990D73">
        <w:tc>
          <w:tcPr>
            <w:tcW w:w="1316" w:type="dxa"/>
          </w:tcPr>
          <w:p w14:paraId="15B00DAB" w14:textId="77777777" w:rsidR="004674C2" w:rsidRPr="00CB1714" w:rsidRDefault="004674C2" w:rsidP="004674C2">
            <w:pPr>
              <w:rPr>
                <w:rFonts w:ascii="Lato" w:hAnsi="Lato"/>
                <w:sz w:val="22"/>
                <w:szCs w:val="22"/>
              </w:rPr>
            </w:pPr>
          </w:p>
        </w:tc>
        <w:tc>
          <w:tcPr>
            <w:tcW w:w="5891" w:type="dxa"/>
          </w:tcPr>
          <w:p w14:paraId="1E0914FE"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5D770CC5" w14:textId="77777777" w:rsidR="004674C2" w:rsidRPr="00CB1714" w:rsidRDefault="004674C2" w:rsidP="004674C2">
            <w:pPr>
              <w:rPr>
                <w:rFonts w:ascii="Lato" w:hAnsi="Lato"/>
                <w:sz w:val="22"/>
                <w:szCs w:val="22"/>
              </w:rPr>
            </w:pPr>
          </w:p>
        </w:tc>
      </w:tr>
      <w:tr w:rsidR="004674C2" w:rsidRPr="00CB1714" w14:paraId="4585845B" w14:textId="77777777" w:rsidTr="00990D73">
        <w:trPr>
          <w:cantSplit/>
          <w:trHeight w:val="255"/>
        </w:trPr>
        <w:tc>
          <w:tcPr>
            <w:tcW w:w="1316" w:type="dxa"/>
            <w:vMerge w:val="restart"/>
          </w:tcPr>
          <w:p w14:paraId="7DB0194B" w14:textId="77777777" w:rsidR="004674C2" w:rsidRPr="00CB1714" w:rsidRDefault="004674C2" w:rsidP="004674C2">
            <w:pPr>
              <w:rPr>
                <w:rFonts w:ascii="Lato" w:hAnsi="Lato"/>
                <w:sz w:val="22"/>
                <w:szCs w:val="22"/>
              </w:rPr>
            </w:pPr>
          </w:p>
        </w:tc>
        <w:tc>
          <w:tcPr>
            <w:tcW w:w="5891" w:type="dxa"/>
            <w:vMerge w:val="restart"/>
            <w:tcBorders>
              <w:right w:val="single" w:sz="4" w:space="0" w:color="auto"/>
            </w:tcBorders>
          </w:tcPr>
          <w:p w14:paraId="67C75FEF" w14:textId="77777777" w:rsidR="004674C2" w:rsidRPr="00CB1714" w:rsidRDefault="004674C2" w:rsidP="004674C2">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6B8403E" w14:textId="77777777" w:rsidR="004674C2" w:rsidRPr="00CB1714" w:rsidRDefault="004674C2" w:rsidP="004674C2">
            <w:pPr>
              <w:rPr>
                <w:rFonts w:ascii="Lato" w:hAnsi="Lato"/>
                <w:sz w:val="22"/>
                <w:szCs w:val="22"/>
              </w:rPr>
            </w:pPr>
          </w:p>
        </w:tc>
      </w:tr>
      <w:tr w:rsidR="004674C2" w:rsidRPr="00CB1714" w14:paraId="0E03E430" w14:textId="77777777" w:rsidTr="00990D73">
        <w:trPr>
          <w:cantSplit/>
          <w:trHeight w:val="254"/>
        </w:trPr>
        <w:tc>
          <w:tcPr>
            <w:tcW w:w="1316" w:type="dxa"/>
            <w:vMerge/>
          </w:tcPr>
          <w:p w14:paraId="2E337E3C" w14:textId="77777777" w:rsidR="004674C2" w:rsidRPr="00CB1714" w:rsidRDefault="004674C2" w:rsidP="004674C2">
            <w:pPr>
              <w:rPr>
                <w:rFonts w:ascii="Lato" w:hAnsi="Lato"/>
                <w:sz w:val="22"/>
                <w:szCs w:val="22"/>
              </w:rPr>
            </w:pPr>
          </w:p>
        </w:tc>
        <w:tc>
          <w:tcPr>
            <w:tcW w:w="5891" w:type="dxa"/>
            <w:vMerge/>
          </w:tcPr>
          <w:p w14:paraId="087EA236"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7D219FFF" w14:textId="77777777" w:rsidR="004674C2" w:rsidRPr="00CB1714" w:rsidRDefault="004674C2" w:rsidP="004674C2">
            <w:pPr>
              <w:rPr>
                <w:rFonts w:ascii="Lato" w:hAnsi="Lato"/>
                <w:sz w:val="22"/>
                <w:szCs w:val="22"/>
              </w:rPr>
            </w:pPr>
          </w:p>
        </w:tc>
      </w:tr>
      <w:tr w:rsidR="004674C2" w:rsidRPr="00CB1714" w14:paraId="047E46FF" w14:textId="77777777" w:rsidTr="00990D73">
        <w:tc>
          <w:tcPr>
            <w:tcW w:w="1316" w:type="dxa"/>
          </w:tcPr>
          <w:p w14:paraId="4655C44D" w14:textId="77777777" w:rsidR="004674C2" w:rsidRPr="00CB1714" w:rsidRDefault="004674C2" w:rsidP="004674C2">
            <w:pPr>
              <w:rPr>
                <w:rFonts w:ascii="Lato" w:hAnsi="Lato"/>
                <w:sz w:val="22"/>
                <w:szCs w:val="22"/>
              </w:rPr>
            </w:pPr>
          </w:p>
        </w:tc>
        <w:tc>
          <w:tcPr>
            <w:tcW w:w="5891" w:type="dxa"/>
          </w:tcPr>
          <w:p w14:paraId="6358A705" w14:textId="77777777" w:rsidR="004674C2" w:rsidRPr="00CB1714" w:rsidRDefault="004674C2" w:rsidP="004674C2">
            <w:pPr>
              <w:rPr>
                <w:rFonts w:ascii="Lato" w:hAnsi="Lato"/>
                <w:sz w:val="22"/>
                <w:szCs w:val="22"/>
              </w:rPr>
            </w:pPr>
          </w:p>
        </w:tc>
        <w:tc>
          <w:tcPr>
            <w:tcW w:w="3188" w:type="dxa"/>
          </w:tcPr>
          <w:p w14:paraId="5B0C5DFB" w14:textId="77777777" w:rsidR="004674C2" w:rsidRPr="00CB1714" w:rsidRDefault="004674C2" w:rsidP="004674C2">
            <w:pPr>
              <w:rPr>
                <w:rFonts w:ascii="Lato" w:hAnsi="Lato"/>
                <w:sz w:val="22"/>
                <w:szCs w:val="22"/>
              </w:rPr>
            </w:pPr>
          </w:p>
        </w:tc>
      </w:tr>
      <w:tr w:rsidR="004674C2" w:rsidRPr="00CB1714" w14:paraId="135CFAA8" w14:textId="77777777" w:rsidTr="00990D73">
        <w:tc>
          <w:tcPr>
            <w:tcW w:w="1316" w:type="dxa"/>
          </w:tcPr>
          <w:p w14:paraId="7B764BD2" w14:textId="77777777" w:rsidR="004674C2" w:rsidRPr="00CB1714" w:rsidRDefault="004674C2" w:rsidP="004674C2">
            <w:pPr>
              <w:rPr>
                <w:rFonts w:ascii="Lato" w:hAnsi="Lato"/>
                <w:sz w:val="22"/>
                <w:szCs w:val="22"/>
              </w:rPr>
            </w:pPr>
            <w:r w:rsidRPr="00CB1714">
              <w:rPr>
                <w:rFonts w:ascii="Lato" w:hAnsi="Lato"/>
                <w:sz w:val="22"/>
                <w:szCs w:val="22"/>
              </w:rPr>
              <w:t>2.9.6</w:t>
            </w:r>
          </w:p>
        </w:tc>
        <w:tc>
          <w:tcPr>
            <w:tcW w:w="5891" w:type="dxa"/>
          </w:tcPr>
          <w:p w14:paraId="0447B76C" w14:textId="77777777" w:rsidR="004674C2" w:rsidRPr="00CB1714" w:rsidRDefault="004674C2" w:rsidP="004674C2">
            <w:pPr>
              <w:rPr>
                <w:rFonts w:ascii="Lato" w:hAnsi="Lato"/>
                <w:sz w:val="22"/>
                <w:szCs w:val="22"/>
              </w:rPr>
            </w:pPr>
            <w:r w:rsidRPr="00CB1714">
              <w:rPr>
                <w:rFonts w:ascii="Lato" w:hAnsi="Lato"/>
                <w:sz w:val="22"/>
                <w:szCs w:val="22"/>
              </w:rPr>
              <w:t xml:space="preserve">State where the following may be obtained (if not annexed): </w:t>
            </w:r>
          </w:p>
        </w:tc>
        <w:tc>
          <w:tcPr>
            <w:tcW w:w="3188" w:type="dxa"/>
            <w:tcBorders>
              <w:bottom w:val="single" w:sz="4" w:space="0" w:color="auto"/>
            </w:tcBorders>
          </w:tcPr>
          <w:p w14:paraId="4E544EB9" w14:textId="77777777" w:rsidR="004674C2" w:rsidRPr="00CB1714" w:rsidRDefault="004674C2" w:rsidP="004674C2">
            <w:pPr>
              <w:rPr>
                <w:rFonts w:ascii="Lato" w:hAnsi="Lato"/>
                <w:sz w:val="22"/>
                <w:szCs w:val="22"/>
              </w:rPr>
            </w:pPr>
          </w:p>
        </w:tc>
      </w:tr>
      <w:tr w:rsidR="004674C2" w:rsidRPr="00CB1714" w14:paraId="2E181949" w14:textId="77777777" w:rsidTr="00990D73">
        <w:trPr>
          <w:cantSplit/>
          <w:trHeight w:val="255"/>
        </w:trPr>
        <w:tc>
          <w:tcPr>
            <w:tcW w:w="1316" w:type="dxa"/>
          </w:tcPr>
          <w:p w14:paraId="7108C4A3"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786C9799" w14:textId="77777777" w:rsidR="004674C2" w:rsidRPr="00CB1714" w:rsidRDefault="004674C2" w:rsidP="004674C2">
            <w:pPr>
              <w:rPr>
                <w:rFonts w:ascii="Lato" w:hAnsi="Lato"/>
                <w:sz w:val="22"/>
                <w:szCs w:val="22"/>
              </w:rPr>
            </w:pPr>
            <w:r w:rsidRPr="00CB1714">
              <w:rPr>
                <w:rFonts w:ascii="Lato" w:hAnsi="Lato"/>
                <w:sz w:val="22"/>
                <w:szCs w:val="22"/>
              </w:rPr>
              <w:t xml:space="preserve">the constitutional document  </w:t>
            </w:r>
          </w:p>
        </w:tc>
        <w:tc>
          <w:tcPr>
            <w:tcW w:w="3188" w:type="dxa"/>
            <w:tcBorders>
              <w:top w:val="single" w:sz="4" w:space="0" w:color="auto"/>
              <w:left w:val="single" w:sz="4" w:space="0" w:color="auto"/>
              <w:bottom w:val="single" w:sz="4" w:space="0" w:color="auto"/>
              <w:right w:val="single" w:sz="4" w:space="0" w:color="auto"/>
            </w:tcBorders>
          </w:tcPr>
          <w:p w14:paraId="7900C87B" w14:textId="77777777" w:rsidR="004674C2" w:rsidRPr="00CB1714" w:rsidRDefault="004674C2" w:rsidP="004674C2">
            <w:pPr>
              <w:rPr>
                <w:rFonts w:ascii="Lato" w:hAnsi="Lato"/>
                <w:sz w:val="22"/>
                <w:szCs w:val="22"/>
              </w:rPr>
            </w:pPr>
          </w:p>
        </w:tc>
      </w:tr>
      <w:tr w:rsidR="004674C2" w:rsidRPr="00CB1714" w14:paraId="60814EC6" w14:textId="77777777" w:rsidTr="00990D73">
        <w:tc>
          <w:tcPr>
            <w:tcW w:w="1316" w:type="dxa"/>
          </w:tcPr>
          <w:p w14:paraId="6D8ED012" w14:textId="77777777" w:rsidR="004674C2" w:rsidRPr="00CB1714" w:rsidRDefault="004674C2" w:rsidP="004674C2">
            <w:pPr>
              <w:jc w:val="right"/>
              <w:rPr>
                <w:rFonts w:ascii="Lato" w:hAnsi="Lato"/>
                <w:sz w:val="22"/>
                <w:szCs w:val="22"/>
              </w:rPr>
            </w:pPr>
          </w:p>
        </w:tc>
        <w:tc>
          <w:tcPr>
            <w:tcW w:w="5891" w:type="dxa"/>
          </w:tcPr>
          <w:p w14:paraId="1AD1387B" w14:textId="77777777" w:rsidR="004674C2" w:rsidRPr="00CB1714" w:rsidRDefault="004674C2" w:rsidP="004674C2">
            <w:pPr>
              <w:rPr>
                <w:rFonts w:ascii="Lato" w:hAnsi="Lato"/>
                <w:sz w:val="22"/>
                <w:szCs w:val="22"/>
              </w:rPr>
            </w:pPr>
            <w:r w:rsidRPr="00CB1714">
              <w:rPr>
                <w:rFonts w:ascii="Lato" w:hAnsi="Lato"/>
                <w:sz w:val="22"/>
                <w:szCs w:val="22"/>
              </w:rPr>
              <w:t>and</w:t>
            </w:r>
          </w:p>
        </w:tc>
        <w:tc>
          <w:tcPr>
            <w:tcW w:w="3188" w:type="dxa"/>
            <w:tcBorders>
              <w:bottom w:val="single" w:sz="4" w:space="0" w:color="auto"/>
            </w:tcBorders>
          </w:tcPr>
          <w:p w14:paraId="67707690" w14:textId="77777777" w:rsidR="004674C2" w:rsidRPr="00CB1714" w:rsidRDefault="004674C2" w:rsidP="004674C2">
            <w:pPr>
              <w:rPr>
                <w:rFonts w:ascii="Lato" w:hAnsi="Lato"/>
                <w:sz w:val="22"/>
                <w:szCs w:val="22"/>
              </w:rPr>
            </w:pPr>
          </w:p>
        </w:tc>
      </w:tr>
      <w:tr w:rsidR="004674C2" w:rsidRPr="00CB1714" w14:paraId="17E49D75" w14:textId="77777777" w:rsidTr="00990D73">
        <w:tc>
          <w:tcPr>
            <w:tcW w:w="1316" w:type="dxa"/>
          </w:tcPr>
          <w:p w14:paraId="5BB7E150"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384B9CAB" w14:textId="77777777" w:rsidR="004674C2" w:rsidRPr="00CB1714" w:rsidRDefault="004674C2" w:rsidP="004674C2">
            <w:pPr>
              <w:rPr>
                <w:rFonts w:ascii="Lato" w:hAnsi="Lato"/>
                <w:sz w:val="22"/>
                <w:szCs w:val="22"/>
              </w:rPr>
            </w:pPr>
            <w:r w:rsidRPr="00CB1714">
              <w:rPr>
                <w:rFonts w:ascii="Lato" w:hAnsi="Lato"/>
                <w:sz w:val="22"/>
                <w:szCs w:val="22"/>
              </w:rPr>
              <w:t xml:space="preserve">the latest annual/semi-annual reports  </w:t>
            </w:r>
          </w:p>
        </w:tc>
        <w:tc>
          <w:tcPr>
            <w:tcW w:w="3188" w:type="dxa"/>
            <w:tcBorders>
              <w:top w:val="single" w:sz="4" w:space="0" w:color="auto"/>
              <w:bottom w:val="single" w:sz="4" w:space="0" w:color="auto"/>
              <w:right w:val="single" w:sz="4" w:space="0" w:color="auto"/>
            </w:tcBorders>
          </w:tcPr>
          <w:p w14:paraId="47C62775" w14:textId="77777777" w:rsidR="004674C2" w:rsidRPr="00CB1714" w:rsidRDefault="004674C2" w:rsidP="004674C2">
            <w:pPr>
              <w:rPr>
                <w:rFonts w:ascii="Lato" w:hAnsi="Lato"/>
                <w:sz w:val="22"/>
                <w:szCs w:val="22"/>
              </w:rPr>
            </w:pPr>
          </w:p>
        </w:tc>
      </w:tr>
      <w:tr w:rsidR="004674C2" w:rsidRPr="00CB1714" w14:paraId="3EDEFBE0" w14:textId="77777777" w:rsidTr="007E3170">
        <w:tc>
          <w:tcPr>
            <w:tcW w:w="1316" w:type="dxa"/>
          </w:tcPr>
          <w:p w14:paraId="38793ED6" w14:textId="77777777" w:rsidR="004674C2" w:rsidRPr="00CB1714" w:rsidRDefault="004674C2" w:rsidP="004674C2">
            <w:pPr>
              <w:rPr>
                <w:rFonts w:ascii="Lato" w:hAnsi="Lato"/>
                <w:sz w:val="22"/>
                <w:szCs w:val="22"/>
              </w:rPr>
            </w:pPr>
          </w:p>
        </w:tc>
        <w:tc>
          <w:tcPr>
            <w:tcW w:w="5891" w:type="dxa"/>
          </w:tcPr>
          <w:p w14:paraId="1E6C6D76" w14:textId="77777777" w:rsidR="004674C2" w:rsidRPr="00CB1714" w:rsidRDefault="004674C2" w:rsidP="004674C2">
            <w:pPr>
              <w:rPr>
                <w:rFonts w:ascii="Lato" w:hAnsi="Lato"/>
                <w:sz w:val="22"/>
                <w:szCs w:val="22"/>
              </w:rPr>
            </w:pPr>
            <w:r w:rsidRPr="00CB1714">
              <w:rPr>
                <w:rFonts w:ascii="Lato" w:hAnsi="Lato"/>
                <w:sz w:val="22"/>
                <w:szCs w:val="22"/>
              </w:rPr>
              <w:t>(available for inspection is not acceptable)</w:t>
            </w:r>
          </w:p>
        </w:tc>
        <w:tc>
          <w:tcPr>
            <w:tcW w:w="3188" w:type="dxa"/>
            <w:tcBorders>
              <w:top w:val="single" w:sz="4" w:space="0" w:color="auto"/>
              <w:bottom w:val="single" w:sz="4" w:space="0" w:color="auto"/>
            </w:tcBorders>
          </w:tcPr>
          <w:p w14:paraId="40B019EA" w14:textId="77777777" w:rsidR="004674C2" w:rsidRPr="00CB1714" w:rsidRDefault="004674C2" w:rsidP="004674C2">
            <w:pPr>
              <w:rPr>
                <w:rFonts w:ascii="Lato" w:hAnsi="Lato"/>
                <w:sz w:val="22"/>
                <w:szCs w:val="22"/>
              </w:rPr>
            </w:pPr>
          </w:p>
        </w:tc>
      </w:tr>
      <w:tr w:rsidR="004674C2" w:rsidRPr="00CB1714" w14:paraId="0DA6E74E" w14:textId="77777777" w:rsidTr="007E3170">
        <w:tc>
          <w:tcPr>
            <w:tcW w:w="1316" w:type="dxa"/>
          </w:tcPr>
          <w:p w14:paraId="0B71A05D"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2121B70D" w14:textId="77777777" w:rsidR="004674C2" w:rsidRPr="00CB1714" w:rsidRDefault="004674C2" w:rsidP="004674C2">
            <w:pPr>
              <w:rPr>
                <w:rFonts w:ascii="Lato" w:hAnsi="Lato"/>
                <w:sz w:val="22"/>
                <w:szCs w:val="22"/>
              </w:rPr>
            </w:pPr>
            <w:r w:rsidRPr="00CB1714">
              <w:rPr>
                <w:rFonts w:ascii="Lato" w:hAnsi="Lato"/>
                <w:sz w:val="22"/>
                <w:szCs w:val="22"/>
              </w:rPr>
              <w:t xml:space="preserve">the latest net asset value of the Qualifying Investor AIF, or </w:t>
            </w:r>
          </w:p>
        </w:tc>
        <w:tc>
          <w:tcPr>
            <w:tcW w:w="3188" w:type="dxa"/>
            <w:tcBorders>
              <w:top w:val="single" w:sz="4" w:space="0" w:color="auto"/>
              <w:left w:val="single" w:sz="4" w:space="0" w:color="auto"/>
              <w:bottom w:val="single" w:sz="4" w:space="0" w:color="auto"/>
              <w:right w:val="single" w:sz="4" w:space="0" w:color="auto"/>
            </w:tcBorders>
          </w:tcPr>
          <w:p w14:paraId="25782818" w14:textId="77777777" w:rsidR="004674C2" w:rsidRPr="00CB1714" w:rsidRDefault="004674C2" w:rsidP="004674C2">
            <w:pPr>
              <w:rPr>
                <w:rFonts w:ascii="Lato" w:hAnsi="Lato"/>
                <w:sz w:val="22"/>
                <w:szCs w:val="22"/>
              </w:rPr>
            </w:pPr>
          </w:p>
        </w:tc>
      </w:tr>
      <w:tr w:rsidR="004674C2" w:rsidRPr="00CB1714" w14:paraId="4E5E309D" w14:textId="77777777" w:rsidTr="007E3170">
        <w:tc>
          <w:tcPr>
            <w:tcW w:w="1316" w:type="dxa"/>
          </w:tcPr>
          <w:p w14:paraId="570452DB" w14:textId="77777777" w:rsidR="004674C2" w:rsidRPr="00CB1714" w:rsidRDefault="004674C2" w:rsidP="004674C2">
            <w:pPr>
              <w:rPr>
                <w:rFonts w:ascii="Lato" w:hAnsi="Lato"/>
                <w:sz w:val="22"/>
                <w:szCs w:val="22"/>
              </w:rPr>
            </w:pPr>
          </w:p>
        </w:tc>
        <w:tc>
          <w:tcPr>
            <w:tcW w:w="5891" w:type="dxa"/>
          </w:tcPr>
          <w:p w14:paraId="5BEB8C40" w14:textId="77777777" w:rsidR="004674C2" w:rsidRPr="00CB1714" w:rsidRDefault="004674C2" w:rsidP="004674C2">
            <w:pPr>
              <w:rPr>
                <w:rFonts w:ascii="Lato" w:hAnsi="Lato"/>
                <w:sz w:val="22"/>
                <w:szCs w:val="22"/>
              </w:rPr>
            </w:pPr>
            <w:r w:rsidRPr="00F72ED7">
              <w:rPr>
                <w:rFonts w:ascii="Lato" w:hAnsi="Lato"/>
                <w:sz w:val="22"/>
                <w:szCs w:val="22"/>
              </w:rPr>
              <w:t xml:space="preserve">the </w:t>
            </w:r>
            <w:r w:rsidRPr="00CB1714">
              <w:rPr>
                <w:rFonts w:ascii="Lato" w:hAnsi="Lato"/>
                <w:sz w:val="22"/>
                <w:szCs w:val="22"/>
              </w:rPr>
              <w:t>latest market price of the unit of the Qualifying Investor AIF</w:t>
            </w:r>
          </w:p>
        </w:tc>
        <w:tc>
          <w:tcPr>
            <w:tcW w:w="3188" w:type="dxa"/>
            <w:tcBorders>
              <w:top w:val="single" w:sz="4" w:space="0" w:color="auto"/>
              <w:bottom w:val="single" w:sz="4" w:space="0" w:color="auto"/>
            </w:tcBorders>
          </w:tcPr>
          <w:p w14:paraId="76705447" w14:textId="77777777" w:rsidR="004674C2" w:rsidRPr="00CB1714" w:rsidRDefault="004674C2" w:rsidP="004674C2">
            <w:pPr>
              <w:rPr>
                <w:rFonts w:ascii="Lato" w:hAnsi="Lato"/>
                <w:sz w:val="22"/>
                <w:szCs w:val="22"/>
              </w:rPr>
            </w:pPr>
          </w:p>
        </w:tc>
      </w:tr>
      <w:tr w:rsidR="004674C2" w:rsidRPr="00CB1714" w14:paraId="6583EEB8" w14:textId="77777777" w:rsidTr="007E3170">
        <w:tc>
          <w:tcPr>
            <w:tcW w:w="1316" w:type="dxa"/>
          </w:tcPr>
          <w:p w14:paraId="0E7BC497" w14:textId="77777777" w:rsidR="004674C2" w:rsidRPr="00CB1714" w:rsidRDefault="004674C2" w:rsidP="004674C2">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3D318842" w14:textId="77777777" w:rsidR="004674C2" w:rsidRPr="00CB1714" w:rsidRDefault="004674C2" w:rsidP="004674C2">
            <w:pPr>
              <w:rPr>
                <w:rFonts w:ascii="Lato" w:hAnsi="Lato"/>
                <w:sz w:val="22"/>
                <w:szCs w:val="22"/>
              </w:rPr>
            </w:pPr>
            <w:r w:rsidRPr="00CB1714">
              <w:rPr>
                <w:rFonts w:ascii="Lato" w:hAnsi="Lato"/>
                <w:sz w:val="22"/>
                <w:szCs w:val="22"/>
              </w:rPr>
              <w:t xml:space="preserve">the historical performance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304516AE" w14:textId="77777777" w:rsidR="004674C2" w:rsidRPr="00CB1714" w:rsidRDefault="004674C2" w:rsidP="004674C2">
            <w:pPr>
              <w:rPr>
                <w:rFonts w:ascii="Lato" w:hAnsi="Lato"/>
                <w:sz w:val="22"/>
                <w:szCs w:val="22"/>
              </w:rPr>
            </w:pPr>
          </w:p>
        </w:tc>
      </w:tr>
      <w:tr w:rsidR="004674C2" w:rsidRPr="00CB1714" w14:paraId="7982A864" w14:textId="77777777" w:rsidTr="007E3170">
        <w:tc>
          <w:tcPr>
            <w:tcW w:w="1316" w:type="dxa"/>
          </w:tcPr>
          <w:p w14:paraId="1169FD10" w14:textId="77777777" w:rsidR="004674C2" w:rsidRPr="00CB1714" w:rsidRDefault="004674C2" w:rsidP="004674C2">
            <w:pPr>
              <w:rPr>
                <w:rFonts w:ascii="Lato" w:hAnsi="Lato"/>
                <w:sz w:val="22"/>
                <w:szCs w:val="22"/>
              </w:rPr>
            </w:pPr>
          </w:p>
        </w:tc>
        <w:tc>
          <w:tcPr>
            <w:tcW w:w="5891" w:type="dxa"/>
          </w:tcPr>
          <w:p w14:paraId="2A1DF7BA"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where available</w:t>
            </w:r>
          </w:p>
        </w:tc>
        <w:tc>
          <w:tcPr>
            <w:tcW w:w="3188" w:type="dxa"/>
            <w:tcBorders>
              <w:top w:val="single" w:sz="4" w:space="0" w:color="auto"/>
            </w:tcBorders>
          </w:tcPr>
          <w:p w14:paraId="5AB554CA" w14:textId="77777777" w:rsidR="004674C2" w:rsidRPr="00CB1714" w:rsidRDefault="004674C2" w:rsidP="004674C2">
            <w:pPr>
              <w:rPr>
                <w:rFonts w:ascii="Lato" w:hAnsi="Lato"/>
                <w:sz w:val="22"/>
                <w:szCs w:val="22"/>
              </w:rPr>
            </w:pPr>
          </w:p>
        </w:tc>
      </w:tr>
      <w:tr w:rsidR="004674C2" w:rsidRPr="00CB1714" w14:paraId="76E7F595" w14:textId="77777777" w:rsidTr="007E3170">
        <w:tc>
          <w:tcPr>
            <w:tcW w:w="1316" w:type="dxa"/>
          </w:tcPr>
          <w:p w14:paraId="2482EA75" w14:textId="77777777" w:rsidR="004674C2" w:rsidRPr="00CB1714" w:rsidRDefault="004674C2" w:rsidP="004674C2">
            <w:pPr>
              <w:jc w:val="right"/>
              <w:rPr>
                <w:rFonts w:ascii="Lato" w:hAnsi="Lato"/>
                <w:sz w:val="22"/>
                <w:szCs w:val="22"/>
              </w:rPr>
            </w:pPr>
            <w:r w:rsidRPr="00CB1714">
              <w:rPr>
                <w:rFonts w:ascii="Lato" w:hAnsi="Lato"/>
                <w:sz w:val="22"/>
                <w:szCs w:val="22"/>
              </w:rPr>
              <w:t>e)</w:t>
            </w:r>
          </w:p>
        </w:tc>
        <w:tc>
          <w:tcPr>
            <w:tcW w:w="5891" w:type="dxa"/>
          </w:tcPr>
          <w:p w14:paraId="4D695428"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This section applies so that AIFM’s must, for each of the EU</w:t>
            </w:r>
          </w:p>
        </w:tc>
        <w:tc>
          <w:tcPr>
            <w:tcW w:w="3188" w:type="dxa"/>
          </w:tcPr>
          <w:p w14:paraId="5CCE7193" w14:textId="77777777" w:rsidR="004674C2" w:rsidRPr="00CB1714" w:rsidRDefault="004674C2" w:rsidP="004674C2">
            <w:pPr>
              <w:rPr>
                <w:rFonts w:ascii="Lato" w:hAnsi="Lato"/>
                <w:sz w:val="22"/>
                <w:szCs w:val="22"/>
              </w:rPr>
            </w:pPr>
          </w:p>
        </w:tc>
      </w:tr>
      <w:tr w:rsidR="004674C2" w:rsidRPr="00CB1714" w14:paraId="44DB337A" w14:textId="77777777" w:rsidTr="007E3170">
        <w:tc>
          <w:tcPr>
            <w:tcW w:w="1316" w:type="dxa"/>
          </w:tcPr>
          <w:p w14:paraId="3BC54586" w14:textId="77777777" w:rsidR="004674C2" w:rsidRPr="00CB1714" w:rsidRDefault="004674C2" w:rsidP="004674C2">
            <w:pPr>
              <w:jc w:val="right"/>
              <w:rPr>
                <w:rFonts w:ascii="Lato" w:hAnsi="Lato"/>
                <w:sz w:val="22"/>
                <w:szCs w:val="22"/>
              </w:rPr>
            </w:pPr>
          </w:p>
        </w:tc>
        <w:tc>
          <w:tcPr>
            <w:tcW w:w="5891" w:type="dxa"/>
          </w:tcPr>
          <w:p w14:paraId="1A08EAD7"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AIFs that it manages and for each of the AIFs that it markets in </w:t>
            </w:r>
          </w:p>
        </w:tc>
        <w:tc>
          <w:tcPr>
            <w:tcW w:w="3188" w:type="dxa"/>
          </w:tcPr>
          <w:p w14:paraId="632606AE" w14:textId="77777777" w:rsidR="004674C2" w:rsidRPr="00CB1714" w:rsidRDefault="004674C2" w:rsidP="004674C2">
            <w:pPr>
              <w:rPr>
                <w:rFonts w:ascii="Lato" w:hAnsi="Lato"/>
                <w:sz w:val="22"/>
                <w:szCs w:val="22"/>
              </w:rPr>
            </w:pPr>
          </w:p>
        </w:tc>
      </w:tr>
      <w:tr w:rsidR="004674C2" w:rsidRPr="00CB1714" w14:paraId="1009E19B" w14:textId="77777777" w:rsidTr="007E3170">
        <w:tc>
          <w:tcPr>
            <w:tcW w:w="1316" w:type="dxa"/>
          </w:tcPr>
          <w:p w14:paraId="2852A93C" w14:textId="77777777" w:rsidR="004674C2" w:rsidRPr="00CB1714" w:rsidRDefault="004674C2" w:rsidP="004674C2">
            <w:pPr>
              <w:jc w:val="right"/>
              <w:rPr>
                <w:rFonts w:ascii="Lato" w:hAnsi="Lato"/>
                <w:sz w:val="22"/>
                <w:szCs w:val="22"/>
              </w:rPr>
            </w:pPr>
          </w:p>
        </w:tc>
        <w:tc>
          <w:tcPr>
            <w:tcW w:w="5891" w:type="dxa"/>
          </w:tcPr>
          <w:p w14:paraId="06333B71"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the European Union, periodically disclose to unitholders:</w:t>
            </w:r>
          </w:p>
        </w:tc>
        <w:tc>
          <w:tcPr>
            <w:tcW w:w="3188" w:type="dxa"/>
            <w:tcBorders>
              <w:bottom w:val="single" w:sz="4" w:space="0" w:color="auto"/>
            </w:tcBorders>
          </w:tcPr>
          <w:p w14:paraId="767C0CF4" w14:textId="77777777" w:rsidR="004674C2" w:rsidRPr="00CB1714" w:rsidRDefault="004674C2" w:rsidP="004674C2">
            <w:pPr>
              <w:rPr>
                <w:rFonts w:ascii="Lato" w:hAnsi="Lato"/>
                <w:sz w:val="22"/>
                <w:szCs w:val="22"/>
              </w:rPr>
            </w:pPr>
          </w:p>
        </w:tc>
      </w:tr>
      <w:tr w:rsidR="004674C2" w:rsidRPr="00CB1714" w14:paraId="1EC7B1E6" w14:textId="77777777" w:rsidTr="007E3170">
        <w:tc>
          <w:tcPr>
            <w:tcW w:w="1316" w:type="dxa"/>
          </w:tcPr>
          <w:p w14:paraId="6620BF9D"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1163CEBE"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(i)the percentage of the Qualifying Investor AIF’s assets </w:t>
            </w:r>
          </w:p>
        </w:tc>
        <w:tc>
          <w:tcPr>
            <w:tcW w:w="3188" w:type="dxa"/>
            <w:tcBorders>
              <w:top w:val="single" w:sz="4" w:space="0" w:color="auto"/>
              <w:left w:val="single" w:sz="4" w:space="0" w:color="auto"/>
              <w:bottom w:val="single" w:sz="4" w:space="0" w:color="auto"/>
              <w:right w:val="single" w:sz="4" w:space="0" w:color="auto"/>
            </w:tcBorders>
          </w:tcPr>
          <w:p w14:paraId="3CFF074C" w14:textId="77777777" w:rsidR="004674C2" w:rsidRPr="00CB1714" w:rsidRDefault="004674C2" w:rsidP="004674C2">
            <w:pPr>
              <w:rPr>
                <w:rFonts w:ascii="Lato" w:hAnsi="Lato"/>
                <w:sz w:val="22"/>
                <w:szCs w:val="22"/>
              </w:rPr>
            </w:pPr>
          </w:p>
        </w:tc>
      </w:tr>
      <w:tr w:rsidR="004674C2" w:rsidRPr="00CB1714" w14:paraId="67D7FF84" w14:textId="77777777" w:rsidTr="007E3170">
        <w:tc>
          <w:tcPr>
            <w:tcW w:w="1316" w:type="dxa"/>
          </w:tcPr>
          <w:p w14:paraId="6E007C60" w14:textId="77777777" w:rsidR="004674C2" w:rsidRPr="00CB1714" w:rsidRDefault="004674C2" w:rsidP="004674C2">
            <w:pPr>
              <w:jc w:val="right"/>
              <w:rPr>
                <w:rFonts w:ascii="Lato" w:hAnsi="Lato"/>
                <w:sz w:val="22"/>
                <w:szCs w:val="22"/>
              </w:rPr>
            </w:pPr>
          </w:p>
        </w:tc>
        <w:tc>
          <w:tcPr>
            <w:tcW w:w="5891" w:type="dxa"/>
          </w:tcPr>
          <w:p w14:paraId="23B05514"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which</w:t>
            </w:r>
            <w:r w:rsidRPr="00CB1714">
              <w:rPr>
                <w:rFonts w:ascii="Lato" w:hAnsi="Lato"/>
                <w:b w:val="0"/>
                <w:color w:val="auto"/>
                <w:sz w:val="22"/>
                <w:szCs w:val="22"/>
              </w:rPr>
              <w:t xml:space="preserve"> are subject to special arrangements arising from </w:t>
            </w:r>
          </w:p>
        </w:tc>
        <w:tc>
          <w:tcPr>
            <w:tcW w:w="3188" w:type="dxa"/>
            <w:tcBorders>
              <w:top w:val="single" w:sz="4" w:space="0" w:color="auto"/>
            </w:tcBorders>
          </w:tcPr>
          <w:p w14:paraId="3EBCB0D0" w14:textId="77777777" w:rsidR="004674C2" w:rsidRPr="00CB1714" w:rsidRDefault="004674C2" w:rsidP="004674C2">
            <w:pPr>
              <w:rPr>
                <w:rFonts w:ascii="Lato" w:hAnsi="Lato"/>
                <w:sz w:val="22"/>
                <w:szCs w:val="22"/>
              </w:rPr>
            </w:pPr>
          </w:p>
        </w:tc>
      </w:tr>
      <w:tr w:rsidR="004674C2" w:rsidRPr="00CB1714" w14:paraId="5291AB9A" w14:textId="77777777" w:rsidTr="007E3170">
        <w:tc>
          <w:tcPr>
            <w:tcW w:w="1316" w:type="dxa"/>
          </w:tcPr>
          <w:p w14:paraId="647250A1" w14:textId="77777777" w:rsidR="004674C2" w:rsidRPr="00CB1714" w:rsidRDefault="004674C2" w:rsidP="004674C2">
            <w:pPr>
              <w:jc w:val="right"/>
              <w:rPr>
                <w:rFonts w:ascii="Lato" w:hAnsi="Lato"/>
                <w:sz w:val="22"/>
                <w:szCs w:val="22"/>
              </w:rPr>
            </w:pPr>
          </w:p>
        </w:tc>
        <w:tc>
          <w:tcPr>
            <w:tcW w:w="5891" w:type="dxa"/>
          </w:tcPr>
          <w:p w14:paraId="108C1CFD"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their illiquid</w:t>
            </w:r>
            <w:r w:rsidRPr="00CB1714">
              <w:rPr>
                <w:rFonts w:ascii="Lato" w:hAnsi="Lato"/>
                <w:b w:val="0"/>
                <w:color w:val="auto"/>
                <w:sz w:val="22"/>
                <w:szCs w:val="22"/>
              </w:rPr>
              <w:t xml:space="preserve"> nature </w:t>
            </w:r>
          </w:p>
        </w:tc>
        <w:tc>
          <w:tcPr>
            <w:tcW w:w="3188" w:type="dxa"/>
            <w:tcBorders>
              <w:bottom w:val="single" w:sz="4" w:space="0" w:color="auto"/>
            </w:tcBorders>
          </w:tcPr>
          <w:p w14:paraId="6A40C9FC" w14:textId="77777777" w:rsidR="004674C2" w:rsidRPr="00CB1714" w:rsidRDefault="004674C2" w:rsidP="004674C2">
            <w:pPr>
              <w:rPr>
                <w:rFonts w:ascii="Lato" w:hAnsi="Lato"/>
                <w:sz w:val="22"/>
                <w:szCs w:val="22"/>
              </w:rPr>
            </w:pPr>
          </w:p>
        </w:tc>
      </w:tr>
      <w:tr w:rsidR="004674C2" w:rsidRPr="00CB1714" w14:paraId="16B730E9" w14:textId="77777777" w:rsidTr="007E3170">
        <w:tc>
          <w:tcPr>
            <w:tcW w:w="1316" w:type="dxa"/>
          </w:tcPr>
          <w:p w14:paraId="397111BB"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41C20428"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(ii) any new arrangments for managing the liquidity of the</w:t>
            </w:r>
          </w:p>
        </w:tc>
        <w:tc>
          <w:tcPr>
            <w:tcW w:w="3188" w:type="dxa"/>
            <w:tcBorders>
              <w:top w:val="single" w:sz="4" w:space="0" w:color="auto"/>
              <w:left w:val="single" w:sz="4" w:space="0" w:color="auto"/>
              <w:bottom w:val="single" w:sz="4" w:space="0" w:color="auto"/>
              <w:right w:val="single" w:sz="4" w:space="0" w:color="auto"/>
            </w:tcBorders>
          </w:tcPr>
          <w:p w14:paraId="4B264879" w14:textId="77777777" w:rsidR="004674C2" w:rsidRPr="00CB1714" w:rsidRDefault="004674C2" w:rsidP="004674C2">
            <w:pPr>
              <w:rPr>
                <w:rFonts w:ascii="Lato" w:hAnsi="Lato"/>
                <w:sz w:val="22"/>
                <w:szCs w:val="22"/>
              </w:rPr>
            </w:pPr>
          </w:p>
        </w:tc>
      </w:tr>
      <w:tr w:rsidR="004674C2" w:rsidRPr="00CB1714" w14:paraId="62B2D5E4" w14:textId="77777777" w:rsidTr="007E3170">
        <w:tc>
          <w:tcPr>
            <w:tcW w:w="1316" w:type="dxa"/>
          </w:tcPr>
          <w:p w14:paraId="0CDC2427" w14:textId="77777777" w:rsidR="004674C2" w:rsidRPr="00CB1714" w:rsidRDefault="004674C2" w:rsidP="004674C2">
            <w:pPr>
              <w:jc w:val="right"/>
              <w:rPr>
                <w:rFonts w:ascii="Lato" w:hAnsi="Lato"/>
                <w:sz w:val="22"/>
                <w:szCs w:val="22"/>
              </w:rPr>
            </w:pPr>
          </w:p>
        </w:tc>
        <w:tc>
          <w:tcPr>
            <w:tcW w:w="5891" w:type="dxa"/>
          </w:tcPr>
          <w:p w14:paraId="7463A6E9"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Qualifying Investor AIF</w:t>
            </w:r>
          </w:p>
        </w:tc>
        <w:tc>
          <w:tcPr>
            <w:tcW w:w="3188" w:type="dxa"/>
            <w:tcBorders>
              <w:top w:val="single" w:sz="4" w:space="0" w:color="auto"/>
              <w:bottom w:val="single" w:sz="4" w:space="0" w:color="auto"/>
            </w:tcBorders>
          </w:tcPr>
          <w:p w14:paraId="2E072212" w14:textId="77777777" w:rsidR="004674C2" w:rsidRPr="00CB1714" w:rsidRDefault="004674C2" w:rsidP="004674C2">
            <w:pPr>
              <w:rPr>
                <w:rFonts w:ascii="Lato" w:hAnsi="Lato"/>
                <w:sz w:val="22"/>
                <w:szCs w:val="22"/>
              </w:rPr>
            </w:pPr>
          </w:p>
        </w:tc>
      </w:tr>
      <w:tr w:rsidR="004674C2" w:rsidRPr="00CB1714" w14:paraId="117A6CCB" w14:textId="77777777" w:rsidTr="007E3170">
        <w:tc>
          <w:tcPr>
            <w:tcW w:w="1316" w:type="dxa"/>
          </w:tcPr>
          <w:p w14:paraId="01C4855E"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6B3D0C16"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(iii)the current risk profile of the Qualifying Investor AIF </w:t>
            </w:r>
          </w:p>
        </w:tc>
        <w:tc>
          <w:tcPr>
            <w:tcW w:w="3188" w:type="dxa"/>
            <w:tcBorders>
              <w:top w:val="single" w:sz="4" w:space="0" w:color="auto"/>
              <w:left w:val="single" w:sz="4" w:space="0" w:color="auto"/>
              <w:bottom w:val="single" w:sz="4" w:space="0" w:color="auto"/>
              <w:right w:val="single" w:sz="4" w:space="0" w:color="auto"/>
            </w:tcBorders>
          </w:tcPr>
          <w:p w14:paraId="200596E4" w14:textId="77777777" w:rsidR="004674C2" w:rsidRPr="00CB1714" w:rsidRDefault="004674C2" w:rsidP="004674C2">
            <w:pPr>
              <w:rPr>
                <w:rFonts w:ascii="Lato" w:hAnsi="Lato"/>
                <w:sz w:val="22"/>
                <w:szCs w:val="22"/>
              </w:rPr>
            </w:pPr>
          </w:p>
        </w:tc>
      </w:tr>
      <w:tr w:rsidR="004674C2" w:rsidRPr="00CB1714" w14:paraId="5356218E" w14:textId="77777777" w:rsidTr="007E3170">
        <w:tc>
          <w:tcPr>
            <w:tcW w:w="1316" w:type="dxa"/>
          </w:tcPr>
          <w:p w14:paraId="20AC518F" w14:textId="77777777" w:rsidR="004674C2" w:rsidRPr="00CB1714" w:rsidRDefault="004674C2" w:rsidP="004674C2">
            <w:pPr>
              <w:jc w:val="right"/>
              <w:rPr>
                <w:rFonts w:ascii="Lato" w:hAnsi="Lato"/>
                <w:sz w:val="22"/>
                <w:szCs w:val="22"/>
              </w:rPr>
            </w:pPr>
          </w:p>
        </w:tc>
        <w:tc>
          <w:tcPr>
            <w:tcW w:w="5891" w:type="dxa"/>
          </w:tcPr>
          <w:p w14:paraId="0DC19C11"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 xml:space="preserve">and </w:t>
            </w:r>
            <w:r w:rsidRPr="00CB1714">
              <w:rPr>
                <w:rFonts w:ascii="Lato" w:hAnsi="Lato"/>
                <w:b w:val="0"/>
                <w:color w:val="auto"/>
                <w:sz w:val="22"/>
                <w:szCs w:val="22"/>
              </w:rPr>
              <w:t xml:space="preserve">the risk management systmes employed by the AIFm to </w:t>
            </w:r>
          </w:p>
        </w:tc>
        <w:tc>
          <w:tcPr>
            <w:tcW w:w="3188" w:type="dxa"/>
            <w:tcBorders>
              <w:top w:val="single" w:sz="4" w:space="0" w:color="auto"/>
            </w:tcBorders>
          </w:tcPr>
          <w:p w14:paraId="578CE5BB" w14:textId="77777777" w:rsidR="004674C2" w:rsidRPr="00CB1714" w:rsidRDefault="004674C2" w:rsidP="004674C2">
            <w:pPr>
              <w:rPr>
                <w:rFonts w:ascii="Lato" w:hAnsi="Lato"/>
                <w:sz w:val="22"/>
                <w:szCs w:val="22"/>
              </w:rPr>
            </w:pPr>
          </w:p>
        </w:tc>
      </w:tr>
      <w:tr w:rsidR="004674C2" w:rsidRPr="00CB1714" w14:paraId="22D41D01" w14:textId="77777777" w:rsidTr="007E3170">
        <w:tc>
          <w:tcPr>
            <w:tcW w:w="1316" w:type="dxa"/>
          </w:tcPr>
          <w:p w14:paraId="2A5230A2" w14:textId="77777777" w:rsidR="004674C2" w:rsidRPr="00CB1714" w:rsidRDefault="004674C2" w:rsidP="004674C2">
            <w:pPr>
              <w:jc w:val="right"/>
              <w:rPr>
                <w:rFonts w:ascii="Lato" w:hAnsi="Lato"/>
                <w:sz w:val="22"/>
                <w:szCs w:val="22"/>
              </w:rPr>
            </w:pPr>
          </w:p>
        </w:tc>
        <w:tc>
          <w:tcPr>
            <w:tcW w:w="5891" w:type="dxa"/>
          </w:tcPr>
          <w:p w14:paraId="2E208DD8"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manage</w:t>
            </w:r>
            <w:r w:rsidRPr="00CB1714">
              <w:rPr>
                <w:rFonts w:ascii="Lato" w:hAnsi="Lato"/>
                <w:b w:val="0"/>
                <w:color w:val="auto"/>
                <w:sz w:val="22"/>
                <w:szCs w:val="22"/>
              </w:rPr>
              <w:t xml:space="preserve"> those risks</w:t>
            </w:r>
          </w:p>
        </w:tc>
        <w:tc>
          <w:tcPr>
            <w:tcW w:w="3188" w:type="dxa"/>
          </w:tcPr>
          <w:p w14:paraId="31EE6CE3" w14:textId="77777777" w:rsidR="004674C2" w:rsidRPr="00CB1714" w:rsidRDefault="004674C2" w:rsidP="004674C2">
            <w:pPr>
              <w:rPr>
                <w:rFonts w:ascii="Lato" w:hAnsi="Lato"/>
                <w:sz w:val="22"/>
                <w:szCs w:val="22"/>
              </w:rPr>
            </w:pPr>
          </w:p>
        </w:tc>
      </w:tr>
      <w:tr w:rsidR="004674C2" w:rsidRPr="00CB1714" w14:paraId="157173AA" w14:textId="77777777" w:rsidTr="004009A0">
        <w:tc>
          <w:tcPr>
            <w:tcW w:w="1316" w:type="dxa"/>
          </w:tcPr>
          <w:p w14:paraId="3E696F5A" w14:textId="77777777" w:rsidR="004674C2" w:rsidRPr="00CB1714" w:rsidRDefault="004674C2" w:rsidP="004674C2">
            <w:pPr>
              <w:jc w:val="right"/>
              <w:rPr>
                <w:rFonts w:ascii="Lato" w:hAnsi="Lato"/>
                <w:sz w:val="22"/>
                <w:szCs w:val="22"/>
              </w:rPr>
            </w:pPr>
            <w:r w:rsidRPr="00CB1714">
              <w:rPr>
                <w:rFonts w:ascii="Lato" w:hAnsi="Lato"/>
                <w:sz w:val="22"/>
                <w:szCs w:val="22"/>
              </w:rPr>
              <w:t>f)</w:t>
            </w:r>
          </w:p>
        </w:tc>
        <w:tc>
          <w:tcPr>
            <w:tcW w:w="5891" w:type="dxa"/>
          </w:tcPr>
          <w:p w14:paraId="6DE1AE2D"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This section applies so that AIFMs managing EU AIFs </w:t>
            </w:r>
          </w:p>
        </w:tc>
        <w:tc>
          <w:tcPr>
            <w:tcW w:w="3188" w:type="dxa"/>
          </w:tcPr>
          <w:p w14:paraId="05E3F66D" w14:textId="77777777" w:rsidR="004674C2" w:rsidRPr="00CB1714" w:rsidRDefault="004674C2" w:rsidP="004674C2">
            <w:pPr>
              <w:rPr>
                <w:rFonts w:ascii="Lato" w:hAnsi="Lato"/>
                <w:sz w:val="22"/>
                <w:szCs w:val="22"/>
              </w:rPr>
            </w:pPr>
          </w:p>
        </w:tc>
      </w:tr>
      <w:tr w:rsidR="004674C2" w:rsidRPr="00CB1714" w14:paraId="4FCF7033" w14:textId="77777777" w:rsidTr="004009A0">
        <w:tc>
          <w:tcPr>
            <w:tcW w:w="1316" w:type="dxa"/>
          </w:tcPr>
          <w:p w14:paraId="3C6EFFD9" w14:textId="77777777" w:rsidR="004674C2" w:rsidRPr="00CB1714" w:rsidRDefault="004674C2" w:rsidP="004674C2">
            <w:pPr>
              <w:jc w:val="right"/>
              <w:rPr>
                <w:rFonts w:ascii="Lato" w:hAnsi="Lato"/>
                <w:sz w:val="22"/>
                <w:szCs w:val="22"/>
              </w:rPr>
            </w:pPr>
          </w:p>
        </w:tc>
        <w:tc>
          <w:tcPr>
            <w:tcW w:w="5891" w:type="dxa"/>
          </w:tcPr>
          <w:p w14:paraId="0959FF6D"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Employing leverage  must, for each such AIF disclose, on a </w:t>
            </w:r>
          </w:p>
        </w:tc>
        <w:tc>
          <w:tcPr>
            <w:tcW w:w="3188" w:type="dxa"/>
          </w:tcPr>
          <w:p w14:paraId="5CA8B909" w14:textId="77777777" w:rsidR="004674C2" w:rsidRPr="00CB1714" w:rsidRDefault="004674C2" w:rsidP="004674C2">
            <w:pPr>
              <w:rPr>
                <w:rFonts w:ascii="Lato" w:hAnsi="Lato"/>
                <w:sz w:val="22"/>
                <w:szCs w:val="22"/>
              </w:rPr>
            </w:pPr>
          </w:p>
        </w:tc>
      </w:tr>
      <w:tr w:rsidR="004674C2" w:rsidRPr="00CB1714" w14:paraId="38E66D69" w14:textId="77777777" w:rsidTr="007E3170">
        <w:trPr>
          <w:trHeight w:val="323"/>
        </w:trPr>
        <w:tc>
          <w:tcPr>
            <w:tcW w:w="1316" w:type="dxa"/>
          </w:tcPr>
          <w:p w14:paraId="64103DE0" w14:textId="77777777" w:rsidR="004674C2" w:rsidRPr="00CB1714" w:rsidRDefault="004674C2" w:rsidP="004674C2">
            <w:pPr>
              <w:jc w:val="right"/>
              <w:rPr>
                <w:rFonts w:ascii="Lato" w:hAnsi="Lato"/>
                <w:sz w:val="22"/>
                <w:szCs w:val="22"/>
              </w:rPr>
            </w:pPr>
          </w:p>
        </w:tc>
        <w:tc>
          <w:tcPr>
            <w:tcW w:w="5891" w:type="dxa"/>
          </w:tcPr>
          <w:p w14:paraId="5E22A30C"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Regular basis:</w:t>
            </w:r>
          </w:p>
        </w:tc>
        <w:tc>
          <w:tcPr>
            <w:tcW w:w="3188" w:type="dxa"/>
            <w:tcBorders>
              <w:bottom w:val="single" w:sz="4" w:space="0" w:color="auto"/>
            </w:tcBorders>
          </w:tcPr>
          <w:p w14:paraId="71D5FA0B" w14:textId="77777777" w:rsidR="004674C2" w:rsidRPr="00CB1714" w:rsidRDefault="004674C2" w:rsidP="004674C2">
            <w:pPr>
              <w:rPr>
                <w:rFonts w:ascii="Lato" w:hAnsi="Lato"/>
                <w:sz w:val="22"/>
                <w:szCs w:val="22"/>
              </w:rPr>
            </w:pPr>
          </w:p>
        </w:tc>
      </w:tr>
      <w:tr w:rsidR="004674C2" w:rsidRPr="00CB1714" w14:paraId="7F91E024" w14:textId="77777777" w:rsidTr="007E3170">
        <w:tc>
          <w:tcPr>
            <w:tcW w:w="1316" w:type="dxa"/>
          </w:tcPr>
          <w:p w14:paraId="7B0020E5"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4EFAE388"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(i)any charges to the maximum level of leverage which the </w:t>
            </w:r>
          </w:p>
        </w:tc>
        <w:tc>
          <w:tcPr>
            <w:tcW w:w="3188" w:type="dxa"/>
            <w:tcBorders>
              <w:top w:val="single" w:sz="4" w:space="0" w:color="auto"/>
              <w:left w:val="single" w:sz="4" w:space="0" w:color="auto"/>
              <w:bottom w:val="single" w:sz="4" w:space="0" w:color="auto"/>
              <w:right w:val="single" w:sz="4" w:space="0" w:color="auto"/>
            </w:tcBorders>
          </w:tcPr>
          <w:p w14:paraId="09F7B971" w14:textId="77777777" w:rsidR="004674C2" w:rsidRPr="00CB1714" w:rsidRDefault="004674C2" w:rsidP="004674C2">
            <w:pPr>
              <w:rPr>
                <w:rFonts w:ascii="Lato" w:hAnsi="Lato"/>
                <w:sz w:val="22"/>
                <w:szCs w:val="22"/>
              </w:rPr>
            </w:pPr>
          </w:p>
        </w:tc>
      </w:tr>
      <w:tr w:rsidR="004674C2" w:rsidRPr="00CB1714" w14:paraId="3903BE3D" w14:textId="77777777" w:rsidTr="007E3170">
        <w:tc>
          <w:tcPr>
            <w:tcW w:w="1316" w:type="dxa"/>
          </w:tcPr>
          <w:p w14:paraId="1A50B8D8" w14:textId="77777777" w:rsidR="004674C2" w:rsidRPr="00CB1714" w:rsidRDefault="004674C2" w:rsidP="004674C2">
            <w:pPr>
              <w:rPr>
                <w:rFonts w:ascii="Lato" w:hAnsi="Lato"/>
                <w:sz w:val="22"/>
                <w:szCs w:val="22"/>
              </w:rPr>
            </w:pPr>
          </w:p>
        </w:tc>
        <w:tc>
          <w:tcPr>
            <w:tcW w:w="5891" w:type="dxa"/>
          </w:tcPr>
          <w:p w14:paraId="25D0025F"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AIFM may employ on behalf of the AIF as well as any right of</w:t>
            </w:r>
          </w:p>
        </w:tc>
        <w:tc>
          <w:tcPr>
            <w:tcW w:w="3188" w:type="dxa"/>
            <w:tcBorders>
              <w:top w:val="single" w:sz="4" w:space="0" w:color="auto"/>
            </w:tcBorders>
          </w:tcPr>
          <w:p w14:paraId="37F7D06D" w14:textId="77777777" w:rsidR="004674C2" w:rsidRPr="00CB1714" w:rsidRDefault="004674C2" w:rsidP="004674C2">
            <w:pPr>
              <w:rPr>
                <w:rFonts w:ascii="Lato" w:hAnsi="Lato"/>
                <w:sz w:val="22"/>
                <w:szCs w:val="22"/>
              </w:rPr>
            </w:pPr>
          </w:p>
        </w:tc>
      </w:tr>
      <w:tr w:rsidR="004674C2" w:rsidRPr="00CB1714" w14:paraId="6A5C333B" w14:textId="77777777" w:rsidTr="007E3170">
        <w:tc>
          <w:tcPr>
            <w:tcW w:w="1316" w:type="dxa"/>
          </w:tcPr>
          <w:p w14:paraId="5FA5FF6D" w14:textId="77777777" w:rsidR="004674C2" w:rsidRPr="00CB1714" w:rsidRDefault="004674C2" w:rsidP="004674C2">
            <w:pPr>
              <w:rPr>
                <w:rFonts w:ascii="Lato" w:hAnsi="Lato"/>
                <w:sz w:val="22"/>
                <w:szCs w:val="22"/>
              </w:rPr>
            </w:pPr>
          </w:p>
        </w:tc>
        <w:tc>
          <w:tcPr>
            <w:tcW w:w="5891" w:type="dxa"/>
          </w:tcPr>
          <w:p w14:paraId="7E44ED8F"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The reuse of collateral or any guarantee granted under the</w:t>
            </w:r>
          </w:p>
        </w:tc>
        <w:tc>
          <w:tcPr>
            <w:tcW w:w="3188" w:type="dxa"/>
          </w:tcPr>
          <w:p w14:paraId="355A758B" w14:textId="77777777" w:rsidR="004674C2" w:rsidRPr="00CB1714" w:rsidRDefault="004674C2" w:rsidP="004674C2">
            <w:pPr>
              <w:rPr>
                <w:rFonts w:ascii="Lato" w:hAnsi="Lato"/>
                <w:sz w:val="22"/>
                <w:szCs w:val="22"/>
              </w:rPr>
            </w:pPr>
          </w:p>
        </w:tc>
      </w:tr>
      <w:tr w:rsidR="004674C2" w:rsidRPr="00CB1714" w14:paraId="0B112CF9" w14:textId="77777777" w:rsidTr="007E3170">
        <w:tc>
          <w:tcPr>
            <w:tcW w:w="1316" w:type="dxa"/>
          </w:tcPr>
          <w:p w14:paraId="6E264130" w14:textId="77777777" w:rsidR="004674C2" w:rsidRPr="00CB1714" w:rsidRDefault="004674C2" w:rsidP="004674C2">
            <w:pPr>
              <w:rPr>
                <w:rFonts w:ascii="Lato" w:hAnsi="Lato"/>
                <w:sz w:val="22"/>
                <w:szCs w:val="22"/>
              </w:rPr>
            </w:pPr>
          </w:p>
        </w:tc>
        <w:tc>
          <w:tcPr>
            <w:tcW w:w="5891" w:type="dxa"/>
          </w:tcPr>
          <w:p w14:paraId="4C9FB7B6"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Leveraging arranagement</w:t>
            </w:r>
          </w:p>
        </w:tc>
        <w:tc>
          <w:tcPr>
            <w:tcW w:w="3188" w:type="dxa"/>
            <w:tcBorders>
              <w:bottom w:val="single" w:sz="4" w:space="0" w:color="auto"/>
            </w:tcBorders>
          </w:tcPr>
          <w:p w14:paraId="2657A2E7" w14:textId="77777777" w:rsidR="004674C2" w:rsidRPr="00CB1714" w:rsidRDefault="004674C2" w:rsidP="004674C2">
            <w:pPr>
              <w:rPr>
                <w:rFonts w:ascii="Lato" w:hAnsi="Lato"/>
                <w:sz w:val="22"/>
                <w:szCs w:val="22"/>
              </w:rPr>
            </w:pPr>
          </w:p>
        </w:tc>
      </w:tr>
      <w:tr w:rsidR="004674C2" w:rsidRPr="00CB1714" w14:paraId="342009E8" w14:textId="77777777" w:rsidTr="007E3170">
        <w:tc>
          <w:tcPr>
            <w:tcW w:w="1316" w:type="dxa"/>
          </w:tcPr>
          <w:p w14:paraId="2CF6F0A6"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187ADFE2"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(ii)the total amount of leverage employed by that AIF</w:t>
            </w:r>
          </w:p>
        </w:tc>
        <w:tc>
          <w:tcPr>
            <w:tcW w:w="3188" w:type="dxa"/>
            <w:tcBorders>
              <w:top w:val="single" w:sz="4" w:space="0" w:color="auto"/>
              <w:left w:val="single" w:sz="4" w:space="0" w:color="auto"/>
              <w:bottom w:val="single" w:sz="4" w:space="0" w:color="auto"/>
              <w:right w:val="single" w:sz="4" w:space="0" w:color="auto"/>
            </w:tcBorders>
          </w:tcPr>
          <w:p w14:paraId="3CEB90D5" w14:textId="77777777" w:rsidR="004674C2" w:rsidRPr="00CB1714" w:rsidRDefault="004674C2" w:rsidP="004674C2">
            <w:pPr>
              <w:rPr>
                <w:rFonts w:ascii="Lato" w:hAnsi="Lato"/>
                <w:sz w:val="22"/>
                <w:szCs w:val="22"/>
              </w:rPr>
            </w:pPr>
          </w:p>
        </w:tc>
      </w:tr>
      <w:tr w:rsidR="004674C2" w:rsidRPr="00CB1714" w14:paraId="313020B3" w14:textId="77777777" w:rsidTr="007E3170">
        <w:tc>
          <w:tcPr>
            <w:tcW w:w="1316" w:type="dxa"/>
          </w:tcPr>
          <w:p w14:paraId="4C28CA8B" w14:textId="77777777" w:rsidR="004674C2" w:rsidRPr="00CB1714" w:rsidRDefault="004674C2" w:rsidP="004674C2">
            <w:pPr>
              <w:rPr>
                <w:rFonts w:ascii="Lato" w:hAnsi="Lato"/>
                <w:sz w:val="22"/>
                <w:szCs w:val="22"/>
              </w:rPr>
            </w:pPr>
          </w:p>
        </w:tc>
        <w:tc>
          <w:tcPr>
            <w:tcW w:w="5891" w:type="dxa"/>
          </w:tcPr>
          <w:p w14:paraId="53EF185A" w14:textId="77777777" w:rsidR="004674C2" w:rsidRPr="00CB1714" w:rsidRDefault="004674C2" w:rsidP="004674C2">
            <w:pPr>
              <w:pStyle w:val="Heading3"/>
              <w:spacing w:before="0" w:after="0" w:line="240" w:lineRule="auto"/>
              <w:rPr>
                <w:rFonts w:ascii="Lato" w:hAnsi="Lato"/>
                <w:b w:val="0"/>
                <w:color w:val="auto"/>
                <w:sz w:val="22"/>
                <w:szCs w:val="22"/>
              </w:rPr>
            </w:pPr>
          </w:p>
        </w:tc>
        <w:tc>
          <w:tcPr>
            <w:tcW w:w="3188" w:type="dxa"/>
            <w:tcBorders>
              <w:top w:val="single" w:sz="4" w:space="0" w:color="auto"/>
            </w:tcBorders>
          </w:tcPr>
          <w:p w14:paraId="16861714" w14:textId="77777777" w:rsidR="004674C2" w:rsidRPr="00CB1714" w:rsidRDefault="004674C2" w:rsidP="004674C2">
            <w:pPr>
              <w:rPr>
                <w:rFonts w:ascii="Lato" w:hAnsi="Lato"/>
                <w:sz w:val="22"/>
                <w:szCs w:val="22"/>
              </w:rPr>
            </w:pPr>
          </w:p>
        </w:tc>
      </w:tr>
      <w:tr w:rsidR="004674C2" w:rsidRPr="00CB1714" w14:paraId="11CBD12D" w14:textId="77777777" w:rsidTr="00990D73">
        <w:tc>
          <w:tcPr>
            <w:tcW w:w="1316" w:type="dxa"/>
          </w:tcPr>
          <w:p w14:paraId="1E6342FA" w14:textId="77777777" w:rsidR="004674C2" w:rsidRPr="00CB1714" w:rsidRDefault="004674C2" w:rsidP="004674C2">
            <w:pPr>
              <w:rPr>
                <w:rFonts w:ascii="Lato" w:hAnsi="Lato"/>
                <w:b/>
                <w:bCs/>
                <w:sz w:val="22"/>
                <w:szCs w:val="22"/>
              </w:rPr>
            </w:pPr>
            <w:r w:rsidRPr="00CB1714">
              <w:rPr>
                <w:rFonts w:ascii="Lato" w:hAnsi="Lato"/>
                <w:b/>
                <w:bCs/>
                <w:sz w:val="22"/>
                <w:szCs w:val="22"/>
              </w:rPr>
              <w:t>2.10</w:t>
            </w:r>
          </w:p>
        </w:tc>
        <w:tc>
          <w:tcPr>
            <w:tcW w:w="5891" w:type="dxa"/>
          </w:tcPr>
          <w:p w14:paraId="610D4364" w14:textId="77777777" w:rsidR="004674C2" w:rsidRPr="00CB1714" w:rsidRDefault="004674C2" w:rsidP="004674C2">
            <w:pPr>
              <w:pStyle w:val="Heading3"/>
              <w:spacing w:before="0" w:after="0" w:line="240" w:lineRule="auto"/>
              <w:rPr>
                <w:rFonts w:ascii="Lato" w:hAnsi="Lato"/>
                <w:color w:val="auto"/>
                <w:sz w:val="22"/>
                <w:szCs w:val="22"/>
              </w:rPr>
            </w:pPr>
            <w:r w:rsidRPr="00CB1714">
              <w:rPr>
                <w:rFonts w:ascii="Lato" w:hAnsi="Lato"/>
                <w:color w:val="auto"/>
                <w:sz w:val="22"/>
                <w:szCs w:val="22"/>
              </w:rPr>
              <w:t>Subscription and Redemption Procedures</w:t>
            </w:r>
          </w:p>
        </w:tc>
        <w:tc>
          <w:tcPr>
            <w:tcW w:w="3188" w:type="dxa"/>
          </w:tcPr>
          <w:p w14:paraId="54DF339C" w14:textId="77777777" w:rsidR="004674C2" w:rsidRPr="00CB1714" w:rsidRDefault="004674C2" w:rsidP="004674C2">
            <w:pPr>
              <w:rPr>
                <w:rFonts w:ascii="Lato" w:hAnsi="Lato"/>
                <w:sz w:val="22"/>
                <w:szCs w:val="22"/>
              </w:rPr>
            </w:pPr>
          </w:p>
        </w:tc>
      </w:tr>
      <w:tr w:rsidR="004674C2" w:rsidRPr="00CB1714" w14:paraId="45B8D3C4" w14:textId="77777777" w:rsidTr="007E3170">
        <w:tc>
          <w:tcPr>
            <w:tcW w:w="1316" w:type="dxa"/>
          </w:tcPr>
          <w:p w14:paraId="5324553B" w14:textId="77777777" w:rsidR="004674C2" w:rsidRPr="00CB1714" w:rsidRDefault="004674C2" w:rsidP="004674C2">
            <w:pPr>
              <w:rPr>
                <w:rFonts w:ascii="Lato" w:hAnsi="Lato"/>
                <w:b/>
                <w:bCs/>
                <w:sz w:val="22"/>
                <w:szCs w:val="22"/>
              </w:rPr>
            </w:pPr>
          </w:p>
        </w:tc>
        <w:tc>
          <w:tcPr>
            <w:tcW w:w="5891" w:type="dxa"/>
          </w:tcPr>
          <w:p w14:paraId="33E6A6E1" w14:textId="77777777" w:rsidR="004674C2" w:rsidRPr="00CB1714" w:rsidRDefault="004674C2" w:rsidP="004674C2">
            <w:pPr>
              <w:pStyle w:val="Heading3"/>
              <w:spacing w:before="0" w:after="0" w:line="240" w:lineRule="auto"/>
              <w:rPr>
                <w:rFonts w:ascii="Lato" w:hAnsi="Lato"/>
                <w:color w:val="auto"/>
                <w:sz w:val="22"/>
                <w:szCs w:val="22"/>
              </w:rPr>
            </w:pPr>
          </w:p>
        </w:tc>
        <w:tc>
          <w:tcPr>
            <w:tcW w:w="3188" w:type="dxa"/>
            <w:tcBorders>
              <w:bottom w:val="single" w:sz="4" w:space="0" w:color="auto"/>
            </w:tcBorders>
          </w:tcPr>
          <w:p w14:paraId="329CD58A" w14:textId="77777777" w:rsidR="004674C2" w:rsidRPr="00CB1714" w:rsidRDefault="004674C2" w:rsidP="004674C2">
            <w:pPr>
              <w:rPr>
                <w:rFonts w:ascii="Lato" w:hAnsi="Lato"/>
                <w:sz w:val="22"/>
                <w:szCs w:val="22"/>
              </w:rPr>
            </w:pPr>
          </w:p>
        </w:tc>
      </w:tr>
      <w:tr w:rsidR="004674C2" w:rsidRPr="00CB1714" w14:paraId="11D89B8F" w14:textId="77777777" w:rsidTr="007E3170">
        <w:tc>
          <w:tcPr>
            <w:tcW w:w="1316" w:type="dxa"/>
          </w:tcPr>
          <w:p w14:paraId="5EA0EEBA" w14:textId="77777777" w:rsidR="004674C2" w:rsidRPr="00CB1714" w:rsidRDefault="004674C2" w:rsidP="004674C2">
            <w:pPr>
              <w:rPr>
                <w:rFonts w:ascii="Lato" w:hAnsi="Lato"/>
                <w:bCs/>
                <w:sz w:val="22"/>
                <w:szCs w:val="22"/>
              </w:rPr>
            </w:pPr>
            <w:r w:rsidRPr="00CB1714">
              <w:rPr>
                <w:rFonts w:ascii="Lato" w:hAnsi="Lato"/>
                <w:bCs/>
                <w:sz w:val="22"/>
                <w:szCs w:val="22"/>
              </w:rPr>
              <w:t>2.10.1</w:t>
            </w:r>
          </w:p>
        </w:tc>
        <w:tc>
          <w:tcPr>
            <w:tcW w:w="5891" w:type="dxa"/>
            <w:tcBorders>
              <w:right w:val="single" w:sz="4" w:space="0" w:color="auto"/>
            </w:tcBorders>
          </w:tcPr>
          <w:p w14:paraId="5EF33E52"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Provide a description of the AIF’s liquidity risk management</w:t>
            </w:r>
          </w:p>
        </w:tc>
        <w:tc>
          <w:tcPr>
            <w:tcW w:w="3188" w:type="dxa"/>
            <w:tcBorders>
              <w:top w:val="single" w:sz="4" w:space="0" w:color="auto"/>
              <w:left w:val="single" w:sz="4" w:space="0" w:color="auto"/>
              <w:bottom w:val="single" w:sz="4" w:space="0" w:color="auto"/>
              <w:right w:val="single" w:sz="4" w:space="0" w:color="auto"/>
            </w:tcBorders>
          </w:tcPr>
          <w:p w14:paraId="34AAA715" w14:textId="77777777" w:rsidR="004674C2" w:rsidRPr="00CB1714" w:rsidRDefault="004674C2" w:rsidP="004674C2">
            <w:pPr>
              <w:rPr>
                <w:rFonts w:ascii="Lato" w:hAnsi="Lato"/>
                <w:sz w:val="22"/>
                <w:szCs w:val="22"/>
              </w:rPr>
            </w:pPr>
          </w:p>
        </w:tc>
      </w:tr>
      <w:tr w:rsidR="004674C2" w:rsidRPr="00CB1714" w14:paraId="02C6583E" w14:textId="77777777" w:rsidTr="007E3170">
        <w:tc>
          <w:tcPr>
            <w:tcW w:w="1316" w:type="dxa"/>
          </w:tcPr>
          <w:p w14:paraId="3DD48900" w14:textId="77777777" w:rsidR="004674C2" w:rsidRPr="00CB1714" w:rsidRDefault="004674C2" w:rsidP="004674C2">
            <w:pPr>
              <w:rPr>
                <w:rFonts w:ascii="Lato" w:hAnsi="Lato"/>
                <w:b/>
                <w:bCs/>
                <w:sz w:val="22"/>
                <w:szCs w:val="22"/>
              </w:rPr>
            </w:pPr>
          </w:p>
        </w:tc>
        <w:tc>
          <w:tcPr>
            <w:tcW w:w="5891" w:type="dxa"/>
          </w:tcPr>
          <w:p w14:paraId="1D98ACDA" w14:textId="77777777" w:rsidR="004674C2" w:rsidRPr="00CB1714" w:rsidRDefault="004674C2" w:rsidP="004674C2">
            <w:pPr>
              <w:pStyle w:val="Heading3"/>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052BF799" w14:textId="77777777" w:rsidR="004674C2" w:rsidRPr="00CB1714" w:rsidRDefault="004674C2" w:rsidP="004674C2">
            <w:pPr>
              <w:rPr>
                <w:rFonts w:ascii="Lato" w:hAnsi="Lato"/>
                <w:sz w:val="22"/>
                <w:szCs w:val="22"/>
              </w:rPr>
            </w:pPr>
          </w:p>
        </w:tc>
      </w:tr>
      <w:tr w:rsidR="004674C2" w:rsidRPr="00CB1714" w14:paraId="5617106C" w14:textId="77777777" w:rsidTr="00990D73">
        <w:tc>
          <w:tcPr>
            <w:tcW w:w="1316" w:type="dxa"/>
          </w:tcPr>
          <w:p w14:paraId="0E33E3B8" w14:textId="77777777" w:rsidR="004674C2" w:rsidRPr="00CB1714" w:rsidRDefault="004674C2" w:rsidP="004674C2">
            <w:pPr>
              <w:rPr>
                <w:rFonts w:ascii="Lato" w:hAnsi="Lato"/>
                <w:bCs/>
                <w:sz w:val="22"/>
                <w:szCs w:val="22"/>
              </w:rPr>
            </w:pPr>
            <w:r w:rsidRPr="00CB1714">
              <w:rPr>
                <w:rFonts w:ascii="Lato" w:hAnsi="Lato"/>
                <w:bCs/>
                <w:sz w:val="22"/>
                <w:szCs w:val="22"/>
              </w:rPr>
              <w:t>2.10.2</w:t>
            </w:r>
          </w:p>
        </w:tc>
        <w:tc>
          <w:tcPr>
            <w:tcW w:w="5891" w:type="dxa"/>
            <w:tcBorders>
              <w:right w:val="single" w:sz="4" w:space="0" w:color="auto"/>
            </w:tcBorders>
          </w:tcPr>
          <w:p w14:paraId="77B3CF3A"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State that the Qualifying Investor AIF will make the issue </w:t>
            </w:r>
          </w:p>
        </w:tc>
        <w:tc>
          <w:tcPr>
            <w:tcW w:w="3188" w:type="dxa"/>
            <w:tcBorders>
              <w:top w:val="single" w:sz="4" w:space="0" w:color="auto"/>
              <w:left w:val="single" w:sz="4" w:space="0" w:color="auto"/>
              <w:bottom w:val="single" w:sz="4" w:space="0" w:color="auto"/>
              <w:right w:val="single" w:sz="4" w:space="0" w:color="auto"/>
            </w:tcBorders>
          </w:tcPr>
          <w:p w14:paraId="4821DC8E" w14:textId="77777777" w:rsidR="004674C2" w:rsidRPr="00CB1714" w:rsidRDefault="004674C2" w:rsidP="004674C2">
            <w:pPr>
              <w:rPr>
                <w:rFonts w:ascii="Lato" w:hAnsi="Lato"/>
                <w:sz w:val="22"/>
                <w:szCs w:val="22"/>
              </w:rPr>
            </w:pPr>
          </w:p>
        </w:tc>
      </w:tr>
      <w:tr w:rsidR="004674C2" w:rsidRPr="00CB1714" w14:paraId="54CEC672" w14:textId="77777777" w:rsidTr="00990D73">
        <w:tc>
          <w:tcPr>
            <w:tcW w:w="1316" w:type="dxa"/>
          </w:tcPr>
          <w:p w14:paraId="4DDDDB19" w14:textId="77777777" w:rsidR="004674C2" w:rsidRPr="00CB1714" w:rsidRDefault="004674C2" w:rsidP="004674C2">
            <w:pPr>
              <w:rPr>
                <w:rFonts w:ascii="Lato" w:hAnsi="Lato"/>
                <w:bCs/>
                <w:sz w:val="22"/>
                <w:szCs w:val="22"/>
              </w:rPr>
            </w:pPr>
          </w:p>
        </w:tc>
        <w:tc>
          <w:tcPr>
            <w:tcW w:w="5891" w:type="dxa"/>
          </w:tcPr>
          <w:p w14:paraId="532B1C15"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 xml:space="preserve">and </w:t>
            </w:r>
            <w:r w:rsidRPr="00CB1714">
              <w:rPr>
                <w:rFonts w:ascii="Lato" w:hAnsi="Lato"/>
                <w:b w:val="0"/>
                <w:color w:val="auto"/>
                <w:sz w:val="22"/>
                <w:szCs w:val="22"/>
              </w:rPr>
              <w:t xml:space="preserve">redemption prices of their units available promptly to </w:t>
            </w:r>
          </w:p>
        </w:tc>
        <w:tc>
          <w:tcPr>
            <w:tcW w:w="3188" w:type="dxa"/>
            <w:tcBorders>
              <w:top w:val="single" w:sz="4" w:space="0" w:color="auto"/>
            </w:tcBorders>
          </w:tcPr>
          <w:p w14:paraId="37E12ED7" w14:textId="77777777" w:rsidR="004674C2" w:rsidRPr="00CB1714" w:rsidRDefault="004674C2" w:rsidP="004674C2">
            <w:pPr>
              <w:rPr>
                <w:rFonts w:ascii="Lato" w:hAnsi="Lato"/>
                <w:sz w:val="22"/>
                <w:szCs w:val="22"/>
              </w:rPr>
            </w:pPr>
          </w:p>
        </w:tc>
      </w:tr>
      <w:tr w:rsidR="004674C2" w:rsidRPr="00CB1714" w14:paraId="324715E4" w14:textId="77777777" w:rsidTr="00990D73">
        <w:tc>
          <w:tcPr>
            <w:tcW w:w="1316" w:type="dxa"/>
          </w:tcPr>
          <w:p w14:paraId="1B9FE32D" w14:textId="77777777" w:rsidR="004674C2" w:rsidRPr="00CB1714" w:rsidRDefault="004674C2" w:rsidP="004674C2">
            <w:pPr>
              <w:rPr>
                <w:rFonts w:ascii="Lato" w:hAnsi="Lato"/>
                <w:bCs/>
                <w:sz w:val="22"/>
                <w:szCs w:val="22"/>
              </w:rPr>
            </w:pPr>
          </w:p>
        </w:tc>
        <w:tc>
          <w:tcPr>
            <w:tcW w:w="5891" w:type="dxa"/>
          </w:tcPr>
          <w:p w14:paraId="5FDAEE11"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 xml:space="preserve">unitholders </w:t>
            </w:r>
            <w:r w:rsidRPr="00CB1714">
              <w:rPr>
                <w:rFonts w:ascii="Lato" w:hAnsi="Lato"/>
                <w:b w:val="0"/>
                <w:color w:val="auto"/>
                <w:sz w:val="22"/>
                <w:szCs w:val="22"/>
              </w:rPr>
              <w:t>on request</w:t>
            </w:r>
          </w:p>
        </w:tc>
        <w:tc>
          <w:tcPr>
            <w:tcW w:w="3188" w:type="dxa"/>
          </w:tcPr>
          <w:p w14:paraId="6CEBEF45" w14:textId="77777777" w:rsidR="004674C2" w:rsidRPr="00CB1714" w:rsidRDefault="004674C2" w:rsidP="004674C2">
            <w:pPr>
              <w:rPr>
                <w:rFonts w:ascii="Lato" w:hAnsi="Lato"/>
                <w:sz w:val="22"/>
                <w:szCs w:val="22"/>
              </w:rPr>
            </w:pPr>
          </w:p>
        </w:tc>
      </w:tr>
      <w:tr w:rsidR="004674C2" w:rsidRPr="00CB1714" w14:paraId="29FCCF9C" w14:textId="77777777" w:rsidTr="00990D73">
        <w:tc>
          <w:tcPr>
            <w:tcW w:w="1316" w:type="dxa"/>
          </w:tcPr>
          <w:p w14:paraId="6C1F8DFD" w14:textId="77777777" w:rsidR="004674C2" w:rsidRPr="00CB1714" w:rsidRDefault="004674C2" w:rsidP="004674C2">
            <w:pPr>
              <w:rPr>
                <w:rFonts w:ascii="Lato" w:hAnsi="Lato"/>
                <w:bCs/>
                <w:sz w:val="22"/>
                <w:szCs w:val="22"/>
              </w:rPr>
            </w:pPr>
          </w:p>
        </w:tc>
        <w:tc>
          <w:tcPr>
            <w:tcW w:w="5891" w:type="dxa"/>
          </w:tcPr>
          <w:p w14:paraId="11970BAA" w14:textId="77777777" w:rsidR="004674C2" w:rsidRPr="00CB1714" w:rsidRDefault="004674C2" w:rsidP="004674C2">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6AA729D5" w14:textId="77777777" w:rsidR="004674C2" w:rsidRPr="00CB1714" w:rsidRDefault="004674C2" w:rsidP="004674C2">
            <w:pPr>
              <w:rPr>
                <w:rFonts w:ascii="Lato" w:hAnsi="Lato"/>
                <w:sz w:val="22"/>
                <w:szCs w:val="22"/>
              </w:rPr>
            </w:pPr>
          </w:p>
        </w:tc>
      </w:tr>
      <w:tr w:rsidR="004674C2" w:rsidRPr="00CB1714" w14:paraId="1E9B9B8C" w14:textId="77777777" w:rsidTr="00990D73">
        <w:tc>
          <w:tcPr>
            <w:tcW w:w="1316" w:type="dxa"/>
          </w:tcPr>
          <w:p w14:paraId="62B5577B" w14:textId="77777777" w:rsidR="004674C2" w:rsidRPr="00CB1714" w:rsidRDefault="004674C2" w:rsidP="004674C2">
            <w:pPr>
              <w:rPr>
                <w:rFonts w:ascii="Lato" w:hAnsi="Lato"/>
                <w:bCs/>
                <w:sz w:val="22"/>
                <w:szCs w:val="22"/>
              </w:rPr>
            </w:pPr>
            <w:r w:rsidRPr="00CB1714">
              <w:rPr>
                <w:rFonts w:ascii="Lato" w:hAnsi="Lato"/>
                <w:bCs/>
                <w:sz w:val="22"/>
                <w:szCs w:val="22"/>
              </w:rPr>
              <w:t>2.10.3 (a)</w:t>
            </w:r>
          </w:p>
        </w:tc>
        <w:tc>
          <w:tcPr>
            <w:tcW w:w="5891" w:type="dxa"/>
            <w:tcBorders>
              <w:right w:val="single" w:sz="4" w:space="0" w:color="auto"/>
            </w:tcBorders>
          </w:tcPr>
          <w:p w14:paraId="61E9F248"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 xml:space="preserve">Disclose that the Qualifying investor AIF  shall not issue </w:t>
            </w:r>
          </w:p>
        </w:tc>
        <w:tc>
          <w:tcPr>
            <w:tcW w:w="3188" w:type="dxa"/>
            <w:tcBorders>
              <w:top w:val="single" w:sz="4" w:space="0" w:color="auto"/>
              <w:left w:val="single" w:sz="4" w:space="0" w:color="auto"/>
              <w:bottom w:val="single" w:sz="4" w:space="0" w:color="auto"/>
              <w:right w:val="single" w:sz="4" w:space="0" w:color="auto"/>
            </w:tcBorders>
          </w:tcPr>
          <w:p w14:paraId="6700A3DF" w14:textId="77777777" w:rsidR="004674C2" w:rsidRPr="00CB1714" w:rsidRDefault="004674C2" w:rsidP="004674C2">
            <w:pPr>
              <w:rPr>
                <w:rFonts w:ascii="Lato" w:hAnsi="Lato"/>
                <w:sz w:val="22"/>
                <w:szCs w:val="22"/>
              </w:rPr>
            </w:pPr>
          </w:p>
        </w:tc>
      </w:tr>
      <w:tr w:rsidR="004674C2" w:rsidRPr="00CB1714" w14:paraId="781CFEC2" w14:textId="77777777" w:rsidTr="00990D73">
        <w:tc>
          <w:tcPr>
            <w:tcW w:w="1316" w:type="dxa"/>
          </w:tcPr>
          <w:p w14:paraId="52AB1529" w14:textId="77777777" w:rsidR="004674C2" w:rsidRPr="00CB1714" w:rsidRDefault="004674C2" w:rsidP="004674C2">
            <w:pPr>
              <w:rPr>
                <w:rFonts w:ascii="Lato" w:hAnsi="Lato"/>
                <w:bCs/>
                <w:sz w:val="22"/>
                <w:szCs w:val="22"/>
              </w:rPr>
            </w:pPr>
          </w:p>
        </w:tc>
        <w:tc>
          <w:tcPr>
            <w:tcW w:w="5891" w:type="dxa"/>
          </w:tcPr>
          <w:p w14:paraId="0857B4CB" w14:textId="77777777" w:rsidR="004674C2" w:rsidRPr="00CB1714" w:rsidRDefault="004674C2" w:rsidP="004674C2">
            <w:pPr>
              <w:pStyle w:val="Heading3"/>
              <w:spacing w:before="0" w:after="0" w:line="240" w:lineRule="auto"/>
              <w:rPr>
                <w:rFonts w:ascii="Lato" w:hAnsi="Lato"/>
                <w:b w:val="0"/>
                <w:color w:val="auto"/>
                <w:sz w:val="22"/>
                <w:szCs w:val="22"/>
              </w:rPr>
            </w:pPr>
            <w:r w:rsidRPr="00F72ED7">
              <w:rPr>
                <w:rFonts w:ascii="Lato" w:hAnsi="Lato"/>
                <w:b w:val="0"/>
                <w:color w:val="auto"/>
                <w:sz w:val="22"/>
                <w:szCs w:val="22"/>
              </w:rPr>
              <w:t xml:space="preserve">units, </w:t>
            </w:r>
            <w:r w:rsidRPr="00CB1714">
              <w:rPr>
                <w:rFonts w:ascii="Lato" w:hAnsi="Lato"/>
                <w:b w:val="0"/>
                <w:color w:val="auto"/>
                <w:sz w:val="22"/>
                <w:szCs w:val="22"/>
              </w:rPr>
              <w:t xml:space="preserve">or if issued shall cancel such units unless the equivalent of the net issue price is paid into the assets of the Qualifying Investor AIF within a reasonable time.  </w:t>
            </w:r>
          </w:p>
        </w:tc>
        <w:tc>
          <w:tcPr>
            <w:tcW w:w="3188" w:type="dxa"/>
            <w:tcBorders>
              <w:top w:val="single" w:sz="4" w:space="0" w:color="auto"/>
            </w:tcBorders>
          </w:tcPr>
          <w:p w14:paraId="27BF7CA1" w14:textId="77777777" w:rsidR="004674C2" w:rsidRPr="00CB1714" w:rsidRDefault="004674C2" w:rsidP="004674C2">
            <w:pPr>
              <w:rPr>
                <w:rFonts w:ascii="Lato" w:hAnsi="Lato"/>
                <w:sz w:val="22"/>
                <w:szCs w:val="22"/>
              </w:rPr>
            </w:pPr>
          </w:p>
        </w:tc>
      </w:tr>
      <w:tr w:rsidR="004674C2" w:rsidRPr="00CB1714" w14:paraId="02E3B6E7" w14:textId="77777777" w:rsidTr="00990D73">
        <w:tc>
          <w:tcPr>
            <w:tcW w:w="1316" w:type="dxa"/>
          </w:tcPr>
          <w:p w14:paraId="0B664341" w14:textId="77777777" w:rsidR="004674C2" w:rsidRPr="00CB1714" w:rsidRDefault="004674C2" w:rsidP="004674C2">
            <w:pPr>
              <w:rPr>
                <w:rFonts w:ascii="Lato" w:hAnsi="Lato"/>
                <w:bCs/>
                <w:sz w:val="22"/>
                <w:szCs w:val="22"/>
              </w:rPr>
            </w:pPr>
          </w:p>
        </w:tc>
        <w:tc>
          <w:tcPr>
            <w:tcW w:w="5891" w:type="dxa"/>
          </w:tcPr>
          <w:p w14:paraId="6D2EC1F1" w14:textId="77777777" w:rsidR="004674C2" w:rsidRPr="00CB1714" w:rsidRDefault="004674C2" w:rsidP="004674C2">
            <w:pPr>
              <w:pStyle w:val="Heading3"/>
              <w:spacing w:before="0" w:after="0" w:line="240" w:lineRule="auto"/>
              <w:rPr>
                <w:rFonts w:ascii="Lato" w:hAnsi="Lato"/>
                <w:b w:val="0"/>
                <w:color w:val="auto"/>
                <w:sz w:val="22"/>
                <w:szCs w:val="22"/>
              </w:rPr>
            </w:pPr>
          </w:p>
        </w:tc>
        <w:tc>
          <w:tcPr>
            <w:tcW w:w="3188" w:type="dxa"/>
            <w:tcBorders>
              <w:bottom w:val="single" w:sz="4" w:space="0" w:color="auto"/>
            </w:tcBorders>
          </w:tcPr>
          <w:p w14:paraId="35D336A2" w14:textId="77777777" w:rsidR="004674C2" w:rsidRPr="00CB1714" w:rsidRDefault="004674C2" w:rsidP="004674C2">
            <w:pPr>
              <w:rPr>
                <w:rFonts w:ascii="Lato" w:hAnsi="Lato"/>
                <w:sz w:val="22"/>
                <w:szCs w:val="22"/>
              </w:rPr>
            </w:pPr>
          </w:p>
        </w:tc>
      </w:tr>
      <w:tr w:rsidR="004674C2" w:rsidRPr="00CB1714" w14:paraId="36B72E20" w14:textId="77777777" w:rsidTr="00990D73">
        <w:tc>
          <w:tcPr>
            <w:tcW w:w="1316" w:type="dxa"/>
          </w:tcPr>
          <w:p w14:paraId="74EC6B6B" w14:textId="77777777" w:rsidR="004674C2" w:rsidRPr="00CB1714" w:rsidRDefault="004674C2" w:rsidP="004674C2">
            <w:pPr>
              <w:jc w:val="right"/>
              <w:rPr>
                <w:rFonts w:ascii="Lato" w:hAnsi="Lato"/>
                <w:bCs/>
                <w:sz w:val="22"/>
                <w:szCs w:val="22"/>
              </w:rPr>
            </w:pPr>
            <w:r w:rsidRPr="00CB1714">
              <w:rPr>
                <w:rFonts w:ascii="Lato" w:hAnsi="Lato"/>
                <w:bCs/>
                <w:sz w:val="22"/>
                <w:szCs w:val="22"/>
              </w:rPr>
              <w:t>(b)</w:t>
            </w:r>
          </w:p>
        </w:tc>
        <w:tc>
          <w:tcPr>
            <w:tcW w:w="5891" w:type="dxa"/>
            <w:tcBorders>
              <w:right w:val="single" w:sz="4" w:space="0" w:color="auto"/>
            </w:tcBorders>
          </w:tcPr>
          <w:p w14:paraId="2CE1EE39" w14:textId="77777777" w:rsidR="004674C2" w:rsidRPr="00CB1714" w:rsidRDefault="004674C2" w:rsidP="004674C2">
            <w:pPr>
              <w:pStyle w:val="Heading3"/>
              <w:spacing w:before="0" w:after="0" w:line="240" w:lineRule="auto"/>
              <w:rPr>
                <w:rFonts w:ascii="Lato" w:hAnsi="Lato"/>
                <w:b w:val="0"/>
                <w:color w:val="auto"/>
                <w:sz w:val="22"/>
                <w:szCs w:val="22"/>
              </w:rPr>
            </w:pPr>
            <w:r w:rsidRPr="00CB1714">
              <w:rPr>
                <w:rFonts w:ascii="Lato" w:hAnsi="Lato"/>
                <w:b w:val="0"/>
                <w:color w:val="auto"/>
                <w:sz w:val="22"/>
                <w:szCs w:val="22"/>
              </w:rPr>
              <w:t>Specify the “reasonable time”.</w:t>
            </w:r>
          </w:p>
        </w:tc>
        <w:tc>
          <w:tcPr>
            <w:tcW w:w="3188" w:type="dxa"/>
            <w:tcBorders>
              <w:top w:val="single" w:sz="4" w:space="0" w:color="auto"/>
              <w:left w:val="single" w:sz="4" w:space="0" w:color="auto"/>
              <w:bottom w:val="single" w:sz="4" w:space="0" w:color="auto"/>
              <w:right w:val="single" w:sz="4" w:space="0" w:color="auto"/>
            </w:tcBorders>
          </w:tcPr>
          <w:p w14:paraId="727CBEF8" w14:textId="77777777" w:rsidR="004674C2" w:rsidRPr="00CB1714" w:rsidRDefault="004674C2" w:rsidP="004674C2">
            <w:pPr>
              <w:rPr>
                <w:rFonts w:ascii="Lato" w:hAnsi="Lato"/>
                <w:sz w:val="22"/>
                <w:szCs w:val="22"/>
              </w:rPr>
            </w:pPr>
          </w:p>
        </w:tc>
      </w:tr>
      <w:tr w:rsidR="004674C2" w:rsidRPr="00CB1714" w14:paraId="16318B74" w14:textId="77777777" w:rsidTr="00990D73">
        <w:tc>
          <w:tcPr>
            <w:tcW w:w="1316" w:type="dxa"/>
          </w:tcPr>
          <w:p w14:paraId="2C71492F" w14:textId="77777777" w:rsidR="004674C2" w:rsidRPr="00CB1714" w:rsidRDefault="004674C2" w:rsidP="004674C2">
            <w:pPr>
              <w:rPr>
                <w:rFonts w:ascii="Lato" w:hAnsi="Lato"/>
                <w:sz w:val="22"/>
                <w:szCs w:val="22"/>
              </w:rPr>
            </w:pPr>
          </w:p>
        </w:tc>
        <w:tc>
          <w:tcPr>
            <w:tcW w:w="5891" w:type="dxa"/>
          </w:tcPr>
          <w:p w14:paraId="11115576" w14:textId="77777777" w:rsidR="004674C2" w:rsidRPr="00CB1714" w:rsidRDefault="004674C2" w:rsidP="004674C2">
            <w:pPr>
              <w:pStyle w:val="Heading3"/>
              <w:spacing w:before="0" w:after="0" w:line="240" w:lineRule="auto"/>
              <w:rPr>
                <w:rFonts w:ascii="Lato" w:hAnsi="Lato"/>
                <w:b w:val="0"/>
                <w:bCs/>
                <w:color w:val="auto"/>
                <w:sz w:val="22"/>
                <w:szCs w:val="22"/>
              </w:rPr>
            </w:pPr>
          </w:p>
        </w:tc>
        <w:tc>
          <w:tcPr>
            <w:tcW w:w="3188" w:type="dxa"/>
            <w:tcBorders>
              <w:top w:val="single" w:sz="4" w:space="0" w:color="auto"/>
              <w:bottom w:val="single" w:sz="4" w:space="0" w:color="auto"/>
            </w:tcBorders>
          </w:tcPr>
          <w:p w14:paraId="61084AFC" w14:textId="77777777" w:rsidR="004674C2" w:rsidRPr="00CB1714" w:rsidRDefault="004674C2" w:rsidP="004674C2">
            <w:pPr>
              <w:rPr>
                <w:rFonts w:ascii="Lato" w:hAnsi="Lato"/>
                <w:sz w:val="22"/>
                <w:szCs w:val="22"/>
              </w:rPr>
            </w:pPr>
          </w:p>
        </w:tc>
      </w:tr>
      <w:tr w:rsidR="004674C2" w:rsidRPr="00CB1714" w14:paraId="3A0595EE" w14:textId="77777777" w:rsidTr="00990D73">
        <w:trPr>
          <w:cantSplit/>
          <w:trHeight w:val="255"/>
        </w:trPr>
        <w:tc>
          <w:tcPr>
            <w:tcW w:w="1316" w:type="dxa"/>
            <w:vMerge w:val="restart"/>
          </w:tcPr>
          <w:p w14:paraId="05BF95D2" w14:textId="77777777" w:rsidR="004674C2" w:rsidRPr="00CB1714" w:rsidRDefault="004674C2" w:rsidP="004674C2">
            <w:pPr>
              <w:rPr>
                <w:rFonts w:ascii="Lato" w:hAnsi="Lato"/>
                <w:sz w:val="22"/>
                <w:szCs w:val="22"/>
              </w:rPr>
            </w:pPr>
          </w:p>
        </w:tc>
        <w:tc>
          <w:tcPr>
            <w:tcW w:w="5891" w:type="dxa"/>
            <w:vMerge w:val="restart"/>
            <w:tcBorders>
              <w:right w:val="single" w:sz="4" w:space="0" w:color="auto"/>
            </w:tcBorders>
          </w:tcPr>
          <w:p w14:paraId="21E34101" w14:textId="77777777" w:rsidR="004674C2" w:rsidRPr="00CB1714" w:rsidRDefault="004674C2" w:rsidP="004674C2">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2641812E" w14:textId="77777777" w:rsidR="004674C2" w:rsidRPr="00CB1714" w:rsidRDefault="004674C2" w:rsidP="004674C2">
            <w:pPr>
              <w:rPr>
                <w:rFonts w:ascii="Lato" w:hAnsi="Lato"/>
                <w:sz w:val="22"/>
                <w:szCs w:val="22"/>
              </w:rPr>
            </w:pPr>
          </w:p>
        </w:tc>
      </w:tr>
      <w:tr w:rsidR="004674C2" w:rsidRPr="00CB1714" w14:paraId="3F7EEF23" w14:textId="77777777" w:rsidTr="00990D73">
        <w:trPr>
          <w:cantSplit/>
          <w:trHeight w:val="254"/>
        </w:trPr>
        <w:tc>
          <w:tcPr>
            <w:tcW w:w="1316" w:type="dxa"/>
            <w:vMerge/>
          </w:tcPr>
          <w:p w14:paraId="0355AB99" w14:textId="77777777" w:rsidR="004674C2" w:rsidRPr="00CB1714" w:rsidRDefault="004674C2" w:rsidP="004674C2">
            <w:pPr>
              <w:rPr>
                <w:rFonts w:ascii="Lato" w:hAnsi="Lato"/>
                <w:sz w:val="22"/>
                <w:szCs w:val="22"/>
              </w:rPr>
            </w:pPr>
          </w:p>
        </w:tc>
        <w:tc>
          <w:tcPr>
            <w:tcW w:w="5891" w:type="dxa"/>
            <w:vMerge/>
          </w:tcPr>
          <w:p w14:paraId="08A4C1C9"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33AAEE26" w14:textId="77777777" w:rsidR="004674C2" w:rsidRPr="00CB1714" w:rsidRDefault="004674C2" w:rsidP="004674C2">
            <w:pPr>
              <w:rPr>
                <w:rFonts w:ascii="Lato" w:hAnsi="Lato"/>
                <w:sz w:val="22"/>
                <w:szCs w:val="22"/>
              </w:rPr>
            </w:pPr>
          </w:p>
        </w:tc>
      </w:tr>
      <w:tr w:rsidR="004674C2" w:rsidRPr="00CB1714" w14:paraId="2A9E3D44" w14:textId="77777777" w:rsidTr="00990D73">
        <w:tc>
          <w:tcPr>
            <w:tcW w:w="1316" w:type="dxa"/>
          </w:tcPr>
          <w:p w14:paraId="03A8E890" w14:textId="77777777" w:rsidR="004674C2" w:rsidRPr="00CB1714" w:rsidRDefault="004674C2" w:rsidP="004674C2">
            <w:pPr>
              <w:rPr>
                <w:rFonts w:ascii="Lato" w:hAnsi="Lato"/>
                <w:sz w:val="22"/>
                <w:szCs w:val="22"/>
              </w:rPr>
            </w:pPr>
          </w:p>
        </w:tc>
        <w:tc>
          <w:tcPr>
            <w:tcW w:w="5891" w:type="dxa"/>
          </w:tcPr>
          <w:p w14:paraId="01EE7D6F" w14:textId="77777777" w:rsidR="004674C2" w:rsidRPr="00CB1714" w:rsidRDefault="004674C2" w:rsidP="004674C2">
            <w:pPr>
              <w:rPr>
                <w:rFonts w:ascii="Lato" w:hAnsi="Lato"/>
                <w:sz w:val="22"/>
                <w:szCs w:val="22"/>
              </w:rPr>
            </w:pPr>
          </w:p>
        </w:tc>
        <w:tc>
          <w:tcPr>
            <w:tcW w:w="3188" w:type="dxa"/>
          </w:tcPr>
          <w:p w14:paraId="354EC9BE" w14:textId="77777777" w:rsidR="004674C2" w:rsidRPr="00CB1714" w:rsidRDefault="004674C2" w:rsidP="004674C2">
            <w:pPr>
              <w:rPr>
                <w:rFonts w:ascii="Lato" w:hAnsi="Lato"/>
                <w:sz w:val="22"/>
                <w:szCs w:val="22"/>
              </w:rPr>
            </w:pPr>
          </w:p>
        </w:tc>
      </w:tr>
      <w:tr w:rsidR="004674C2" w:rsidRPr="00CB1714" w14:paraId="068D7B62" w14:textId="77777777" w:rsidTr="00990D73">
        <w:tc>
          <w:tcPr>
            <w:tcW w:w="1316" w:type="dxa"/>
          </w:tcPr>
          <w:p w14:paraId="13A12FE0" w14:textId="77777777" w:rsidR="004674C2" w:rsidRPr="00CB1714" w:rsidRDefault="004674C2" w:rsidP="004674C2">
            <w:pPr>
              <w:rPr>
                <w:rFonts w:ascii="Lato" w:hAnsi="Lato"/>
                <w:b/>
                <w:sz w:val="22"/>
                <w:szCs w:val="22"/>
              </w:rPr>
            </w:pPr>
            <w:r w:rsidRPr="00CB1714">
              <w:rPr>
                <w:rFonts w:ascii="Lato" w:hAnsi="Lato"/>
                <w:b/>
                <w:sz w:val="22"/>
                <w:szCs w:val="22"/>
              </w:rPr>
              <w:lastRenderedPageBreak/>
              <w:t>2.11</w:t>
            </w:r>
          </w:p>
        </w:tc>
        <w:tc>
          <w:tcPr>
            <w:tcW w:w="5891" w:type="dxa"/>
          </w:tcPr>
          <w:p w14:paraId="29B65382" w14:textId="77777777" w:rsidR="004674C2" w:rsidRPr="00CB1714" w:rsidRDefault="004674C2" w:rsidP="004674C2">
            <w:pPr>
              <w:rPr>
                <w:rFonts w:ascii="Lato" w:hAnsi="Lato"/>
                <w:b/>
                <w:sz w:val="22"/>
                <w:szCs w:val="22"/>
              </w:rPr>
            </w:pPr>
            <w:r w:rsidRPr="00CB1714">
              <w:rPr>
                <w:rFonts w:ascii="Lato" w:hAnsi="Lato"/>
                <w:b/>
                <w:sz w:val="22"/>
                <w:szCs w:val="22"/>
              </w:rPr>
              <w:t xml:space="preserve">Dealing Day(s) </w:t>
            </w:r>
          </w:p>
        </w:tc>
        <w:tc>
          <w:tcPr>
            <w:tcW w:w="3188" w:type="dxa"/>
            <w:tcBorders>
              <w:bottom w:val="single" w:sz="4" w:space="0" w:color="auto"/>
            </w:tcBorders>
          </w:tcPr>
          <w:p w14:paraId="52AE5F5E" w14:textId="77777777" w:rsidR="004674C2" w:rsidRPr="00CB1714" w:rsidRDefault="004674C2" w:rsidP="004674C2">
            <w:pPr>
              <w:rPr>
                <w:rFonts w:ascii="Lato" w:hAnsi="Lato"/>
                <w:sz w:val="22"/>
                <w:szCs w:val="22"/>
              </w:rPr>
            </w:pPr>
          </w:p>
        </w:tc>
      </w:tr>
      <w:tr w:rsidR="004674C2" w:rsidRPr="00CB1714" w14:paraId="5F941372" w14:textId="77777777" w:rsidTr="00990D73">
        <w:tc>
          <w:tcPr>
            <w:tcW w:w="1316" w:type="dxa"/>
          </w:tcPr>
          <w:p w14:paraId="7CC31718"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6359F245" w14:textId="77777777" w:rsidR="004674C2" w:rsidRPr="00CB1714" w:rsidRDefault="004674C2" w:rsidP="004674C2">
            <w:pPr>
              <w:rPr>
                <w:rFonts w:ascii="Lato" w:hAnsi="Lato"/>
                <w:sz w:val="22"/>
                <w:szCs w:val="22"/>
              </w:rPr>
            </w:pPr>
            <w:r w:rsidRPr="00CB1714">
              <w:rPr>
                <w:rFonts w:ascii="Lato" w:hAnsi="Lato"/>
                <w:sz w:val="22"/>
                <w:szCs w:val="22"/>
              </w:rPr>
              <w:t xml:space="preserve">In the case of open-ended Qualifying Investor AIFs, provide </w:t>
            </w:r>
          </w:p>
        </w:tc>
        <w:tc>
          <w:tcPr>
            <w:tcW w:w="3188" w:type="dxa"/>
            <w:tcBorders>
              <w:top w:val="single" w:sz="4" w:space="0" w:color="auto"/>
              <w:bottom w:val="single" w:sz="4" w:space="0" w:color="auto"/>
              <w:right w:val="single" w:sz="4" w:space="0" w:color="auto"/>
            </w:tcBorders>
          </w:tcPr>
          <w:p w14:paraId="0CB03954" w14:textId="77777777" w:rsidR="004674C2" w:rsidRPr="00CB1714" w:rsidRDefault="004674C2" w:rsidP="004674C2">
            <w:pPr>
              <w:rPr>
                <w:rFonts w:ascii="Lato" w:hAnsi="Lato"/>
                <w:sz w:val="22"/>
                <w:szCs w:val="22"/>
              </w:rPr>
            </w:pPr>
          </w:p>
        </w:tc>
      </w:tr>
      <w:tr w:rsidR="004674C2" w:rsidRPr="00CB1714" w14:paraId="740559DF" w14:textId="77777777" w:rsidTr="00990D73">
        <w:tc>
          <w:tcPr>
            <w:tcW w:w="1316" w:type="dxa"/>
          </w:tcPr>
          <w:p w14:paraId="4EBAE4A4" w14:textId="77777777" w:rsidR="004674C2" w:rsidRPr="00CB1714" w:rsidRDefault="004674C2" w:rsidP="004674C2">
            <w:pPr>
              <w:rPr>
                <w:rFonts w:ascii="Lato" w:hAnsi="Lato"/>
                <w:sz w:val="22"/>
                <w:szCs w:val="22"/>
              </w:rPr>
            </w:pPr>
          </w:p>
        </w:tc>
        <w:tc>
          <w:tcPr>
            <w:tcW w:w="5891" w:type="dxa"/>
          </w:tcPr>
          <w:p w14:paraId="72E23474" w14:textId="77777777" w:rsidR="004674C2" w:rsidRPr="00CB1714" w:rsidRDefault="004674C2" w:rsidP="004674C2">
            <w:pPr>
              <w:rPr>
                <w:rFonts w:ascii="Lato" w:hAnsi="Lato"/>
                <w:sz w:val="22"/>
                <w:szCs w:val="22"/>
              </w:rPr>
            </w:pPr>
            <w:r w:rsidRPr="00F72ED7">
              <w:rPr>
                <w:rFonts w:ascii="Lato" w:hAnsi="Lato"/>
                <w:sz w:val="22"/>
                <w:szCs w:val="22"/>
              </w:rPr>
              <w:t xml:space="preserve">for </w:t>
            </w:r>
            <w:r w:rsidRPr="00CB1714">
              <w:rPr>
                <w:rFonts w:ascii="Lato" w:hAnsi="Lato"/>
                <w:sz w:val="22"/>
                <w:szCs w:val="22"/>
              </w:rPr>
              <w:t xml:space="preserve">at least one dealing day per quarter.  </w:t>
            </w:r>
          </w:p>
        </w:tc>
        <w:tc>
          <w:tcPr>
            <w:tcW w:w="3188" w:type="dxa"/>
            <w:tcBorders>
              <w:top w:val="single" w:sz="4" w:space="0" w:color="auto"/>
            </w:tcBorders>
          </w:tcPr>
          <w:p w14:paraId="6B032DEA" w14:textId="77777777" w:rsidR="004674C2" w:rsidRPr="00CB1714" w:rsidRDefault="004674C2" w:rsidP="004674C2">
            <w:pPr>
              <w:rPr>
                <w:rFonts w:ascii="Lato" w:hAnsi="Lato"/>
                <w:sz w:val="22"/>
                <w:szCs w:val="22"/>
              </w:rPr>
            </w:pPr>
          </w:p>
        </w:tc>
      </w:tr>
      <w:tr w:rsidR="004674C2" w:rsidRPr="00CB1714" w14:paraId="44D71270" w14:textId="77777777" w:rsidTr="00990D73">
        <w:tc>
          <w:tcPr>
            <w:tcW w:w="1316" w:type="dxa"/>
          </w:tcPr>
          <w:p w14:paraId="0C55C78F" w14:textId="77777777" w:rsidR="004674C2" w:rsidRPr="00CB1714" w:rsidRDefault="004674C2" w:rsidP="004674C2">
            <w:pPr>
              <w:rPr>
                <w:rFonts w:ascii="Lato" w:hAnsi="Lato"/>
                <w:sz w:val="22"/>
                <w:szCs w:val="22"/>
              </w:rPr>
            </w:pPr>
          </w:p>
        </w:tc>
        <w:tc>
          <w:tcPr>
            <w:tcW w:w="5891" w:type="dxa"/>
          </w:tcPr>
          <w:p w14:paraId="51D5830D"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07117C38" w14:textId="77777777" w:rsidR="004674C2" w:rsidRPr="00CB1714" w:rsidRDefault="004674C2" w:rsidP="004674C2">
            <w:pPr>
              <w:rPr>
                <w:rFonts w:ascii="Lato" w:hAnsi="Lato"/>
                <w:sz w:val="22"/>
                <w:szCs w:val="22"/>
              </w:rPr>
            </w:pPr>
          </w:p>
        </w:tc>
      </w:tr>
      <w:tr w:rsidR="004674C2" w:rsidRPr="00CB1714" w14:paraId="74DEDD89" w14:textId="77777777" w:rsidTr="00990D73">
        <w:trPr>
          <w:cantSplit/>
          <w:trHeight w:val="257"/>
        </w:trPr>
        <w:tc>
          <w:tcPr>
            <w:tcW w:w="1316" w:type="dxa"/>
            <w:vMerge w:val="restart"/>
          </w:tcPr>
          <w:p w14:paraId="09EB1EF8"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vMerge w:val="restart"/>
            <w:tcBorders>
              <w:right w:val="single" w:sz="4" w:space="0" w:color="auto"/>
            </w:tcBorders>
          </w:tcPr>
          <w:p w14:paraId="1C0FC020" w14:textId="77777777" w:rsidR="004674C2" w:rsidRPr="00CB1714" w:rsidRDefault="004674C2" w:rsidP="004674C2">
            <w:pPr>
              <w:jc w:val="both"/>
              <w:rPr>
                <w:rFonts w:ascii="Lato" w:hAnsi="Lato"/>
                <w:sz w:val="22"/>
                <w:szCs w:val="22"/>
              </w:rPr>
            </w:pPr>
            <w:r w:rsidRPr="00CB1714">
              <w:rPr>
                <w:rFonts w:ascii="Lato" w:hAnsi="Lato"/>
                <w:sz w:val="22"/>
                <w:szCs w:val="22"/>
              </w:rPr>
              <w:t>If the prospectus provides wording to the effect that “</w:t>
            </w:r>
            <w:r w:rsidRPr="00CB1714">
              <w:rPr>
                <w:rFonts w:ascii="Lato" w:hAnsi="Lato"/>
                <w:b/>
                <w:bCs/>
                <w:sz w:val="22"/>
                <w:szCs w:val="22"/>
              </w:rPr>
              <w:t>or</w:t>
            </w:r>
            <w:r w:rsidRPr="00CB1714">
              <w:rPr>
                <w:rFonts w:ascii="Lato" w:hAnsi="Lato"/>
                <w:sz w:val="22"/>
                <w:szCs w:val="22"/>
              </w:rPr>
              <w:t xml:space="preserve"> such other dealing days as the directors /management company determine”, include a provision to clarify that there will be at least one dealing day per quarter and that all unitholders will be notified in advance.</w:t>
            </w:r>
          </w:p>
        </w:tc>
        <w:tc>
          <w:tcPr>
            <w:tcW w:w="3188" w:type="dxa"/>
            <w:tcBorders>
              <w:top w:val="single" w:sz="4" w:space="0" w:color="auto"/>
              <w:bottom w:val="single" w:sz="4" w:space="0" w:color="auto"/>
              <w:right w:val="single" w:sz="4" w:space="0" w:color="auto"/>
            </w:tcBorders>
          </w:tcPr>
          <w:p w14:paraId="234A4FA9" w14:textId="77777777" w:rsidR="004674C2" w:rsidRPr="00CB1714" w:rsidRDefault="004674C2" w:rsidP="004674C2">
            <w:pPr>
              <w:rPr>
                <w:rFonts w:ascii="Lato" w:hAnsi="Lato"/>
                <w:sz w:val="22"/>
                <w:szCs w:val="22"/>
              </w:rPr>
            </w:pPr>
          </w:p>
        </w:tc>
      </w:tr>
      <w:tr w:rsidR="004674C2" w:rsidRPr="00CB1714" w14:paraId="69F00E2D" w14:textId="77777777" w:rsidTr="00990D73">
        <w:trPr>
          <w:cantSplit/>
          <w:trHeight w:val="254"/>
        </w:trPr>
        <w:tc>
          <w:tcPr>
            <w:tcW w:w="1316" w:type="dxa"/>
            <w:vMerge/>
          </w:tcPr>
          <w:p w14:paraId="24E5B420" w14:textId="77777777" w:rsidR="004674C2" w:rsidRPr="00CB1714" w:rsidRDefault="004674C2" w:rsidP="004674C2">
            <w:pPr>
              <w:jc w:val="right"/>
              <w:rPr>
                <w:rFonts w:ascii="Lato" w:hAnsi="Lato"/>
                <w:sz w:val="22"/>
                <w:szCs w:val="22"/>
              </w:rPr>
            </w:pPr>
          </w:p>
        </w:tc>
        <w:tc>
          <w:tcPr>
            <w:tcW w:w="5891" w:type="dxa"/>
            <w:vMerge/>
          </w:tcPr>
          <w:p w14:paraId="1B3C0412"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6874F536" w14:textId="77777777" w:rsidR="004674C2" w:rsidRPr="00CB1714" w:rsidRDefault="004674C2" w:rsidP="004674C2">
            <w:pPr>
              <w:rPr>
                <w:rFonts w:ascii="Lato" w:hAnsi="Lato"/>
                <w:sz w:val="22"/>
                <w:szCs w:val="22"/>
              </w:rPr>
            </w:pPr>
          </w:p>
        </w:tc>
      </w:tr>
      <w:tr w:rsidR="004674C2" w:rsidRPr="00CB1714" w14:paraId="3D5D99BF" w14:textId="77777777" w:rsidTr="00990D73">
        <w:trPr>
          <w:cantSplit/>
          <w:trHeight w:val="254"/>
        </w:trPr>
        <w:tc>
          <w:tcPr>
            <w:tcW w:w="1316" w:type="dxa"/>
            <w:vMerge/>
          </w:tcPr>
          <w:p w14:paraId="395CD453" w14:textId="77777777" w:rsidR="004674C2" w:rsidRPr="00CB1714" w:rsidRDefault="004674C2" w:rsidP="004674C2">
            <w:pPr>
              <w:jc w:val="right"/>
              <w:rPr>
                <w:rFonts w:ascii="Lato" w:hAnsi="Lato"/>
                <w:sz w:val="22"/>
                <w:szCs w:val="22"/>
              </w:rPr>
            </w:pPr>
          </w:p>
        </w:tc>
        <w:tc>
          <w:tcPr>
            <w:tcW w:w="5891" w:type="dxa"/>
            <w:vMerge/>
          </w:tcPr>
          <w:p w14:paraId="394A5749" w14:textId="77777777" w:rsidR="004674C2" w:rsidRPr="00CB1714" w:rsidRDefault="004674C2" w:rsidP="004674C2">
            <w:pPr>
              <w:rPr>
                <w:rFonts w:ascii="Lato" w:hAnsi="Lato"/>
                <w:sz w:val="22"/>
                <w:szCs w:val="22"/>
              </w:rPr>
            </w:pPr>
          </w:p>
        </w:tc>
        <w:tc>
          <w:tcPr>
            <w:tcW w:w="3188" w:type="dxa"/>
          </w:tcPr>
          <w:p w14:paraId="74034AE8" w14:textId="77777777" w:rsidR="004674C2" w:rsidRPr="00CB1714" w:rsidRDefault="004674C2" w:rsidP="004674C2">
            <w:pPr>
              <w:rPr>
                <w:rFonts w:ascii="Lato" w:hAnsi="Lato"/>
                <w:sz w:val="22"/>
                <w:szCs w:val="22"/>
              </w:rPr>
            </w:pPr>
          </w:p>
        </w:tc>
      </w:tr>
      <w:tr w:rsidR="004674C2" w:rsidRPr="00CB1714" w14:paraId="31C26968" w14:textId="77777777" w:rsidTr="00990D73">
        <w:trPr>
          <w:cantSplit/>
          <w:trHeight w:val="254"/>
        </w:trPr>
        <w:tc>
          <w:tcPr>
            <w:tcW w:w="1316" w:type="dxa"/>
            <w:vMerge/>
          </w:tcPr>
          <w:p w14:paraId="4AE00AC7" w14:textId="77777777" w:rsidR="004674C2" w:rsidRPr="00CB1714" w:rsidRDefault="004674C2" w:rsidP="004674C2">
            <w:pPr>
              <w:jc w:val="right"/>
              <w:rPr>
                <w:rFonts w:ascii="Lato" w:hAnsi="Lato"/>
                <w:sz w:val="22"/>
                <w:szCs w:val="22"/>
              </w:rPr>
            </w:pPr>
          </w:p>
        </w:tc>
        <w:tc>
          <w:tcPr>
            <w:tcW w:w="5891" w:type="dxa"/>
            <w:vMerge/>
          </w:tcPr>
          <w:p w14:paraId="100A5EB2" w14:textId="77777777" w:rsidR="004674C2" w:rsidRPr="00CB1714" w:rsidRDefault="004674C2" w:rsidP="004674C2">
            <w:pPr>
              <w:rPr>
                <w:rFonts w:ascii="Lato" w:hAnsi="Lato"/>
                <w:sz w:val="22"/>
                <w:szCs w:val="22"/>
              </w:rPr>
            </w:pPr>
          </w:p>
        </w:tc>
        <w:tc>
          <w:tcPr>
            <w:tcW w:w="3188" w:type="dxa"/>
          </w:tcPr>
          <w:p w14:paraId="78DF8370" w14:textId="77777777" w:rsidR="004674C2" w:rsidRPr="00CB1714" w:rsidRDefault="004674C2" w:rsidP="004674C2">
            <w:pPr>
              <w:rPr>
                <w:rFonts w:ascii="Lato" w:hAnsi="Lato"/>
                <w:sz w:val="22"/>
                <w:szCs w:val="22"/>
              </w:rPr>
            </w:pPr>
          </w:p>
        </w:tc>
      </w:tr>
      <w:tr w:rsidR="004674C2" w:rsidRPr="00CB1714" w14:paraId="137CCC1C" w14:textId="77777777" w:rsidTr="00990D73">
        <w:tc>
          <w:tcPr>
            <w:tcW w:w="1316" w:type="dxa"/>
          </w:tcPr>
          <w:p w14:paraId="0A528F3B" w14:textId="77777777" w:rsidR="004674C2" w:rsidRPr="00CB1714" w:rsidRDefault="004674C2" w:rsidP="004674C2">
            <w:pPr>
              <w:rPr>
                <w:rFonts w:ascii="Lato" w:hAnsi="Lato"/>
                <w:sz w:val="22"/>
                <w:szCs w:val="22"/>
              </w:rPr>
            </w:pPr>
          </w:p>
        </w:tc>
        <w:tc>
          <w:tcPr>
            <w:tcW w:w="5891" w:type="dxa"/>
          </w:tcPr>
          <w:p w14:paraId="1C4D72BF" w14:textId="77777777" w:rsidR="004674C2" w:rsidRPr="00CB1714" w:rsidRDefault="004674C2" w:rsidP="004674C2">
            <w:pPr>
              <w:rPr>
                <w:rFonts w:ascii="Lato" w:hAnsi="Lato"/>
                <w:sz w:val="22"/>
                <w:szCs w:val="22"/>
              </w:rPr>
            </w:pPr>
            <w:r w:rsidRPr="00CB1714">
              <w:rPr>
                <w:rFonts w:ascii="Lato" w:hAnsi="Lato"/>
                <w:sz w:val="22"/>
                <w:szCs w:val="22"/>
              </w:rPr>
              <w:t xml:space="preserve">     </w:t>
            </w:r>
          </w:p>
        </w:tc>
        <w:tc>
          <w:tcPr>
            <w:tcW w:w="3188" w:type="dxa"/>
            <w:tcBorders>
              <w:bottom w:val="single" w:sz="4" w:space="0" w:color="auto"/>
            </w:tcBorders>
          </w:tcPr>
          <w:p w14:paraId="6237D896" w14:textId="77777777" w:rsidR="004674C2" w:rsidRPr="00CB1714" w:rsidRDefault="004674C2" w:rsidP="004674C2">
            <w:pPr>
              <w:rPr>
                <w:rFonts w:ascii="Lato" w:hAnsi="Lato"/>
                <w:sz w:val="22"/>
                <w:szCs w:val="22"/>
              </w:rPr>
            </w:pPr>
          </w:p>
        </w:tc>
      </w:tr>
      <w:tr w:rsidR="004674C2" w:rsidRPr="00CB1714" w14:paraId="58AACCFC" w14:textId="77777777" w:rsidTr="00990D73">
        <w:trPr>
          <w:cantSplit/>
          <w:trHeight w:val="257"/>
        </w:trPr>
        <w:tc>
          <w:tcPr>
            <w:tcW w:w="1316" w:type="dxa"/>
            <w:vMerge w:val="restart"/>
          </w:tcPr>
          <w:p w14:paraId="35AF0AF1"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vMerge w:val="restart"/>
            <w:tcBorders>
              <w:right w:val="single" w:sz="4" w:space="0" w:color="auto"/>
            </w:tcBorders>
          </w:tcPr>
          <w:p w14:paraId="17437EF1" w14:textId="77777777" w:rsidR="004674C2" w:rsidRPr="00CB1714" w:rsidRDefault="004674C2" w:rsidP="004674C2">
            <w:pPr>
              <w:jc w:val="both"/>
              <w:rPr>
                <w:rFonts w:ascii="Lato" w:hAnsi="Lato"/>
                <w:sz w:val="22"/>
                <w:szCs w:val="22"/>
              </w:rPr>
            </w:pPr>
            <w:r w:rsidRPr="00CB1714">
              <w:rPr>
                <w:rFonts w:ascii="Lato" w:hAnsi="Lato"/>
                <w:sz w:val="22"/>
                <w:szCs w:val="22"/>
              </w:rPr>
              <w:t>If the prospectus provides wording to the effect that “</w:t>
            </w:r>
            <w:r w:rsidRPr="00CB1714">
              <w:rPr>
                <w:rFonts w:ascii="Lato" w:hAnsi="Lato"/>
                <w:b/>
                <w:bCs/>
                <w:sz w:val="22"/>
                <w:szCs w:val="22"/>
              </w:rPr>
              <w:t>and</w:t>
            </w:r>
            <w:r w:rsidRPr="00CB1714">
              <w:rPr>
                <w:rFonts w:ascii="Lato" w:hAnsi="Lato"/>
                <w:sz w:val="22"/>
                <w:szCs w:val="22"/>
              </w:rPr>
              <w:t xml:space="preserve"> such other dealing days as the directors/management company determine”, include a provision to clarify that all unitholders will be notified in advance.</w:t>
            </w:r>
          </w:p>
        </w:tc>
        <w:tc>
          <w:tcPr>
            <w:tcW w:w="3188" w:type="dxa"/>
            <w:tcBorders>
              <w:top w:val="single" w:sz="4" w:space="0" w:color="auto"/>
              <w:bottom w:val="single" w:sz="4" w:space="0" w:color="auto"/>
              <w:right w:val="single" w:sz="4" w:space="0" w:color="auto"/>
            </w:tcBorders>
          </w:tcPr>
          <w:p w14:paraId="1369B0A8" w14:textId="77777777" w:rsidR="004674C2" w:rsidRPr="00CB1714" w:rsidRDefault="004674C2" w:rsidP="004674C2">
            <w:pPr>
              <w:rPr>
                <w:rFonts w:ascii="Lato" w:hAnsi="Lato"/>
                <w:sz w:val="22"/>
                <w:szCs w:val="22"/>
              </w:rPr>
            </w:pPr>
          </w:p>
        </w:tc>
      </w:tr>
      <w:tr w:rsidR="004674C2" w:rsidRPr="00CB1714" w14:paraId="07654C91" w14:textId="77777777" w:rsidTr="00990D73">
        <w:trPr>
          <w:cantSplit/>
          <w:trHeight w:val="254"/>
        </w:trPr>
        <w:tc>
          <w:tcPr>
            <w:tcW w:w="1316" w:type="dxa"/>
            <w:vMerge/>
          </w:tcPr>
          <w:p w14:paraId="2B86C2FA" w14:textId="77777777" w:rsidR="004674C2" w:rsidRPr="00CB1714" w:rsidRDefault="004674C2" w:rsidP="004674C2">
            <w:pPr>
              <w:jc w:val="right"/>
              <w:rPr>
                <w:rFonts w:ascii="Lato" w:hAnsi="Lato"/>
                <w:sz w:val="22"/>
                <w:szCs w:val="22"/>
              </w:rPr>
            </w:pPr>
          </w:p>
        </w:tc>
        <w:tc>
          <w:tcPr>
            <w:tcW w:w="5891" w:type="dxa"/>
            <w:vMerge/>
          </w:tcPr>
          <w:p w14:paraId="6BF2CC15"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5C8C249C" w14:textId="77777777" w:rsidR="004674C2" w:rsidRPr="00CB1714" w:rsidRDefault="004674C2" w:rsidP="004674C2">
            <w:pPr>
              <w:rPr>
                <w:rFonts w:ascii="Lato" w:hAnsi="Lato"/>
                <w:sz w:val="22"/>
                <w:szCs w:val="22"/>
              </w:rPr>
            </w:pPr>
          </w:p>
        </w:tc>
      </w:tr>
      <w:tr w:rsidR="004674C2" w:rsidRPr="00CB1714" w14:paraId="1A2A3D0E" w14:textId="77777777" w:rsidTr="00990D73">
        <w:trPr>
          <w:cantSplit/>
          <w:trHeight w:val="254"/>
        </w:trPr>
        <w:tc>
          <w:tcPr>
            <w:tcW w:w="1316" w:type="dxa"/>
            <w:vMerge/>
          </w:tcPr>
          <w:p w14:paraId="54370CA0" w14:textId="77777777" w:rsidR="004674C2" w:rsidRPr="00CB1714" w:rsidRDefault="004674C2" w:rsidP="004674C2">
            <w:pPr>
              <w:jc w:val="right"/>
              <w:rPr>
                <w:rFonts w:ascii="Lato" w:hAnsi="Lato"/>
                <w:sz w:val="22"/>
                <w:szCs w:val="22"/>
              </w:rPr>
            </w:pPr>
          </w:p>
        </w:tc>
        <w:tc>
          <w:tcPr>
            <w:tcW w:w="5891" w:type="dxa"/>
            <w:vMerge/>
          </w:tcPr>
          <w:p w14:paraId="5EEC2792" w14:textId="77777777" w:rsidR="004674C2" w:rsidRPr="00CB1714" w:rsidRDefault="004674C2" w:rsidP="004674C2">
            <w:pPr>
              <w:rPr>
                <w:rFonts w:ascii="Lato" w:hAnsi="Lato"/>
                <w:sz w:val="22"/>
                <w:szCs w:val="22"/>
              </w:rPr>
            </w:pPr>
          </w:p>
        </w:tc>
        <w:tc>
          <w:tcPr>
            <w:tcW w:w="3188" w:type="dxa"/>
          </w:tcPr>
          <w:p w14:paraId="24B6F6E4" w14:textId="77777777" w:rsidR="004674C2" w:rsidRPr="00CB1714" w:rsidRDefault="004674C2" w:rsidP="004674C2">
            <w:pPr>
              <w:rPr>
                <w:rFonts w:ascii="Lato" w:hAnsi="Lato"/>
                <w:sz w:val="22"/>
                <w:szCs w:val="22"/>
              </w:rPr>
            </w:pPr>
          </w:p>
        </w:tc>
      </w:tr>
      <w:tr w:rsidR="004674C2" w:rsidRPr="00CB1714" w14:paraId="3E1B5611" w14:textId="77777777" w:rsidTr="00990D73">
        <w:trPr>
          <w:cantSplit/>
          <w:trHeight w:val="254"/>
        </w:trPr>
        <w:tc>
          <w:tcPr>
            <w:tcW w:w="1316" w:type="dxa"/>
            <w:vMerge/>
          </w:tcPr>
          <w:p w14:paraId="61750CB6" w14:textId="77777777" w:rsidR="004674C2" w:rsidRPr="00CB1714" w:rsidRDefault="004674C2" w:rsidP="004674C2">
            <w:pPr>
              <w:jc w:val="right"/>
              <w:rPr>
                <w:rFonts w:ascii="Lato" w:hAnsi="Lato"/>
                <w:sz w:val="22"/>
                <w:szCs w:val="22"/>
              </w:rPr>
            </w:pPr>
          </w:p>
        </w:tc>
        <w:tc>
          <w:tcPr>
            <w:tcW w:w="5891" w:type="dxa"/>
            <w:vMerge/>
          </w:tcPr>
          <w:p w14:paraId="62759F05" w14:textId="77777777" w:rsidR="004674C2" w:rsidRPr="00CB1714" w:rsidRDefault="004674C2" w:rsidP="004674C2">
            <w:pPr>
              <w:rPr>
                <w:rFonts w:ascii="Lato" w:hAnsi="Lato"/>
                <w:sz w:val="22"/>
                <w:szCs w:val="22"/>
              </w:rPr>
            </w:pPr>
          </w:p>
        </w:tc>
        <w:tc>
          <w:tcPr>
            <w:tcW w:w="3188" w:type="dxa"/>
          </w:tcPr>
          <w:p w14:paraId="55627B26" w14:textId="77777777" w:rsidR="004674C2" w:rsidRPr="00CB1714" w:rsidRDefault="004674C2" w:rsidP="004674C2">
            <w:pPr>
              <w:rPr>
                <w:rFonts w:ascii="Lato" w:hAnsi="Lato"/>
                <w:sz w:val="22"/>
                <w:szCs w:val="22"/>
              </w:rPr>
            </w:pPr>
          </w:p>
        </w:tc>
      </w:tr>
      <w:tr w:rsidR="004674C2" w:rsidRPr="00CB1714" w14:paraId="623B7B75" w14:textId="77777777" w:rsidTr="00990D73">
        <w:trPr>
          <w:cantSplit/>
          <w:trHeight w:val="254"/>
        </w:trPr>
        <w:tc>
          <w:tcPr>
            <w:tcW w:w="1316" w:type="dxa"/>
          </w:tcPr>
          <w:p w14:paraId="39C1AE48" w14:textId="77777777" w:rsidR="004674C2" w:rsidRPr="00CB1714" w:rsidRDefault="004674C2" w:rsidP="004674C2">
            <w:pPr>
              <w:jc w:val="right"/>
              <w:rPr>
                <w:rFonts w:ascii="Lato" w:hAnsi="Lato"/>
                <w:sz w:val="22"/>
                <w:szCs w:val="22"/>
              </w:rPr>
            </w:pPr>
          </w:p>
        </w:tc>
        <w:tc>
          <w:tcPr>
            <w:tcW w:w="5891" w:type="dxa"/>
          </w:tcPr>
          <w:p w14:paraId="5647CD68" w14:textId="77777777" w:rsidR="004674C2" w:rsidRPr="00CB1714" w:rsidRDefault="004674C2" w:rsidP="004674C2">
            <w:pPr>
              <w:rPr>
                <w:rFonts w:ascii="Lato" w:hAnsi="Lato"/>
                <w:sz w:val="22"/>
                <w:szCs w:val="22"/>
              </w:rPr>
            </w:pPr>
          </w:p>
        </w:tc>
        <w:tc>
          <w:tcPr>
            <w:tcW w:w="3188" w:type="dxa"/>
          </w:tcPr>
          <w:p w14:paraId="1B9FF30A" w14:textId="77777777" w:rsidR="004674C2" w:rsidRPr="00CB1714" w:rsidRDefault="004674C2" w:rsidP="004674C2">
            <w:pPr>
              <w:rPr>
                <w:rFonts w:ascii="Lato" w:hAnsi="Lato"/>
                <w:sz w:val="22"/>
                <w:szCs w:val="22"/>
              </w:rPr>
            </w:pPr>
          </w:p>
        </w:tc>
      </w:tr>
      <w:tr w:rsidR="004674C2" w:rsidRPr="00CB1714" w14:paraId="29D36833" w14:textId="77777777" w:rsidTr="00990D73">
        <w:tc>
          <w:tcPr>
            <w:tcW w:w="1316" w:type="dxa"/>
          </w:tcPr>
          <w:p w14:paraId="1EFC1385" w14:textId="77777777" w:rsidR="004674C2" w:rsidRPr="00CB1714" w:rsidRDefault="004674C2" w:rsidP="004674C2">
            <w:pPr>
              <w:rPr>
                <w:rFonts w:ascii="Lato" w:hAnsi="Lato"/>
                <w:sz w:val="22"/>
                <w:szCs w:val="22"/>
              </w:rPr>
            </w:pPr>
          </w:p>
        </w:tc>
        <w:tc>
          <w:tcPr>
            <w:tcW w:w="5891" w:type="dxa"/>
          </w:tcPr>
          <w:p w14:paraId="47858AE4" w14:textId="77777777" w:rsidR="004674C2" w:rsidRPr="00CB1714" w:rsidRDefault="004674C2" w:rsidP="004674C2">
            <w:pPr>
              <w:pStyle w:val="Heading1"/>
              <w:spacing w:before="0" w:after="0" w:line="240" w:lineRule="auto"/>
              <w:rPr>
                <w:rFonts w:ascii="Lato" w:hAnsi="Lato"/>
                <w:b/>
                <w:color w:val="auto"/>
                <w:sz w:val="22"/>
                <w:szCs w:val="22"/>
              </w:rPr>
            </w:pPr>
            <w:r w:rsidRPr="00CB1714">
              <w:rPr>
                <w:rFonts w:ascii="Lato" w:hAnsi="Lato"/>
                <w:b/>
                <w:color w:val="auto"/>
                <w:sz w:val="22"/>
                <w:szCs w:val="22"/>
              </w:rPr>
              <w:t>Subscriptions</w:t>
            </w:r>
          </w:p>
        </w:tc>
        <w:tc>
          <w:tcPr>
            <w:tcW w:w="3188" w:type="dxa"/>
            <w:tcBorders>
              <w:bottom w:val="single" w:sz="4" w:space="0" w:color="auto"/>
            </w:tcBorders>
          </w:tcPr>
          <w:p w14:paraId="692E21CB" w14:textId="77777777" w:rsidR="004674C2" w:rsidRPr="00CB1714" w:rsidRDefault="004674C2" w:rsidP="004674C2">
            <w:pPr>
              <w:rPr>
                <w:rFonts w:ascii="Lato" w:hAnsi="Lato"/>
                <w:sz w:val="22"/>
                <w:szCs w:val="22"/>
              </w:rPr>
            </w:pPr>
          </w:p>
        </w:tc>
      </w:tr>
      <w:tr w:rsidR="004674C2" w:rsidRPr="00CB1714" w14:paraId="72BE588B" w14:textId="77777777" w:rsidTr="00990D73">
        <w:trPr>
          <w:cantSplit/>
          <w:trHeight w:val="255"/>
        </w:trPr>
        <w:tc>
          <w:tcPr>
            <w:tcW w:w="1316" w:type="dxa"/>
            <w:vMerge w:val="restart"/>
          </w:tcPr>
          <w:p w14:paraId="2E51453E" w14:textId="77777777" w:rsidR="004674C2" w:rsidRPr="00CB1714" w:rsidRDefault="004674C2" w:rsidP="004674C2">
            <w:pPr>
              <w:rPr>
                <w:rFonts w:ascii="Lato" w:hAnsi="Lato"/>
                <w:b/>
                <w:sz w:val="22"/>
                <w:szCs w:val="22"/>
              </w:rPr>
            </w:pPr>
            <w:r w:rsidRPr="00CB1714">
              <w:rPr>
                <w:rFonts w:ascii="Lato" w:hAnsi="Lato"/>
                <w:b/>
                <w:sz w:val="22"/>
                <w:szCs w:val="22"/>
              </w:rPr>
              <w:t>2.12      a)</w:t>
            </w:r>
          </w:p>
        </w:tc>
        <w:tc>
          <w:tcPr>
            <w:tcW w:w="5891" w:type="dxa"/>
            <w:vMerge w:val="restart"/>
            <w:tcBorders>
              <w:right w:val="single" w:sz="4" w:space="0" w:color="auto"/>
            </w:tcBorders>
          </w:tcPr>
          <w:p w14:paraId="7EDA37C2" w14:textId="77777777" w:rsidR="004674C2" w:rsidRPr="00CB1714" w:rsidRDefault="004674C2" w:rsidP="004674C2">
            <w:pPr>
              <w:rPr>
                <w:rFonts w:ascii="Lato" w:hAnsi="Lato"/>
                <w:sz w:val="22"/>
                <w:szCs w:val="22"/>
              </w:rPr>
            </w:pPr>
            <w:r w:rsidRPr="00CB1714">
              <w:rPr>
                <w:rFonts w:ascii="Lato" w:hAnsi="Lato"/>
                <w:sz w:val="22"/>
                <w:szCs w:val="22"/>
              </w:rPr>
              <w:t>Provide that units will be issued at NAV per unit (plus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1499FE52" w14:textId="77777777" w:rsidR="004674C2" w:rsidRPr="00CB1714" w:rsidRDefault="004674C2" w:rsidP="004674C2">
            <w:pPr>
              <w:rPr>
                <w:rFonts w:ascii="Lato" w:hAnsi="Lato"/>
                <w:sz w:val="22"/>
                <w:szCs w:val="22"/>
              </w:rPr>
            </w:pPr>
          </w:p>
        </w:tc>
      </w:tr>
      <w:tr w:rsidR="004674C2" w:rsidRPr="00CB1714" w14:paraId="7C3555C9" w14:textId="77777777" w:rsidTr="00990D73">
        <w:trPr>
          <w:cantSplit/>
          <w:trHeight w:val="254"/>
        </w:trPr>
        <w:tc>
          <w:tcPr>
            <w:tcW w:w="1316" w:type="dxa"/>
            <w:vMerge/>
          </w:tcPr>
          <w:p w14:paraId="0B57B4A6" w14:textId="77777777" w:rsidR="004674C2" w:rsidRPr="00CB1714" w:rsidRDefault="004674C2" w:rsidP="004674C2">
            <w:pPr>
              <w:rPr>
                <w:rFonts w:ascii="Lato" w:hAnsi="Lato"/>
                <w:sz w:val="22"/>
                <w:szCs w:val="22"/>
              </w:rPr>
            </w:pPr>
          </w:p>
        </w:tc>
        <w:tc>
          <w:tcPr>
            <w:tcW w:w="5891" w:type="dxa"/>
            <w:vMerge/>
          </w:tcPr>
          <w:p w14:paraId="3EBA0A5D"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022C6542" w14:textId="77777777" w:rsidR="004674C2" w:rsidRPr="00CB1714" w:rsidRDefault="004674C2" w:rsidP="004674C2">
            <w:pPr>
              <w:rPr>
                <w:rFonts w:ascii="Lato" w:hAnsi="Lato"/>
                <w:sz w:val="22"/>
                <w:szCs w:val="22"/>
              </w:rPr>
            </w:pPr>
          </w:p>
        </w:tc>
      </w:tr>
      <w:tr w:rsidR="004674C2" w:rsidRPr="00CB1714" w14:paraId="69084767" w14:textId="77777777" w:rsidTr="00990D73">
        <w:tc>
          <w:tcPr>
            <w:tcW w:w="1316" w:type="dxa"/>
          </w:tcPr>
          <w:p w14:paraId="252904CC" w14:textId="77777777" w:rsidR="004674C2" w:rsidRPr="00CB1714" w:rsidRDefault="004674C2" w:rsidP="004674C2">
            <w:pPr>
              <w:rPr>
                <w:rFonts w:ascii="Lato" w:hAnsi="Lato"/>
                <w:sz w:val="22"/>
                <w:szCs w:val="22"/>
              </w:rPr>
            </w:pPr>
          </w:p>
        </w:tc>
        <w:tc>
          <w:tcPr>
            <w:tcW w:w="5891" w:type="dxa"/>
          </w:tcPr>
          <w:p w14:paraId="31A9CB92"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59F36220" w14:textId="77777777" w:rsidR="004674C2" w:rsidRPr="00CB1714" w:rsidRDefault="004674C2" w:rsidP="004674C2">
            <w:pPr>
              <w:rPr>
                <w:rFonts w:ascii="Lato" w:hAnsi="Lato"/>
                <w:sz w:val="22"/>
                <w:szCs w:val="22"/>
              </w:rPr>
            </w:pPr>
          </w:p>
        </w:tc>
      </w:tr>
      <w:tr w:rsidR="004674C2" w:rsidRPr="00CB1714" w14:paraId="42950CD6" w14:textId="77777777" w:rsidTr="00990D73">
        <w:tc>
          <w:tcPr>
            <w:tcW w:w="1316" w:type="dxa"/>
          </w:tcPr>
          <w:p w14:paraId="7DA83C31"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3A1A14B8" w14:textId="77777777" w:rsidR="004674C2" w:rsidRPr="00CB1714" w:rsidRDefault="004674C2" w:rsidP="004674C2">
            <w:pPr>
              <w:rPr>
                <w:rFonts w:ascii="Lato" w:hAnsi="Lato"/>
                <w:sz w:val="22"/>
                <w:szCs w:val="22"/>
              </w:rPr>
            </w:pPr>
            <w:r w:rsidRPr="00CB1714">
              <w:rPr>
                <w:rFonts w:ascii="Lato" w:hAnsi="Lato"/>
                <w:sz w:val="22"/>
                <w:szCs w:val="22"/>
              </w:rPr>
              <w:t>Maximum subscription charge (if any);</w:t>
            </w:r>
          </w:p>
        </w:tc>
        <w:tc>
          <w:tcPr>
            <w:tcW w:w="3188" w:type="dxa"/>
            <w:tcBorders>
              <w:top w:val="single" w:sz="4" w:space="0" w:color="auto"/>
              <w:bottom w:val="single" w:sz="4" w:space="0" w:color="auto"/>
              <w:right w:val="single" w:sz="4" w:space="0" w:color="auto"/>
            </w:tcBorders>
          </w:tcPr>
          <w:p w14:paraId="1599A67F" w14:textId="77777777" w:rsidR="004674C2" w:rsidRPr="00CB1714" w:rsidRDefault="004674C2" w:rsidP="004674C2">
            <w:pPr>
              <w:rPr>
                <w:rFonts w:ascii="Lato" w:hAnsi="Lato"/>
                <w:sz w:val="22"/>
                <w:szCs w:val="22"/>
              </w:rPr>
            </w:pPr>
          </w:p>
        </w:tc>
      </w:tr>
      <w:tr w:rsidR="004674C2" w:rsidRPr="00CB1714" w14:paraId="4A037FBD" w14:textId="77777777" w:rsidTr="00990D73">
        <w:tc>
          <w:tcPr>
            <w:tcW w:w="1316" w:type="dxa"/>
          </w:tcPr>
          <w:p w14:paraId="6B1A3825" w14:textId="77777777" w:rsidR="004674C2" w:rsidRPr="00CB1714" w:rsidRDefault="004674C2" w:rsidP="004674C2">
            <w:pPr>
              <w:rPr>
                <w:rFonts w:ascii="Lato" w:hAnsi="Lato"/>
                <w:sz w:val="22"/>
                <w:szCs w:val="22"/>
              </w:rPr>
            </w:pPr>
          </w:p>
        </w:tc>
        <w:tc>
          <w:tcPr>
            <w:tcW w:w="5891" w:type="dxa"/>
          </w:tcPr>
          <w:p w14:paraId="67E8CB71"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68D18C62" w14:textId="77777777" w:rsidR="004674C2" w:rsidRPr="00CB1714" w:rsidRDefault="004674C2" w:rsidP="004674C2">
            <w:pPr>
              <w:rPr>
                <w:rFonts w:ascii="Lato" w:hAnsi="Lato"/>
                <w:sz w:val="22"/>
                <w:szCs w:val="22"/>
              </w:rPr>
            </w:pPr>
          </w:p>
        </w:tc>
      </w:tr>
      <w:tr w:rsidR="004674C2" w:rsidRPr="00CB1714" w14:paraId="0011F878" w14:textId="77777777" w:rsidTr="00990D73">
        <w:tc>
          <w:tcPr>
            <w:tcW w:w="1316" w:type="dxa"/>
          </w:tcPr>
          <w:p w14:paraId="03486455" w14:textId="77777777" w:rsidR="004674C2" w:rsidRPr="00CB1714" w:rsidRDefault="004674C2" w:rsidP="004674C2">
            <w:pPr>
              <w:rPr>
                <w:rFonts w:ascii="Lato" w:hAnsi="Lato"/>
                <w:sz w:val="22"/>
                <w:szCs w:val="22"/>
              </w:rPr>
            </w:pPr>
            <w:r w:rsidRPr="00CB1714">
              <w:rPr>
                <w:rFonts w:ascii="Lato" w:hAnsi="Lato"/>
                <w:sz w:val="22"/>
                <w:szCs w:val="22"/>
              </w:rPr>
              <w:t>2.12.1</w:t>
            </w:r>
          </w:p>
        </w:tc>
        <w:tc>
          <w:tcPr>
            <w:tcW w:w="5891" w:type="dxa"/>
            <w:tcBorders>
              <w:right w:val="single" w:sz="4" w:space="0" w:color="auto"/>
            </w:tcBorders>
          </w:tcPr>
          <w:p w14:paraId="0B3DCF39" w14:textId="77777777" w:rsidR="004674C2" w:rsidRPr="00CB1714" w:rsidRDefault="004674C2" w:rsidP="004674C2">
            <w:pPr>
              <w:rPr>
                <w:rFonts w:ascii="Lato" w:hAnsi="Lato"/>
                <w:sz w:val="22"/>
                <w:szCs w:val="22"/>
              </w:rPr>
            </w:pPr>
            <w:r w:rsidRPr="00CB1714">
              <w:rPr>
                <w:rFonts w:ascii="Lato" w:hAnsi="Lato"/>
                <w:sz w:val="22"/>
                <w:szCs w:val="22"/>
              </w:rPr>
              <w:t>Deferred sales charge (if any);</w:t>
            </w:r>
          </w:p>
        </w:tc>
        <w:tc>
          <w:tcPr>
            <w:tcW w:w="3188" w:type="dxa"/>
            <w:tcBorders>
              <w:top w:val="single" w:sz="4" w:space="0" w:color="auto"/>
              <w:bottom w:val="single" w:sz="4" w:space="0" w:color="auto"/>
              <w:right w:val="single" w:sz="4" w:space="0" w:color="auto"/>
            </w:tcBorders>
          </w:tcPr>
          <w:p w14:paraId="5D4375FB" w14:textId="77777777" w:rsidR="004674C2" w:rsidRPr="00CB1714" w:rsidRDefault="004674C2" w:rsidP="004674C2">
            <w:pPr>
              <w:rPr>
                <w:rFonts w:ascii="Lato" w:hAnsi="Lato"/>
                <w:sz w:val="22"/>
                <w:szCs w:val="22"/>
              </w:rPr>
            </w:pPr>
          </w:p>
        </w:tc>
      </w:tr>
      <w:tr w:rsidR="004674C2" w:rsidRPr="00CB1714" w14:paraId="5549B146" w14:textId="77777777" w:rsidTr="00990D73">
        <w:tc>
          <w:tcPr>
            <w:tcW w:w="1316" w:type="dxa"/>
          </w:tcPr>
          <w:p w14:paraId="4C75B310" w14:textId="77777777" w:rsidR="004674C2" w:rsidRPr="00CB1714" w:rsidRDefault="004674C2" w:rsidP="004674C2">
            <w:pPr>
              <w:rPr>
                <w:rFonts w:ascii="Lato" w:hAnsi="Lato"/>
                <w:sz w:val="22"/>
                <w:szCs w:val="22"/>
              </w:rPr>
            </w:pPr>
          </w:p>
        </w:tc>
        <w:tc>
          <w:tcPr>
            <w:tcW w:w="5891" w:type="dxa"/>
          </w:tcPr>
          <w:p w14:paraId="5A6351BE"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2F43C0D6" w14:textId="77777777" w:rsidR="004674C2" w:rsidRPr="00CB1714" w:rsidRDefault="004674C2" w:rsidP="004674C2">
            <w:pPr>
              <w:rPr>
                <w:rFonts w:ascii="Lato" w:hAnsi="Lato"/>
                <w:sz w:val="22"/>
                <w:szCs w:val="22"/>
              </w:rPr>
            </w:pPr>
          </w:p>
        </w:tc>
      </w:tr>
      <w:tr w:rsidR="004674C2" w:rsidRPr="00CB1714" w14:paraId="12624664" w14:textId="77777777" w:rsidTr="00990D73">
        <w:tc>
          <w:tcPr>
            <w:tcW w:w="1316" w:type="dxa"/>
          </w:tcPr>
          <w:p w14:paraId="0722BAFA" w14:textId="77777777" w:rsidR="004674C2" w:rsidRPr="00CB1714" w:rsidRDefault="004674C2" w:rsidP="004674C2">
            <w:pPr>
              <w:rPr>
                <w:rFonts w:ascii="Lato" w:hAnsi="Lato"/>
                <w:sz w:val="22"/>
                <w:szCs w:val="22"/>
              </w:rPr>
            </w:pPr>
            <w:r w:rsidRPr="00CB1714">
              <w:rPr>
                <w:rFonts w:ascii="Lato" w:hAnsi="Lato"/>
                <w:sz w:val="22"/>
                <w:szCs w:val="22"/>
              </w:rPr>
              <w:t>2.12.2</w:t>
            </w:r>
          </w:p>
        </w:tc>
        <w:tc>
          <w:tcPr>
            <w:tcW w:w="5891" w:type="dxa"/>
            <w:tcBorders>
              <w:right w:val="single" w:sz="4" w:space="0" w:color="auto"/>
            </w:tcBorders>
          </w:tcPr>
          <w:p w14:paraId="5A6BB58D" w14:textId="77777777" w:rsidR="004674C2" w:rsidRPr="00CB1714" w:rsidRDefault="004674C2" w:rsidP="004674C2">
            <w:pPr>
              <w:rPr>
                <w:rFonts w:ascii="Lato" w:hAnsi="Lato"/>
                <w:sz w:val="22"/>
                <w:szCs w:val="22"/>
              </w:rPr>
            </w:pPr>
            <w:r w:rsidRPr="00CB1714">
              <w:rPr>
                <w:rFonts w:ascii="Lato" w:hAnsi="Lato"/>
                <w:sz w:val="22"/>
                <w:szCs w:val="22"/>
              </w:rPr>
              <w:t>Initial offer price;</w:t>
            </w:r>
          </w:p>
        </w:tc>
        <w:tc>
          <w:tcPr>
            <w:tcW w:w="3188" w:type="dxa"/>
            <w:tcBorders>
              <w:top w:val="single" w:sz="4" w:space="0" w:color="auto"/>
              <w:left w:val="single" w:sz="4" w:space="0" w:color="auto"/>
              <w:bottom w:val="single" w:sz="4" w:space="0" w:color="auto"/>
              <w:right w:val="single" w:sz="4" w:space="0" w:color="auto"/>
            </w:tcBorders>
          </w:tcPr>
          <w:p w14:paraId="7120CCEB" w14:textId="77777777" w:rsidR="004674C2" w:rsidRPr="00CB1714" w:rsidRDefault="004674C2" w:rsidP="004674C2">
            <w:pPr>
              <w:rPr>
                <w:rFonts w:ascii="Lato" w:hAnsi="Lato"/>
                <w:sz w:val="22"/>
                <w:szCs w:val="22"/>
              </w:rPr>
            </w:pPr>
          </w:p>
        </w:tc>
      </w:tr>
      <w:tr w:rsidR="004674C2" w:rsidRPr="00CB1714" w14:paraId="2AD2EDF8" w14:textId="77777777" w:rsidTr="00990D73">
        <w:tc>
          <w:tcPr>
            <w:tcW w:w="1316" w:type="dxa"/>
          </w:tcPr>
          <w:p w14:paraId="5F3316E9" w14:textId="77777777" w:rsidR="004674C2" w:rsidRPr="00CB1714" w:rsidRDefault="004674C2" w:rsidP="004674C2">
            <w:pPr>
              <w:rPr>
                <w:rFonts w:ascii="Lato" w:hAnsi="Lato"/>
                <w:sz w:val="22"/>
                <w:szCs w:val="22"/>
              </w:rPr>
            </w:pPr>
          </w:p>
        </w:tc>
        <w:tc>
          <w:tcPr>
            <w:tcW w:w="5891" w:type="dxa"/>
          </w:tcPr>
          <w:p w14:paraId="4602C568"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735BFBAC" w14:textId="77777777" w:rsidR="004674C2" w:rsidRPr="00CB1714" w:rsidRDefault="004674C2" w:rsidP="004674C2">
            <w:pPr>
              <w:rPr>
                <w:rFonts w:ascii="Lato" w:hAnsi="Lato"/>
                <w:sz w:val="22"/>
                <w:szCs w:val="22"/>
              </w:rPr>
            </w:pPr>
          </w:p>
        </w:tc>
      </w:tr>
      <w:tr w:rsidR="004674C2" w:rsidRPr="00CB1714" w14:paraId="5AB7CC1E" w14:textId="77777777" w:rsidTr="00990D73">
        <w:tc>
          <w:tcPr>
            <w:tcW w:w="1316" w:type="dxa"/>
          </w:tcPr>
          <w:p w14:paraId="79001FED" w14:textId="77777777" w:rsidR="004674C2" w:rsidRPr="00CB1714" w:rsidRDefault="004674C2" w:rsidP="004674C2">
            <w:pPr>
              <w:rPr>
                <w:rFonts w:ascii="Lato" w:hAnsi="Lato"/>
                <w:sz w:val="22"/>
                <w:szCs w:val="22"/>
              </w:rPr>
            </w:pPr>
            <w:r w:rsidRPr="00CB1714">
              <w:rPr>
                <w:rFonts w:ascii="Lato" w:hAnsi="Lato"/>
                <w:sz w:val="22"/>
                <w:szCs w:val="22"/>
              </w:rPr>
              <w:t>2.12.3</w:t>
            </w:r>
          </w:p>
        </w:tc>
        <w:tc>
          <w:tcPr>
            <w:tcW w:w="5891" w:type="dxa"/>
            <w:tcBorders>
              <w:right w:val="single" w:sz="4" w:space="0" w:color="auto"/>
            </w:tcBorders>
          </w:tcPr>
          <w:p w14:paraId="14D5C953" w14:textId="77777777" w:rsidR="004674C2" w:rsidRPr="00CB1714" w:rsidRDefault="004674C2" w:rsidP="004674C2">
            <w:pPr>
              <w:rPr>
                <w:rFonts w:ascii="Lato" w:hAnsi="Lato"/>
                <w:sz w:val="22"/>
                <w:szCs w:val="22"/>
              </w:rPr>
            </w:pPr>
            <w:r w:rsidRPr="00CB1714">
              <w:rPr>
                <w:rFonts w:ascii="Lato" w:hAnsi="Lato"/>
                <w:sz w:val="22"/>
                <w:szCs w:val="22"/>
              </w:rPr>
              <w:t>Initial offer period;</w:t>
            </w:r>
          </w:p>
        </w:tc>
        <w:tc>
          <w:tcPr>
            <w:tcW w:w="3188" w:type="dxa"/>
            <w:tcBorders>
              <w:top w:val="single" w:sz="4" w:space="0" w:color="auto"/>
              <w:left w:val="single" w:sz="4" w:space="0" w:color="auto"/>
              <w:bottom w:val="single" w:sz="4" w:space="0" w:color="auto"/>
              <w:right w:val="single" w:sz="4" w:space="0" w:color="auto"/>
            </w:tcBorders>
          </w:tcPr>
          <w:p w14:paraId="6899434D" w14:textId="77777777" w:rsidR="004674C2" w:rsidRPr="00CB1714" w:rsidRDefault="004674C2" w:rsidP="004674C2">
            <w:pPr>
              <w:rPr>
                <w:rFonts w:ascii="Lato" w:hAnsi="Lato"/>
                <w:sz w:val="22"/>
                <w:szCs w:val="22"/>
              </w:rPr>
            </w:pPr>
          </w:p>
        </w:tc>
      </w:tr>
      <w:tr w:rsidR="004674C2" w:rsidRPr="00CB1714" w14:paraId="599FD8BF" w14:textId="77777777" w:rsidTr="00990D73">
        <w:tc>
          <w:tcPr>
            <w:tcW w:w="1316" w:type="dxa"/>
          </w:tcPr>
          <w:p w14:paraId="581E915C" w14:textId="77777777" w:rsidR="004674C2" w:rsidRPr="00CB1714" w:rsidRDefault="004674C2" w:rsidP="004674C2">
            <w:pPr>
              <w:rPr>
                <w:rFonts w:ascii="Lato" w:hAnsi="Lato"/>
                <w:sz w:val="22"/>
                <w:szCs w:val="22"/>
              </w:rPr>
            </w:pPr>
          </w:p>
        </w:tc>
        <w:tc>
          <w:tcPr>
            <w:tcW w:w="5891" w:type="dxa"/>
          </w:tcPr>
          <w:p w14:paraId="27BB56EE"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5902C080" w14:textId="77777777" w:rsidR="004674C2" w:rsidRPr="00CB1714" w:rsidRDefault="004674C2" w:rsidP="004674C2">
            <w:pPr>
              <w:rPr>
                <w:rFonts w:ascii="Lato" w:hAnsi="Lato"/>
                <w:sz w:val="22"/>
                <w:szCs w:val="22"/>
              </w:rPr>
            </w:pPr>
          </w:p>
        </w:tc>
      </w:tr>
      <w:tr w:rsidR="004674C2" w:rsidRPr="00CB1714" w14:paraId="1F5A1C8A" w14:textId="77777777" w:rsidTr="00990D73">
        <w:trPr>
          <w:cantSplit/>
          <w:trHeight w:val="255"/>
        </w:trPr>
        <w:tc>
          <w:tcPr>
            <w:tcW w:w="1316" w:type="dxa"/>
            <w:vMerge w:val="restart"/>
          </w:tcPr>
          <w:p w14:paraId="644B06F4" w14:textId="77777777" w:rsidR="004674C2" w:rsidRPr="00CB1714" w:rsidRDefault="004674C2" w:rsidP="004674C2">
            <w:pPr>
              <w:rPr>
                <w:rFonts w:ascii="Lato" w:hAnsi="Lato"/>
                <w:sz w:val="22"/>
                <w:szCs w:val="22"/>
              </w:rPr>
            </w:pPr>
            <w:r w:rsidRPr="00CB1714">
              <w:rPr>
                <w:rFonts w:ascii="Lato" w:hAnsi="Lato"/>
                <w:sz w:val="22"/>
                <w:szCs w:val="22"/>
              </w:rPr>
              <w:t>2.12.4</w:t>
            </w:r>
          </w:p>
        </w:tc>
        <w:tc>
          <w:tcPr>
            <w:tcW w:w="5891" w:type="dxa"/>
            <w:vMerge w:val="restart"/>
            <w:tcBorders>
              <w:right w:val="single" w:sz="4" w:space="0" w:color="auto"/>
            </w:tcBorders>
          </w:tcPr>
          <w:p w14:paraId="2D56AA3D" w14:textId="77777777" w:rsidR="004674C2" w:rsidRPr="00CB1714" w:rsidRDefault="004674C2" w:rsidP="004674C2">
            <w:pPr>
              <w:jc w:val="both"/>
              <w:rPr>
                <w:rFonts w:ascii="Lato" w:hAnsi="Lato"/>
                <w:sz w:val="22"/>
                <w:szCs w:val="22"/>
              </w:rPr>
            </w:pPr>
            <w:r w:rsidRPr="00CB1714">
              <w:rPr>
                <w:rFonts w:ascii="Lato" w:hAnsi="Lato"/>
                <w:sz w:val="22"/>
                <w:szCs w:val="22"/>
              </w:rPr>
              <w:t xml:space="preserve">Details of how ownership will be confirmed e.g. unit/share certificates or </w:t>
            </w:r>
            <w:r w:rsidRPr="00CB1714">
              <w:rPr>
                <w:rFonts w:ascii="Lato" w:hAnsi="Lato"/>
                <w:sz w:val="22"/>
                <w:szCs w:val="22"/>
                <w:u w:val="single"/>
              </w:rPr>
              <w:t>written</w:t>
            </w:r>
            <w:r w:rsidRPr="00CB1714">
              <w:rPr>
                <w:rFonts w:ascii="Lato" w:hAnsi="Lato"/>
                <w:sz w:val="22"/>
                <w:szCs w:val="22"/>
              </w:rPr>
              <w:t xml:space="preserve"> confirmation of entry on the register.</w:t>
            </w:r>
          </w:p>
        </w:tc>
        <w:tc>
          <w:tcPr>
            <w:tcW w:w="3188" w:type="dxa"/>
            <w:tcBorders>
              <w:top w:val="single" w:sz="4" w:space="0" w:color="auto"/>
              <w:bottom w:val="single" w:sz="4" w:space="0" w:color="auto"/>
              <w:right w:val="single" w:sz="4" w:space="0" w:color="auto"/>
            </w:tcBorders>
          </w:tcPr>
          <w:p w14:paraId="70CDB9B4" w14:textId="77777777" w:rsidR="004674C2" w:rsidRPr="00CB1714" w:rsidRDefault="004674C2" w:rsidP="004674C2">
            <w:pPr>
              <w:rPr>
                <w:rFonts w:ascii="Lato" w:hAnsi="Lato"/>
                <w:sz w:val="22"/>
                <w:szCs w:val="22"/>
              </w:rPr>
            </w:pPr>
            <w:r w:rsidRPr="00CB1714">
              <w:rPr>
                <w:rFonts w:ascii="Lato" w:hAnsi="Lato"/>
                <w:sz w:val="22"/>
                <w:szCs w:val="22"/>
              </w:rPr>
              <w:t xml:space="preserve"> </w:t>
            </w:r>
          </w:p>
        </w:tc>
      </w:tr>
      <w:tr w:rsidR="004674C2" w:rsidRPr="00CB1714" w14:paraId="29E16159" w14:textId="77777777" w:rsidTr="00990D73">
        <w:trPr>
          <w:cantSplit/>
          <w:trHeight w:val="254"/>
        </w:trPr>
        <w:tc>
          <w:tcPr>
            <w:tcW w:w="1316" w:type="dxa"/>
            <w:vMerge/>
          </w:tcPr>
          <w:p w14:paraId="5F058E35" w14:textId="77777777" w:rsidR="004674C2" w:rsidRPr="00CB1714" w:rsidRDefault="004674C2" w:rsidP="004674C2">
            <w:pPr>
              <w:rPr>
                <w:rFonts w:ascii="Lato" w:hAnsi="Lato"/>
                <w:sz w:val="22"/>
                <w:szCs w:val="22"/>
              </w:rPr>
            </w:pPr>
          </w:p>
        </w:tc>
        <w:tc>
          <w:tcPr>
            <w:tcW w:w="5891" w:type="dxa"/>
            <w:vMerge/>
          </w:tcPr>
          <w:p w14:paraId="732D6A4E" w14:textId="77777777" w:rsidR="004674C2" w:rsidRPr="00CB1714" w:rsidRDefault="004674C2" w:rsidP="004674C2">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3054377C" w14:textId="77777777" w:rsidR="004674C2" w:rsidRPr="00CB1714" w:rsidRDefault="004674C2" w:rsidP="004674C2">
            <w:pPr>
              <w:rPr>
                <w:rFonts w:ascii="Lato" w:hAnsi="Lato"/>
                <w:sz w:val="22"/>
                <w:szCs w:val="22"/>
              </w:rPr>
            </w:pPr>
          </w:p>
        </w:tc>
      </w:tr>
      <w:tr w:rsidR="004674C2" w:rsidRPr="00CB1714" w14:paraId="05362E1C" w14:textId="77777777" w:rsidTr="00990D73">
        <w:tc>
          <w:tcPr>
            <w:tcW w:w="1316" w:type="dxa"/>
          </w:tcPr>
          <w:p w14:paraId="466049E1" w14:textId="77777777" w:rsidR="004674C2" w:rsidRPr="00CB1714" w:rsidRDefault="004674C2" w:rsidP="004674C2">
            <w:pPr>
              <w:rPr>
                <w:rFonts w:ascii="Lato" w:hAnsi="Lato"/>
                <w:sz w:val="22"/>
                <w:szCs w:val="22"/>
              </w:rPr>
            </w:pPr>
          </w:p>
        </w:tc>
        <w:tc>
          <w:tcPr>
            <w:tcW w:w="5891" w:type="dxa"/>
          </w:tcPr>
          <w:p w14:paraId="76FF1F91"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346AEDEB" w14:textId="77777777" w:rsidR="004674C2" w:rsidRPr="00CB1714" w:rsidRDefault="004674C2" w:rsidP="004674C2">
            <w:pPr>
              <w:rPr>
                <w:rFonts w:ascii="Lato" w:hAnsi="Lato"/>
                <w:sz w:val="22"/>
                <w:szCs w:val="22"/>
              </w:rPr>
            </w:pPr>
          </w:p>
        </w:tc>
      </w:tr>
      <w:tr w:rsidR="004674C2" w:rsidRPr="00CB1714" w14:paraId="76F43DF8" w14:textId="77777777" w:rsidTr="00990D73">
        <w:tc>
          <w:tcPr>
            <w:tcW w:w="1316" w:type="dxa"/>
          </w:tcPr>
          <w:p w14:paraId="0A93A491" w14:textId="77777777" w:rsidR="004674C2" w:rsidRPr="00CB1714" w:rsidRDefault="004674C2" w:rsidP="004674C2">
            <w:pPr>
              <w:rPr>
                <w:rFonts w:ascii="Lato" w:hAnsi="Lato"/>
                <w:sz w:val="22"/>
                <w:szCs w:val="22"/>
              </w:rPr>
            </w:pPr>
            <w:r w:rsidRPr="00CB1714">
              <w:rPr>
                <w:rFonts w:ascii="Lato" w:hAnsi="Lato"/>
                <w:sz w:val="22"/>
                <w:szCs w:val="22"/>
              </w:rPr>
              <w:t>2.12.5</w:t>
            </w:r>
          </w:p>
        </w:tc>
        <w:tc>
          <w:tcPr>
            <w:tcW w:w="5891" w:type="dxa"/>
          </w:tcPr>
          <w:p w14:paraId="5D1D1196" w14:textId="77777777" w:rsidR="004674C2" w:rsidRPr="00CB1714" w:rsidRDefault="004674C2" w:rsidP="004674C2">
            <w:pPr>
              <w:rPr>
                <w:rFonts w:ascii="Lato" w:hAnsi="Lato"/>
                <w:sz w:val="22"/>
                <w:szCs w:val="22"/>
                <w:u w:val="single"/>
              </w:rPr>
            </w:pPr>
            <w:r w:rsidRPr="00CB1714">
              <w:rPr>
                <w:rFonts w:ascii="Lato" w:hAnsi="Lato"/>
                <w:sz w:val="22"/>
                <w:szCs w:val="22"/>
              </w:rPr>
              <w:t>Disclose the types and main characteristics of the units and in particular:</w:t>
            </w:r>
          </w:p>
        </w:tc>
        <w:tc>
          <w:tcPr>
            <w:tcW w:w="3188" w:type="dxa"/>
            <w:tcBorders>
              <w:bottom w:val="single" w:sz="4" w:space="0" w:color="auto"/>
            </w:tcBorders>
          </w:tcPr>
          <w:p w14:paraId="3F388933" w14:textId="77777777" w:rsidR="004674C2" w:rsidRPr="00CB1714" w:rsidRDefault="004674C2" w:rsidP="004674C2">
            <w:pPr>
              <w:rPr>
                <w:rFonts w:ascii="Lato" w:hAnsi="Lato"/>
                <w:sz w:val="22"/>
                <w:szCs w:val="22"/>
              </w:rPr>
            </w:pPr>
          </w:p>
        </w:tc>
      </w:tr>
      <w:tr w:rsidR="004674C2" w:rsidRPr="00CB1714" w14:paraId="6EEA61A7" w14:textId="77777777" w:rsidTr="00990D73">
        <w:tc>
          <w:tcPr>
            <w:tcW w:w="1316" w:type="dxa"/>
          </w:tcPr>
          <w:p w14:paraId="12FA4823"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26AE0FB4" w14:textId="77777777" w:rsidR="004674C2" w:rsidRPr="00CB1714" w:rsidRDefault="004674C2" w:rsidP="004674C2">
            <w:pPr>
              <w:rPr>
                <w:rFonts w:ascii="Lato" w:hAnsi="Lato"/>
                <w:sz w:val="22"/>
                <w:szCs w:val="22"/>
              </w:rPr>
            </w:pPr>
            <w:r w:rsidRPr="00CB1714">
              <w:rPr>
                <w:rFonts w:ascii="Lato" w:hAnsi="Lato"/>
                <w:sz w:val="22"/>
                <w:szCs w:val="22"/>
              </w:rPr>
              <w:t>•</w:t>
            </w:r>
            <w:r w:rsidRPr="00CB1714">
              <w:rPr>
                <w:rFonts w:ascii="Lato" w:hAnsi="Lato"/>
                <w:sz w:val="22"/>
                <w:szCs w:val="22"/>
              </w:rPr>
              <w:tab/>
              <w:t xml:space="preserve">the nature of the right (real, personal or other) </w:t>
            </w:r>
          </w:p>
        </w:tc>
        <w:tc>
          <w:tcPr>
            <w:tcW w:w="3188" w:type="dxa"/>
            <w:tcBorders>
              <w:top w:val="single" w:sz="4" w:space="0" w:color="auto"/>
              <w:left w:val="single" w:sz="4" w:space="0" w:color="auto"/>
              <w:bottom w:val="single" w:sz="4" w:space="0" w:color="auto"/>
              <w:right w:val="single" w:sz="4" w:space="0" w:color="auto"/>
            </w:tcBorders>
          </w:tcPr>
          <w:p w14:paraId="7E9D2D93" w14:textId="77777777" w:rsidR="004674C2" w:rsidRPr="00CB1714" w:rsidRDefault="004674C2" w:rsidP="004674C2">
            <w:pPr>
              <w:rPr>
                <w:rFonts w:ascii="Lato" w:hAnsi="Lato"/>
                <w:sz w:val="22"/>
                <w:szCs w:val="22"/>
              </w:rPr>
            </w:pPr>
          </w:p>
        </w:tc>
      </w:tr>
      <w:tr w:rsidR="004674C2" w:rsidRPr="00CB1714" w14:paraId="31CA0B80" w14:textId="77777777" w:rsidTr="00990D73">
        <w:tc>
          <w:tcPr>
            <w:tcW w:w="1316" w:type="dxa"/>
          </w:tcPr>
          <w:p w14:paraId="30B12A3F" w14:textId="77777777" w:rsidR="004674C2" w:rsidRPr="00CB1714" w:rsidRDefault="004674C2" w:rsidP="004674C2">
            <w:pPr>
              <w:rPr>
                <w:rFonts w:ascii="Lato" w:hAnsi="Lato"/>
                <w:sz w:val="22"/>
                <w:szCs w:val="22"/>
              </w:rPr>
            </w:pPr>
          </w:p>
        </w:tc>
        <w:tc>
          <w:tcPr>
            <w:tcW w:w="5891" w:type="dxa"/>
          </w:tcPr>
          <w:p w14:paraId="17AE7FFE" w14:textId="77777777" w:rsidR="004674C2" w:rsidRPr="00CB1714" w:rsidRDefault="004674C2" w:rsidP="004674C2">
            <w:pPr>
              <w:rPr>
                <w:rFonts w:ascii="Lato" w:hAnsi="Lato"/>
                <w:sz w:val="22"/>
                <w:szCs w:val="22"/>
              </w:rPr>
            </w:pPr>
            <w:r w:rsidRPr="00CB1714">
              <w:rPr>
                <w:rFonts w:ascii="Lato" w:hAnsi="Lato"/>
                <w:sz w:val="22"/>
                <w:szCs w:val="22"/>
              </w:rPr>
              <w:t>represented by the unit;</w:t>
            </w:r>
          </w:p>
        </w:tc>
        <w:tc>
          <w:tcPr>
            <w:tcW w:w="3188" w:type="dxa"/>
            <w:tcBorders>
              <w:top w:val="single" w:sz="4" w:space="0" w:color="auto"/>
              <w:bottom w:val="single" w:sz="4" w:space="0" w:color="auto"/>
            </w:tcBorders>
          </w:tcPr>
          <w:p w14:paraId="1C70E33B" w14:textId="77777777" w:rsidR="004674C2" w:rsidRPr="00CB1714" w:rsidRDefault="004674C2" w:rsidP="004674C2">
            <w:pPr>
              <w:rPr>
                <w:rFonts w:ascii="Lato" w:hAnsi="Lato"/>
                <w:sz w:val="22"/>
                <w:szCs w:val="22"/>
              </w:rPr>
            </w:pPr>
          </w:p>
        </w:tc>
      </w:tr>
      <w:tr w:rsidR="004674C2" w:rsidRPr="00CB1714" w14:paraId="67104C26" w14:textId="77777777" w:rsidTr="00990D73">
        <w:tc>
          <w:tcPr>
            <w:tcW w:w="1316" w:type="dxa"/>
          </w:tcPr>
          <w:p w14:paraId="2F2808C4"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2DE503D2" w14:textId="77777777" w:rsidR="004674C2" w:rsidRPr="00CB1714" w:rsidRDefault="004674C2" w:rsidP="004674C2">
            <w:pPr>
              <w:rPr>
                <w:rFonts w:ascii="Lato" w:hAnsi="Lato"/>
                <w:sz w:val="22"/>
                <w:szCs w:val="22"/>
              </w:rPr>
            </w:pPr>
            <w:r w:rsidRPr="00CB1714">
              <w:rPr>
                <w:rFonts w:ascii="Lato" w:hAnsi="Lato"/>
                <w:sz w:val="22"/>
                <w:szCs w:val="22"/>
              </w:rPr>
              <w:t>•</w:t>
            </w:r>
            <w:r w:rsidRPr="00CB1714">
              <w:rPr>
                <w:rFonts w:ascii="Lato" w:hAnsi="Lato"/>
                <w:sz w:val="22"/>
                <w:szCs w:val="22"/>
              </w:rPr>
              <w:tab/>
              <w:t>whether there are original securities or certificates</w:t>
            </w:r>
          </w:p>
        </w:tc>
        <w:tc>
          <w:tcPr>
            <w:tcW w:w="3188" w:type="dxa"/>
            <w:tcBorders>
              <w:top w:val="single" w:sz="4" w:space="0" w:color="auto"/>
              <w:left w:val="single" w:sz="4" w:space="0" w:color="auto"/>
              <w:bottom w:val="single" w:sz="4" w:space="0" w:color="auto"/>
              <w:right w:val="single" w:sz="4" w:space="0" w:color="auto"/>
            </w:tcBorders>
          </w:tcPr>
          <w:p w14:paraId="45D0671B" w14:textId="77777777" w:rsidR="004674C2" w:rsidRPr="00CB1714" w:rsidRDefault="004674C2" w:rsidP="004674C2">
            <w:pPr>
              <w:rPr>
                <w:rFonts w:ascii="Lato" w:hAnsi="Lato"/>
                <w:sz w:val="22"/>
                <w:szCs w:val="22"/>
              </w:rPr>
            </w:pPr>
          </w:p>
        </w:tc>
      </w:tr>
      <w:tr w:rsidR="004674C2" w:rsidRPr="00CB1714" w14:paraId="3F2955F4" w14:textId="77777777" w:rsidTr="00FB541F">
        <w:tc>
          <w:tcPr>
            <w:tcW w:w="1316" w:type="dxa"/>
          </w:tcPr>
          <w:p w14:paraId="774649BC" w14:textId="77777777" w:rsidR="004674C2" w:rsidRPr="00CB1714" w:rsidRDefault="004674C2" w:rsidP="004674C2">
            <w:pPr>
              <w:rPr>
                <w:rFonts w:ascii="Lato" w:hAnsi="Lato"/>
                <w:sz w:val="22"/>
                <w:szCs w:val="22"/>
              </w:rPr>
            </w:pPr>
          </w:p>
        </w:tc>
        <w:tc>
          <w:tcPr>
            <w:tcW w:w="5891" w:type="dxa"/>
          </w:tcPr>
          <w:p w14:paraId="5E879BC5" w14:textId="77777777" w:rsidR="004674C2" w:rsidRPr="00CB1714" w:rsidRDefault="004674C2" w:rsidP="004674C2">
            <w:pPr>
              <w:rPr>
                <w:rFonts w:ascii="Lato" w:hAnsi="Lato"/>
                <w:sz w:val="22"/>
                <w:szCs w:val="22"/>
              </w:rPr>
            </w:pPr>
            <w:r w:rsidRPr="00CB1714">
              <w:rPr>
                <w:rFonts w:ascii="Lato" w:hAnsi="Lato"/>
                <w:sz w:val="22"/>
                <w:szCs w:val="22"/>
              </w:rPr>
              <w:t xml:space="preserve">providing evidence of title;  </w:t>
            </w:r>
          </w:p>
        </w:tc>
        <w:tc>
          <w:tcPr>
            <w:tcW w:w="3188" w:type="dxa"/>
            <w:tcBorders>
              <w:top w:val="single" w:sz="4" w:space="0" w:color="auto"/>
              <w:bottom w:val="single" w:sz="4" w:space="0" w:color="auto"/>
            </w:tcBorders>
          </w:tcPr>
          <w:p w14:paraId="136FB2C1" w14:textId="77777777" w:rsidR="004674C2" w:rsidRPr="00CB1714" w:rsidRDefault="004674C2" w:rsidP="004674C2">
            <w:pPr>
              <w:rPr>
                <w:rFonts w:ascii="Lato" w:hAnsi="Lato"/>
                <w:sz w:val="22"/>
                <w:szCs w:val="22"/>
              </w:rPr>
            </w:pPr>
          </w:p>
        </w:tc>
      </w:tr>
      <w:tr w:rsidR="004674C2" w:rsidRPr="00CB1714" w14:paraId="39AFF3DC" w14:textId="77777777" w:rsidTr="00FB541F">
        <w:tc>
          <w:tcPr>
            <w:tcW w:w="1316" w:type="dxa"/>
          </w:tcPr>
          <w:p w14:paraId="2FD34231"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569F0F64" w14:textId="77777777" w:rsidR="004674C2" w:rsidRPr="00CB1714" w:rsidRDefault="004674C2" w:rsidP="004674C2">
            <w:pPr>
              <w:numPr>
                <w:ilvl w:val="0"/>
                <w:numId w:val="15"/>
              </w:numPr>
              <w:ind w:left="719" w:hanging="719"/>
              <w:rPr>
                <w:rFonts w:ascii="Lato" w:hAnsi="Lato"/>
                <w:sz w:val="22"/>
                <w:szCs w:val="22"/>
              </w:rPr>
            </w:pPr>
            <w:r w:rsidRPr="00CB1714">
              <w:rPr>
                <w:rFonts w:ascii="Lato" w:hAnsi="Lato"/>
                <w:sz w:val="22"/>
                <w:szCs w:val="22"/>
              </w:rPr>
              <w:t xml:space="preserve">state whether there is entry in a register or in an </w:t>
            </w:r>
          </w:p>
        </w:tc>
        <w:tc>
          <w:tcPr>
            <w:tcW w:w="3188" w:type="dxa"/>
            <w:tcBorders>
              <w:top w:val="single" w:sz="4" w:space="0" w:color="auto"/>
              <w:left w:val="single" w:sz="4" w:space="0" w:color="auto"/>
              <w:bottom w:val="single" w:sz="4" w:space="0" w:color="auto"/>
              <w:right w:val="single" w:sz="4" w:space="0" w:color="auto"/>
            </w:tcBorders>
          </w:tcPr>
          <w:p w14:paraId="2F1E5502" w14:textId="77777777" w:rsidR="004674C2" w:rsidRPr="00CB1714" w:rsidRDefault="004674C2" w:rsidP="004674C2">
            <w:pPr>
              <w:rPr>
                <w:rFonts w:ascii="Lato" w:hAnsi="Lato"/>
                <w:sz w:val="22"/>
                <w:szCs w:val="22"/>
              </w:rPr>
            </w:pPr>
          </w:p>
        </w:tc>
      </w:tr>
      <w:tr w:rsidR="004674C2" w:rsidRPr="00CB1714" w14:paraId="0F789109" w14:textId="77777777" w:rsidTr="00FB541F">
        <w:tc>
          <w:tcPr>
            <w:tcW w:w="1316" w:type="dxa"/>
          </w:tcPr>
          <w:p w14:paraId="2E2B195D" w14:textId="77777777" w:rsidR="004674C2" w:rsidRPr="00CB1714" w:rsidRDefault="004674C2" w:rsidP="004674C2">
            <w:pPr>
              <w:rPr>
                <w:rFonts w:ascii="Lato" w:hAnsi="Lato"/>
                <w:sz w:val="22"/>
                <w:szCs w:val="22"/>
              </w:rPr>
            </w:pPr>
          </w:p>
        </w:tc>
        <w:tc>
          <w:tcPr>
            <w:tcW w:w="5891" w:type="dxa"/>
          </w:tcPr>
          <w:p w14:paraId="4678C17A" w14:textId="77777777" w:rsidR="004674C2" w:rsidRPr="00CB1714" w:rsidRDefault="004674C2" w:rsidP="004674C2">
            <w:pPr>
              <w:ind w:left="719"/>
              <w:rPr>
                <w:rFonts w:ascii="Lato" w:hAnsi="Lato"/>
                <w:sz w:val="22"/>
                <w:szCs w:val="22"/>
              </w:rPr>
            </w:pPr>
            <w:r w:rsidRPr="00CB1714">
              <w:rPr>
                <w:rFonts w:ascii="Lato" w:hAnsi="Lato"/>
                <w:sz w:val="22"/>
                <w:szCs w:val="22"/>
              </w:rPr>
              <w:t>account,</w:t>
            </w:r>
          </w:p>
        </w:tc>
        <w:tc>
          <w:tcPr>
            <w:tcW w:w="3188" w:type="dxa"/>
            <w:tcBorders>
              <w:top w:val="single" w:sz="4" w:space="0" w:color="auto"/>
              <w:bottom w:val="single" w:sz="4" w:space="0" w:color="auto"/>
            </w:tcBorders>
          </w:tcPr>
          <w:p w14:paraId="21A3441B" w14:textId="77777777" w:rsidR="004674C2" w:rsidRPr="00CB1714" w:rsidRDefault="004674C2" w:rsidP="004674C2">
            <w:pPr>
              <w:rPr>
                <w:rFonts w:ascii="Lato" w:hAnsi="Lato"/>
                <w:sz w:val="22"/>
                <w:szCs w:val="22"/>
              </w:rPr>
            </w:pPr>
          </w:p>
        </w:tc>
      </w:tr>
      <w:tr w:rsidR="004674C2" w:rsidRPr="00CB1714" w14:paraId="651AC9C9" w14:textId="77777777" w:rsidTr="00FB541F">
        <w:tc>
          <w:tcPr>
            <w:tcW w:w="1316" w:type="dxa"/>
          </w:tcPr>
          <w:p w14:paraId="1F60B5DA"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5C2D2CC8" w14:textId="77777777" w:rsidR="004674C2" w:rsidRPr="00CB1714" w:rsidRDefault="004674C2" w:rsidP="004674C2">
            <w:pPr>
              <w:rPr>
                <w:rFonts w:ascii="Lato" w:hAnsi="Lato"/>
                <w:sz w:val="22"/>
                <w:szCs w:val="22"/>
              </w:rPr>
            </w:pPr>
            <w:r w:rsidRPr="00CB1714">
              <w:rPr>
                <w:rFonts w:ascii="Lato" w:hAnsi="Lato"/>
                <w:sz w:val="22"/>
                <w:szCs w:val="22"/>
              </w:rPr>
              <w:t>•</w:t>
            </w:r>
            <w:r w:rsidRPr="00CB1714">
              <w:rPr>
                <w:rFonts w:ascii="Lato" w:hAnsi="Lato"/>
                <w:sz w:val="22"/>
                <w:szCs w:val="22"/>
              </w:rPr>
              <w:tab/>
              <w:t>the characteristics of the units;</w:t>
            </w:r>
          </w:p>
        </w:tc>
        <w:tc>
          <w:tcPr>
            <w:tcW w:w="3188" w:type="dxa"/>
            <w:tcBorders>
              <w:top w:val="single" w:sz="4" w:space="0" w:color="auto"/>
              <w:left w:val="single" w:sz="4" w:space="0" w:color="auto"/>
              <w:bottom w:val="single" w:sz="4" w:space="0" w:color="auto"/>
              <w:right w:val="single" w:sz="4" w:space="0" w:color="auto"/>
            </w:tcBorders>
          </w:tcPr>
          <w:p w14:paraId="4C1BE486" w14:textId="77777777" w:rsidR="004674C2" w:rsidRPr="00CB1714" w:rsidRDefault="004674C2" w:rsidP="004674C2">
            <w:pPr>
              <w:rPr>
                <w:rFonts w:ascii="Lato" w:hAnsi="Lato"/>
                <w:sz w:val="22"/>
                <w:szCs w:val="22"/>
              </w:rPr>
            </w:pPr>
          </w:p>
        </w:tc>
      </w:tr>
      <w:tr w:rsidR="004674C2" w:rsidRPr="00CB1714" w14:paraId="7D823B25" w14:textId="77777777" w:rsidTr="00990D73">
        <w:tc>
          <w:tcPr>
            <w:tcW w:w="1316" w:type="dxa"/>
          </w:tcPr>
          <w:p w14:paraId="4FBC0D71"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7C5C97B1" w14:textId="77777777" w:rsidR="004674C2" w:rsidRPr="00CB1714" w:rsidRDefault="004674C2" w:rsidP="004674C2">
            <w:pPr>
              <w:numPr>
                <w:ilvl w:val="0"/>
                <w:numId w:val="15"/>
              </w:numPr>
              <w:ind w:hanging="720"/>
              <w:rPr>
                <w:rFonts w:ascii="Lato" w:hAnsi="Lato"/>
                <w:sz w:val="22"/>
                <w:szCs w:val="22"/>
              </w:rPr>
            </w:pPr>
            <w:r w:rsidRPr="00CB1714">
              <w:rPr>
                <w:rFonts w:ascii="Lato" w:hAnsi="Lato"/>
                <w:sz w:val="22"/>
                <w:szCs w:val="22"/>
              </w:rPr>
              <w:t xml:space="preserve">state that they are registered and </w:t>
            </w:r>
          </w:p>
        </w:tc>
        <w:tc>
          <w:tcPr>
            <w:tcW w:w="3188" w:type="dxa"/>
            <w:tcBorders>
              <w:top w:val="single" w:sz="4" w:space="0" w:color="auto"/>
              <w:left w:val="single" w:sz="4" w:space="0" w:color="auto"/>
              <w:bottom w:val="single" w:sz="4" w:space="0" w:color="auto"/>
              <w:right w:val="single" w:sz="4" w:space="0" w:color="auto"/>
            </w:tcBorders>
          </w:tcPr>
          <w:p w14:paraId="073453DF" w14:textId="77777777" w:rsidR="004674C2" w:rsidRPr="00CB1714" w:rsidRDefault="004674C2" w:rsidP="004674C2">
            <w:pPr>
              <w:rPr>
                <w:rFonts w:ascii="Lato" w:hAnsi="Lato"/>
                <w:sz w:val="22"/>
                <w:szCs w:val="22"/>
              </w:rPr>
            </w:pPr>
          </w:p>
        </w:tc>
      </w:tr>
      <w:tr w:rsidR="004674C2" w:rsidRPr="00CB1714" w14:paraId="15103BD5" w14:textId="77777777" w:rsidTr="00990D73">
        <w:tc>
          <w:tcPr>
            <w:tcW w:w="1316" w:type="dxa"/>
          </w:tcPr>
          <w:p w14:paraId="0823EFEF"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65B8501B" w14:textId="77777777" w:rsidR="004674C2" w:rsidRPr="00CB1714" w:rsidDel="00DE7833" w:rsidRDefault="004674C2" w:rsidP="004674C2">
            <w:pPr>
              <w:numPr>
                <w:ilvl w:val="0"/>
                <w:numId w:val="15"/>
              </w:numPr>
              <w:ind w:hanging="720"/>
              <w:rPr>
                <w:rFonts w:ascii="Lato" w:hAnsi="Lato"/>
                <w:sz w:val="22"/>
                <w:szCs w:val="22"/>
              </w:rPr>
            </w:pPr>
            <w:r w:rsidRPr="00CB1714">
              <w:rPr>
                <w:rFonts w:ascii="Lato" w:hAnsi="Lato"/>
                <w:sz w:val="22"/>
                <w:szCs w:val="22"/>
              </w:rPr>
              <w:t>give an indication of any denominations which</w:t>
            </w:r>
          </w:p>
        </w:tc>
        <w:tc>
          <w:tcPr>
            <w:tcW w:w="3188" w:type="dxa"/>
            <w:tcBorders>
              <w:top w:val="single" w:sz="4" w:space="0" w:color="auto"/>
              <w:left w:val="single" w:sz="4" w:space="0" w:color="auto"/>
              <w:bottom w:val="single" w:sz="4" w:space="0" w:color="auto"/>
              <w:right w:val="single" w:sz="4" w:space="0" w:color="auto"/>
            </w:tcBorders>
          </w:tcPr>
          <w:p w14:paraId="6AE6030F" w14:textId="77777777" w:rsidR="004674C2" w:rsidRPr="00CB1714" w:rsidRDefault="004674C2" w:rsidP="004674C2">
            <w:pPr>
              <w:rPr>
                <w:rFonts w:ascii="Lato" w:hAnsi="Lato"/>
                <w:sz w:val="22"/>
                <w:szCs w:val="22"/>
              </w:rPr>
            </w:pPr>
          </w:p>
        </w:tc>
      </w:tr>
      <w:tr w:rsidR="004674C2" w:rsidRPr="00CB1714" w14:paraId="74476023" w14:textId="77777777" w:rsidTr="00990D73">
        <w:tc>
          <w:tcPr>
            <w:tcW w:w="1316" w:type="dxa"/>
          </w:tcPr>
          <w:p w14:paraId="2AD404B7" w14:textId="77777777" w:rsidR="004674C2" w:rsidRPr="00CB1714" w:rsidRDefault="004674C2" w:rsidP="004674C2">
            <w:pPr>
              <w:rPr>
                <w:rFonts w:ascii="Lato" w:hAnsi="Lato"/>
                <w:sz w:val="22"/>
                <w:szCs w:val="22"/>
              </w:rPr>
            </w:pPr>
          </w:p>
        </w:tc>
        <w:tc>
          <w:tcPr>
            <w:tcW w:w="5891" w:type="dxa"/>
          </w:tcPr>
          <w:p w14:paraId="22C5AC03" w14:textId="77777777" w:rsidR="004674C2" w:rsidRPr="00CB1714" w:rsidRDefault="004674C2" w:rsidP="004674C2">
            <w:pPr>
              <w:ind w:left="719"/>
              <w:rPr>
                <w:rFonts w:ascii="Lato" w:hAnsi="Lato"/>
                <w:sz w:val="22"/>
                <w:szCs w:val="22"/>
              </w:rPr>
            </w:pPr>
            <w:r w:rsidRPr="00CB1714">
              <w:rPr>
                <w:rFonts w:ascii="Lato" w:hAnsi="Lato"/>
                <w:sz w:val="22"/>
                <w:szCs w:val="22"/>
              </w:rPr>
              <w:t>may be provided for;</w:t>
            </w:r>
          </w:p>
        </w:tc>
        <w:tc>
          <w:tcPr>
            <w:tcW w:w="3188" w:type="dxa"/>
            <w:tcBorders>
              <w:top w:val="single" w:sz="4" w:space="0" w:color="auto"/>
              <w:bottom w:val="single" w:sz="4" w:space="0" w:color="auto"/>
            </w:tcBorders>
          </w:tcPr>
          <w:p w14:paraId="1464A62A" w14:textId="77777777" w:rsidR="004674C2" w:rsidRPr="00CB1714" w:rsidRDefault="004674C2" w:rsidP="004674C2">
            <w:pPr>
              <w:rPr>
                <w:rFonts w:ascii="Lato" w:hAnsi="Lato"/>
                <w:sz w:val="22"/>
                <w:szCs w:val="22"/>
              </w:rPr>
            </w:pPr>
          </w:p>
        </w:tc>
      </w:tr>
      <w:tr w:rsidR="004674C2" w:rsidRPr="00CB1714" w14:paraId="76ECC683" w14:textId="77777777" w:rsidTr="00990D73">
        <w:tc>
          <w:tcPr>
            <w:tcW w:w="1316" w:type="dxa"/>
          </w:tcPr>
          <w:p w14:paraId="71401878"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42F7BA3D" w14:textId="77777777" w:rsidR="004674C2" w:rsidRPr="00CB1714" w:rsidRDefault="004674C2" w:rsidP="004674C2">
            <w:pPr>
              <w:rPr>
                <w:rFonts w:ascii="Lato" w:hAnsi="Lato"/>
                <w:sz w:val="22"/>
                <w:szCs w:val="22"/>
              </w:rPr>
            </w:pPr>
            <w:r w:rsidRPr="00CB1714">
              <w:rPr>
                <w:rFonts w:ascii="Lato" w:hAnsi="Lato"/>
                <w:sz w:val="22"/>
                <w:szCs w:val="22"/>
              </w:rPr>
              <w:t>•</w:t>
            </w:r>
            <w:r w:rsidRPr="00CB1714">
              <w:rPr>
                <w:rFonts w:ascii="Lato" w:hAnsi="Lato"/>
                <w:sz w:val="22"/>
                <w:szCs w:val="22"/>
              </w:rPr>
              <w:tab/>
              <w:t>an indication of unitholders’ voting rights; and</w:t>
            </w:r>
          </w:p>
        </w:tc>
        <w:tc>
          <w:tcPr>
            <w:tcW w:w="3188" w:type="dxa"/>
            <w:tcBorders>
              <w:top w:val="single" w:sz="4" w:space="0" w:color="auto"/>
              <w:left w:val="single" w:sz="4" w:space="0" w:color="auto"/>
              <w:bottom w:val="single" w:sz="4" w:space="0" w:color="auto"/>
              <w:right w:val="single" w:sz="4" w:space="0" w:color="auto"/>
            </w:tcBorders>
          </w:tcPr>
          <w:p w14:paraId="34B09FBC" w14:textId="77777777" w:rsidR="004674C2" w:rsidRPr="00CB1714" w:rsidRDefault="004674C2" w:rsidP="004674C2">
            <w:pPr>
              <w:rPr>
                <w:rFonts w:ascii="Lato" w:hAnsi="Lato"/>
                <w:sz w:val="22"/>
                <w:szCs w:val="22"/>
              </w:rPr>
            </w:pPr>
          </w:p>
        </w:tc>
      </w:tr>
      <w:tr w:rsidR="004674C2" w:rsidRPr="00CB1714" w14:paraId="00BD711F" w14:textId="77777777" w:rsidTr="00990D73">
        <w:tc>
          <w:tcPr>
            <w:tcW w:w="1316" w:type="dxa"/>
          </w:tcPr>
          <w:p w14:paraId="748879E9"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32B9D642" w14:textId="77777777" w:rsidR="004674C2" w:rsidRPr="00CB1714" w:rsidRDefault="004674C2" w:rsidP="004674C2">
            <w:pPr>
              <w:rPr>
                <w:rFonts w:ascii="Lato" w:hAnsi="Lato"/>
                <w:sz w:val="22"/>
                <w:szCs w:val="22"/>
              </w:rPr>
            </w:pPr>
            <w:r w:rsidRPr="00CB1714">
              <w:rPr>
                <w:rFonts w:ascii="Lato" w:hAnsi="Lato"/>
                <w:sz w:val="22"/>
                <w:szCs w:val="22"/>
              </w:rPr>
              <w:t>•</w:t>
            </w:r>
            <w:r w:rsidRPr="00CB1714">
              <w:rPr>
                <w:rFonts w:ascii="Lato" w:hAnsi="Lato"/>
                <w:sz w:val="22"/>
                <w:szCs w:val="22"/>
              </w:rPr>
              <w:tab/>
              <w:t xml:space="preserve">the circumstances in which winding-up of the </w:t>
            </w:r>
          </w:p>
        </w:tc>
        <w:tc>
          <w:tcPr>
            <w:tcW w:w="3188" w:type="dxa"/>
            <w:tcBorders>
              <w:top w:val="single" w:sz="4" w:space="0" w:color="auto"/>
              <w:left w:val="single" w:sz="4" w:space="0" w:color="auto"/>
              <w:bottom w:val="single" w:sz="4" w:space="0" w:color="auto"/>
              <w:right w:val="single" w:sz="4" w:space="0" w:color="auto"/>
            </w:tcBorders>
          </w:tcPr>
          <w:p w14:paraId="1E5D6A23" w14:textId="77777777" w:rsidR="004674C2" w:rsidRPr="00CB1714" w:rsidRDefault="004674C2" w:rsidP="004674C2">
            <w:pPr>
              <w:rPr>
                <w:rFonts w:ascii="Lato" w:hAnsi="Lato"/>
                <w:sz w:val="22"/>
                <w:szCs w:val="22"/>
              </w:rPr>
            </w:pPr>
          </w:p>
        </w:tc>
      </w:tr>
      <w:tr w:rsidR="004674C2" w:rsidRPr="00CB1714" w14:paraId="1D580FA9" w14:textId="77777777" w:rsidTr="00990D73">
        <w:tc>
          <w:tcPr>
            <w:tcW w:w="1316" w:type="dxa"/>
          </w:tcPr>
          <w:p w14:paraId="7EA972C5" w14:textId="77777777" w:rsidR="004674C2" w:rsidRPr="00CB1714" w:rsidRDefault="004674C2" w:rsidP="004674C2">
            <w:pPr>
              <w:rPr>
                <w:rFonts w:ascii="Lato" w:hAnsi="Lato"/>
                <w:sz w:val="22"/>
                <w:szCs w:val="22"/>
              </w:rPr>
            </w:pPr>
          </w:p>
        </w:tc>
        <w:tc>
          <w:tcPr>
            <w:tcW w:w="5891" w:type="dxa"/>
          </w:tcPr>
          <w:p w14:paraId="45A4FED5" w14:textId="77777777" w:rsidR="004674C2" w:rsidRPr="00CB1714" w:rsidRDefault="004674C2" w:rsidP="004674C2">
            <w:pPr>
              <w:ind w:left="719"/>
              <w:rPr>
                <w:rFonts w:ascii="Lato" w:hAnsi="Lato"/>
                <w:sz w:val="22"/>
                <w:szCs w:val="22"/>
              </w:rPr>
            </w:pPr>
            <w:r w:rsidRPr="00CB1714">
              <w:rPr>
                <w:rFonts w:ascii="Lato" w:hAnsi="Lato"/>
                <w:sz w:val="22"/>
                <w:szCs w:val="22"/>
              </w:rPr>
              <w:t>Qualifying Investor AIF can be decided on and winding-up procedure, in particular as regards the rights of unitholders</w:t>
            </w:r>
          </w:p>
        </w:tc>
        <w:tc>
          <w:tcPr>
            <w:tcW w:w="3188" w:type="dxa"/>
            <w:tcBorders>
              <w:top w:val="single" w:sz="4" w:space="0" w:color="auto"/>
            </w:tcBorders>
          </w:tcPr>
          <w:p w14:paraId="65D0FBC8" w14:textId="77777777" w:rsidR="004674C2" w:rsidRPr="00CB1714" w:rsidRDefault="004674C2" w:rsidP="004674C2">
            <w:pPr>
              <w:rPr>
                <w:rFonts w:ascii="Lato" w:hAnsi="Lato"/>
                <w:sz w:val="22"/>
                <w:szCs w:val="22"/>
              </w:rPr>
            </w:pPr>
          </w:p>
        </w:tc>
      </w:tr>
      <w:tr w:rsidR="004674C2" w:rsidRPr="00CB1714" w14:paraId="39E6A11F" w14:textId="77777777" w:rsidTr="00990D73">
        <w:tc>
          <w:tcPr>
            <w:tcW w:w="1316" w:type="dxa"/>
          </w:tcPr>
          <w:p w14:paraId="565D7E5D" w14:textId="77777777" w:rsidR="004674C2" w:rsidRPr="00CB1714" w:rsidRDefault="004674C2" w:rsidP="004674C2">
            <w:pPr>
              <w:rPr>
                <w:rFonts w:ascii="Lato" w:hAnsi="Lato"/>
                <w:sz w:val="22"/>
                <w:szCs w:val="22"/>
              </w:rPr>
            </w:pPr>
          </w:p>
        </w:tc>
        <w:tc>
          <w:tcPr>
            <w:tcW w:w="5891" w:type="dxa"/>
          </w:tcPr>
          <w:p w14:paraId="5BC5A9EC" w14:textId="77777777" w:rsidR="004674C2" w:rsidRPr="00CB1714" w:rsidRDefault="004674C2" w:rsidP="004674C2">
            <w:pPr>
              <w:rPr>
                <w:rFonts w:ascii="Lato" w:hAnsi="Lato"/>
                <w:sz w:val="22"/>
                <w:szCs w:val="22"/>
              </w:rPr>
            </w:pPr>
          </w:p>
        </w:tc>
        <w:tc>
          <w:tcPr>
            <w:tcW w:w="3188" w:type="dxa"/>
          </w:tcPr>
          <w:p w14:paraId="4914B167" w14:textId="77777777" w:rsidR="004674C2" w:rsidRPr="00CB1714" w:rsidRDefault="004674C2" w:rsidP="004674C2">
            <w:pPr>
              <w:rPr>
                <w:rFonts w:ascii="Lato" w:hAnsi="Lato"/>
                <w:sz w:val="22"/>
                <w:szCs w:val="22"/>
              </w:rPr>
            </w:pPr>
          </w:p>
        </w:tc>
      </w:tr>
      <w:tr w:rsidR="004674C2" w:rsidRPr="00CB1714" w14:paraId="06638517" w14:textId="77777777" w:rsidTr="00990D73">
        <w:tc>
          <w:tcPr>
            <w:tcW w:w="1316" w:type="dxa"/>
          </w:tcPr>
          <w:p w14:paraId="5FC000E5" w14:textId="77777777" w:rsidR="004674C2" w:rsidRPr="00CB1714" w:rsidRDefault="004674C2" w:rsidP="004674C2">
            <w:pPr>
              <w:rPr>
                <w:rFonts w:ascii="Lato" w:hAnsi="Lato"/>
                <w:sz w:val="22"/>
                <w:szCs w:val="22"/>
              </w:rPr>
            </w:pPr>
            <w:r w:rsidRPr="00CB1714">
              <w:rPr>
                <w:rFonts w:ascii="Lato" w:hAnsi="Lato"/>
                <w:sz w:val="22"/>
                <w:szCs w:val="22"/>
              </w:rPr>
              <w:t>2.12.6</w:t>
            </w:r>
          </w:p>
        </w:tc>
        <w:tc>
          <w:tcPr>
            <w:tcW w:w="5891" w:type="dxa"/>
            <w:tcBorders>
              <w:right w:val="single" w:sz="4" w:space="0" w:color="auto"/>
            </w:tcBorders>
          </w:tcPr>
          <w:p w14:paraId="63EF3AD7" w14:textId="77777777" w:rsidR="004674C2" w:rsidRPr="00CB1714" w:rsidRDefault="004674C2" w:rsidP="004674C2">
            <w:pPr>
              <w:rPr>
                <w:rFonts w:ascii="Lato" w:hAnsi="Lato"/>
                <w:sz w:val="22"/>
                <w:szCs w:val="22"/>
              </w:rPr>
            </w:pPr>
            <w:r w:rsidRPr="00CB1714">
              <w:rPr>
                <w:rFonts w:ascii="Lato" w:hAnsi="Lato"/>
                <w:sz w:val="22"/>
                <w:szCs w:val="22"/>
              </w:rPr>
              <w:t xml:space="preserve">Where the Qualifying Investor AIF proposes to issue partly </w:t>
            </w:r>
          </w:p>
        </w:tc>
        <w:tc>
          <w:tcPr>
            <w:tcW w:w="3188" w:type="dxa"/>
            <w:tcBorders>
              <w:top w:val="single" w:sz="4" w:space="0" w:color="auto"/>
              <w:left w:val="single" w:sz="4" w:space="0" w:color="auto"/>
              <w:bottom w:val="single" w:sz="4" w:space="0" w:color="auto"/>
              <w:right w:val="single" w:sz="4" w:space="0" w:color="auto"/>
            </w:tcBorders>
          </w:tcPr>
          <w:p w14:paraId="6BB1284A" w14:textId="77777777" w:rsidR="004674C2" w:rsidRPr="00CB1714" w:rsidRDefault="004674C2" w:rsidP="004674C2">
            <w:pPr>
              <w:rPr>
                <w:rFonts w:ascii="Lato" w:hAnsi="Lato"/>
                <w:sz w:val="22"/>
                <w:szCs w:val="22"/>
              </w:rPr>
            </w:pPr>
          </w:p>
        </w:tc>
      </w:tr>
      <w:tr w:rsidR="004674C2" w:rsidRPr="00CB1714" w14:paraId="6E671C9D" w14:textId="77777777" w:rsidTr="00990D73">
        <w:tc>
          <w:tcPr>
            <w:tcW w:w="1316" w:type="dxa"/>
          </w:tcPr>
          <w:p w14:paraId="32F56D8B" w14:textId="77777777" w:rsidR="004674C2" w:rsidRPr="00CB1714" w:rsidRDefault="004674C2" w:rsidP="004674C2">
            <w:pPr>
              <w:rPr>
                <w:rFonts w:ascii="Lato" w:hAnsi="Lato"/>
                <w:sz w:val="22"/>
                <w:szCs w:val="22"/>
              </w:rPr>
            </w:pPr>
          </w:p>
        </w:tc>
        <w:tc>
          <w:tcPr>
            <w:tcW w:w="5891" w:type="dxa"/>
          </w:tcPr>
          <w:p w14:paraId="0C782B17" w14:textId="77777777" w:rsidR="004674C2" w:rsidRPr="00CB1714" w:rsidRDefault="004674C2" w:rsidP="004674C2">
            <w:pPr>
              <w:rPr>
                <w:rFonts w:ascii="Lato" w:hAnsi="Lato"/>
                <w:sz w:val="22"/>
                <w:szCs w:val="22"/>
              </w:rPr>
            </w:pPr>
            <w:r w:rsidRPr="00F72ED7">
              <w:rPr>
                <w:rFonts w:ascii="Lato" w:hAnsi="Lato"/>
                <w:sz w:val="22"/>
                <w:szCs w:val="22"/>
              </w:rPr>
              <w:t>paid</w:t>
            </w:r>
            <w:r w:rsidRPr="00CB1714">
              <w:rPr>
                <w:rFonts w:ascii="Lato" w:hAnsi="Lato"/>
                <w:sz w:val="22"/>
                <w:szCs w:val="22"/>
              </w:rPr>
              <w:t xml:space="preserve"> units disclose the nature of the commitment, which </w:t>
            </w:r>
          </w:p>
        </w:tc>
        <w:tc>
          <w:tcPr>
            <w:tcW w:w="3188" w:type="dxa"/>
            <w:tcBorders>
              <w:top w:val="single" w:sz="4" w:space="0" w:color="auto"/>
            </w:tcBorders>
          </w:tcPr>
          <w:p w14:paraId="7919D0AB" w14:textId="77777777" w:rsidR="004674C2" w:rsidRPr="00CB1714" w:rsidRDefault="004674C2" w:rsidP="004674C2">
            <w:pPr>
              <w:rPr>
                <w:rFonts w:ascii="Lato" w:hAnsi="Lato"/>
                <w:sz w:val="22"/>
                <w:szCs w:val="22"/>
              </w:rPr>
            </w:pPr>
          </w:p>
        </w:tc>
      </w:tr>
      <w:tr w:rsidR="004674C2" w:rsidRPr="00CB1714" w14:paraId="61ED4F4D" w14:textId="77777777" w:rsidTr="00990D73">
        <w:tc>
          <w:tcPr>
            <w:tcW w:w="1316" w:type="dxa"/>
          </w:tcPr>
          <w:p w14:paraId="04C1B3D7" w14:textId="77777777" w:rsidR="004674C2" w:rsidRPr="00CB1714" w:rsidRDefault="004674C2" w:rsidP="004674C2">
            <w:pPr>
              <w:rPr>
                <w:rFonts w:ascii="Lato" w:hAnsi="Lato"/>
                <w:sz w:val="22"/>
                <w:szCs w:val="22"/>
              </w:rPr>
            </w:pPr>
          </w:p>
        </w:tc>
        <w:tc>
          <w:tcPr>
            <w:tcW w:w="5891" w:type="dxa"/>
          </w:tcPr>
          <w:p w14:paraId="161CFBE0" w14:textId="77777777" w:rsidR="004674C2" w:rsidRPr="00CB1714" w:rsidRDefault="004674C2" w:rsidP="004674C2">
            <w:pPr>
              <w:rPr>
                <w:rFonts w:ascii="Lato" w:hAnsi="Lato"/>
                <w:sz w:val="22"/>
                <w:szCs w:val="22"/>
              </w:rPr>
            </w:pPr>
            <w:r w:rsidRPr="00F72ED7">
              <w:rPr>
                <w:rFonts w:ascii="Lato" w:hAnsi="Lato"/>
                <w:sz w:val="22"/>
                <w:szCs w:val="22"/>
              </w:rPr>
              <w:t>unitholders</w:t>
            </w:r>
            <w:r w:rsidRPr="00CB1714">
              <w:rPr>
                <w:rFonts w:ascii="Lato" w:hAnsi="Lato"/>
                <w:sz w:val="22"/>
                <w:szCs w:val="22"/>
              </w:rPr>
              <w:t xml:space="preserve"> will enter into</w:t>
            </w:r>
          </w:p>
        </w:tc>
        <w:tc>
          <w:tcPr>
            <w:tcW w:w="3188" w:type="dxa"/>
          </w:tcPr>
          <w:p w14:paraId="70F77FC3" w14:textId="77777777" w:rsidR="004674C2" w:rsidRPr="00CB1714" w:rsidRDefault="004674C2" w:rsidP="004674C2">
            <w:pPr>
              <w:rPr>
                <w:rFonts w:ascii="Lato" w:hAnsi="Lato"/>
                <w:sz w:val="22"/>
                <w:szCs w:val="22"/>
              </w:rPr>
            </w:pPr>
          </w:p>
        </w:tc>
      </w:tr>
      <w:tr w:rsidR="004674C2" w:rsidRPr="00CB1714" w14:paraId="3E822C27" w14:textId="77777777" w:rsidTr="00990D73">
        <w:tc>
          <w:tcPr>
            <w:tcW w:w="1316" w:type="dxa"/>
          </w:tcPr>
          <w:p w14:paraId="680839BA" w14:textId="77777777" w:rsidR="004674C2" w:rsidRPr="00CB1714" w:rsidRDefault="004674C2" w:rsidP="004674C2">
            <w:pPr>
              <w:rPr>
                <w:rFonts w:ascii="Lato" w:hAnsi="Lato"/>
                <w:sz w:val="22"/>
                <w:szCs w:val="22"/>
              </w:rPr>
            </w:pPr>
          </w:p>
        </w:tc>
        <w:tc>
          <w:tcPr>
            <w:tcW w:w="5891" w:type="dxa"/>
          </w:tcPr>
          <w:p w14:paraId="1E9B7EF9" w14:textId="77777777" w:rsidR="004674C2" w:rsidRPr="00CB1714" w:rsidRDefault="004674C2" w:rsidP="004674C2">
            <w:pPr>
              <w:rPr>
                <w:rFonts w:ascii="Lato" w:hAnsi="Lato"/>
                <w:sz w:val="22"/>
                <w:szCs w:val="22"/>
              </w:rPr>
            </w:pPr>
          </w:p>
        </w:tc>
        <w:tc>
          <w:tcPr>
            <w:tcW w:w="3188" w:type="dxa"/>
          </w:tcPr>
          <w:p w14:paraId="4E62C73C" w14:textId="77777777" w:rsidR="004674C2" w:rsidRPr="00CB1714" w:rsidRDefault="004674C2" w:rsidP="004674C2">
            <w:pPr>
              <w:rPr>
                <w:rFonts w:ascii="Lato" w:hAnsi="Lato"/>
                <w:sz w:val="22"/>
                <w:szCs w:val="22"/>
              </w:rPr>
            </w:pPr>
          </w:p>
        </w:tc>
      </w:tr>
      <w:tr w:rsidR="004674C2" w:rsidRPr="00CB1714" w14:paraId="3C2D02A3" w14:textId="77777777" w:rsidTr="00990D73">
        <w:tc>
          <w:tcPr>
            <w:tcW w:w="1316" w:type="dxa"/>
          </w:tcPr>
          <w:p w14:paraId="22E4A877" w14:textId="77777777" w:rsidR="004674C2" w:rsidRPr="00CB1714" w:rsidRDefault="004674C2" w:rsidP="004674C2">
            <w:pPr>
              <w:rPr>
                <w:rFonts w:ascii="Lato" w:hAnsi="Lato"/>
                <w:b/>
                <w:sz w:val="22"/>
                <w:szCs w:val="22"/>
              </w:rPr>
            </w:pPr>
            <w:r w:rsidRPr="00CB1714">
              <w:rPr>
                <w:rFonts w:ascii="Lato" w:hAnsi="Lato"/>
                <w:b/>
                <w:sz w:val="22"/>
                <w:szCs w:val="22"/>
              </w:rPr>
              <w:lastRenderedPageBreak/>
              <w:t>2.13</w:t>
            </w:r>
          </w:p>
        </w:tc>
        <w:tc>
          <w:tcPr>
            <w:tcW w:w="5891" w:type="dxa"/>
          </w:tcPr>
          <w:p w14:paraId="391F9DF8" w14:textId="77777777" w:rsidR="004674C2" w:rsidRPr="00CB1714" w:rsidRDefault="004674C2" w:rsidP="004674C2">
            <w:pPr>
              <w:pStyle w:val="Heading1"/>
              <w:spacing w:before="0" w:after="0" w:line="240" w:lineRule="auto"/>
              <w:rPr>
                <w:rFonts w:ascii="Lato" w:hAnsi="Lato"/>
                <w:b/>
                <w:color w:val="auto"/>
                <w:sz w:val="22"/>
                <w:szCs w:val="22"/>
              </w:rPr>
            </w:pPr>
            <w:r w:rsidRPr="00CB1714">
              <w:rPr>
                <w:rFonts w:ascii="Lato" w:hAnsi="Lato"/>
                <w:b/>
                <w:color w:val="auto"/>
                <w:sz w:val="22"/>
                <w:szCs w:val="22"/>
              </w:rPr>
              <w:t>Redemptions</w:t>
            </w:r>
          </w:p>
        </w:tc>
        <w:tc>
          <w:tcPr>
            <w:tcW w:w="3188" w:type="dxa"/>
            <w:tcBorders>
              <w:bottom w:val="single" w:sz="4" w:space="0" w:color="auto"/>
            </w:tcBorders>
          </w:tcPr>
          <w:p w14:paraId="0CFC0A8A" w14:textId="77777777" w:rsidR="004674C2" w:rsidRPr="00CB1714" w:rsidRDefault="004674C2" w:rsidP="004674C2">
            <w:pPr>
              <w:rPr>
                <w:rFonts w:ascii="Lato" w:hAnsi="Lato"/>
                <w:sz w:val="22"/>
                <w:szCs w:val="22"/>
              </w:rPr>
            </w:pPr>
          </w:p>
        </w:tc>
      </w:tr>
      <w:tr w:rsidR="004674C2" w:rsidRPr="00CB1714" w14:paraId="68DD1555" w14:textId="77777777" w:rsidTr="00990D73">
        <w:trPr>
          <w:cantSplit/>
          <w:trHeight w:val="255"/>
        </w:trPr>
        <w:tc>
          <w:tcPr>
            <w:tcW w:w="1316" w:type="dxa"/>
            <w:vMerge w:val="restart"/>
          </w:tcPr>
          <w:p w14:paraId="25CAEB07" w14:textId="77777777" w:rsidR="004674C2" w:rsidRPr="00CB1714" w:rsidRDefault="004674C2" w:rsidP="004674C2">
            <w:pPr>
              <w:rPr>
                <w:rFonts w:ascii="Lato" w:hAnsi="Lato"/>
                <w:sz w:val="22"/>
                <w:szCs w:val="22"/>
              </w:rPr>
            </w:pPr>
            <w:r w:rsidRPr="00CB1714">
              <w:rPr>
                <w:rFonts w:ascii="Lato" w:hAnsi="Lato"/>
                <w:sz w:val="22"/>
                <w:szCs w:val="22"/>
              </w:rPr>
              <w:t>2.13.1</w:t>
            </w:r>
          </w:p>
        </w:tc>
        <w:tc>
          <w:tcPr>
            <w:tcW w:w="5891" w:type="dxa"/>
            <w:vMerge w:val="restart"/>
            <w:tcBorders>
              <w:right w:val="single" w:sz="4" w:space="0" w:color="auto"/>
            </w:tcBorders>
          </w:tcPr>
          <w:p w14:paraId="74A72DC7" w14:textId="77777777" w:rsidR="004674C2" w:rsidRPr="00CB1714" w:rsidRDefault="004674C2" w:rsidP="004674C2">
            <w:pPr>
              <w:rPr>
                <w:rFonts w:ascii="Lato" w:hAnsi="Lato"/>
                <w:sz w:val="22"/>
                <w:szCs w:val="22"/>
              </w:rPr>
            </w:pPr>
            <w:r w:rsidRPr="00CB1714">
              <w:rPr>
                <w:rFonts w:ascii="Lato" w:hAnsi="Lato"/>
                <w:sz w:val="22"/>
                <w:szCs w:val="22"/>
              </w:rPr>
              <w:t>Provide that units will be redeemed at NAV per unit (less duties and charges – if applicable);</w:t>
            </w:r>
          </w:p>
        </w:tc>
        <w:tc>
          <w:tcPr>
            <w:tcW w:w="3188" w:type="dxa"/>
            <w:tcBorders>
              <w:top w:val="single" w:sz="4" w:space="0" w:color="auto"/>
              <w:left w:val="single" w:sz="4" w:space="0" w:color="auto"/>
              <w:bottom w:val="single" w:sz="4" w:space="0" w:color="auto"/>
              <w:right w:val="single" w:sz="4" w:space="0" w:color="auto"/>
            </w:tcBorders>
          </w:tcPr>
          <w:p w14:paraId="4C941B03" w14:textId="77777777" w:rsidR="004674C2" w:rsidRPr="00CB1714" w:rsidRDefault="004674C2" w:rsidP="004674C2">
            <w:pPr>
              <w:rPr>
                <w:rFonts w:ascii="Lato" w:hAnsi="Lato"/>
                <w:sz w:val="22"/>
                <w:szCs w:val="22"/>
              </w:rPr>
            </w:pPr>
          </w:p>
        </w:tc>
      </w:tr>
      <w:tr w:rsidR="004674C2" w:rsidRPr="00CB1714" w14:paraId="308AD588" w14:textId="77777777" w:rsidTr="00990D73">
        <w:trPr>
          <w:cantSplit/>
          <w:trHeight w:val="254"/>
        </w:trPr>
        <w:tc>
          <w:tcPr>
            <w:tcW w:w="1316" w:type="dxa"/>
            <w:vMerge/>
          </w:tcPr>
          <w:p w14:paraId="04885684" w14:textId="77777777" w:rsidR="004674C2" w:rsidRPr="00CB1714" w:rsidRDefault="004674C2" w:rsidP="004674C2">
            <w:pPr>
              <w:rPr>
                <w:rFonts w:ascii="Lato" w:hAnsi="Lato"/>
                <w:sz w:val="22"/>
                <w:szCs w:val="22"/>
              </w:rPr>
            </w:pPr>
          </w:p>
        </w:tc>
        <w:tc>
          <w:tcPr>
            <w:tcW w:w="5891" w:type="dxa"/>
            <w:vMerge/>
          </w:tcPr>
          <w:p w14:paraId="7D6BCA5C"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2B3F2568" w14:textId="77777777" w:rsidR="004674C2" w:rsidRPr="00CB1714" w:rsidRDefault="004674C2" w:rsidP="004674C2">
            <w:pPr>
              <w:rPr>
                <w:rFonts w:ascii="Lato" w:hAnsi="Lato"/>
                <w:sz w:val="22"/>
                <w:szCs w:val="22"/>
              </w:rPr>
            </w:pPr>
          </w:p>
        </w:tc>
      </w:tr>
      <w:tr w:rsidR="004674C2" w:rsidRPr="00CB1714" w14:paraId="187926E6" w14:textId="77777777" w:rsidTr="00990D73">
        <w:tc>
          <w:tcPr>
            <w:tcW w:w="1316" w:type="dxa"/>
          </w:tcPr>
          <w:p w14:paraId="592E9893" w14:textId="77777777" w:rsidR="004674C2" w:rsidRPr="00CB1714" w:rsidRDefault="004674C2" w:rsidP="004674C2">
            <w:pPr>
              <w:rPr>
                <w:rFonts w:ascii="Lato" w:hAnsi="Lato"/>
                <w:sz w:val="22"/>
                <w:szCs w:val="22"/>
              </w:rPr>
            </w:pPr>
          </w:p>
        </w:tc>
        <w:tc>
          <w:tcPr>
            <w:tcW w:w="5891" w:type="dxa"/>
          </w:tcPr>
          <w:p w14:paraId="6BA014E5"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774E78B1" w14:textId="77777777" w:rsidR="004674C2" w:rsidRPr="00CB1714" w:rsidRDefault="004674C2" w:rsidP="004674C2">
            <w:pPr>
              <w:rPr>
                <w:rFonts w:ascii="Lato" w:hAnsi="Lato"/>
                <w:sz w:val="22"/>
                <w:szCs w:val="22"/>
              </w:rPr>
            </w:pPr>
          </w:p>
        </w:tc>
      </w:tr>
      <w:tr w:rsidR="004674C2" w:rsidRPr="00CB1714" w14:paraId="68CC665C" w14:textId="77777777" w:rsidTr="00990D73">
        <w:tc>
          <w:tcPr>
            <w:tcW w:w="1316" w:type="dxa"/>
          </w:tcPr>
          <w:p w14:paraId="7AD5FE1F" w14:textId="77777777" w:rsidR="004674C2" w:rsidRPr="00CB1714" w:rsidRDefault="004674C2" w:rsidP="004674C2">
            <w:pPr>
              <w:rPr>
                <w:rFonts w:ascii="Lato" w:hAnsi="Lato"/>
                <w:sz w:val="22"/>
                <w:szCs w:val="22"/>
              </w:rPr>
            </w:pPr>
            <w:r w:rsidRPr="00CB1714">
              <w:rPr>
                <w:rFonts w:ascii="Lato" w:hAnsi="Lato"/>
                <w:sz w:val="22"/>
                <w:szCs w:val="22"/>
              </w:rPr>
              <w:t>2.13.2  a)</w:t>
            </w:r>
          </w:p>
        </w:tc>
        <w:tc>
          <w:tcPr>
            <w:tcW w:w="5891" w:type="dxa"/>
            <w:tcBorders>
              <w:right w:val="single" w:sz="4" w:space="0" w:color="auto"/>
            </w:tcBorders>
          </w:tcPr>
          <w:p w14:paraId="7E82F0C8"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Maximum redemption charge, if any:</w:t>
            </w:r>
          </w:p>
        </w:tc>
        <w:tc>
          <w:tcPr>
            <w:tcW w:w="3188" w:type="dxa"/>
            <w:tcBorders>
              <w:top w:val="single" w:sz="4" w:space="0" w:color="auto"/>
              <w:left w:val="single" w:sz="4" w:space="0" w:color="auto"/>
              <w:bottom w:val="single" w:sz="4" w:space="0" w:color="auto"/>
              <w:right w:val="single" w:sz="4" w:space="0" w:color="auto"/>
            </w:tcBorders>
          </w:tcPr>
          <w:p w14:paraId="005C1CE0" w14:textId="77777777" w:rsidR="004674C2" w:rsidRPr="00CB1714" w:rsidRDefault="004674C2" w:rsidP="004674C2">
            <w:pPr>
              <w:rPr>
                <w:rFonts w:ascii="Lato" w:hAnsi="Lato"/>
                <w:sz w:val="22"/>
                <w:szCs w:val="22"/>
              </w:rPr>
            </w:pPr>
          </w:p>
        </w:tc>
      </w:tr>
      <w:tr w:rsidR="004674C2" w:rsidRPr="00CB1714" w14:paraId="7DBDCA05" w14:textId="77777777" w:rsidTr="00A70AEC">
        <w:tc>
          <w:tcPr>
            <w:tcW w:w="1316" w:type="dxa"/>
          </w:tcPr>
          <w:p w14:paraId="047FBEFA" w14:textId="77777777" w:rsidR="004674C2" w:rsidRPr="00CB1714" w:rsidRDefault="004674C2" w:rsidP="004674C2">
            <w:pPr>
              <w:jc w:val="right"/>
              <w:rPr>
                <w:rFonts w:ascii="Lato" w:hAnsi="Lato"/>
                <w:sz w:val="22"/>
                <w:szCs w:val="22"/>
              </w:rPr>
            </w:pPr>
          </w:p>
        </w:tc>
        <w:tc>
          <w:tcPr>
            <w:tcW w:w="5891" w:type="dxa"/>
          </w:tcPr>
          <w:p w14:paraId="33CE3FBB"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0A6FCAA5" w14:textId="77777777" w:rsidR="004674C2" w:rsidRPr="00CB1714" w:rsidRDefault="004674C2" w:rsidP="004674C2">
            <w:pPr>
              <w:rPr>
                <w:rFonts w:ascii="Lato" w:hAnsi="Lato"/>
                <w:sz w:val="22"/>
                <w:szCs w:val="22"/>
              </w:rPr>
            </w:pPr>
          </w:p>
        </w:tc>
      </w:tr>
      <w:tr w:rsidR="004674C2" w:rsidRPr="00CB1714" w14:paraId="50F1D323" w14:textId="77777777" w:rsidTr="00A70AEC">
        <w:tc>
          <w:tcPr>
            <w:tcW w:w="1316" w:type="dxa"/>
          </w:tcPr>
          <w:p w14:paraId="74FC16DA" w14:textId="77777777" w:rsidR="004674C2" w:rsidRPr="00CB1714" w:rsidRDefault="004674C2" w:rsidP="004674C2">
            <w:pPr>
              <w:jc w:val="right"/>
              <w:rPr>
                <w:rFonts w:ascii="Lato" w:hAnsi="Lato"/>
                <w:sz w:val="22"/>
                <w:szCs w:val="22"/>
              </w:rPr>
            </w:pPr>
          </w:p>
        </w:tc>
        <w:tc>
          <w:tcPr>
            <w:tcW w:w="5891" w:type="dxa"/>
          </w:tcPr>
          <w:p w14:paraId="06059EE9" w14:textId="77777777" w:rsidR="004674C2" w:rsidRPr="00CB1714" w:rsidRDefault="004674C2" w:rsidP="004674C2">
            <w:pPr>
              <w:rPr>
                <w:rFonts w:ascii="Lato" w:hAnsi="Lato"/>
                <w:sz w:val="22"/>
                <w:szCs w:val="22"/>
              </w:rPr>
            </w:pPr>
            <w:r w:rsidRPr="00CB1714">
              <w:rPr>
                <w:rFonts w:ascii="Lato" w:hAnsi="Lato"/>
                <w:sz w:val="22"/>
                <w:szCs w:val="22"/>
              </w:rPr>
              <w:t xml:space="preserve">Note: the maximum charge relating to the redemption or </w:t>
            </w:r>
          </w:p>
        </w:tc>
        <w:tc>
          <w:tcPr>
            <w:tcW w:w="3188" w:type="dxa"/>
          </w:tcPr>
          <w:p w14:paraId="20AE11E9" w14:textId="77777777" w:rsidR="004674C2" w:rsidRPr="00CB1714" w:rsidRDefault="004674C2" w:rsidP="004674C2">
            <w:pPr>
              <w:rPr>
                <w:rFonts w:ascii="Lato" w:hAnsi="Lato"/>
                <w:sz w:val="22"/>
                <w:szCs w:val="22"/>
              </w:rPr>
            </w:pPr>
          </w:p>
        </w:tc>
      </w:tr>
      <w:tr w:rsidR="004674C2" w:rsidRPr="00CB1714" w14:paraId="1F0EA07E" w14:textId="77777777" w:rsidTr="00A70AEC">
        <w:tc>
          <w:tcPr>
            <w:tcW w:w="1316" w:type="dxa"/>
          </w:tcPr>
          <w:p w14:paraId="683DC818" w14:textId="77777777" w:rsidR="004674C2" w:rsidRPr="00CB1714" w:rsidRDefault="004674C2" w:rsidP="004674C2">
            <w:pPr>
              <w:jc w:val="right"/>
              <w:rPr>
                <w:rFonts w:ascii="Lato" w:hAnsi="Lato"/>
                <w:sz w:val="22"/>
                <w:szCs w:val="22"/>
              </w:rPr>
            </w:pPr>
          </w:p>
        </w:tc>
        <w:tc>
          <w:tcPr>
            <w:tcW w:w="5891" w:type="dxa"/>
          </w:tcPr>
          <w:p w14:paraId="25322D84" w14:textId="77777777" w:rsidR="004674C2" w:rsidRPr="00CB1714" w:rsidRDefault="004674C2" w:rsidP="004674C2">
            <w:pPr>
              <w:rPr>
                <w:rFonts w:ascii="Lato" w:hAnsi="Lato"/>
                <w:sz w:val="22"/>
                <w:szCs w:val="22"/>
              </w:rPr>
            </w:pPr>
            <w:r w:rsidRPr="00CB1714">
              <w:rPr>
                <w:rFonts w:ascii="Lato" w:hAnsi="Lato"/>
                <w:sz w:val="22"/>
                <w:szCs w:val="22"/>
              </w:rPr>
              <w:t xml:space="preserve">repurchase of units may not be increased without approval </w:t>
            </w:r>
          </w:p>
        </w:tc>
        <w:tc>
          <w:tcPr>
            <w:tcW w:w="3188" w:type="dxa"/>
          </w:tcPr>
          <w:p w14:paraId="1108F0E8" w14:textId="77777777" w:rsidR="004674C2" w:rsidRPr="00CB1714" w:rsidRDefault="004674C2" w:rsidP="004674C2">
            <w:pPr>
              <w:rPr>
                <w:rFonts w:ascii="Lato" w:hAnsi="Lato"/>
                <w:sz w:val="22"/>
                <w:szCs w:val="22"/>
              </w:rPr>
            </w:pPr>
          </w:p>
        </w:tc>
      </w:tr>
      <w:tr w:rsidR="004674C2" w:rsidRPr="00CB1714" w14:paraId="6718B749" w14:textId="77777777" w:rsidTr="00A70AEC">
        <w:tc>
          <w:tcPr>
            <w:tcW w:w="1316" w:type="dxa"/>
          </w:tcPr>
          <w:p w14:paraId="0F2FBBB2" w14:textId="77777777" w:rsidR="004674C2" w:rsidRPr="00CB1714" w:rsidRDefault="004674C2" w:rsidP="004674C2">
            <w:pPr>
              <w:jc w:val="right"/>
              <w:rPr>
                <w:rFonts w:ascii="Lato" w:hAnsi="Lato"/>
                <w:sz w:val="22"/>
                <w:szCs w:val="22"/>
              </w:rPr>
            </w:pPr>
          </w:p>
        </w:tc>
        <w:tc>
          <w:tcPr>
            <w:tcW w:w="5891" w:type="dxa"/>
          </w:tcPr>
          <w:p w14:paraId="35405ECD" w14:textId="77777777" w:rsidR="004674C2" w:rsidRPr="00CB1714" w:rsidRDefault="004674C2" w:rsidP="004674C2">
            <w:pPr>
              <w:rPr>
                <w:rFonts w:ascii="Lato" w:hAnsi="Lato"/>
                <w:sz w:val="22"/>
                <w:szCs w:val="22"/>
              </w:rPr>
            </w:pPr>
            <w:r w:rsidRPr="00F72ED7">
              <w:rPr>
                <w:rFonts w:ascii="Lato" w:hAnsi="Lato"/>
                <w:sz w:val="22"/>
                <w:szCs w:val="22"/>
              </w:rPr>
              <w:t xml:space="preserve">on </w:t>
            </w:r>
            <w:r w:rsidRPr="00CB1714">
              <w:rPr>
                <w:rFonts w:ascii="Lato" w:hAnsi="Lato"/>
                <w:sz w:val="22"/>
                <w:szCs w:val="22"/>
              </w:rPr>
              <w:t xml:space="preserve">the basis of a majority of votes cast at a general meeting.  </w:t>
            </w:r>
          </w:p>
        </w:tc>
        <w:tc>
          <w:tcPr>
            <w:tcW w:w="3188" w:type="dxa"/>
          </w:tcPr>
          <w:p w14:paraId="0181AEBA" w14:textId="77777777" w:rsidR="004674C2" w:rsidRPr="00CB1714" w:rsidRDefault="004674C2" w:rsidP="004674C2">
            <w:pPr>
              <w:rPr>
                <w:rFonts w:ascii="Lato" w:hAnsi="Lato"/>
                <w:sz w:val="22"/>
                <w:szCs w:val="22"/>
              </w:rPr>
            </w:pPr>
          </w:p>
        </w:tc>
      </w:tr>
      <w:tr w:rsidR="004674C2" w:rsidRPr="00CB1714" w14:paraId="51222C50" w14:textId="77777777" w:rsidTr="00A70AEC">
        <w:tc>
          <w:tcPr>
            <w:tcW w:w="1316" w:type="dxa"/>
          </w:tcPr>
          <w:p w14:paraId="3A3C61AF" w14:textId="77777777" w:rsidR="004674C2" w:rsidRPr="00CB1714" w:rsidRDefault="004674C2" w:rsidP="004674C2">
            <w:pPr>
              <w:jc w:val="right"/>
              <w:rPr>
                <w:rFonts w:ascii="Lato" w:hAnsi="Lato"/>
                <w:sz w:val="22"/>
                <w:szCs w:val="22"/>
              </w:rPr>
            </w:pPr>
          </w:p>
        </w:tc>
        <w:tc>
          <w:tcPr>
            <w:tcW w:w="5891" w:type="dxa"/>
          </w:tcPr>
          <w:p w14:paraId="397C46AC" w14:textId="77777777" w:rsidR="004674C2" w:rsidRPr="00CB1714" w:rsidRDefault="004674C2" w:rsidP="004674C2">
            <w:pPr>
              <w:rPr>
                <w:rFonts w:ascii="Lato" w:hAnsi="Lato"/>
                <w:sz w:val="22"/>
                <w:szCs w:val="22"/>
              </w:rPr>
            </w:pPr>
            <w:r w:rsidRPr="00F72ED7">
              <w:rPr>
                <w:rFonts w:ascii="Lato" w:hAnsi="Lato"/>
                <w:sz w:val="22"/>
                <w:szCs w:val="22"/>
              </w:rPr>
              <w:t>In the</w:t>
            </w:r>
            <w:r w:rsidRPr="00CB1714">
              <w:rPr>
                <w:rFonts w:ascii="Lato" w:hAnsi="Lato"/>
                <w:sz w:val="22"/>
                <w:szCs w:val="22"/>
              </w:rPr>
              <w:t xml:space="preserve"> event of an increase in the redemption or repurchase </w:t>
            </w:r>
          </w:p>
        </w:tc>
        <w:tc>
          <w:tcPr>
            <w:tcW w:w="3188" w:type="dxa"/>
          </w:tcPr>
          <w:p w14:paraId="6FB014FD" w14:textId="77777777" w:rsidR="004674C2" w:rsidRPr="00CB1714" w:rsidRDefault="004674C2" w:rsidP="004674C2">
            <w:pPr>
              <w:rPr>
                <w:rFonts w:ascii="Lato" w:hAnsi="Lato"/>
                <w:sz w:val="22"/>
                <w:szCs w:val="22"/>
              </w:rPr>
            </w:pPr>
          </w:p>
        </w:tc>
      </w:tr>
      <w:tr w:rsidR="004674C2" w:rsidRPr="00CB1714" w14:paraId="0C21BEB9" w14:textId="77777777" w:rsidTr="00A70AEC">
        <w:tc>
          <w:tcPr>
            <w:tcW w:w="1316" w:type="dxa"/>
          </w:tcPr>
          <w:p w14:paraId="270AE363" w14:textId="77777777" w:rsidR="004674C2" w:rsidRPr="00CB1714" w:rsidRDefault="004674C2" w:rsidP="004674C2">
            <w:pPr>
              <w:jc w:val="right"/>
              <w:rPr>
                <w:rFonts w:ascii="Lato" w:hAnsi="Lato"/>
                <w:sz w:val="22"/>
                <w:szCs w:val="22"/>
              </w:rPr>
            </w:pPr>
          </w:p>
        </w:tc>
        <w:tc>
          <w:tcPr>
            <w:tcW w:w="5891" w:type="dxa"/>
          </w:tcPr>
          <w:p w14:paraId="67C21D23" w14:textId="77777777" w:rsidR="004674C2" w:rsidRPr="00CB1714" w:rsidRDefault="004674C2" w:rsidP="004674C2">
            <w:pPr>
              <w:rPr>
                <w:rFonts w:ascii="Lato" w:hAnsi="Lato"/>
                <w:sz w:val="22"/>
                <w:szCs w:val="22"/>
              </w:rPr>
            </w:pPr>
            <w:r w:rsidRPr="00F72ED7">
              <w:rPr>
                <w:rFonts w:ascii="Lato" w:hAnsi="Lato"/>
                <w:sz w:val="22"/>
                <w:szCs w:val="22"/>
              </w:rPr>
              <w:t>charge a</w:t>
            </w:r>
            <w:r w:rsidRPr="00CB1714">
              <w:rPr>
                <w:rFonts w:ascii="Lato" w:hAnsi="Lato"/>
                <w:sz w:val="22"/>
                <w:szCs w:val="22"/>
              </w:rPr>
              <w:t xml:space="preserve"> reasonable notification period must be provided </w:t>
            </w:r>
          </w:p>
        </w:tc>
        <w:tc>
          <w:tcPr>
            <w:tcW w:w="3188" w:type="dxa"/>
          </w:tcPr>
          <w:p w14:paraId="1CE4AF31" w14:textId="77777777" w:rsidR="004674C2" w:rsidRPr="00CB1714" w:rsidRDefault="004674C2" w:rsidP="004674C2">
            <w:pPr>
              <w:rPr>
                <w:rFonts w:ascii="Lato" w:hAnsi="Lato"/>
                <w:sz w:val="22"/>
                <w:szCs w:val="22"/>
              </w:rPr>
            </w:pPr>
          </w:p>
        </w:tc>
      </w:tr>
      <w:tr w:rsidR="004674C2" w:rsidRPr="00CB1714" w14:paraId="58E15E70" w14:textId="77777777" w:rsidTr="00A70AEC">
        <w:tc>
          <w:tcPr>
            <w:tcW w:w="1316" w:type="dxa"/>
          </w:tcPr>
          <w:p w14:paraId="059E8378" w14:textId="77777777" w:rsidR="004674C2" w:rsidRPr="00CB1714" w:rsidRDefault="004674C2" w:rsidP="004674C2">
            <w:pPr>
              <w:jc w:val="right"/>
              <w:rPr>
                <w:rFonts w:ascii="Lato" w:hAnsi="Lato"/>
                <w:sz w:val="22"/>
                <w:szCs w:val="22"/>
              </w:rPr>
            </w:pPr>
          </w:p>
        </w:tc>
        <w:tc>
          <w:tcPr>
            <w:tcW w:w="5891" w:type="dxa"/>
          </w:tcPr>
          <w:p w14:paraId="2D265847" w14:textId="77777777" w:rsidR="004674C2" w:rsidRPr="00CB1714" w:rsidRDefault="004674C2" w:rsidP="004674C2">
            <w:pPr>
              <w:rPr>
                <w:rFonts w:ascii="Lato" w:hAnsi="Lato"/>
                <w:sz w:val="22"/>
                <w:szCs w:val="22"/>
              </w:rPr>
            </w:pPr>
            <w:r w:rsidRPr="00F72ED7">
              <w:rPr>
                <w:rFonts w:ascii="Lato" w:hAnsi="Lato"/>
                <w:sz w:val="22"/>
                <w:szCs w:val="22"/>
              </w:rPr>
              <w:t xml:space="preserve">by the </w:t>
            </w:r>
            <w:r w:rsidRPr="00CB1714">
              <w:rPr>
                <w:rFonts w:ascii="Lato" w:hAnsi="Lato"/>
                <w:sz w:val="22"/>
                <w:szCs w:val="22"/>
              </w:rPr>
              <w:t xml:space="preserve">Qualifying Investor AIF to enable unitholders </w:t>
            </w:r>
          </w:p>
        </w:tc>
        <w:tc>
          <w:tcPr>
            <w:tcW w:w="3188" w:type="dxa"/>
          </w:tcPr>
          <w:p w14:paraId="331572C9" w14:textId="77777777" w:rsidR="004674C2" w:rsidRPr="00CB1714" w:rsidRDefault="004674C2" w:rsidP="004674C2">
            <w:pPr>
              <w:rPr>
                <w:rFonts w:ascii="Lato" w:hAnsi="Lato"/>
                <w:sz w:val="22"/>
                <w:szCs w:val="22"/>
              </w:rPr>
            </w:pPr>
          </w:p>
        </w:tc>
      </w:tr>
      <w:tr w:rsidR="004674C2" w:rsidRPr="00CB1714" w14:paraId="418AE589" w14:textId="77777777" w:rsidTr="00A70AEC">
        <w:tc>
          <w:tcPr>
            <w:tcW w:w="1316" w:type="dxa"/>
          </w:tcPr>
          <w:p w14:paraId="58F0CB39" w14:textId="77777777" w:rsidR="004674C2" w:rsidRPr="00CB1714" w:rsidRDefault="004674C2" w:rsidP="004674C2">
            <w:pPr>
              <w:jc w:val="right"/>
              <w:rPr>
                <w:rFonts w:ascii="Lato" w:hAnsi="Lato"/>
                <w:sz w:val="22"/>
                <w:szCs w:val="22"/>
              </w:rPr>
            </w:pPr>
          </w:p>
        </w:tc>
        <w:tc>
          <w:tcPr>
            <w:tcW w:w="5891" w:type="dxa"/>
          </w:tcPr>
          <w:p w14:paraId="28B13010" w14:textId="77777777" w:rsidR="004674C2" w:rsidRPr="00CB1714" w:rsidRDefault="004674C2" w:rsidP="004674C2">
            <w:pPr>
              <w:rPr>
                <w:rFonts w:ascii="Lato" w:hAnsi="Lato"/>
                <w:sz w:val="22"/>
                <w:szCs w:val="22"/>
              </w:rPr>
            </w:pPr>
            <w:r w:rsidRPr="00F72ED7">
              <w:rPr>
                <w:rFonts w:ascii="Lato" w:hAnsi="Lato"/>
                <w:sz w:val="22"/>
                <w:szCs w:val="22"/>
              </w:rPr>
              <w:t>redeem their</w:t>
            </w:r>
            <w:r w:rsidRPr="00CB1714">
              <w:rPr>
                <w:rFonts w:ascii="Lato" w:hAnsi="Lato"/>
                <w:sz w:val="22"/>
                <w:szCs w:val="22"/>
              </w:rPr>
              <w:t xml:space="preserve"> Units prior to the implementation of the increase.</w:t>
            </w:r>
          </w:p>
        </w:tc>
        <w:tc>
          <w:tcPr>
            <w:tcW w:w="3188" w:type="dxa"/>
          </w:tcPr>
          <w:p w14:paraId="308D8DEF" w14:textId="77777777" w:rsidR="004674C2" w:rsidRPr="00CB1714" w:rsidRDefault="004674C2" w:rsidP="004674C2">
            <w:pPr>
              <w:rPr>
                <w:rFonts w:ascii="Lato" w:hAnsi="Lato"/>
                <w:sz w:val="22"/>
                <w:szCs w:val="22"/>
              </w:rPr>
            </w:pPr>
          </w:p>
        </w:tc>
      </w:tr>
      <w:tr w:rsidR="004674C2" w:rsidRPr="00CB1714" w14:paraId="64469AB6" w14:textId="77777777" w:rsidTr="00A70AEC">
        <w:tc>
          <w:tcPr>
            <w:tcW w:w="1316" w:type="dxa"/>
          </w:tcPr>
          <w:p w14:paraId="08949F33" w14:textId="77777777" w:rsidR="004674C2" w:rsidRPr="00CB1714" w:rsidRDefault="004674C2" w:rsidP="004674C2">
            <w:pPr>
              <w:jc w:val="right"/>
              <w:rPr>
                <w:rFonts w:ascii="Lato" w:hAnsi="Lato"/>
                <w:sz w:val="22"/>
                <w:szCs w:val="22"/>
              </w:rPr>
            </w:pPr>
          </w:p>
        </w:tc>
        <w:tc>
          <w:tcPr>
            <w:tcW w:w="5891" w:type="dxa"/>
          </w:tcPr>
          <w:p w14:paraId="48AC269E" w14:textId="77777777" w:rsidR="004674C2" w:rsidRPr="00CB1714" w:rsidRDefault="004674C2" w:rsidP="004674C2">
            <w:pPr>
              <w:rPr>
                <w:rFonts w:ascii="Lato" w:hAnsi="Lato"/>
                <w:sz w:val="22"/>
                <w:szCs w:val="22"/>
              </w:rPr>
            </w:pPr>
            <w:r w:rsidRPr="00CB1714">
              <w:rPr>
                <w:rFonts w:ascii="Lato" w:hAnsi="Lato"/>
                <w:sz w:val="22"/>
                <w:szCs w:val="22"/>
              </w:rPr>
              <w:t>Note: In the case of open-ended Qualifying Investor AIF</w:t>
            </w:r>
          </w:p>
        </w:tc>
        <w:tc>
          <w:tcPr>
            <w:tcW w:w="3188" w:type="dxa"/>
          </w:tcPr>
          <w:p w14:paraId="0F5252FE" w14:textId="77777777" w:rsidR="004674C2" w:rsidRPr="00CB1714" w:rsidRDefault="004674C2" w:rsidP="004674C2">
            <w:pPr>
              <w:rPr>
                <w:rFonts w:ascii="Lato" w:hAnsi="Lato"/>
                <w:sz w:val="22"/>
                <w:szCs w:val="22"/>
              </w:rPr>
            </w:pPr>
          </w:p>
        </w:tc>
      </w:tr>
      <w:tr w:rsidR="004674C2" w:rsidRPr="00CB1714" w14:paraId="73A7D348" w14:textId="77777777" w:rsidTr="00A70AEC">
        <w:tc>
          <w:tcPr>
            <w:tcW w:w="1316" w:type="dxa"/>
          </w:tcPr>
          <w:p w14:paraId="03AA1A0D" w14:textId="77777777" w:rsidR="004674C2" w:rsidRPr="00CB1714" w:rsidRDefault="004674C2" w:rsidP="004674C2">
            <w:pPr>
              <w:jc w:val="right"/>
              <w:rPr>
                <w:rFonts w:ascii="Lato" w:hAnsi="Lato"/>
                <w:sz w:val="22"/>
                <w:szCs w:val="22"/>
              </w:rPr>
            </w:pPr>
            <w:r w:rsidRPr="00CB1714">
              <w:rPr>
                <w:rFonts w:ascii="Lato" w:hAnsi="Lato"/>
                <w:sz w:val="22"/>
                <w:szCs w:val="22"/>
              </w:rPr>
              <w:t xml:space="preserve">     </w:t>
            </w:r>
          </w:p>
        </w:tc>
        <w:tc>
          <w:tcPr>
            <w:tcW w:w="5891" w:type="dxa"/>
          </w:tcPr>
          <w:p w14:paraId="2FB627B6" w14:textId="77777777" w:rsidR="004674C2" w:rsidRPr="00CB1714" w:rsidRDefault="004674C2" w:rsidP="004674C2">
            <w:pPr>
              <w:rPr>
                <w:rFonts w:ascii="Lato" w:hAnsi="Lato"/>
                <w:sz w:val="22"/>
                <w:szCs w:val="22"/>
              </w:rPr>
            </w:pPr>
            <w:r w:rsidRPr="00CB1714">
              <w:rPr>
                <w:rFonts w:ascii="Lato" w:hAnsi="Lato"/>
                <w:sz w:val="22"/>
                <w:szCs w:val="22"/>
              </w:rPr>
              <w:t>the redemption charge may not exceed 5% of net asset value per unit.</w:t>
            </w:r>
          </w:p>
        </w:tc>
        <w:tc>
          <w:tcPr>
            <w:tcW w:w="3188" w:type="dxa"/>
          </w:tcPr>
          <w:p w14:paraId="7A1E336D" w14:textId="77777777" w:rsidR="004674C2" w:rsidRPr="00CB1714" w:rsidRDefault="004674C2" w:rsidP="004674C2">
            <w:pPr>
              <w:rPr>
                <w:rFonts w:ascii="Lato" w:hAnsi="Lato"/>
                <w:sz w:val="22"/>
                <w:szCs w:val="22"/>
              </w:rPr>
            </w:pPr>
          </w:p>
        </w:tc>
      </w:tr>
      <w:tr w:rsidR="004674C2" w:rsidRPr="00CB1714" w14:paraId="72D19F16" w14:textId="77777777" w:rsidTr="00A70AEC">
        <w:tc>
          <w:tcPr>
            <w:tcW w:w="1316" w:type="dxa"/>
          </w:tcPr>
          <w:p w14:paraId="08616693" w14:textId="77777777" w:rsidR="004674C2" w:rsidRPr="00CB1714" w:rsidRDefault="004674C2" w:rsidP="004674C2">
            <w:pPr>
              <w:jc w:val="center"/>
              <w:rPr>
                <w:rFonts w:ascii="Lato" w:hAnsi="Lato"/>
                <w:sz w:val="22"/>
                <w:szCs w:val="22"/>
              </w:rPr>
            </w:pPr>
          </w:p>
        </w:tc>
        <w:tc>
          <w:tcPr>
            <w:tcW w:w="5891" w:type="dxa"/>
          </w:tcPr>
          <w:p w14:paraId="1BA8BACB" w14:textId="77777777" w:rsidR="004674C2" w:rsidRPr="00CB1714" w:rsidRDefault="004674C2" w:rsidP="004674C2">
            <w:pPr>
              <w:rPr>
                <w:rFonts w:ascii="Lato" w:hAnsi="Lato"/>
                <w:sz w:val="22"/>
                <w:szCs w:val="22"/>
              </w:rPr>
            </w:pPr>
          </w:p>
        </w:tc>
        <w:tc>
          <w:tcPr>
            <w:tcW w:w="3188" w:type="dxa"/>
          </w:tcPr>
          <w:p w14:paraId="3312C9B9" w14:textId="77777777" w:rsidR="004674C2" w:rsidRPr="00CB1714" w:rsidRDefault="004674C2" w:rsidP="004674C2">
            <w:pPr>
              <w:rPr>
                <w:rFonts w:ascii="Lato" w:hAnsi="Lato"/>
                <w:sz w:val="22"/>
                <w:szCs w:val="22"/>
              </w:rPr>
            </w:pPr>
          </w:p>
        </w:tc>
      </w:tr>
      <w:tr w:rsidR="004674C2" w:rsidRPr="00CB1714" w14:paraId="4830390D" w14:textId="77777777" w:rsidTr="00990D73">
        <w:tc>
          <w:tcPr>
            <w:tcW w:w="1316" w:type="dxa"/>
          </w:tcPr>
          <w:p w14:paraId="6ED109DF" w14:textId="77777777" w:rsidR="004674C2" w:rsidRPr="00CB1714" w:rsidRDefault="004674C2" w:rsidP="004674C2">
            <w:pPr>
              <w:jc w:val="center"/>
              <w:rPr>
                <w:rFonts w:ascii="Lato" w:hAnsi="Lato"/>
                <w:sz w:val="22"/>
                <w:szCs w:val="22"/>
              </w:rPr>
            </w:pPr>
            <w:r w:rsidRPr="00CB1714">
              <w:rPr>
                <w:rFonts w:ascii="Lato" w:hAnsi="Lato"/>
                <w:sz w:val="22"/>
                <w:szCs w:val="22"/>
              </w:rPr>
              <w:t>2.13.3</w:t>
            </w:r>
          </w:p>
        </w:tc>
        <w:tc>
          <w:tcPr>
            <w:tcW w:w="5891" w:type="dxa"/>
          </w:tcPr>
          <w:p w14:paraId="6474AC04" w14:textId="77777777" w:rsidR="004674C2" w:rsidRPr="00CB1714" w:rsidRDefault="004674C2" w:rsidP="004674C2">
            <w:pPr>
              <w:rPr>
                <w:rFonts w:ascii="Lato" w:hAnsi="Lato"/>
                <w:sz w:val="22"/>
                <w:szCs w:val="22"/>
              </w:rPr>
            </w:pPr>
            <w:r w:rsidRPr="00CB1714">
              <w:rPr>
                <w:rFonts w:ascii="Lato" w:hAnsi="Lato"/>
                <w:sz w:val="22"/>
                <w:szCs w:val="22"/>
              </w:rPr>
              <w:t>Open Ended Qualifying Investor AIF</w:t>
            </w:r>
          </w:p>
        </w:tc>
        <w:tc>
          <w:tcPr>
            <w:tcW w:w="3188" w:type="dxa"/>
            <w:tcBorders>
              <w:bottom w:val="single" w:sz="4" w:space="0" w:color="auto"/>
            </w:tcBorders>
          </w:tcPr>
          <w:p w14:paraId="6AF806F8" w14:textId="77777777" w:rsidR="004674C2" w:rsidRPr="00CB1714" w:rsidRDefault="004674C2" w:rsidP="004674C2">
            <w:pPr>
              <w:rPr>
                <w:rFonts w:ascii="Lato" w:hAnsi="Lato"/>
                <w:sz w:val="22"/>
                <w:szCs w:val="22"/>
              </w:rPr>
            </w:pPr>
          </w:p>
        </w:tc>
      </w:tr>
      <w:tr w:rsidR="004674C2" w:rsidRPr="00CB1714" w14:paraId="0D728819" w14:textId="77777777" w:rsidTr="00990D73">
        <w:tc>
          <w:tcPr>
            <w:tcW w:w="1316" w:type="dxa"/>
          </w:tcPr>
          <w:p w14:paraId="7D09835B"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71013FE1" w14:textId="77777777" w:rsidR="004674C2" w:rsidRPr="00CB1714" w:rsidRDefault="004674C2" w:rsidP="004674C2">
            <w:pPr>
              <w:rPr>
                <w:rFonts w:ascii="Lato" w:hAnsi="Lato"/>
                <w:sz w:val="22"/>
                <w:szCs w:val="22"/>
              </w:rPr>
            </w:pPr>
            <w:r w:rsidRPr="00CB1714">
              <w:rPr>
                <w:rFonts w:ascii="Lato" w:hAnsi="Lato"/>
                <w:sz w:val="22"/>
                <w:szCs w:val="22"/>
              </w:rPr>
              <w:t xml:space="preserve">Disclose that redemption facilities must be provided on at </w:t>
            </w:r>
          </w:p>
        </w:tc>
        <w:tc>
          <w:tcPr>
            <w:tcW w:w="3188" w:type="dxa"/>
            <w:tcBorders>
              <w:top w:val="single" w:sz="4" w:space="0" w:color="auto"/>
              <w:left w:val="single" w:sz="4" w:space="0" w:color="auto"/>
              <w:bottom w:val="single" w:sz="4" w:space="0" w:color="auto"/>
              <w:right w:val="single" w:sz="4" w:space="0" w:color="auto"/>
            </w:tcBorders>
          </w:tcPr>
          <w:p w14:paraId="57FC8476" w14:textId="77777777" w:rsidR="004674C2" w:rsidRPr="00CB1714" w:rsidRDefault="004674C2" w:rsidP="004674C2">
            <w:pPr>
              <w:rPr>
                <w:rFonts w:ascii="Lato" w:hAnsi="Lato"/>
                <w:sz w:val="22"/>
                <w:szCs w:val="22"/>
              </w:rPr>
            </w:pPr>
          </w:p>
        </w:tc>
      </w:tr>
      <w:tr w:rsidR="004674C2" w:rsidRPr="00CB1714" w14:paraId="039BB181" w14:textId="77777777" w:rsidTr="00990D73">
        <w:tc>
          <w:tcPr>
            <w:tcW w:w="1316" w:type="dxa"/>
          </w:tcPr>
          <w:p w14:paraId="7DDBE9C4" w14:textId="77777777" w:rsidR="004674C2" w:rsidRPr="00CB1714" w:rsidRDefault="004674C2" w:rsidP="004674C2">
            <w:pPr>
              <w:jc w:val="right"/>
              <w:rPr>
                <w:rFonts w:ascii="Lato" w:hAnsi="Lato"/>
                <w:sz w:val="22"/>
                <w:szCs w:val="22"/>
              </w:rPr>
            </w:pPr>
          </w:p>
        </w:tc>
        <w:tc>
          <w:tcPr>
            <w:tcW w:w="5891" w:type="dxa"/>
          </w:tcPr>
          <w:p w14:paraId="78A3F75D" w14:textId="77777777" w:rsidR="004674C2" w:rsidRPr="00CB1714" w:rsidRDefault="004674C2" w:rsidP="004674C2">
            <w:pPr>
              <w:rPr>
                <w:rFonts w:ascii="Lato" w:hAnsi="Lato"/>
                <w:sz w:val="22"/>
                <w:szCs w:val="22"/>
              </w:rPr>
            </w:pPr>
            <w:r w:rsidRPr="00F72ED7">
              <w:rPr>
                <w:rFonts w:ascii="Lato" w:hAnsi="Lato"/>
                <w:sz w:val="22"/>
                <w:szCs w:val="22"/>
              </w:rPr>
              <w:t>least</w:t>
            </w:r>
            <w:r w:rsidRPr="00CB1714">
              <w:rPr>
                <w:rFonts w:ascii="Lato" w:hAnsi="Lato"/>
                <w:sz w:val="22"/>
                <w:szCs w:val="22"/>
              </w:rPr>
              <w:t xml:space="preserve"> a quarterly basis</w:t>
            </w:r>
          </w:p>
        </w:tc>
        <w:tc>
          <w:tcPr>
            <w:tcW w:w="3188" w:type="dxa"/>
            <w:tcBorders>
              <w:top w:val="single" w:sz="4" w:space="0" w:color="auto"/>
            </w:tcBorders>
          </w:tcPr>
          <w:p w14:paraId="4555B208" w14:textId="77777777" w:rsidR="004674C2" w:rsidRPr="00CB1714" w:rsidRDefault="004674C2" w:rsidP="004674C2">
            <w:pPr>
              <w:rPr>
                <w:rFonts w:ascii="Lato" w:hAnsi="Lato"/>
                <w:sz w:val="22"/>
                <w:szCs w:val="22"/>
              </w:rPr>
            </w:pPr>
          </w:p>
        </w:tc>
      </w:tr>
      <w:tr w:rsidR="004674C2" w:rsidRPr="00CB1714" w14:paraId="086075CE" w14:textId="77777777" w:rsidTr="00990D73">
        <w:tc>
          <w:tcPr>
            <w:tcW w:w="1316" w:type="dxa"/>
          </w:tcPr>
          <w:p w14:paraId="06F5581D"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Pr>
          <w:p w14:paraId="0D42177F" w14:textId="77777777" w:rsidR="004674C2" w:rsidRPr="00CB1714" w:rsidRDefault="004674C2" w:rsidP="004674C2">
            <w:pPr>
              <w:rPr>
                <w:rFonts w:ascii="Lato" w:hAnsi="Lato"/>
                <w:sz w:val="22"/>
                <w:szCs w:val="22"/>
              </w:rPr>
            </w:pPr>
            <w:r w:rsidRPr="00CB1714">
              <w:rPr>
                <w:rFonts w:ascii="Lato" w:hAnsi="Lato"/>
                <w:sz w:val="22"/>
                <w:szCs w:val="22"/>
              </w:rPr>
              <w:t xml:space="preserve">Provide that the Qualifying Investor AIF will redeem when </w:t>
            </w:r>
          </w:p>
        </w:tc>
        <w:tc>
          <w:tcPr>
            <w:tcW w:w="3188" w:type="dxa"/>
          </w:tcPr>
          <w:p w14:paraId="3B8C1723" w14:textId="77777777" w:rsidR="004674C2" w:rsidRPr="00CB1714" w:rsidRDefault="004674C2" w:rsidP="004674C2">
            <w:pPr>
              <w:rPr>
                <w:rFonts w:ascii="Lato" w:hAnsi="Lato"/>
                <w:sz w:val="22"/>
                <w:szCs w:val="22"/>
              </w:rPr>
            </w:pPr>
          </w:p>
        </w:tc>
      </w:tr>
      <w:tr w:rsidR="004674C2" w:rsidRPr="00CB1714" w14:paraId="152CE492" w14:textId="77777777" w:rsidTr="00990D73">
        <w:tc>
          <w:tcPr>
            <w:tcW w:w="1316" w:type="dxa"/>
          </w:tcPr>
          <w:p w14:paraId="77941C60" w14:textId="77777777" w:rsidR="004674C2" w:rsidRPr="00CB1714" w:rsidRDefault="004674C2" w:rsidP="004674C2">
            <w:pPr>
              <w:jc w:val="right"/>
              <w:rPr>
                <w:rFonts w:ascii="Lato" w:hAnsi="Lato"/>
                <w:sz w:val="22"/>
                <w:szCs w:val="22"/>
              </w:rPr>
            </w:pPr>
          </w:p>
        </w:tc>
        <w:tc>
          <w:tcPr>
            <w:tcW w:w="5891" w:type="dxa"/>
          </w:tcPr>
          <w:p w14:paraId="08118617" w14:textId="77777777" w:rsidR="004674C2" w:rsidRPr="00CB1714" w:rsidRDefault="004674C2" w:rsidP="004674C2">
            <w:pPr>
              <w:rPr>
                <w:rFonts w:ascii="Lato" w:hAnsi="Lato"/>
                <w:sz w:val="22"/>
                <w:szCs w:val="22"/>
              </w:rPr>
            </w:pPr>
            <w:r w:rsidRPr="00CB1714">
              <w:rPr>
                <w:rFonts w:ascii="Lato" w:hAnsi="Lato"/>
                <w:sz w:val="22"/>
                <w:szCs w:val="22"/>
              </w:rPr>
              <w:t>requested at least:</w:t>
            </w:r>
          </w:p>
        </w:tc>
        <w:tc>
          <w:tcPr>
            <w:tcW w:w="3188" w:type="dxa"/>
            <w:tcBorders>
              <w:bottom w:val="single" w:sz="4" w:space="0" w:color="auto"/>
            </w:tcBorders>
          </w:tcPr>
          <w:p w14:paraId="2351D389" w14:textId="77777777" w:rsidR="004674C2" w:rsidRPr="00CB1714" w:rsidRDefault="004674C2" w:rsidP="004674C2">
            <w:pPr>
              <w:rPr>
                <w:rFonts w:ascii="Lato" w:hAnsi="Lato"/>
                <w:sz w:val="22"/>
                <w:szCs w:val="22"/>
              </w:rPr>
            </w:pPr>
          </w:p>
        </w:tc>
      </w:tr>
      <w:tr w:rsidR="004674C2" w:rsidRPr="00CB1714" w14:paraId="15DA71A6" w14:textId="77777777" w:rsidTr="00990D73">
        <w:tc>
          <w:tcPr>
            <w:tcW w:w="1316" w:type="dxa"/>
          </w:tcPr>
          <w:p w14:paraId="7649788C"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7BA285F2" w14:textId="77777777" w:rsidR="004674C2" w:rsidRPr="00CB1714" w:rsidRDefault="004674C2" w:rsidP="004674C2">
            <w:pPr>
              <w:rPr>
                <w:rFonts w:ascii="Lato" w:hAnsi="Lato"/>
                <w:sz w:val="22"/>
                <w:szCs w:val="22"/>
              </w:rPr>
            </w:pPr>
            <w:r w:rsidRPr="00CB1714">
              <w:rPr>
                <w:rFonts w:ascii="Lato" w:hAnsi="Lato"/>
                <w:sz w:val="22"/>
                <w:szCs w:val="22"/>
              </w:rPr>
              <w:t>10% of net assets on a monthly basis; or</w:t>
            </w:r>
          </w:p>
        </w:tc>
        <w:tc>
          <w:tcPr>
            <w:tcW w:w="3188" w:type="dxa"/>
            <w:tcBorders>
              <w:top w:val="single" w:sz="4" w:space="0" w:color="auto"/>
              <w:left w:val="single" w:sz="4" w:space="0" w:color="auto"/>
              <w:bottom w:val="single" w:sz="4" w:space="0" w:color="auto"/>
              <w:right w:val="single" w:sz="4" w:space="0" w:color="auto"/>
            </w:tcBorders>
          </w:tcPr>
          <w:p w14:paraId="24F9951E" w14:textId="77777777" w:rsidR="004674C2" w:rsidRPr="00CB1714" w:rsidRDefault="004674C2" w:rsidP="004674C2">
            <w:pPr>
              <w:rPr>
                <w:rFonts w:ascii="Lato" w:hAnsi="Lato"/>
                <w:sz w:val="22"/>
                <w:szCs w:val="22"/>
              </w:rPr>
            </w:pPr>
          </w:p>
        </w:tc>
      </w:tr>
      <w:tr w:rsidR="004674C2" w:rsidRPr="00CB1714" w14:paraId="60F4C104" w14:textId="77777777" w:rsidTr="007E3170">
        <w:tc>
          <w:tcPr>
            <w:tcW w:w="1316" w:type="dxa"/>
          </w:tcPr>
          <w:p w14:paraId="7846A74C" w14:textId="77777777" w:rsidR="004674C2" w:rsidRPr="00CB1714" w:rsidRDefault="004674C2" w:rsidP="004674C2">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498CFF14" w14:textId="77777777" w:rsidR="004674C2" w:rsidRPr="00CB1714" w:rsidRDefault="004674C2" w:rsidP="004674C2">
            <w:pPr>
              <w:rPr>
                <w:rFonts w:ascii="Lato" w:hAnsi="Lato"/>
                <w:sz w:val="22"/>
                <w:szCs w:val="22"/>
              </w:rPr>
            </w:pPr>
            <w:r w:rsidRPr="00CB1714">
              <w:rPr>
                <w:rFonts w:ascii="Lato" w:hAnsi="Lato"/>
                <w:sz w:val="22"/>
                <w:szCs w:val="22"/>
              </w:rPr>
              <w:t>25% of net assets on a quarterly basis</w:t>
            </w:r>
          </w:p>
        </w:tc>
        <w:tc>
          <w:tcPr>
            <w:tcW w:w="3188" w:type="dxa"/>
            <w:tcBorders>
              <w:top w:val="single" w:sz="4" w:space="0" w:color="auto"/>
              <w:left w:val="single" w:sz="4" w:space="0" w:color="auto"/>
              <w:bottom w:val="single" w:sz="4" w:space="0" w:color="auto"/>
              <w:right w:val="single" w:sz="4" w:space="0" w:color="auto"/>
            </w:tcBorders>
          </w:tcPr>
          <w:p w14:paraId="41226E78" w14:textId="77777777" w:rsidR="004674C2" w:rsidRPr="00CB1714" w:rsidRDefault="004674C2" w:rsidP="004674C2">
            <w:pPr>
              <w:rPr>
                <w:rFonts w:ascii="Lato" w:hAnsi="Lato"/>
                <w:sz w:val="22"/>
                <w:szCs w:val="22"/>
              </w:rPr>
            </w:pPr>
          </w:p>
        </w:tc>
      </w:tr>
      <w:tr w:rsidR="004674C2" w:rsidRPr="00CB1714" w14:paraId="3A131D07" w14:textId="77777777" w:rsidTr="007E3170">
        <w:tc>
          <w:tcPr>
            <w:tcW w:w="1316" w:type="dxa"/>
          </w:tcPr>
          <w:p w14:paraId="289DA4F9"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42CEBB39" w14:textId="77777777" w:rsidR="004674C2" w:rsidRPr="00CB1714" w:rsidRDefault="004674C2" w:rsidP="004674C2">
            <w:pPr>
              <w:rPr>
                <w:rFonts w:ascii="Lato" w:hAnsi="Lato"/>
                <w:sz w:val="22"/>
                <w:szCs w:val="22"/>
              </w:rPr>
            </w:pPr>
            <w:r w:rsidRPr="00CB1714">
              <w:rPr>
                <w:rFonts w:ascii="Lato" w:hAnsi="Lato"/>
                <w:sz w:val="22"/>
              </w:rPr>
              <w:t xml:space="preserve">Disclose that any request for redemption on such dealing </w:t>
            </w:r>
          </w:p>
        </w:tc>
        <w:tc>
          <w:tcPr>
            <w:tcW w:w="3188" w:type="dxa"/>
            <w:tcBorders>
              <w:top w:val="single" w:sz="4" w:space="0" w:color="auto"/>
              <w:left w:val="single" w:sz="4" w:space="0" w:color="auto"/>
              <w:bottom w:val="single" w:sz="4" w:space="0" w:color="auto"/>
              <w:right w:val="single" w:sz="4" w:space="0" w:color="auto"/>
            </w:tcBorders>
          </w:tcPr>
          <w:p w14:paraId="0FF16096" w14:textId="77777777" w:rsidR="004674C2" w:rsidRPr="00CB1714" w:rsidRDefault="004674C2" w:rsidP="004674C2">
            <w:pPr>
              <w:rPr>
                <w:rFonts w:ascii="Lato" w:hAnsi="Lato"/>
                <w:sz w:val="22"/>
                <w:szCs w:val="22"/>
              </w:rPr>
            </w:pPr>
          </w:p>
        </w:tc>
      </w:tr>
      <w:tr w:rsidR="004674C2" w:rsidRPr="00CB1714" w14:paraId="63CA9755" w14:textId="77777777" w:rsidTr="007E3170">
        <w:tc>
          <w:tcPr>
            <w:tcW w:w="1316" w:type="dxa"/>
          </w:tcPr>
          <w:p w14:paraId="0A4D7AC6" w14:textId="77777777" w:rsidR="004674C2" w:rsidRPr="00CB1714" w:rsidRDefault="004674C2" w:rsidP="004674C2">
            <w:pPr>
              <w:jc w:val="right"/>
              <w:rPr>
                <w:rFonts w:ascii="Lato" w:hAnsi="Lato"/>
                <w:sz w:val="22"/>
                <w:szCs w:val="22"/>
              </w:rPr>
            </w:pPr>
          </w:p>
        </w:tc>
        <w:tc>
          <w:tcPr>
            <w:tcW w:w="5891" w:type="dxa"/>
          </w:tcPr>
          <w:p w14:paraId="596BC09D" w14:textId="77777777" w:rsidR="004674C2" w:rsidRPr="00CB1714" w:rsidRDefault="004674C2" w:rsidP="004674C2">
            <w:pPr>
              <w:rPr>
                <w:rFonts w:ascii="Lato" w:hAnsi="Lato"/>
                <w:sz w:val="22"/>
              </w:rPr>
            </w:pPr>
            <w:r w:rsidRPr="00F72ED7">
              <w:rPr>
                <w:rFonts w:ascii="Lato" w:hAnsi="Lato"/>
                <w:sz w:val="22"/>
              </w:rPr>
              <w:t xml:space="preserve">day </w:t>
            </w:r>
            <w:r w:rsidRPr="00CB1714">
              <w:rPr>
                <w:rFonts w:ascii="Lato" w:hAnsi="Lato"/>
                <w:sz w:val="22"/>
              </w:rPr>
              <w:t xml:space="preserve">that is above10%/25% of net assets, as appropriate, </w:t>
            </w:r>
          </w:p>
        </w:tc>
        <w:tc>
          <w:tcPr>
            <w:tcW w:w="3188" w:type="dxa"/>
            <w:tcBorders>
              <w:top w:val="single" w:sz="4" w:space="0" w:color="auto"/>
            </w:tcBorders>
          </w:tcPr>
          <w:p w14:paraId="15C93A34" w14:textId="77777777" w:rsidR="004674C2" w:rsidRPr="00CB1714" w:rsidRDefault="004674C2" w:rsidP="004674C2">
            <w:pPr>
              <w:rPr>
                <w:rFonts w:ascii="Lato" w:hAnsi="Lato"/>
                <w:sz w:val="22"/>
                <w:szCs w:val="22"/>
              </w:rPr>
            </w:pPr>
          </w:p>
        </w:tc>
      </w:tr>
      <w:tr w:rsidR="004674C2" w:rsidRPr="00CB1714" w14:paraId="0BFDFA80" w14:textId="77777777" w:rsidTr="007E3170">
        <w:tc>
          <w:tcPr>
            <w:tcW w:w="1316" w:type="dxa"/>
          </w:tcPr>
          <w:p w14:paraId="6E1C8BCA" w14:textId="77777777" w:rsidR="004674C2" w:rsidRPr="00CB1714" w:rsidRDefault="004674C2" w:rsidP="004674C2">
            <w:pPr>
              <w:jc w:val="right"/>
              <w:rPr>
                <w:rFonts w:ascii="Lato" w:hAnsi="Lato"/>
                <w:sz w:val="22"/>
                <w:szCs w:val="22"/>
              </w:rPr>
            </w:pPr>
          </w:p>
        </w:tc>
        <w:tc>
          <w:tcPr>
            <w:tcW w:w="5891" w:type="dxa"/>
          </w:tcPr>
          <w:p w14:paraId="582BC482" w14:textId="77777777" w:rsidR="004674C2" w:rsidRPr="00CB1714" w:rsidRDefault="004674C2" w:rsidP="004674C2">
            <w:pPr>
              <w:rPr>
                <w:rFonts w:ascii="Lato" w:hAnsi="Lato"/>
                <w:sz w:val="22"/>
                <w:szCs w:val="22"/>
              </w:rPr>
            </w:pPr>
            <w:r w:rsidRPr="00F72ED7">
              <w:rPr>
                <w:rFonts w:ascii="Lato" w:hAnsi="Lato"/>
                <w:sz w:val="22"/>
              </w:rPr>
              <w:t xml:space="preserve">shall  </w:t>
            </w:r>
            <w:r w:rsidRPr="00CB1714">
              <w:rPr>
                <w:rFonts w:ascii="Lato" w:hAnsi="Lato"/>
                <w:sz w:val="22"/>
              </w:rPr>
              <w:t>be reduced rateably and disclose clearly the procedure for treatment of unsatisfied redemption requests.  This must be applied consistently throughout the life of the Qualifying Investor AIF</w:t>
            </w:r>
          </w:p>
        </w:tc>
        <w:tc>
          <w:tcPr>
            <w:tcW w:w="3188" w:type="dxa"/>
          </w:tcPr>
          <w:p w14:paraId="221EA072" w14:textId="77777777" w:rsidR="004674C2" w:rsidRPr="00CB1714" w:rsidRDefault="004674C2" w:rsidP="004674C2">
            <w:pPr>
              <w:rPr>
                <w:rFonts w:ascii="Lato" w:hAnsi="Lato"/>
                <w:sz w:val="22"/>
                <w:szCs w:val="22"/>
              </w:rPr>
            </w:pPr>
          </w:p>
        </w:tc>
      </w:tr>
      <w:tr w:rsidR="004674C2" w:rsidRPr="00CB1714" w14:paraId="1778E08E" w14:textId="77777777" w:rsidTr="007E3170">
        <w:tc>
          <w:tcPr>
            <w:tcW w:w="1316" w:type="dxa"/>
          </w:tcPr>
          <w:p w14:paraId="297FC61C" w14:textId="77777777" w:rsidR="004674C2" w:rsidRPr="00CB1714" w:rsidRDefault="004674C2" w:rsidP="004674C2">
            <w:pPr>
              <w:jc w:val="center"/>
              <w:rPr>
                <w:rFonts w:ascii="Lato" w:hAnsi="Lato"/>
                <w:sz w:val="22"/>
                <w:szCs w:val="22"/>
              </w:rPr>
            </w:pPr>
          </w:p>
        </w:tc>
        <w:tc>
          <w:tcPr>
            <w:tcW w:w="5891" w:type="dxa"/>
          </w:tcPr>
          <w:p w14:paraId="25DFF032" w14:textId="77777777" w:rsidR="004674C2" w:rsidRPr="00CB1714" w:rsidRDefault="004674C2" w:rsidP="004674C2">
            <w:pPr>
              <w:rPr>
                <w:rFonts w:ascii="Lato" w:hAnsi="Lato"/>
                <w:sz w:val="22"/>
                <w:szCs w:val="22"/>
              </w:rPr>
            </w:pPr>
          </w:p>
        </w:tc>
        <w:tc>
          <w:tcPr>
            <w:tcW w:w="3188" w:type="dxa"/>
          </w:tcPr>
          <w:p w14:paraId="1B0E87B5" w14:textId="77777777" w:rsidR="004674C2" w:rsidRPr="00CB1714" w:rsidRDefault="004674C2" w:rsidP="004674C2">
            <w:pPr>
              <w:rPr>
                <w:rFonts w:ascii="Lato" w:hAnsi="Lato"/>
                <w:sz w:val="22"/>
                <w:szCs w:val="22"/>
              </w:rPr>
            </w:pPr>
          </w:p>
        </w:tc>
      </w:tr>
      <w:tr w:rsidR="004674C2" w:rsidRPr="00CB1714" w14:paraId="25C58E4E" w14:textId="77777777" w:rsidTr="00A70AEC">
        <w:tc>
          <w:tcPr>
            <w:tcW w:w="1316" w:type="dxa"/>
          </w:tcPr>
          <w:p w14:paraId="134B6B19" w14:textId="77777777" w:rsidR="004674C2" w:rsidRPr="00CB1714" w:rsidRDefault="004674C2" w:rsidP="004674C2">
            <w:pPr>
              <w:jc w:val="center"/>
              <w:rPr>
                <w:rFonts w:ascii="Lato" w:hAnsi="Lato"/>
                <w:sz w:val="22"/>
                <w:szCs w:val="22"/>
              </w:rPr>
            </w:pPr>
            <w:r w:rsidRPr="00CB1714">
              <w:rPr>
                <w:rFonts w:ascii="Lato" w:hAnsi="Lato"/>
                <w:sz w:val="22"/>
                <w:szCs w:val="22"/>
              </w:rPr>
              <w:t>2.13.4</w:t>
            </w:r>
          </w:p>
        </w:tc>
        <w:tc>
          <w:tcPr>
            <w:tcW w:w="5891" w:type="dxa"/>
          </w:tcPr>
          <w:p w14:paraId="4F586ACF" w14:textId="77777777" w:rsidR="004674C2" w:rsidRPr="00CB1714" w:rsidRDefault="004674C2" w:rsidP="004674C2">
            <w:pPr>
              <w:rPr>
                <w:rFonts w:ascii="Lato" w:hAnsi="Lato"/>
                <w:sz w:val="22"/>
                <w:szCs w:val="22"/>
              </w:rPr>
            </w:pPr>
            <w:r w:rsidRPr="00CB1714">
              <w:rPr>
                <w:rFonts w:ascii="Lato" w:hAnsi="Lato"/>
                <w:sz w:val="22"/>
                <w:szCs w:val="22"/>
              </w:rPr>
              <w:t>Open-Ended Qualifying Investor AIF with limited liquidity</w:t>
            </w:r>
          </w:p>
        </w:tc>
        <w:tc>
          <w:tcPr>
            <w:tcW w:w="3188" w:type="dxa"/>
            <w:tcBorders>
              <w:bottom w:val="single" w:sz="4" w:space="0" w:color="auto"/>
            </w:tcBorders>
          </w:tcPr>
          <w:p w14:paraId="0E06610B" w14:textId="77777777" w:rsidR="004674C2" w:rsidRPr="00CB1714" w:rsidRDefault="004674C2" w:rsidP="004674C2">
            <w:pPr>
              <w:rPr>
                <w:rFonts w:ascii="Lato" w:hAnsi="Lato"/>
                <w:sz w:val="22"/>
                <w:szCs w:val="22"/>
              </w:rPr>
            </w:pPr>
          </w:p>
        </w:tc>
      </w:tr>
      <w:tr w:rsidR="004674C2" w:rsidRPr="00CB1714" w14:paraId="07532344" w14:textId="77777777" w:rsidTr="00A70AEC">
        <w:tc>
          <w:tcPr>
            <w:tcW w:w="1316" w:type="dxa"/>
          </w:tcPr>
          <w:p w14:paraId="26F11FBA"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0B5AF0CD" w14:textId="77777777" w:rsidR="004674C2" w:rsidRPr="00CB1714" w:rsidRDefault="004674C2" w:rsidP="004674C2">
            <w:pPr>
              <w:rPr>
                <w:rFonts w:ascii="Lato" w:hAnsi="Lato"/>
                <w:sz w:val="22"/>
                <w:szCs w:val="22"/>
              </w:rPr>
            </w:pPr>
            <w:r w:rsidRPr="00CB1714">
              <w:rPr>
                <w:rFonts w:ascii="Lato" w:hAnsi="Lato"/>
                <w:sz w:val="22"/>
                <w:szCs w:val="22"/>
              </w:rPr>
              <w:t>Disclose the frequency of redemptions</w:t>
            </w:r>
          </w:p>
        </w:tc>
        <w:tc>
          <w:tcPr>
            <w:tcW w:w="3188" w:type="dxa"/>
            <w:tcBorders>
              <w:top w:val="single" w:sz="4" w:space="0" w:color="auto"/>
              <w:left w:val="single" w:sz="4" w:space="0" w:color="auto"/>
              <w:bottom w:val="single" w:sz="4" w:space="0" w:color="auto"/>
              <w:right w:val="single" w:sz="4" w:space="0" w:color="auto"/>
            </w:tcBorders>
          </w:tcPr>
          <w:p w14:paraId="3AD48DDD" w14:textId="77777777" w:rsidR="004674C2" w:rsidRPr="00CB1714" w:rsidRDefault="004674C2" w:rsidP="004674C2">
            <w:pPr>
              <w:rPr>
                <w:rFonts w:ascii="Lato" w:hAnsi="Lato"/>
                <w:sz w:val="22"/>
                <w:szCs w:val="22"/>
              </w:rPr>
            </w:pPr>
          </w:p>
        </w:tc>
      </w:tr>
      <w:tr w:rsidR="004674C2" w:rsidRPr="00CB1714" w14:paraId="7DC7A68E" w14:textId="77777777" w:rsidTr="00A70AEC">
        <w:tc>
          <w:tcPr>
            <w:tcW w:w="1316" w:type="dxa"/>
          </w:tcPr>
          <w:p w14:paraId="1B7CA23A" w14:textId="77777777" w:rsidR="004674C2" w:rsidRPr="00CB1714" w:rsidRDefault="004674C2" w:rsidP="004674C2">
            <w:pPr>
              <w:jc w:val="right"/>
              <w:rPr>
                <w:rFonts w:ascii="Lato" w:hAnsi="Lato"/>
                <w:sz w:val="22"/>
                <w:szCs w:val="22"/>
              </w:rPr>
            </w:pPr>
          </w:p>
        </w:tc>
        <w:tc>
          <w:tcPr>
            <w:tcW w:w="5891" w:type="dxa"/>
          </w:tcPr>
          <w:p w14:paraId="1768393B"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14683BB7" w14:textId="77777777" w:rsidR="004674C2" w:rsidRPr="00CB1714" w:rsidRDefault="004674C2" w:rsidP="004674C2">
            <w:pPr>
              <w:rPr>
                <w:rFonts w:ascii="Lato" w:hAnsi="Lato"/>
                <w:sz w:val="22"/>
                <w:szCs w:val="22"/>
              </w:rPr>
            </w:pPr>
          </w:p>
        </w:tc>
      </w:tr>
      <w:tr w:rsidR="004674C2" w:rsidRPr="00CB1714" w14:paraId="0216E2B7" w14:textId="77777777" w:rsidTr="00A70AEC">
        <w:tc>
          <w:tcPr>
            <w:tcW w:w="1316" w:type="dxa"/>
          </w:tcPr>
          <w:p w14:paraId="6F4D95EF"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0E7DF7E0" w14:textId="77777777" w:rsidR="004674C2" w:rsidRPr="00CB1714" w:rsidRDefault="004674C2" w:rsidP="004674C2">
            <w:pPr>
              <w:rPr>
                <w:rFonts w:ascii="Lato" w:hAnsi="Lato"/>
                <w:sz w:val="22"/>
                <w:szCs w:val="22"/>
              </w:rPr>
            </w:pPr>
            <w:r w:rsidRPr="00CB1714">
              <w:rPr>
                <w:rFonts w:ascii="Lato" w:hAnsi="Lato"/>
                <w:sz w:val="22"/>
                <w:szCs w:val="22"/>
              </w:rPr>
              <w:t>Disclose the minimum redemption quotas</w:t>
            </w:r>
          </w:p>
        </w:tc>
        <w:tc>
          <w:tcPr>
            <w:tcW w:w="3188" w:type="dxa"/>
            <w:tcBorders>
              <w:top w:val="single" w:sz="4" w:space="0" w:color="auto"/>
              <w:left w:val="single" w:sz="4" w:space="0" w:color="auto"/>
              <w:bottom w:val="single" w:sz="4" w:space="0" w:color="auto"/>
              <w:right w:val="single" w:sz="4" w:space="0" w:color="auto"/>
            </w:tcBorders>
          </w:tcPr>
          <w:p w14:paraId="119AFE35" w14:textId="77777777" w:rsidR="004674C2" w:rsidRPr="00CB1714" w:rsidRDefault="004674C2" w:rsidP="004674C2">
            <w:pPr>
              <w:rPr>
                <w:rFonts w:ascii="Lato" w:hAnsi="Lato"/>
                <w:sz w:val="22"/>
                <w:szCs w:val="22"/>
              </w:rPr>
            </w:pPr>
          </w:p>
        </w:tc>
      </w:tr>
      <w:tr w:rsidR="004674C2" w:rsidRPr="00CB1714" w14:paraId="0893A22F" w14:textId="77777777" w:rsidTr="00A70AEC">
        <w:tc>
          <w:tcPr>
            <w:tcW w:w="1316" w:type="dxa"/>
          </w:tcPr>
          <w:p w14:paraId="43044772" w14:textId="77777777" w:rsidR="004674C2" w:rsidRPr="00CB1714" w:rsidRDefault="004674C2" w:rsidP="004674C2">
            <w:pPr>
              <w:jc w:val="center"/>
              <w:rPr>
                <w:rFonts w:ascii="Lato" w:hAnsi="Lato"/>
                <w:sz w:val="22"/>
                <w:szCs w:val="22"/>
              </w:rPr>
            </w:pPr>
          </w:p>
        </w:tc>
        <w:tc>
          <w:tcPr>
            <w:tcW w:w="5891" w:type="dxa"/>
          </w:tcPr>
          <w:p w14:paraId="1635A667"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233D7A90" w14:textId="77777777" w:rsidR="004674C2" w:rsidRPr="00CB1714" w:rsidRDefault="004674C2" w:rsidP="004674C2">
            <w:pPr>
              <w:rPr>
                <w:rFonts w:ascii="Lato" w:hAnsi="Lato"/>
                <w:sz w:val="22"/>
                <w:szCs w:val="22"/>
              </w:rPr>
            </w:pPr>
          </w:p>
        </w:tc>
      </w:tr>
      <w:tr w:rsidR="004674C2" w:rsidRPr="00CB1714" w14:paraId="78535BF0" w14:textId="77777777" w:rsidTr="00990D73">
        <w:tc>
          <w:tcPr>
            <w:tcW w:w="1316" w:type="dxa"/>
          </w:tcPr>
          <w:p w14:paraId="22C19D92" w14:textId="77777777" w:rsidR="004674C2" w:rsidRPr="00CB1714" w:rsidRDefault="004674C2" w:rsidP="004674C2">
            <w:pPr>
              <w:rPr>
                <w:rFonts w:ascii="Lato" w:hAnsi="Lato"/>
                <w:b/>
                <w:sz w:val="22"/>
                <w:szCs w:val="22"/>
              </w:rPr>
            </w:pPr>
            <w:r w:rsidRPr="00CB1714">
              <w:rPr>
                <w:rFonts w:ascii="Lato" w:hAnsi="Lato"/>
                <w:b/>
                <w:sz w:val="22"/>
                <w:szCs w:val="22"/>
              </w:rPr>
              <w:t>2.14</w:t>
            </w:r>
          </w:p>
        </w:tc>
        <w:tc>
          <w:tcPr>
            <w:tcW w:w="5891" w:type="dxa"/>
          </w:tcPr>
          <w:p w14:paraId="78C6C23A" w14:textId="77777777" w:rsidR="004674C2" w:rsidRPr="00CB1714" w:rsidRDefault="004674C2" w:rsidP="004674C2">
            <w:pPr>
              <w:pStyle w:val="Heading1"/>
              <w:spacing w:before="0" w:after="0" w:line="240" w:lineRule="auto"/>
              <w:rPr>
                <w:rFonts w:ascii="Lato" w:hAnsi="Lato"/>
                <w:b/>
                <w:color w:val="auto"/>
                <w:sz w:val="22"/>
                <w:szCs w:val="22"/>
              </w:rPr>
            </w:pPr>
            <w:r w:rsidRPr="00CB1714">
              <w:rPr>
                <w:rFonts w:ascii="Lato" w:hAnsi="Lato"/>
                <w:b/>
                <w:color w:val="auto"/>
                <w:sz w:val="22"/>
                <w:szCs w:val="22"/>
              </w:rPr>
              <w:t xml:space="preserve">Settlement Period </w:t>
            </w:r>
          </w:p>
        </w:tc>
        <w:tc>
          <w:tcPr>
            <w:tcW w:w="3188" w:type="dxa"/>
            <w:tcBorders>
              <w:bottom w:val="single" w:sz="4" w:space="0" w:color="auto"/>
            </w:tcBorders>
          </w:tcPr>
          <w:p w14:paraId="7C162340" w14:textId="77777777" w:rsidR="004674C2" w:rsidRPr="00CB1714" w:rsidRDefault="004674C2" w:rsidP="004674C2">
            <w:pPr>
              <w:rPr>
                <w:rFonts w:ascii="Lato" w:hAnsi="Lato"/>
                <w:b/>
                <w:sz w:val="22"/>
                <w:szCs w:val="22"/>
              </w:rPr>
            </w:pPr>
          </w:p>
        </w:tc>
      </w:tr>
      <w:tr w:rsidR="004674C2" w:rsidRPr="00CB1714" w14:paraId="64122FE9" w14:textId="77777777" w:rsidTr="00990D73">
        <w:tc>
          <w:tcPr>
            <w:tcW w:w="1316" w:type="dxa"/>
          </w:tcPr>
          <w:p w14:paraId="30FAF29C" w14:textId="77777777" w:rsidR="004674C2" w:rsidRPr="00CB1714" w:rsidRDefault="004674C2" w:rsidP="004674C2">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263A1E38"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Disclose the settlement period for the Qualifying Investor AIF</w:t>
            </w:r>
          </w:p>
        </w:tc>
        <w:tc>
          <w:tcPr>
            <w:tcW w:w="3188" w:type="dxa"/>
            <w:tcBorders>
              <w:top w:val="single" w:sz="4" w:space="0" w:color="auto"/>
              <w:left w:val="single" w:sz="4" w:space="0" w:color="auto"/>
              <w:bottom w:val="single" w:sz="4" w:space="0" w:color="auto"/>
              <w:right w:val="single" w:sz="4" w:space="0" w:color="auto"/>
            </w:tcBorders>
          </w:tcPr>
          <w:p w14:paraId="1EA61221" w14:textId="77777777" w:rsidR="004674C2" w:rsidRPr="00CB1714" w:rsidRDefault="004674C2" w:rsidP="004674C2">
            <w:pPr>
              <w:rPr>
                <w:rFonts w:ascii="Lato" w:hAnsi="Lato"/>
                <w:sz w:val="22"/>
                <w:szCs w:val="22"/>
              </w:rPr>
            </w:pPr>
          </w:p>
        </w:tc>
      </w:tr>
      <w:tr w:rsidR="004674C2" w:rsidRPr="00CB1714" w14:paraId="1E6AFC11" w14:textId="77777777" w:rsidTr="00990D73">
        <w:tc>
          <w:tcPr>
            <w:tcW w:w="1316" w:type="dxa"/>
          </w:tcPr>
          <w:p w14:paraId="28C4F921" w14:textId="77777777" w:rsidR="004674C2" w:rsidRPr="00CB1714" w:rsidRDefault="004674C2" w:rsidP="004674C2">
            <w:pPr>
              <w:jc w:val="right"/>
              <w:rPr>
                <w:rFonts w:ascii="Lato" w:hAnsi="Lato"/>
                <w:sz w:val="22"/>
                <w:szCs w:val="22"/>
              </w:rPr>
            </w:pPr>
          </w:p>
        </w:tc>
        <w:tc>
          <w:tcPr>
            <w:tcW w:w="5891" w:type="dxa"/>
          </w:tcPr>
          <w:p w14:paraId="279627A7" w14:textId="77777777" w:rsidR="004674C2" w:rsidRPr="00CB1714" w:rsidRDefault="004674C2" w:rsidP="004674C2">
            <w:pPr>
              <w:pStyle w:val="Heading1"/>
              <w:spacing w:before="0" w:after="0" w:line="240" w:lineRule="auto"/>
              <w:rPr>
                <w:rFonts w:ascii="Lato" w:hAnsi="Lato"/>
                <w:color w:val="auto"/>
                <w:sz w:val="22"/>
                <w:szCs w:val="22"/>
              </w:rPr>
            </w:pPr>
          </w:p>
        </w:tc>
        <w:tc>
          <w:tcPr>
            <w:tcW w:w="3188" w:type="dxa"/>
            <w:tcBorders>
              <w:top w:val="single" w:sz="4" w:space="0" w:color="auto"/>
            </w:tcBorders>
          </w:tcPr>
          <w:p w14:paraId="467C0224" w14:textId="77777777" w:rsidR="004674C2" w:rsidRPr="00CB1714" w:rsidRDefault="004674C2" w:rsidP="004674C2">
            <w:pPr>
              <w:rPr>
                <w:rFonts w:ascii="Lato" w:hAnsi="Lato"/>
                <w:sz w:val="22"/>
                <w:szCs w:val="22"/>
              </w:rPr>
            </w:pPr>
          </w:p>
        </w:tc>
      </w:tr>
      <w:tr w:rsidR="004674C2" w:rsidRPr="00CB1714" w14:paraId="3113690D" w14:textId="77777777" w:rsidTr="007E3170">
        <w:tc>
          <w:tcPr>
            <w:tcW w:w="1316" w:type="dxa"/>
          </w:tcPr>
          <w:p w14:paraId="0954DB9D" w14:textId="77777777" w:rsidR="004674C2" w:rsidRPr="00CB1714" w:rsidRDefault="004674C2" w:rsidP="004674C2">
            <w:pPr>
              <w:jc w:val="right"/>
              <w:rPr>
                <w:rFonts w:ascii="Lato" w:hAnsi="Lato"/>
                <w:sz w:val="22"/>
                <w:szCs w:val="22"/>
              </w:rPr>
            </w:pPr>
            <w:r w:rsidRPr="00CB1714">
              <w:rPr>
                <w:rFonts w:ascii="Lato" w:hAnsi="Lato"/>
                <w:sz w:val="22"/>
                <w:szCs w:val="22"/>
              </w:rPr>
              <w:t>b)</w:t>
            </w:r>
          </w:p>
        </w:tc>
        <w:tc>
          <w:tcPr>
            <w:tcW w:w="5891" w:type="dxa"/>
          </w:tcPr>
          <w:p w14:paraId="1779DBCC" w14:textId="77777777" w:rsidR="004674C2" w:rsidRPr="00CB1714" w:rsidRDefault="004674C2" w:rsidP="004674C2">
            <w:pPr>
              <w:pStyle w:val="Heading1"/>
              <w:spacing w:before="0" w:after="0" w:line="240" w:lineRule="auto"/>
              <w:rPr>
                <w:rFonts w:ascii="Lato" w:hAnsi="Lato"/>
                <w:color w:val="auto"/>
                <w:sz w:val="22"/>
                <w:szCs w:val="22"/>
                <w:u w:val="single"/>
              </w:rPr>
            </w:pPr>
            <w:r w:rsidRPr="00CB1714">
              <w:rPr>
                <w:rFonts w:ascii="Lato" w:hAnsi="Lato"/>
                <w:color w:val="auto"/>
                <w:sz w:val="22"/>
                <w:szCs w:val="22"/>
                <w:u w:val="single"/>
              </w:rPr>
              <w:t>Open-Ended Qualifying Investor AIF</w:t>
            </w:r>
          </w:p>
        </w:tc>
        <w:tc>
          <w:tcPr>
            <w:tcW w:w="3188" w:type="dxa"/>
            <w:tcBorders>
              <w:bottom w:val="single" w:sz="4" w:space="0" w:color="auto"/>
            </w:tcBorders>
          </w:tcPr>
          <w:p w14:paraId="38F1D8B5" w14:textId="77777777" w:rsidR="004674C2" w:rsidRPr="00CB1714" w:rsidRDefault="004674C2" w:rsidP="004674C2">
            <w:pPr>
              <w:rPr>
                <w:rFonts w:ascii="Lato" w:hAnsi="Lato"/>
                <w:b/>
                <w:sz w:val="22"/>
                <w:szCs w:val="22"/>
              </w:rPr>
            </w:pPr>
          </w:p>
        </w:tc>
      </w:tr>
      <w:tr w:rsidR="004674C2" w:rsidRPr="00CB1714" w14:paraId="4F484BBA" w14:textId="77777777" w:rsidTr="007E3170">
        <w:tc>
          <w:tcPr>
            <w:tcW w:w="1316" w:type="dxa"/>
          </w:tcPr>
          <w:p w14:paraId="50B1F4A2"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5602CDAE"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lang w:val="en-IE"/>
              </w:rPr>
              <w:t xml:space="preserve">Must not exceed 90 calendar days from </w:t>
            </w:r>
          </w:p>
        </w:tc>
        <w:tc>
          <w:tcPr>
            <w:tcW w:w="3188" w:type="dxa"/>
            <w:tcBorders>
              <w:top w:val="single" w:sz="4" w:space="0" w:color="auto"/>
              <w:left w:val="single" w:sz="4" w:space="0" w:color="auto"/>
              <w:bottom w:val="single" w:sz="4" w:space="0" w:color="auto"/>
              <w:right w:val="single" w:sz="4" w:space="0" w:color="auto"/>
            </w:tcBorders>
          </w:tcPr>
          <w:p w14:paraId="44997C74" w14:textId="77777777" w:rsidR="004674C2" w:rsidRPr="00CB1714" w:rsidRDefault="004674C2" w:rsidP="004674C2">
            <w:pPr>
              <w:rPr>
                <w:rFonts w:ascii="Lato" w:hAnsi="Lato"/>
                <w:b/>
                <w:sz w:val="22"/>
                <w:szCs w:val="22"/>
              </w:rPr>
            </w:pPr>
          </w:p>
        </w:tc>
      </w:tr>
      <w:tr w:rsidR="004674C2" w:rsidRPr="00CB1714" w14:paraId="3F972011" w14:textId="77777777" w:rsidTr="007E3170">
        <w:tc>
          <w:tcPr>
            <w:tcW w:w="1316" w:type="dxa"/>
          </w:tcPr>
          <w:p w14:paraId="238DF364" w14:textId="77777777" w:rsidR="004674C2" w:rsidRPr="00CB1714" w:rsidRDefault="004674C2" w:rsidP="004674C2">
            <w:pPr>
              <w:jc w:val="right"/>
              <w:rPr>
                <w:rFonts w:ascii="Lato" w:hAnsi="Lato"/>
                <w:sz w:val="22"/>
                <w:szCs w:val="22"/>
              </w:rPr>
            </w:pPr>
          </w:p>
        </w:tc>
        <w:tc>
          <w:tcPr>
            <w:tcW w:w="5891" w:type="dxa"/>
          </w:tcPr>
          <w:p w14:paraId="17BF0E7C"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lang w:val="en-IE"/>
              </w:rPr>
              <w:t xml:space="preserve">submission of redemption request to </w:t>
            </w:r>
            <w:r w:rsidRPr="00CB1714">
              <w:rPr>
                <w:rFonts w:ascii="Lato" w:hAnsi="Lato"/>
                <w:color w:val="auto"/>
                <w:sz w:val="22"/>
                <w:szCs w:val="22"/>
              </w:rPr>
              <w:t>payment of settlement proceeds</w:t>
            </w:r>
          </w:p>
        </w:tc>
        <w:tc>
          <w:tcPr>
            <w:tcW w:w="3188" w:type="dxa"/>
            <w:tcBorders>
              <w:top w:val="single" w:sz="4" w:space="0" w:color="auto"/>
            </w:tcBorders>
          </w:tcPr>
          <w:p w14:paraId="179B65A5" w14:textId="77777777" w:rsidR="004674C2" w:rsidRPr="00CB1714" w:rsidRDefault="004674C2" w:rsidP="004674C2">
            <w:pPr>
              <w:rPr>
                <w:rFonts w:ascii="Lato" w:hAnsi="Lato"/>
                <w:b/>
                <w:sz w:val="22"/>
                <w:szCs w:val="22"/>
              </w:rPr>
            </w:pPr>
          </w:p>
        </w:tc>
      </w:tr>
      <w:tr w:rsidR="004674C2" w:rsidRPr="00CB1714" w14:paraId="74A3B32B" w14:textId="77777777" w:rsidTr="00990D73">
        <w:tc>
          <w:tcPr>
            <w:tcW w:w="1316" w:type="dxa"/>
          </w:tcPr>
          <w:p w14:paraId="23B5FDB3" w14:textId="77777777" w:rsidR="004674C2" w:rsidRPr="00CB1714" w:rsidRDefault="004674C2" w:rsidP="004674C2">
            <w:pPr>
              <w:jc w:val="right"/>
              <w:rPr>
                <w:rFonts w:ascii="Lato" w:hAnsi="Lato"/>
                <w:sz w:val="22"/>
                <w:szCs w:val="22"/>
              </w:rPr>
            </w:pPr>
          </w:p>
        </w:tc>
        <w:tc>
          <w:tcPr>
            <w:tcW w:w="5891" w:type="dxa"/>
          </w:tcPr>
          <w:p w14:paraId="17D2877C" w14:textId="77777777" w:rsidR="004674C2" w:rsidRPr="00CB1714" w:rsidRDefault="004674C2" w:rsidP="004674C2">
            <w:pPr>
              <w:pStyle w:val="Heading1"/>
              <w:spacing w:before="0" w:after="0" w:line="240" w:lineRule="auto"/>
              <w:rPr>
                <w:rFonts w:ascii="Lato" w:hAnsi="Lato"/>
                <w:color w:val="auto"/>
                <w:sz w:val="22"/>
                <w:szCs w:val="22"/>
              </w:rPr>
            </w:pPr>
          </w:p>
        </w:tc>
        <w:tc>
          <w:tcPr>
            <w:tcW w:w="3188" w:type="dxa"/>
          </w:tcPr>
          <w:p w14:paraId="02A45028" w14:textId="77777777" w:rsidR="004674C2" w:rsidRPr="00CB1714" w:rsidRDefault="004674C2" w:rsidP="004674C2">
            <w:pPr>
              <w:rPr>
                <w:rFonts w:ascii="Lato" w:hAnsi="Lato"/>
                <w:b/>
                <w:sz w:val="22"/>
                <w:szCs w:val="22"/>
              </w:rPr>
            </w:pPr>
          </w:p>
        </w:tc>
      </w:tr>
      <w:tr w:rsidR="004674C2" w:rsidRPr="00CB1714" w14:paraId="3AA55398" w14:textId="77777777" w:rsidTr="00990D73">
        <w:tc>
          <w:tcPr>
            <w:tcW w:w="1316" w:type="dxa"/>
          </w:tcPr>
          <w:p w14:paraId="471D7202" w14:textId="77777777" w:rsidR="004674C2" w:rsidRPr="00CB1714" w:rsidRDefault="004674C2" w:rsidP="004674C2">
            <w:pPr>
              <w:jc w:val="right"/>
              <w:rPr>
                <w:rFonts w:ascii="Lato" w:hAnsi="Lato"/>
                <w:sz w:val="22"/>
                <w:szCs w:val="22"/>
              </w:rPr>
            </w:pPr>
            <w:r w:rsidRPr="00CB1714">
              <w:rPr>
                <w:rFonts w:ascii="Lato" w:hAnsi="Lato"/>
                <w:sz w:val="22"/>
                <w:szCs w:val="22"/>
              </w:rPr>
              <w:t>c)</w:t>
            </w:r>
          </w:p>
        </w:tc>
        <w:tc>
          <w:tcPr>
            <w:tcW w:w="5891" w:type="dxa"/>
          </w:tcPr>
          <w:p w14:paraId="4FAB8B2C" w14:textId="77777777" w:rsidR="004674C2" w:rsidRPr="00CB1714" w:rsidRDefault="004674C2" w:rsidP="004674C2">
            <w:pPr>
              <w:pStyle w:val="Heading1"/>
              <w:spacing w:before="0" w:after="0" w:line="240" w:lineRule="auto"/>
              <w:rPr>
                <w:rFonts w:ascii="Lato" w:hAnsi="Lato"/>
                <w:color w:val="auto"/>
                <w:sz w:val="22"/>
                <w:szCs w:val="22"/>
                <w:u w:val="single"/>
              </w:rPr>
            </w:pPr>
            <w:r w:rsidRPr="00CB1714">
              <w:rPr>
                <w:rFonts w:ascii="Lato" w:hAnsi="Lato"/>
                <w:color w:val="auto"/>
                <w:sz w:val="22"/>
                <w:szCs w:val="22"/>
                <w:u w:val="single"/>
              </w:rPr>
              <w:t>Open-ended with Limited Liquidity Qualifying Investor AIF</w:t>
            </w:r>
          </w:p>
        </w:tc>
        <w:tc>
          <w:tcPr>
            <w:tcW w:w="3188" w:type="dxa"/>
            <w:tcBorders>
              <w:bottom w:val="single" w:sz="4" w:space="0" w:color="auto"/>
            </w:tcBorders>
          </w:tcPr>
          <w:p w14:paraId="0306E5AA" w14:textId="77777777" w:rsidR="004674C2" w:rsidRPr="00CB1714" w:rsidRDefault="004674C2" w:rsidP="004674C2">
            <w:pPr>
              <w:rPr>
                <w:rFonts w:ascii="Lato" w:hAnsi="Lato"/>
                <w:b/>
                <w:sz w:val="22"/>
                <w:szCs w:val="22"/>
              </w:rPr>
            </w:pPr>
          </w:p>
        </w:tc>
      </w:tr>
      <w:tr w:rsidR="004674C2" w:rsidRPr="00CB1714" w14:paraId="20FFA776" w14:textId="77777777" w:rsidTr="00990D73">
        <w:tc>
          <w:tcPr>
            <w:tcW w:w="1316" w:type="dxa"/>
          </w:tcPr>
          <w:p w14:paraId="7384C7D5" w14:textId="77777777" w:rsidR="004674C2" w:rsidRPr="00CB1714" w:rsidRDefault="004674C2" w:rsidP="004674C2">
            <w:pPr>
              <w:jc w:val="right"/>
              <w:rPr>
                <w:rFonts w:ascii="Lato" w:hAnsi="Lato"/>
                <w:b/>
                <w:sz w:val="22"/>
                <w:szCs w:val="22"/>
              </w:rPr>
            </w:pPr>
          </w:p>
        </w:tc>
        <w:tc>
          <w:tcPr>
            <w:tcW w:w="5891" w:type="dxa"/>
            <w:tcBorders>
              <w:right w:val="single" w:sz="4" w:space="0" w:color="auto"/>
            </w:tcBorders>
          </w:tcPr>
          <w:p w14:paraId="47F33083"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Where a Qualifying Investor AIF offers redemption and/or </w:t>
            </w:r>
          </w:p>
        </w:tc>
        <w:tc>
          <w:tcPr>
            <w:tcW w:w="3188" w:type="dxa"/>
            <w:tcBorders>
              <w:top w:val="single" w:sz="4" w:space="0" w:color="auto"/>
              <w:left w:val="single" w:sz="4" w:space="0" w:color="auto"/>
              <w:bottom w:val="single" w:sz="4" w:space="0" w:color="auto"/>
              <w:right w:val="single" w:sz="4" w:space="0" w:color="auto"/>
            </w:tcBorders>
          </w:tcPr>
          <w:p w14:paraId="5798EE6D" w14:textId="77777777" w:rsidR="004674C2" w:rsidRPr="00CB1714" w:rsidRDefault="004674C2" w:rsidP="004674C2">
            <w:pPr>
              <w:rPr>
                <w:rFonts w:ascii="Lato" w:hAnsi="Lato"/>
                <w:b/>
                <w:sz w:val="22"/>
                <w:szCs w:val="22"/>
              </w:rPr>
            </w:pPr>
          </w:p>
        </w:tc>
      </w:tr>
      <w:tr w:rsidR="004674C2" w:rsidRPr="00CB1714" w14:paraId="0591261A" w14:textId="77777777" w:rsidTr="00990D73">
        <w:tc>
          <w:tcPr>
            <w:tcW w:w="1316" w:type="dxa"/>
          </w:tcPr>
          <w:p w14:paraId="0AC827DF" w14:textId="77777777" w:rsidR="004674C2" w:rsidRPr="00CB1714" w:rsidRDefault="004674C2" w:rsidP="004674C2">
            <w:pPr>
              <w:jc w:val="right"/>
              <w:rPr>
                <w:rFonts w:ascii="Lato" w:hAnsi="Lato"/>
                <w:b/>
                <w:sz w:val="22"/>
                <w:szCs w:val="22"/>
              </w:rPr>
            </w:pPr>
          </w:p>
        </w:tc>
        <w:tc>
          <w:tcPr>
            <w:tcW w:w="5891" w:type="dxa"/>
          </w:tcPr>
          <w:p w14:paraId="3BAE4CDC"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settlement facilities on a less than quarterly basis: or</w:t>
            </w:r>
          </w:p>
        </w:tc>
        <w:tc>
          <w:tcPr>
            <w:tcW w:w="3188" w:type="dxa"/>
            <w:tcBorders>
              <w:top w:val="single" w:sz="4" w:space="0" w:color="auto"/>
            </w:tcBorders>
          </w:tcPr>
          <w:p w14:paraId="28C76C44" w14:textId="77777777" w:rsidR="004674C2" w:rsidRPr="00CB1714" w:rsidRDefault="004674C2" w:rsidP="004674C2">
            <w:pPr>
              <w:rPr>
                <w:rFonts w:ascii="Lato" w:hAnsi="Lato"/>
                <w:b/>
                <w:sz w:val="22"/>
                <w:szCs w:val="22"/>
              </w:rPr>
            </w:pPr>
          </w:p>
        </w:tc>
      </w:tr>
      <w:tr w:rsidR="004674C2" w:rsidRPr="00CB1714" w14:paraId="08248C68" w14:textId="77777777" w:rsidTr="00990D73">
        <w:tc>
          <w:tcPr>
            <w:tcW w:w="1316" w:type="dxa"/>
          </w:tcPr>
          <w:p w14:paraId="2C6F6C2B" w14:textId="77777777" w:rsidR="004674C2" w:rsidRPr="00CB1714" w:rsidRDefault="004674C2" w:rsidP="004674C2">
            <w:pPr>
              <w:jc w:val="right"/>
              <w:rPr>
                <w:rFonts w:ascii="Lato" w:hAnsi="Lato"/>
                <w:b/>
                <w:sz w:val="22"/>
                <w:szCs w:val="22"/>
              </w:rPr>
            </w:pPr>
          </w:p>
        </w:tc>
        <w:tc>
          <w:tcPr>
            <w:tcW w:w="5891" w:type="dxa"/>
          </w:tcPr>
          <w:p w14:paraId="4995745A"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 xml:space="preserve">provides for a period of greater than 90 days between the </w:t>
            </w:r>
          </w:p>
        </w:tc>
        <w:tc>
          <w:tcPr>
            <w:tcW w:w="3188" w:type="dxa"/>
          </w:tcPr>
          <w:p w14:paraId="059D8C85" w14:textId="77777777" w:rsidR="004674C2" w:rsidRPr="00CB1714" w:rsidRDefault="004674C2" w:rsidP="004674C2">
            <w:pPr>
              <w:rPr>
                <w:rFonts w:ascii="Lato" w:hAnsi="Lato"/>
                <w:b/>
                <w:sz w:val="22"/>
                <w:szCs w:val="22"/>
              </w:rPr>
            </w:pPr>
          </w:p>
        </w:tc>
      </w:tr>
      <w:tr w:rsidR="004674C2" w:rsidRPr="00CB1714" w14:paraId="281FBB76" w14:textId="77777777" w:rsidTr="007E3170">
        <w:trPr>
          <w:cantSplit/>
          <w:trHeight w:val="255"/>
        </w:trPr>
        <w:tc>
          <w:tcPr>
            <w:tcW w:w="1316" w:type="dxa"/>
          </w:tcPr>
          <w:p w14:paraId="7D2B2D32" w14:textId="77777777" w:rsidR="004674C2" w:rsidRPr="00CB1714" w:rsidRDefault="004674C2" w:rsidP="004674C2">
            <w:pPr>
              <w:jc w:val="right"/>
              <w:rPr>
                <w:rFonts w:ascii="Lato" w:hAnsi="Lato"/>
                <w:sz w:val="22"/>
                <w:szCs w:val="22"/>
              </w:rPr>
            </w:pPr>
          </w:p>
        </w:tc>
        <w:tc>
          <w:tcPr>
            <w:tcW w:w="5891" w:type="dxa"/>
          </w:tcPr>
          <w:p w14:paraId="7C71D8F0" w14:textId="77777777" w:rsidR="004674C2" w:rsidRPr="00CB1714" w:rsidRDefault="004674C2" w:rsidP="004674C2">
            <w:pPr>
              <w:jc w:val="both"/>
              <w:rPr>
                <w:rFonts w:ascii="Lato" w:hAnsi="Lato"/>
                <w:sz w:val="22"/>
                <w:szCs w:val="22"/>
              </w:rPr>
            </w:pPr>
            <w:r w:rsidRPr="00CB1714">
              <w:rPr>
                <w:rFonts w:ascii="Lato" w:hAnsi="Lato"/>
                <w:sz w:val="22"/>
                <w:szCs w:val="22"/>
              </w:rPr>
              <w:t>dealing deadline and the payment of redemption proceeds:</w:t>
            </w:r>
          </w:p>
        </w:tc>
        <w:tc>
          <w:tcPr>
            <w:tcW w:w="3188" w:type="dxa"/>
            <w:tcBorders>
              <w:bottom w:val="single" w:sz="4" w:space="0" w:color="auto"/>
            </w:tcBorders>
          </w:tcPr>
          <w:p w14:paraId="369C601B" w14:textId="77777777" w:rsidR="004674C2" w:rsidRPr="00CB1714" w:rsidRDefault="004674C2" w:rsidP="004674C2">
            <w:pPr>
              <w:rPr>
                <w:rFonts w:ascii="Lato" w:hAnsi="Lato"/>
                <w:sz w:val="22"/>
                <w:szCs w:val="22"/>
              </w:rPr>
            </w:pPr>
          </w:p>
        </w:tc>
      </w:tr>
      <w:tr w:rsidR="004674C2" w:rsidRPr="00CB1714" w14:paraId="3D180B0A" w14:textId="77777777" w:rsidTr="007E3170">
        <w:trPr>
          <w:cantSplit/>
          <w:trHeight w:val="255"/>
        </w:trPr>
        <w:tc>
          <w:tcPr>
            <w:tcW w:w="1316" w:type="dxa"/>
          </w:tcPr>
          <w:p w14:paraId="64675490" w14:textId="77777777" w:rsidR="004674C2" w:rsidRPr="00CB1714" w:rsidRDefault="004674C2" w:rsidP="004674C2">
            <w:pPr>
              <w:jc w:val="right"/>
              <w:rPr>
                <w:rFonts w:ascii="Lato" w:hAnsi="Lato"/>
                <w:sz w:val="22"/>
                <w:szCs w:val="22"/>
              </w:rPr>
            </w:pPr>
          </w:p>
        </w:tc>
        <w:tc>
          <w:tcPr>
            <w:tcW w:w="5891" w:type="dxa"/>
            <w:tcBorders>
              <w:right w:val="single" w:sz="4" w:space="0" w:color="auto"/>
            </w:tcBorders>
          </w:tcPr>
          <w:p w14:paraId="6B240914" w14:textId="77777777" w:rsidR="004674C2" w:rsidRPr="00CB1714" w:rsidRDefault="004674C2" w:rsidP="004674C2">
            <w:pPr>
              <w:jc w:val="both"/>
              <w:rPr>
                <w:rFonts w:ascii="Lato" w:hAnsi="Lato"/>
                <w:sz w:val="22"/>
                <w:szCs w:val="22"/>
              </w:rPr>
            </w:pPr>
            <w:r w:rsidRPr="00CB1714">
              <w:rPr>
                <w:rFonts w:ascii="Lato" w:hAnsi="Lato"/>
                <w:sz w:val="22"/>
                <w:szCs w:val="22"/>
              </w:rPr>
              <w:t xml:space="preserve">The Qualifying Investor AIF classifies itself as </w:t>
            </w:r>
          </w:p>
        </w:tc>
        <w:tc>
          <w:tcPr>
            <w:tcW w:w="3188" w:type="dxa"/>
            <w:tcBorders>
              <w:top w:val="single" w:sz="4" w:space="0" w:color="auto"/>
              <w:left w:val="single" w:sz="4" w:space="0" w:color="auto"/>
              <w:bottom w:val="single" w:sz="4" w:space="0" w:color="auto"/>
              <w:right w:val="single" w:sz="4" w:space="0" w:color="auto"/>
            </w:tcBorders>
          </w:tcPr>
          <w:p w14:paraId="607D2C44" w14:textId="77777777" w:rsidR="004674C2" w:rsidRPr="00CB1714" w:rsidRDefault="004674C2" w:rsidP="004674C2">
            <w:pPr>
              <w:rPr>
                <w:rFonts w:ascii="Lato" w:hAnsi="Lato"/>
                <w:sz w:val="22"/>
                <w:szCs w:val="22"/>
              </w:rPr>
            </w:pPr>
          </w:p>
        </w:tc>
      </w:tr>
      <w:tr w:rsidR="004674C2" w:rsidRPr="00CB1714" w14:paraId="58260D51" w14:textId="77777777" w:rsidTr="007E3170">
        <w:trPr>
          <w:cantSplit/>
          <w:trHeight w:val="255"/>
        </w:trPr>
        <w:tc>
          <w:tcPr>
            <w:tcW w:w="1316" w:type="dxa"/>
          </w:tcPr>
          <w:p w14:paraId="5E6C4C68" w14:textId="77777777" w:rsidR="004674C2" w:rsidRPr="00CB1714" w:rsidRDefault="004674C2" w:rsidP="004674C2">
            <w:pPr>
              <w:jc w:val="right"/>
              <w:rPr>
                <w:rFonts w:ascii="Lato" w:hAnsi="Lato"/>
                <w:sz w:val="22"/>
                <w:szCs w:val="22"/>
              </w:rPr>
            </w:pPr>
          </w:p>
        </w:tc>
        <w:tc>
          <w:tcPr>
            <w:tcW w:w="5891" w:type="dxa"/>
          </w:tcPr>
          <w:p w14:paraId="7BBC2072" w14:textId="77777777" w:rsidR="004674C2" w:rsidRPr="00CB1714" w:rsidRDefault="004674C2" w:rsidP="004674C2">
            <w:pPr>
              <w:jc w:val="both"/>
              <w:rPr>
                <w:rFonts w:ascii="Lato" w:hAnsi="Lato"/>
                <w:sz w:val="22"/>
                <w:szCs w:val="22"/>
              </w:rPr>
            </w:pPr>
            <w:r w:rsidRPr="00CB1714">
              <w:rPr>
                <w:rFonts w:ascii="Lato" w:hAnsi="Lato"/>
                <w:sz w:val="22"/>
                <w:szCs w:val="22"/>
              </w:rPr>
              <w:t>open-ended with limited liquidity.</w:t>
            </w:r>
          </w:p>
        </w:tc>
        <w:tc>
          <w:tcPr>
            <w:tcW w:w="3188" w:type="dxa"/>
            <w:tcBorders>
              <w:top w:val="single" w:sz="4" w:space="0" w:color="auto"/>
            </w:tcBorders>
          </w:tcPr>
          <w:p w14:paraId="7B35C07A" w14:textId="77777777" w:rsidR="004674C2" w:rsidRPr="00CB1714" w:rsidRDefault="004674C2" w:rsidP="004674C2">
            <w:pPr>
              <w:rPr>
                <w:rFonts w:ascii="Lato" w:hAnsi="Lato"/>
                <w:sz w:val="22"/>
                <w:szCs w:val="22"/>
              </w:rPr>
            </w:pPr>
          </w:p>
        </w:tc>
      </w:tr>
      <w:tr w:rsidR="004674C2" w:rsidRPr="00CB1714" w14:paraId="741155E9" w14:textId="77777777" w:rsidTr="00990D73">
        <w:trPr>
          <w:cantSplit/>
          <w:trHeight w:val="255"/>
        </w:trPr>
        <w:tc>
          <w:tcPr>
            <w:tcW w:w="1316" w:type="dxa"/>
          </w:tcPr>
          <w:p w14:paraId="46D9C626" w14:textId="77777777" w:rsidR="004674C2" w:rsidRPr="00CB1714" w:rsidRDefault="004674C2" w:rsidP="004674C2">
            <w:pPr>
              <w:jc w:val="right"/>
              <w:rPr>
                <w:rFonts w:ascii="Lato" w:hAnsi="Lato"/>
                <w:sz w:val="22"/>
                <w:szCs w:val="22"/>
              </w:rPr>
            </w:pPr>
          </w:p>
        </w:tc>
        <w:tc>
          <w:tcPr>
            <w:tcW w:w="5891" w:type="dxa"/>
          </w:tcPr>
          <w:p w14:paraId="2B9384F6" w14:textId="77777777" w:rsidR="004674C2" w:rsidRPr="00CB1714" w:rsidRDefault="004674C2" w:rsidP="004674C2">
            <w:pPr>
              <w:jc w:val="both"/>
              <w:rPr>
                <w:rFonts w:ascii="Lato" w:hAnsi="Lato"/>
                <w:sz w:val="22"/>
                <w:szCs w:val="22"/>
              </w:rPr>
            </w:pPr>
          </w:p>
        </w:tc>
        <w:tc>
          <w:tcPr>
            <w:tcW w:w="3188" w:type="dxa"/>
          </w:tcPr>
          <w:p w14:paraId="55608D16" w14:textId="77777777" w:rsidR="004674C2" w:rsidRPr="00CB1714" w:rsidRDefault="004674C2" w:rsidP="004674C2">
            <w:pPr>
              <w:rPr>
                <w:rFonts w:ascii="Lato" w:hAnsi="Lato"/>
                <w:sz w:val="22"/>
                <w:szCs w:val="22"/>
              </w:rPr>
            </w:pPr>
          </w:p>
        </w:tc>
      </w:tr>
      <w:tr w:rsidR="004674C2" w:rsidRPr="00CB1714" w14:paraId="764CBAB8" w14:textId="77777777" w:rsidTr="00990D73">
        <w:trPr>
          <w:cantSplit/>
          <w:trHeight w:val="255"/>
        </w:trPr>
        <w:tc>
          <w:tcPr>
            <w:tcW w:w="1316" w:type="dxa"/>
          </w:tcPr>
          <w:p w14:paraId="5819D270" w14:textId="77777777" w:rsidR="004674C2" w:rsidRPr="00CB1714" w:rsidRDefault="004674C2" w:rsidP="004674C2">
            <w:pPr>
              <w:jc w:val="right"/>
              <w:rPr>
                <w:rFonts w:ascii="Lato" w:hAnsi="Lato"/>
                <w:sz w:val="22"/>
                <w:szCs w:val="22"/>
              </w:rPr>
            </w:pPr>
            <w:r w:rsidRPr="00CB1714">
              <w:rPr>
                <w:rFonts w:ascii="Lato" w:hAnsi="Lato"/>
                <w:sz w:val="22"/>
                <w:szCs w:val="22"/>
              </w:rPr>
              <w:t>d)</w:t>
            </w:r>
          </w:p>
        </w:tc>
        <w:tc>
          <w:tcPr>
            <w:tcW w:w="5891" w:type="dxa"/>
          </w:tcPr>
          <w:p w14:paraId="71AB0A32" w14:textId="77777777" w:rsidR="004674C2" w:rsidRPr="00CB1714" w:rsidRDefault="004674C2" w:rsidP="004674C2">
            <w:pPr>
              <w:jc w:val="both"/>
              <w:rPr>
                <w:rFonts w:ascii="Lato" w:hAnsi="Lato"/>
                <w:sz w:val="22"/>
                <w:szCs w:val="22"/>
                <w:u w:val="single"/>
              </w:rPr>
            </w:pPr>
            <w:r w:rsidRPr="00CB1714">
              <w:rPr>
                <w:rFonts w:ascii="Lato" w:hAnsi="Lato"/>
                <w:sz w:val="22"/>
                <w:szCs w:val="22"/>
                <w:u w:val="single"/>
              </w:rPr>
              <w:t>Qualifying Investor AIF that invests in other investment funds</w:t>
            </w:r>
          </w:p>
        </w:tc>
        <w:tc>
          <w:tcPr>
            <w:tcW w:w="3188" w:type="dxa"/>
            <w:tcBorders>
              <w:bottom w:val="single" w:sz="4" w:space="0" w:color="auto"/>
            </w:tcBorders>
          </w:tcPr>
          <w:p w14:paraId="49B31580" w14:textId="77777777" w:rsidR="004674C2" w:rsidRPr="00CB1714" w:rsidRDefault="004674C2" w:rsidP="004674C2">
            <w:pPr>
              <w:rPr>
                <w:rFonts w:ascii="Lato" w:hAnsi="Lato"/>
                <w:sz w:val="22"/>
                <w:szCs w:val="22"/>
              </w:rPr>
            </w:pPr>
          </w:p>
        </w:tc>
      </w:tr>
      <w:tr w:rsidR="004674C2" w:rsidRPr="00CB1714" w14:paraId="69BF70FB" w14:textId="77777777" w:rsidTr="00990D73">
        <w:trPr>
          <w:cantSplit/>
          <w:trHeight w:val="255"/>
        </w:trPr>
        <w:tc>
          <w:tcPr>
            <w:tcW w:w="1316" w:type="dxa"/>
          </w:tcPr>
          <w:p w14:paraId="78A42245"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4BC3B3F7" w14:textId="77777777" w:rsidR="004674C2" w:rsidRPr="00CB1714" w:rsidRDefault="004674C2" w:rsidP="004674C2">
            <w:pPr>
              <w:jc w:val="both"/>
              <w:rPr>
                <w:rFonts w:ascii="Lato" w:hAnsi="Lato"/>
                <w:sz w:val="22"/>
                <w:szCs w:val="22"/>
              </w:rPr>
            </w:pPr>
            <w:r w:rsidRPr="00CB1714">
              <w:rPr>
                <w:rFonts w:ascii="Lato" w:hAnsi="Lato"/>
                <w:sz w:val="22"/>
                <w:szCs w:val="22"/>
              </w:rPr>
              <w:t>The period is not longer than 95 calendar days</w:t>
            </w:r>
          </w:p>
        </w:tc>
        <w:tc>
          <w:tcPr>
            <w:tcW w:w="3188" w:type="dxa"/>
            <w:tcBorders>
              <w:top w:val="single" w:sz="4" w:space="0" w:color="auto"/>
              <w:left w:val="single" w:sz="4" w:space="0" w:color="auto"/>
              <w:bottom w:val="single" w:sz="4" w:space="0" w:color="auto"/>
              <w:right w:val="single" w:sz="4" w:space="0" w:color="auto"/>
            </w:tcBorders>
          </w:tcPr>
          <w:p w14:paraId="2DDBF129" w14:textId="77777777" w:rsidR="004674C2" w:rsidRPr="00CB1714" w:rsidRDefault="004674C2" w:rsidP="004674C2">
            <w:pPr>
              <w:rPr>
                <w:rFonts w:ascii="Lato" w:hAnsi="Lato"/>
                <w:sz w:val="22"/>
                <w:szCs w:val="22"/>
              </w:rPr>
            </w:pPr>
          </w:p>
        </w:tc>
      </w:tr>
      <w:tr w:rsidR="004674C2" w:rsidRPr="00CB1714" w14:paraId="3E21B087" w14:textId="77777777" w:rsidTr="00990D73">
        <w:trPr>
          <w:cantSplit/>
          <w:trHeight w:val="255"/>
        </w:trPr>
        <w:tc>
          <w:tcPr>
            <w:tcW w:w="1316" w:type="dxa"/>
          </w:tcPr>
          <w:p w14:paraId="705E4B23" w14:textId="77777777" w:rsidR="004674C2" w:rsidRPr="00CB1714" w:rsidRDefault="004674C2" w:rsidP="004674C2">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6C756484" w14:textId="77777777" w:rsidR="004674C2" w:rsidRPr="00CB1714" w:rsidRDefault="004674C2" w:rsidP="004674C2">
            <w:pPr>
              <w:jc w:val="both"/>
              <w:rPr>
                <w:rFonts w:ascii="Lato" w:hAnsi="Lato"/>
                <w:sz w:val="22"/>
                <w:szCs w:val="22"/>
              </w:rPr>
            </w:pPr>
            <w:r w:rsidRPr="00CB1714">
              <w:rPr>
                <w:rFonts w:ascii="Lato" w:hAnsi="Lato"/>
                <w:sz w:val="22"/>
                <w:szCs w:val="22"/>
              </w:rPr>
              <w:t xml:space="preserve">Where the Qualifying Investor AIF, deals more frequently </w:t>
            </w:r>
          </w:p>
        </w:tc>
        <w:tc>
          <w:tcPr>
            <w:tcW w:w="3188" w:type="dxa"/>
            <w:tcBorders>
              <w:top w:val="single" w:sz="4" w:space="0" w:color="auto"/>
              <w:left w:val="single" w:sz="4" w:space="0" w:color="auto"/>
              <w:bottom w:val="single" w:sz="4" w:space="0" w:color="auto"/>
              <w:right w:val="single" w:sz="4" w:space="0" w:color="auto"/>
            </w:tcBorders>
          </w:tcPr>
          <w:p w14:paraId="6E9DFDE2" w14:textId="77777777" w:rsidR="004674C2" w:rsidRPr="00CB1714" w:rsidRDefault="004674C2" w:rsidP="004674C2">
            <w:pPr>
              <w:rPr>
                <w:rFonts w:ascii="Lato" w:hAnsi="Lato"/>
                <w:sz w:val="22"/>
                <w:szCs w:val="22"/>
              </w:rPr>
            </w:pPr>
          </w:p>
        </w:tc>
      </w:tr>
      <w:tr w:rsidR="004674C2" w:rsidRPr="00CB1714" w14:paraId="7624F767" w14:textId="77777777" w:rsidTr="00990D73">
        <w:trPr>
          <w:cantSplit/>
          <w:trHeight w:val="255"/>
        </w:trPr>
        <w:tc>
          <w:tcPr>
            <w:tcW w:w="1316" w:type="dxa"/>
          </w:tcPr>
          <w:p w14:paraId="2D7DF466" w14:textId="77777777" w:rsidR="004674C2" w:rsidRPr="00CB1714" w:rsidRDefault="004674C2" w:rsidP="004674C2">
            <w:pPr>
              <w:jc w:val="right"/>
              <w:rPr>
                <w:rFonts w:ascii="Lato" w:hAnsi="Lato"/>
                <w:sz w:val="22"/>
                <w:szCs w:val="22"/>
              </w:rPr>
            </w:pPr>
          </w:p>
        </w:tc>
        <w:tc>
          <w:tcPr>
            <w:tcW w:w="5891" w:type="dxa"/>
          </w:tcPr>
          <w:p w14:paraId="5415C039" w14:textId="77777777" w:rsidR="004674C2" w:rsidRPr="00CB1714" w:rsidRDefault="004674C2" w:rsidP="004674C2">
            <w:pPr>
              <w:jc w:val="both"/>
              <w:rPr>
                <w:rFonts w:ascii="Lato" w:hAnsi="Lato"/>
                <w:sz w:val="22"/>
                <w:szCs w:val="22"/>
              </w:rPr>
            </w:pPr>
            <w:r w:rsidRPr="00F72ED7">
              <w:rPr>
                <w:rFonts w:ascii="Lato" w:hAnsi="Lato"/>
                <w:sz w:val="22"/>
                <w:szCs w:val="22"/>
              </w:rPr>
              <w:t xml:space="preserve">than </w:t>
            </w:r>
            <w:r w:rsidRPr="00CB1714">
              <w:rPr>
                <w:rFonts w:ascii="Lato" w:hAnsi="Lato"/>
                <w:sz w:val="22"/>
                <w:szCs w:val="22"/>
              </w:rPr>
              <w:t xml:space="preserve">quarterly, provide for a period of 95calendar days for </w:t>
            </w:r>
          </w:p>
        </w:tc>
        <w:tc>
          <w:tcPr>
            <w:tcW w:w="3188" w:type="dxa"/>
            <w:tcBorders>
              <w:top w:val="single" w:sz="4" w:space="0" w:color="auto"/>
            </w:tcBorders>
          </w:tcPr>
          <w:p w14:paraId="617C3C5F" w14:textId="77777777" w:rsidR="004674C2" w:rsidRPr="00CB1714" w:rsidRDefault="004674C2" w:rsidP="004674C2">
            <w:pPr>
              <w:rPr>
                <w:rFonts w:ascii="Lato" w:hAnsi="Lato"/>
                <w:sz w:val="22"/>
                <w:szCs w:val="22"/>
              </w:rPr>
            </w:pPr>
          </w:p>
        </w:tc>
      </w:tr>
      <w:tr w:rsidR="004674C2" w:rsidRPr="00CB1714" w14:paraId="089637C1" w14:textId="77777777" w:rsidTr="00990D73">
        <w:trPr>
          <w:cantSplit/>
          <w:trHeight w:val="255"/>
        </w:trPr>
        <w:tc>
          <w:tcPr>
            <w:tcW w:w="1316" w:type="dxa"/>
          </w:tcPr>
          <w:p w14:paraId="03342408" w14:textId="77777777" w:rsidR="004674C2" w:rsidRPr="00CB1714" w:rsidRDefault="004674C2" w:rsidP="004674C2">
            <w:pPr>
              <w:jc w:val="right"/>
              <w:rPr>
                <w:rFonts w:ascii="Lato" w:hAnsi="Lato"/>
                <w:sz w:val="22"/>
                <w:szCs w:val="22"/>
              </w:rPr>
            </w:pPr>
          </w:p>
        </w:tc>
        <w:tc>
          <w:tcPr>
            <w:tcW w:w="5891" w:type="dxa"/>
          </w:tcPr>
          <w:p w14:paraId="0256F2E5" w14:textId="77777777" w:rsidR="004674C2" w:rsidRPr="00CB1714" w:rsidRDefault="004674C2" w:rsidP="004674C2">
            <w:pPr>
              <w:jc w:val="both"/>
              <w:rPr>
                <w:rFonts w:ascii="Lato" w:hAnsi="Lato"/>
                <w:sz w:val="22"/>
                <w:szCs w:val="22"/>
              </w:rPr>
            </w:pPr>
            <w:r w:rsidRPr="00F72ED7">
              <w:rPr>
                <w:rFonts w:ascii="Lato" w:hAnsi="Lato"/>
                <w:sz w:val="22"/>
                <w:szCs w:val="22"/>
              </w:rPr>
              <w:t xml:space="preserve">the </w:t>
            </w:r>
            <w:r w:rsidRPr="00CB1714">
              <w:rPr>
                <w:rFonts w:ascii="Lato" w:hAnsi="Lato"/>
                <w:sz w:val="22"/>
                <w:szCs w:val="22"/>
              </w:rPr>
              <w:t xml:space="preserve">payment of redemption proceeds,disclose a prominent statement </w:t>
            </w:r>
          </w:p>
        </w:tc>
        <w:tc>
          <w:tcPr>
            <w:tcW w:w="3188" w:type="dxa"/>
          </w:tcPr>
          <w:p w14:paraId="5CB0E035" w14:textId="77777777" w:rsidR="004674C2" w:rsidRPr="00CB1714" w:rsidRDefault="004674C2" w:rsidP="004674C2">
            <w:pPr>
              <w:rPr>
                <w:rFonts w:ascii="Lato" w:hAnsi="Lato"/>
                <w:sz w:val="22"/>
                <w:szCs w:val="22"/>
              </w:rPr>
            </w:pPr>
          </w:p>
        </w:tc>
      </w:tr>
      <w:tr w:rsidR="004674C2" w:rsidRPr="00CB1714" w14:paraId="3469F627" w14:textId="77777777" w:rsidTr="00990D73">
        <w:trPr>
          <w:cantSplit/>
          <w:trHeight w:val="255"/>
        </w:trPr>
        <w:tc>
          <w:tcPr>
            <w:tcW w:w="1316" w:type="dxa"/>
          </w:tcPr>
          <w:p w14:paraId="05E5A588" w14:textId="77777777" w:rsidR="004674C2" w:rsidRPr="00CB1714" w:rsidRDefault="004674C2" w:rsidP="004674C2">
            <w:pPr>
              <w:jc w:val="right"/>
              <w:rPr>
                <w:rFonts w:ascii="Lato" w:hAnsi="Lato"/>
                <w:sz w:val="22"/>
                <w:szCs w:val="22"/>
              </w:rPr>
            </w:pPr>
          </w:p>
        </w:tc>
        <w:tc>
          <w:tcPr>
            <w:tcW w:w="5891" w:type="dxa"/>
          </w:tcPr>
          <w:p w14:paraId="560C11A5" w14:textId="77777777" w:rsidR="004674C2" w:rsidRPr="00CB1714" w:rsidRDefault="004674C2" w:rsidP="004674C2">
            <w:pPr>
              <w:jc w:val="both"/>
              <w:rPr>
                <w:rFonts w:ascii="Lato" w:hAnsi="Lato"/>
                <w:sz w:val="22"/>
                <w:szCs w:val="22"/>
              </w:rPr>
            </w:pPr>
            <w:r w:rsidRPr="00CB1714">
              <w:rPr>
                <w:rFonts w:ascii="Lato" w:hAnsi="Lato"/>
                <w:sz w:val="22"/>
                <w:szCs w:val="22"/>
              </w:rPr>
              <w:t xml:space="preserve">highlighting the fact that while the Qualifying Investor AIF </w:t>
            </w:r>
          </w:p>
        </w:tc>
        <w:tc>
          <w:tcPr>
            <w:tcW w:w="3188" w:type="dxa"/>
          </w:tcPr>
          <w:p w14:paraId="280DCC79" w14:textId="77777777" w:rsidR="004674C2" w:rsidRPr="00CB1714" w:rsidRDefault="004674C2" w:rsidP="004674C2">
            <w:pPr>
              <w:rPr>
                <w:rFonts w:ascii="Lato" w:hAnsi="Lato"/>
                <w:sz w:val="22"/>
                <w:szCs w:val="22"/>
              </w:rPr>
            </w:pPr>
          </w:p>
        </w:tc>
      </w:tr>
      <w:tr w:rsidR="004674C2" w:rsidRPr="00CB1714" w14:paraId="79EB1390" w14:textId="77777777" w:rsidTr="00990D73">
        <w:trPr>
          <w:cantSplit/>
          <w:trHeight w:val="255"/>
        </w:trPr>
        <w:tc>
          <w:tcPr>
            <w:tcW w:w="1316" w:type="dxa"/>
          </w:tcPr>
          <w:p w14:paraId="601518D9" w14:textId="77777777" w:rsidR="004674C2" w:rsidRPr="00CB1714" w:rsidRDefault="004674C2" w:rsidP="004674C2">
            <w:pPr>
              <w:jc w:val="right"/>
              <w:rPr>
                <w:rFonts w:ascii="Lato" w:hAnsi="Lato"/>
                <w:sz w:val="22"/>
                <w:szCs w:val="22"/>
              </w:rPr>
            </w:pPr>
          </w:p>
        </w:tc>
        <w:tc>
          <w:tcPr>
            <w:tcW w:w="5891" w:type="dxa"/>
          </w:tcPr>
          <w:p w14:paraId="24671F24" w14:textId="77777777" w:rsidR="004674C2" w:rsidRPr="00CB1714" w:rsidRDefault="004674C2" w:rsidP="004674C2">
            <w:pPr>
              <w:jc w:val="both"/>
              <w:rPr>
                <w:rFonts w:ascii="Lato" w:hAnsi="Lato"/>
                <w:sz w:val="22"/>
                <w:szCs w:val="22"/>
              </w:rPr>
            </w:pPr>
            <w:r w:rsidRPr="00CB1714">
              <w:rPr>
                <w:rFonts w:ascii="Lato" w:hAnsi="Lato"/>
                <w:sz w:val="22"/>
                <w:szCs w:val="22"/>
              </w:rPr>
              <w:t>deals, more frequently than quarterly there may be times when redemption proceeds are paid on a quarterly basis.</w:t>
            </w:r>
          </w:p>
        </w:tc>
        <w:tc>
          <w:tcPr>
            <w:tcW w:w="3188" w:type="dxa"/>
          </w:tcPr>
          <w:p w14:paraId="2322678B" w14:textId="77777777" w:rsidR="004674C2" w:rsidRPr="00CB1714" w:rsidRDefault="004674C2" w:rsidP="004674C2">
            <w:pPr>
              <w:rPr>
                <w:rFonts w:ascii="Lato" w:hAnsi="Lato"/>
                <w:sz w:val="22"/>
                <w:szCs w:val="22"/>
              </w:rPr>
            </w:pPr>
          </w:p>
        </w:tc>
      </w:tr>
      <w:tr w:rsidR="004674C2" w:rsidRPr="00CB1714" w14:paraId="161B3A64" w14:textId="77777777" w:rsidTr="00990D73">
        <w:trPr>
          <w:cantSplit/>
          <w:trHeight w:val="255"/>
        </w:trPr>
        <w:tc>
          <w:tcPr>
            <w:tcW w:w="1316" w:type="dxa"/>
          </w:tcPr>
          <w:p w14:paraId="4A5A73DF" w14:textId="77777777" w:rsidR="004674C2" w:rsidRPr="00CB1714" w:rsidRDefault="004674C2" w:rsidP="004674C2">
            <w:pPr>
              <w:jc w:val="right"/>
              <w:rPr>
                <w:rFonts w:ascii="Lato" w:hAnsi="Lato"/>
                <w:sz w:val="22"/>
                <w:szCs w:val="22"/>
              </w:rPr>
            </w:pPr>
          </w:p>
        </w:tc>
        <w:tc>
          <w:tcPr>
            <w:tcW w:w="5891" w:type="dxa"/>
          </w:tcPr>
          <w:p w14:paraId="0B1C15E5" w14:textId="77777777" w:rsidR="004674C2" w:rsidRPr="00CB1714" w:rsidRDefault="004674C2" w:rsidP="004674C2">
            <w:pPr>
              <w:jc w:val="both"/>
              <w:rPr>
                <w:rFonts w:ascii="Lato" w:hAnsi="Lato"/>
                <w:sz w:val="22"/>
                <w:szCs w:val="22"/>
              </w:rPr>
            </w:pPr>
          </w:p>
        </w:tc>
        <w:tc>
          <w:tcPr>
            <w:tcW w:w="3188" w:type="dxa"/>
          </w:tcPr>
          <w:p w14:paraId="4F80AA89" w14:textId="77777777" w:rsidR="004674C2" w:rsidRPr="00CB1714" w:rsidRDefault="004674C2" w:rsidP="004674C2">
            <w:pPr>
              <w:rPr>
                <w:rFonts w:ascii="Lato" w:hAnsi="Lato"/>
                <w:sz w:val="22"/>
                <w:szCs w:val="22"/>
              </w:rPr>
            </w:pPr>
          </w:p>
        </w:tc>
      </w:tr>
      <w:tr w:rsidR="004674C2" w:rsidRPr="00CB1714" w14:paraId="584FE53B" w14:textId="77777777" w:rsidTr="00990D73">
        <w:tc>
          <w:tcPr>
            <w:tcW w:w="1316" w:type="dxa"/>
          </w:tcPr>
          <w:p w14:paraId="2D9BC208" w14:textId="77777777" w:rsidR="004674C2" w:rsidRPr="00CB1714" w:rsidRDefault="004674C2" w:rsidP="004674C2">
            <w:pPr>
              <w:rPr>
                <w:rFonts w:ascii="Lato" w:hAnsi="Lato"/>
                <w:b/>
                <w:sz w:val="22"/>
                <w:szCs w:val="22"/>
              </w:rPr>
            </w:pPr>
            <w:r w:rsidRPr="00CB1714">
              <w:rPr>
                <w:rFonts w:ascii="Lato" w:hAnsi="Lato"/>
                <w:b/>
                <w:sz w:val="22"/>
                <w:szCs w:val="22"/>
              </w:rPr>
              <w:t>2.15</w:t>
            </w:r>
          </w:p>
        </w:tc>
        <w:tc>
          <w:tcPr>
            <w:tcW w:w="5891" w:type="dxa"/>
          </w:tcPr>
          <w:p w14:paraId="4B6F6D1F" w14:textId="77777777" w:rsidR="004674C2" w:rsidRPr="00CB1714" w:rsidRDefault="004674C2" w:rsidP="004674C2">
            <w:pPr>
              <w:pStyle w:val="Heading1"/>
              <w:spacing w:before="0" w:after="0" w:line="240" w:lineRule="auto"/>
              <w:rPr>
                <w:rFonts w:ascii="Lato" w:hAnsi="Lato"/>
                <w:b/>
                <w:color w:val="auto"/>
                <w:sz w:val="22"/>
                <w:szCs w:val="22"/>
              </w:rPr>
            </w:pPr>
            <w:r w:rsidRPr="00CB1714">
              <w:rPr>
                <w:rFonts w:ascii="Lato" w:hAnsi="Lato"/>
                <w:b/>
                <w:color w:val="auto"/>
                <w:sz w:val="22"/>
                <w:szCs w:val="22"/>
              </w:rPr>
              <w:t>Subscription in Specie</w:t>
            </w:r>
          </w:p>
        </w:tc>
        <w:tc>
          <w:tcPr>
            <w:tcW w:w="3188" w:type="dxa"/>
          </w:tcPr>
          <w:p w14:paraId="0CBA0B4B" w14:textId="77777777" w:rsidR="004674C2" w:rsidRPr="00CB1714" w:rsidRDefault="004674C2" w:rsidP="004674C2">
            <w:pPr>
              <w:rPr>
                <w:rFonts w:ascii="Lato" w:hAnsi="Lato"/>
                <w:sz w:val="22"/>
                <w:szCs w:val="22"/>
              </w:rPr>
            </w:pPr>
          </w:p>
        </w:tc>
      </w:tr>
      <w:tr w:rsidR="004674C2" w:rsidRPr="00CB1714" w14:paraId="6EB4AC12" w14:textId="77777777" w:rsidTr="00A70AEC">
        <w:tc>
          <w:tcPr>
            <w:tcW w:w="1316" w:type="dxa"/>
          </w:tcPr>
          <w:p w14:paraId="0C19EFFD" w14:textId="77777777" w:rsidR="004674C2" w:rsidRPr="00CB1714" w:rsidRDefault="004674C2" w:rsidP="004674C2">
            <w:pPr>
              <w:rPr>
                <w:rFonts w:ascii="Lato" w:hAnsi="Lato"/>
                <w:sz w:val="22"/>
                <w:szCs w:val="22"/>
              </w:rPr>
            </w:pPr>
          </w:p>
        </w:tc>
        <w:tc>
          <w:tcPr>
            <w:tcW w:w="5891" w:type="dxa"/>
          </w:tcPr>
          <w:p w14:paraId="5A18716F" w14:textId="77777777" w:rsidR="004674C2" w:rsidRPr="00CB1714" w:rsidRDefault="004674C2" w:rsidP="004674C2">
            <w:pPr>
              <w:pStyle w:val="Heading1"/>
              <w:spacing w:before="0" w:after="0" w:line="240" w:lineRule="auto"/>
              <w:rPr>
                <w:rFonts w:ascii="Lato" w:hAnsi="Lato"/>
                <w:color w:val="auto"/>
                <w:sz w:val="22"/>
                <w:szCs w:val="22"/>
              </w:rPr>
            </w:pPr>
            <w:r w:rsidRPr="00CB1714">
              <w:rPr>
                <w:rFonts w:ascii="Lato" w:hAnsi="Lato"/>
                <w:color w:val="auto"/>
                <w:sz w:val="22"/>
                <w:szCs w:val="22"/>
              </w:rPr>
              <w:t>Provide that:</w:t>
            </w:r>
          </w:p>
        </w:tc>
        <w:tc>
          <w:tcPr>
            <w:tcW w:w="3188" w:type="dxa"/>
            <w:tcBorders>
              <w:bottom w:val="single" w:sz="4" w:space="0" w:color="auto"/>
            </w:tcBorders>
          </w:tcPr>
          <w:p w14:paraId="76C495D3" w14:textId="77777777" w:rsidR="004674C2" w:rsidRPr="00CB1714" w:rsidRDefault="004674C2" w:rsidP="004674C2">
            <w:pPr>
              <w:rPr>
                <w:rFonts w:ascii="Lato" w:hAnsi="Lato"/>
                <w:sz w:val="22"/>
                <w:szCs w:val="22"/>
              </w:rPr>
            </w:pPr>
          </w:p>
        </w:tc>
      </w:tr>
      <w:tr w:rsidR="004674C2" w:rsidRPr="00CB1714" w14:paraId="47AAAE2B" w14:textId="77777777" w:rsidTr="00A70AEC">
        <w:tc>
          <w:tcPr>
            <w:tcW w:w="1316" w:type="dxa"/>
          </w:tcPr>
          <w:p w14:paraId="243A2873" w14:textId="77777777" w:rsidR="004674C2" w:rsidRPr="00CB1714" w:rsidRDefault="004674C2" w:rsidP="004674C2">
            <w:pPr>
              <w:rPr>
                <w:rFonts w:ascii="Lato" w:hAnsi="Lato"/>
                <w:sz w:val="22"/>
                <w:szCs w:val="22"/>
              </w:rPr>
            </w:pPr>
          </w:p>
        </w:tc>
        <w:tc>
          <w:tcPr>
            <w:tcW w:w="5891" w:type="dxa"/>
            <w:tcBorders>
              <w:right w:val="single" w:sz="4" w:space="0" w:color="auto"/>
            </w:tcBorders>
          </w:tcPr>
          <w:p w14:paraId="662E8BA2" w14:textId="77777777" w:rsidR="004674C2" w:rsidRPr="00CB1714" w:rsidRDefault="004674C2" w:rsidP="004674C2">
            <w:pPr>
              <w:rPr>
                <w:rFonts w:ascii="Lato" w:hAnsi="Lato"/>
                <w:sz w:val="22"/>
                <w:szCs w:val="22"/>
              </w:rPr>
            </w:pPr>
            <w:r w:rsidRPr="00CB1714">
              <w:rPr>
                <w:rFonts w:ascii="Lato" w:hAnsi="Lato"/>
                <w:sz w:val="22"/>
                <w:szCs w:val="22"/>
              </w:rPr>
              <w:t xml:space="preserve">Subscriptions for units of Qualifying Investor AIF on an in </w:t>
            </w:r>
          </w:p>
        </w:tc>
        <w:tc>
          <w:tcPr>
            <w:tcW w:w="3188" w:type="dxa"/>
            <w:tcBorders>
              <w:top w:val="single" w:sz="4" w:space="0" w:color="auto"/>
              <w:left w:val="single" w:sz="4" w:space="0" w:color="auto"/>
              <w:bottom w:val="single" w:sz="4" w:space="0" w:color="auto"/>
              <w:right w:val="single" w:sz="4" w:space="0" w:color="auto"/>
            </w:tcBorders>
          </w:tcPr>
          <w:p w14:paraId="22AFA71C" w14:textId="77777777" w:rsidR="004674C2" w:rsidRPr="00CB1714" w:rsidRDefault="004674C2" w:rsidP="004674C2">
            <w:pPr>
              <w:rPr>
                <w:rFonts w:ascii="Lato" w:hAnsi="Lato"/>
                <w:sz w:val="22"/>
                <w:szCs w:val="22"/>
              </w:rPr>
            </w:pPr>
          </w:p>
        </w:tc>
      </w:tr>
      <w:tr w:rsidR="004674C2" w:rsidRPr="00CB1714" w14:paraId="6E158779" w14:textId="77777777" w:rsidTr="00A70AEC">
        <w:tc>
          <w:tcPr>
            <w:tcW w:w="1316" w:type="dxa"/>
          </w:tcPr>
          <w:p w14:paraId="79E88F05" w14:textId="77777777" w:rsidR="004674C2" w:rsidRPr="00CB1714" w:rsidRDefault="004674C2" w:rsidP="004674C2">
            <w:pPr>
              <w:rPr>
                <w:rFonts w:ascii="Lato" w:hAnsi="Lato"/>
                <w:sz w:val="22"/>
                <w:szCs w:val="22"/>
              </w:rPr>
            </w:pPr>
          </w:p>
        </w:tc>
        <w:tc>
          <w:tcPr>
            <w:tcW w:w="5891" w:type="dxa"/>
          </w:tcPr>
          <w:p w14:paraId="69C3A621" w14:textId="77777777" w:rsidR="004674C2" w:rsidRPr="00CB1714" w:rsidRDefault="004674C2" w:rsidP="004674C2">
            <w:pPr>
              <w:rPr>
                <w:rFonts w:ascii="Lato" w:hAnsi="Lato"/>
                <w:sz w:val="22"/>
                <w:szCs w:val="22"/>
              </w:rPr>
            </w:pPr>
            <w:r w:rsidRPr="00CB1714">
              <w:rPr>
                <w:rFonts w:ascii="Lato" w:hAnsi="Lato"/>
                <w:sz w:val="22"/>
                <w:szCs w:val="22"/>
              </w:rPr>
              <w:t xml:space="preserve">specie basis may only be accepted if the depositary is </w:t>
            </w:r>
          </w:p>
        </w:tc>
        <w:tc>
          <w:tcPr>
            <w:tcW w:w="3188" w:type="dxa"/>
            <w:tcBorders>
              <w:top w:val="single" w:sz="4" w:space="0" w:color="auto"/>
            </w:tcBorders>
          </w:tcPr>
          <w:p w14:paraId="11C92ECF" w14:textId="77777777" w:rsidR="004674C2" w:rsidRPr="00CB1714" w:rsidRDefault="004674C2" w:rsidP="004674C2">
            <w:pPr>
              <w:rPr>
                <w:rFonts w:ascii="Lato" w:hAnsi="Lato"/>
                <w:sz w:val="22"/>
                <w:szCs w:val="22"/>
              </w:rPr>
            </w:pPr>
          </w:p>
        </w:tc>
      </w:tr>
      <w:tr w:rsidR="004674C2" w:rsidRPr="00CB1714" w14:paraId="03B825F8" w14:textId="77777777" w:rsidTr="00A70AEC">
        <w:tc>
          <w:tcPr>
            <w:tcW w:w="1316" w:type="dxa"/>
          </w:tcPr>
          <w:p w14:paraId="4AFB29B6" w14:textId="77777777" w:rsidR="004674C2" w:rsidRPr="00CB1714" w:rsidRDefault="004674C2" w:rsidP="004674C2">
            <w:pPr>
              <w:rPr>
                <w:rFonts w:ascii="Lato" w:hAnsi="Lato"/>
                <w:sz w:val="22"/>
                <w:szCs w:val="22"/>
              </w:rPr>
            </w:pPr>
          </w:p>
        </w:tc>
        <w:tc>
          <w:tcPr>
            <w:tcW w:w="5891" w:type="dxa"/>
          </w:tcPr>
          <w:p w14:paraId="207C1598" w14:textId="77777777" w:rsidR="004674C2" w:rsidRPr="00CB1714" w:rsidRDefault="004674C2" w:rsidP="004674C2">
            <w:pPr>
              <w:rPr>
                <w:rFonts w:ascii="Lato" w:hAnsi="Lato"/>
                <w:sz w:val="22"/>
                <w:szCs w:val="22"/>
              </w:rPr>
            </w:pPr>
            <w:r w:rsidRPr="00F72ED7">
              <w:rPr>
                <w:rFonts w:ascii="Lato" w:hAnsi="Lato"/>
                <w:sz w:val="22"/>
                <w:szCs w:val="22"/>
              </w:rPr>
              <w:t>satisfied</w:t>
            </w:r>
            <w:r w:rsidRPr="00CB1714">
              <w:rPr>
                <w:rFonts w:ascii="Lato" w:hAnsi="Lato"/>
                <w:sz w:val="22"/>
                <w:szCs w:val="22"/>
              </w:rPr>
              <w:t xml:space="preserve"> that the terms of the exchange will not be such as are likely to result in any material prejudice to the Qualifying Investor AIF unitholders</w:t>
            </w:r>
          </w:p>
        </w:tc>
        <w:tc>
          <w:tcPr>
            <w:tcW w:w="3188" w:type="dxa"/>
          </w:tcPr>
          <w:p w14:paraId="53551FF7" w14:textId="77777777" w:rsidR="004674C2" w:rsidRPr="00CB1714" w:rsidRDefault="004674C2" w:rsidP="004674C2">
            <w:pPr>
              <w:rPr>
                <w:rFonts w:ascii="Lato" w:hAnsi="Lato"/>
                <w:sz w:val="22"/>
                <w:szCs w:val="22"/>
              </w:rPr>
            </w:pPr>
          </w:p>
        </w:tc>
      </w:tr>
      <w:tr w:rsidR="004674C2" w:rsidRPr="00CB1714" w14:paraId="273E3676" w14:textId="77777777" w:rsidTr="00990D73">
        <w:trPr>
          <w:cantSplit/>
          <w:trHeight w:val="251"/>
        </w:trPr>
        <w:tc>
          <w:tcPr>
            <w:tcW w:w="1316" w:type="dxa"/>
          </w:tcPr>
          <w:p w14:paraId="4A954966" w14:textId="77777777" w:rsidR="004674C2" w:rsidRPr="00CB1714" w:rsidRDefault="004674C2" w:rsidP="004674C2">
            <w:pPr>
              <w:jc w:val="right"/>
              <w:rPr>
                <w:rFonts w:ascii="Lato" w:hAnsi="Lato"/>
                <w:sz w:val="22"/>
                <w:szCs w:val="22"/>
              </w:rPr>
            </w:pPr>
          </w:p>
        </w:tc>
        <w:tc>
          <w:tcPr>
            <w:tcW w:w="5891" w:type="dxa"/>
          </w:tcPr>
          <w:p w14:paraId="5C2DB1A2" w14:textId="77777777" w:rsidR="004674C2" w:rsidRPr="00CB1714" w:rsidRDefault="004674C2" w:rsidP="004674C2">
            <w:pPr>
              <w:rPr>
                <w:rFonts w:ascii="Lato" w:hAnsi="Lato"/>
                <w:sz w:val="22"/>
                <w:szCs w:val="22"/>
              </w:rPr>
            </w:pPr>
          </w:p>
        </w:tc>
        <w:tc>
          <w:tcPr>
            <w:tcW w:w="3188" w:type="dxa"/>
          </w:tcPr>
          <w:p w14:paraId="60047D0D" w14:textId="77777777" w:rsidR="004674C2" w:rsidRPr="00CB1714" w:rsidRDefault="004674C2" w:rsidP="004674C2">
            <w:pPr>
              <w:rPr>
                <w:rFonts w:ascii="Lato" w:hAnsi="Lato"/>
                <w:sz w:val="22"/>
                <w:szCs w:val="22"/>
              </w:rPr>
            </w:pPr>
          </w:p>
        </w:tc>
      </w:tr>
      <w:tr w:rsidR="004674C2" w:rsidRPr="00CB1714" w14:paraId="7B3511AF" w14:textId="77777777" w:rsidTr="00990D73">
        <w:tc>
          <w:tcPr>
            <w:tcW w:w="1316" w:type="dxa"/>
          </w:tcPr>
          <w:p w14:paraId="18BC256F" w14:textId="77777777" w:rsidR="004674C2" w:rsidRPr="00CB1714" w:rsidRDefault="004674C2" w:rsidP="004674C2">
            <w:pPr>
              <w:rPr>
                <w:rFonts w:ascii="Lato" w:hAnsi="Lato"/>
                <w:b/>
                <w:sz w:val="22"/>
                <w:szCs w:val="22"/>
              </w:rPr>
            </w:pPr>
            <w:r w:rsidRPr="00CB1714">
              <w:rPr>
                <w:rFonts w:ascii="Lato" w:hAnsi="Lato"/>
                <w:b/>
                <w:sz w:val="22"/>
                <w:szCs w:val="22"/>
              </w:rPr>
              <w:t>2.16</w:t>
            </w:r>
          </w:p>
        </w:tc>
        <w:tc>
          <w:tcPr>
            <w:tcW w:w="5891" w:type="dxa"/>
          </w:tcPr>
          <w:p w14:paraId="04F4E1A1" w14:textId="77777777" w:rsidR="004674C2" w:rsidRPr="00CB1714" w:rsidRDefault="004674C2" w:rsidP="004674C2">
            <w:pPr>
              <w:rPr>
                <w:rFonts w:ascii="Lato" w:hAnsi="Lato"/>
                <w:b/>
                <w:sz w:val="22"/>
                <w:szCs w:val="22"/>
              </w:rPr>
            </w:pPr>
            <w:r w:rsidRPr="00CB1714">
              <w:rPr>
                <w:rFonts w:ascii="Lato" w:hAnsi="Lato"/>
                <w:b/>
                <w:sz w:val="22"/>
                <w:szCs w:val="22"/>
              </w:rPr>
              <w:t>Redemption in Specie</w:t>
            </w:r>
          </w:p>
        </w:tc>
        <w:tc>
          <w:tcPr>
            <w:tcW w:w="3188" w:type="dxa"/>
          </w:tcPr>
          <w:p w14:paraId="418089D9" w14:textId="77777777" w:rsidR="004674C2" w:rsidRPr="00CB1714" w:rsidRDefault="004674C2" w:rsidP="004674C2">
            <w:pPr>
              <w:rPr>
                <w:rFonts w:ascii="Lato" w:hAnsi="Lato"/>
                <w:sz w:val="22"/>
                <w:szCs w:val="22"/>
              </w:rPr>
            </w:pPr>
          </w:p>
        </w:tc>
      </w:tr>
      <w:tr w:rsidR="004674C2" w:rsidRPr="00CB1714" w14:paraId="29538D58" w14:textId="77777777" w:rsidTr="00990D73">
        <w:tc>
          <w:tcPr>
            <w:tcW w:w="1316" w:type="dxa"/>
          </w:tcPr>
          <w:p w14:paraId="3DF46E32" w14:textId="77777777" w:rsidR="004674C2" w:rsidRPr="00CB1714" w:rsidRDefault="004674C2" w:rsidP="004674C2">
            <w:pPr>
              <w:rPr>
                <w:rFonts w:ascii="Lato" w:hAnsi="Lato"/>
                <w:sz w:val="22"/>
                <w:szCs w:val="22"/>
              </w:rPr>
            </w:pPr>
          </w:p>
        </w:tc>
        <w:tc>
          <w:tcPr>
            <w:tcW w:w="5891" w:type="dxa"/>
          </w:tcPr>
          <w:p w14:paraId="6534454F" w14:textId="77777777" w:rsidR="004674C2" w:rsidRPr="00CB1714" w:rsidRDefault="004674C2" w:rsidP="004674C2">
            <w:pPr>
              <w:rPr>
                <w:rFonts w:ascii="Lato" w:hAnsi="Lato"/>
                <w:sz w:val="22"/>
                <w:szCs w:val="22"/>
              </w:rPr>
            </w:pPr>
            <w:r w:rsidRPr="00CB1714">
              <w:rPr>
                <w:rFonts w:ascii="Lato" w:hAnsi="Lato"/>
                <w:sz w:val="22"/>
                <w:szCs w:val="22"/>
              </w:rPr>
              <w:t>Provide that:</w:t>
            </w:r>
          </w:p>
        </w:tc>
        <w:tc>
          <w:tcPr>
            <w:tcW w:w="3188" w:type="dxa"/>
            <w:tcBorders>
              <w:bottom w:val="single" w:sz="4" w:space="0" w:color="auto"/>
            </w:tcBorders>
          </w:tcPr>
          <w:p w14:paraId="2153DD0A" w14:textId="77777777" w:rsidR="004674C2" w:rsidRPr="00CB1714" w:rsidRDefault="004674C2" w:rsidP="004674C2">
            <w:pPr>
              <w:rPr>
                <w:rFonts w:ascii="Lato" w:hAnsi="Lato"/>
                <w:sz w:val="22"/>
                <w:szCs w:val="22"/>
              </w:rPr>
            </w:pPr>
          </w:p>
        </w:tc>
      </w:tr>
      <w:tr w:rsidR="004674C2" w:rsidRPr="00CB1714" w14:paraId="1A6D646E" w14:textId="77777777" w:rsidTr="00990D73">
        <w:tc>
          <w:tcPr>
            <w:tcW w:w="1316" w:type="dxa"/>
          </w:tcPr>
          <w:p w14:paraId="0562321A" w14:textId="77777777" w:rsidR="004674C2" w:rsidRPr="00CB1714" w:rsidRDefault="004674C2" w:rsidP="004674C2">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2328CDB6" w14:textId="77777777" w:rsidR="004674C2" w:rsidRPr="00CB1714" w:rsidRDefault="004674C2" w:rsidP="004674C2">
            <w:pPr>
              <w:rPr>
                <w:rFonts w:ascii="Lato" w:hAnsi="Lato"/>
                <w:sz w:val="22"/>
                <w:szCs w:val="22"/>
              </w:rPr>
            </w:pPr>
            <w:r w:rsidRPr="00CB1714">
              <w:rPr>
                <w:rFonts w:ascii="Lato" w:hAnsi="Lato"/>
                <w:sz w:val="22"/>
                <w:szCs w:val="22"/>
              </w:rPr>
              <w:t xml:space="preserve">Redemption in specie is at the discretion of the Qualifying </w:t>
            </w:r>
          </w:p>
        </w:tc>
        <w:tc>
          <w:tcPr>
            <w:tcW w:w="3188" w:type="dxa"/>
            <w:tcBorders>
              <w:top w:val="single" w:sz="4" w:space="0" w:color="auto"/>
              <w:left w:val="single" w:sz="4" w:space="0" w:color="auto"/>
              <w:bottom w:val="single" w:sz="4" w:space="0" w:color="auto"/>
              <w:right w:val="single" w:sz="4" w:space="0" w:color="auto"/>
            </w:tcBorders>
          </w:tcPr>
          <w:p w14:paraId="6F6896C8" w14:textId="77777777" w:rsidR="004674C2" w:rsidRPr="00CB1714" w:rsidRDefault="004674C2" w:rsidP="004674C2">
            <w:pPr>
              <w:rPr>
                <w:rFonts w:ascii="Lato" w:hAnsi="Lato"/>
                <w:sz w:val="22"/>
                <w:szCs w:val="22"/>
              </w:rPr>
            </w:pPr>
          </w:p>
        </w:tc>
      </w:tr>
      <w:tr w:rsidR="004674C2" w:rsidRPr="00CB1714" w14:paraId="4CC237BD" w14:textId="77777777" w:rsidTr="00A70AEC">
        <w:tc>
          <w:tcPr>
            <w:tcW w:w="1316" w:type="dxa"/>
          </w:tcPr>
          <w:p w14:paraId="71B2877B" w14:textId="77777777" w:rsidR="004674C2" w:rsidRPr="00CB1714" w:rsidRDefault="004674C2" w:rsidP="004674C2">
            <w:pPr>
              <w:jc w:val="right"/>
              <w:rPr>
                <w:rFonts w:ascii="Lato" w:hAnsi="Lato"/>
                <w:sz w:val="22"/>
                <w:szCs w:val="22"/>
              </w:rPr>
            </w:pPr>
          </w:p>
        </w:tc>
        <w:tc>
          <w:tcPr>
            <w:tcW w:w="5891" w:type="dxa"/>
          </w:tcPr>
          <w:p w14:paraId="69046A60" w14:textId="77777777" w:rsidR="004674C2" w:rsidRPr="00CB1714" w:rsidRDefault="004674C2" w:rsidP="004674C2">
            <w:pPr>
              <w:rPr>
                <w:rFonts w:ascii="Lato" w:hAnsi="Lato"/>
                <w:sz w:val="22"/>
                <w:szCs w:val="22"/>
              </w:rPr>
            </w:pPr>
            <w:r w:rsidRPr="00CB1714">
              <w:rPr>
                <w:rFonts w:ascii="Lato" w:hAnsi="Lato"/>
                <w:sz w:val="22"/>
                <w:szCs w:val="22"/>
              </w:rPr>
              <w:t>Investor AIF and with the consent of the redeeming unitholder;</w:t>
            </w:r>
          </w:p>
        </w:tc>
        <w:tc>
          <w:tcPr>
            <w:tcW w:w="3188" w:type="dxa"/>
            <w:tcBorders>
              <w:top w:val="single" w:sz="4" w:space="0" w:color="auto"/>
            </w:tcBorders>
          </w:tcPr>
          <w:p w14:paraId="6971C5E8" w14:textId="77777777" w:rsidR="004674C2" w:rsidRPr="00CB1714" w:rsidRDefault="004674C2" w:rsidP="004674C2">
            <w:pPr>
              <w:rPr>
                <w:rFonts w:ascii="Lato" w:hAnsi="Lato"/>
                <w:sz w:val="22"/>
                <w:szCs w:val="22"/>
              </w:rPr>
            </w:pPr>
          </w:p>
        </w:tc>
      </w:tr>
      <w:tr w:rsidR="004674C2" w:rsidRPr="00CB1714" w14:paraId="4172FF71" w14:textId="77777777" w:rsidTr="00A70AEC">
        <w:tc>
          <w:tcPr>
            <w:tcW w:w="1316" w:type="dxa"/>
          </w:tcPr>
          <w:p w14:paraId="51E11B0F" w14:textId="77777777" w:rsidR="004674C2" w:rsidRPr="00CB1714" w:rsidRDefault="004674C2" w:rsidP="004674C2">
            <w:pPr>
              <w:jc w:val="right"/>
              <w:rPr>
                <w:rFonts w:ascii="Lato" w:hAnsi="Lato"/>
                <w:sz w:val="22"/>
                <w:szCs w:val="22"/>
              </w:rPr>
            </w:pPr>
          </w:p>
        </w:tc>
        <w:tc>
          <w:tcPr>
            <w:tcW w:w="5891" w:type="dxa"/>
          </w:tcPr>
          <w:p w14:paraId="43D800A4" w14:textId="77777777" w:rsidR="004674C2" w:rsidRPr="00CB1714" w:rsidRDefault="004674C2" w:rsidP="004674C2">
            <w:pPr>
              <w:rPr>
                <w:rFonts w:ascii="Lato" w:hAnsi="Lato"/>
                <w:sz w:val="22"/>
                <w:szCs w:val="22"/>
              </w:rPr>
            </w:pPr>
            <w:r w:rsidRPr="00CB1714">
              <w:rPr>
                <w:rFonts w:ascii="Lato" w:hAnsi="Lato"/>
                <w:sz w:val="22"/>
                <w:szCs w:val="22"/>
              </w:rPr>
              <w:t xml:space="preserve">(n/a for exchange traded fund where the original </w:t>
            </w:r>
          </w:p>
        </w:tc>
        <w:tc>
          <w:tcPr>
            <w:tcW w:w="3188" w:type="dxa"/>
          </w:tcPr>
          <w:p w14:paraId="509D6686" w14:textId="77777777" w:rsidR="004674C2" w:rsidRPr="00CB1714" w:rsidRDefault="004674C2" w:rsidP="004674C2">
            <w:pPr>
              <w:rPr>
                <w:rFonts w:ascii="Lato" w:hAnsi="Lato"/>
                <w:sz w:val="22"/>
                <w:szCs w:val="22"/>
              </w:rPr>
            </w:pPr>
          </w:p>
        </w:tc>
      </w:tr>
      <w:tr w:rsidR="004674C2" w:rsidRPr="00CB1714" w14:paraId="206EC9AC" w14:textId="77777777" w:rsidTr="00A70AEC">
        <w:tc>
          <w:tcPr>
            <w:tcW w:w="1316" w:type="dxa"/>
          </w:tcPr>
          <w:p w14:paraId="73BE66F1" w14:textId="77777777" w:rsidR="004674C2" w:rsidRPr="00CB1714" w:rsidRDefault="004674C2" w:rsidP="004674C2">
            <w:pPr>
              <w:jc w:val="right"/>
              <w:rPr>
                <w:rFonts w:ascii="Lato" w:hAnsi="Lato"/>
                <w:sz w:val="22"/>
                <w:szCs w:val="22"/>
              </w:rPr>
            </w:pPr>
          </w:p>
        </w:tc>
        <w:tc>
          <w:tcPr>
            <w:tcW w:w="5891" w:type="dxa"/>
          </w:tcPr>
          <w:p w14:paraId="6A802408" w14:textId="77777777" w:rsidR="004674C2" w:rsidRPr="00CB1714" w:rsidRDefault="004674C2" w:rsidP="004674C2">
            <w:pPr>
              <w:rPr>
                <w:rFonts w:ascii="Lato" w:hAnsi="Lato"/>
                <w:sz w:val="22"/>
                <w:szCs w:val="22"/>
              </w:rPr>
            </w:pPr>
            <w:r w:rsidRPr="00F72ED7">
              <w:rPr>
                <w:rFonts w:ascii="Lato" w:hAnsi="Lato"/>
                <w:sz w:val="22"/>
                <w:szCs w:val="22"/>
              </w:rPr>
              <w:t xml:space="preserve">subscription </w:t>
            </w:r>
            <w:r w:rsidRPr="00CB1714">
              <w:rPr>
                <w:rFonts w:ascii="Lato" w:hAnsi="Lato"/>
                <w:sz w:val="22"/>
                <w:szCs w:val="22"/>
              </w:rPr>
              <w:t>was made in specie)</w:t>
            </w:r>
          </w:p>
        </w:tc>
        <w:tc>
          <w:tcPr>
            <w:tcW w:w="3188" w:type="dxa"/>
            <w:tcBorders>
              <w:bottom w:val="single" w:sz="4" w:space="0" w:color="auto"/>
            </w:tcBorders>
          </w:tcPr>
          <w:p w14:paraId="50F34A1B" w14:textId="77777777" w:rsidR="004674C2" w:rsidRPr="00CB1714" w:rsidRDefault="004674C2" w:rsidP="004674C2">
            <w:pPr>
              <w:rPr>
                <w:rFonts w:ascii="Lato" w:hAnsi="Lato"/>
                <w:sz w:val="22"/>
                <w:szCs w:val="22"/>
              </w:rPr>
            </w:pPr>
          </w:p>
        </w:tc>
      </w:tr>
      <w:tr w:rsidR="004674C2" w:rsidRPr="00CB1714" w14:paraId="37CFCE2F" w14:textId="77777777" w:rsidTr="00990D73">
        <w:tc>
          <w:tcPr>
            <w:tcW w:w="1316" w:type="dxa"/>
          </w:tcPr>
          <w:p w14:paraId="553B997C" w14:textId="77777777" w:rsidR="004674C2" w:rsidRPr="00CB1714" w:rsidRDefault="004674C2" w:rsidP="004674C2">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6A7C0741" w14:textId="77777777" w:rsidR="004674C2" w:rsidRPr="00CB1714" w:rsidRDefault="004674C2" w:rsidP="004674C2">
            <w:pPr>
              <w:rPr>
                <w:rFonts w:ascii="Lato" w:hAnsi="Lato"/>
                <w:sz w:val="22"/>
                <w:szCs w:val="22"/>
              </w:rPr>
            </w:pPr>
            <w:r w:rsidRPr="00CB1714">
              <w:rPr>
                <w:rFonts w:ascii="Lato" w:hAnsi="Lato"/>
                <w:sz w:val="22"/>
                <w:szCs w:val="22"/>
              </w:rPr>
              <w:t>Asset allocation is subject to the approval of the depositary; and</w:t>
            </w:r>
          </w:p>
        </w:tc>
        <w:tc>
          <w:tcPr>
            <w:tcW w:w="3188" w:type="dxa"/>
            <w:tcBorders>
              <w:top w:val="single" w:sz="4" w:space="0" w:color="auto"/>
              <w:left w:val="single" w:sz="4" w:space="0" w:color="auto"/>
              <w:bottom w:val="single" w:sz="4" w:space="0" w:color="auto"/>
              <w:right w:val="single" w:sz="4" w:space="0" w:color="auto"/>
            </w:tcBorders>
          </w:tcPr>
          <w:p w14:paraId="332F4751" w14:textId="77777777" w:rsidR="004674C2" w:rsidRPr="00CB1714" w:rsidRDefault="004674C2" w:rsidP="004674C2">
            <w:pPr>
              <w:rPr>
                <w:rFonts w:ascii="Lato" w:hAnsi="Lato"/>
                <w:sz w:val="22"/>
                <w:szCs w:val="22"/>
              </w:rPr>
            </w:pPr>
          </w:p>
        </w:tc>
      </w:tr>
      <w:tr w:rsidR="004674C2" w:rsidRPr="00CB1714" w14:paraId="60ACA05D" w14:textId="77777777" w:rsidTr="00990D73">
        <w:tc>
          <w:tcPr>
            <w:tcW w:w="1316" w:type="dxa"/>
          </w:tcPr>
          <w:p w14:paraId="3A25C029" w14:textId="77777777" w:rsidR="004674C2" w:rsidRPr="00CB1714" w:rsidRDefault="004674C2" w:rsidP="004674C2">
            <w:pPr>
              <w:jc w:val="right"/>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5549ABA0" w14:textId="77777777" w:rsidR="004674C2" w:rsidRPr="00CB1714" w:rsidRDefault="004674C2" w:rsidP="004674C2">
            <w:pPr>
              <w:rPr>
                <w:rFonts w:ascii="Lato" w:hAnsi="Lato"/>
                <w:sz w:val="22"/>
                <w:szCs w:val="22"/>
              </w:rPr>
            </w:pPr>
            <w:r w:rsidRPr="00CB1714">
              <w:rPr>
                <w:rFonts w:ascii="Lato" w:hAnsi="Lato"/>
                <w:sz w:val="22"/>
                <w:szCs w:val="22"/>
              </w:rPr>
              <w:t xml:space="preserve">A determination to provide redemption in specie may be </w:t>
            </w:r>
          </w:p>
        </w:tc>
        <w:tc>
          <w:tcPr>
            <w:tcW w:w="3188" w:type="dxa"/>
            <w:tcBorders>
              <w:top w:val="single" w:sz="4" w:space="0" w:color="auto"/>
              <w:left w:val="single" w:sz="4" w:space="0" w:color="auto"/>
              <w:bottom w:val="single" w:sz="4" w:space="0" w:color="auto"/>
              <w:right w:val="single" w:sz="4" w:space="0" w:color="auto"/>
            </w:tcBorders>
          </w:tcPr>
          <w:p w14:paraId="064A04F3" w14:textId="77777777" w:rsidR="004674C2" w:rsidRPr="00CB1714" w:rsidRDefault="004674C2" w:rsidP="004674C2">
            <w:pPr>
              <w:rPr>
                <w:rFonts w:ascii="Lato" w:hAnsi="Lato"/>
                <w:sz w:val="22"/>
                <w:szCs w:val="22"/>
              </w:rPr>
            </w:pPr>
          </w:p>
        </w:tc>
      </w:tr>
      <w:tr w:rsidR="004674C2" w:rsidRPr="00CB1714" w14:paraId="39000138" w14:textId="77777777" w:rsidTr="0042571B">
        <w:tc>
          <w:tcPr>
            <w:tcW w:w="1316" w:type="dxa"/>
          </w:tcPr>
          <w:p w14:paraId="5990F191" w14:textId="77777777" w:rsidR="004674C2" w:rsidRPr="00CB1714" w:rsidRDefault="004674C2" w:rsidP="004674C2">
            <w:pPr>
              <w:jc w:val="right"/>
              <w:rPr>
                <w:rFonts w:ascii="Lato" w:hAnsi="Lato"/>
                <w:sz w:val="22"/>
                <w:szCs w:val="22"/>
              </w:rPr>
            </w:pPr>
          </w:p>
        </w:tc>
        <w:tc>
          <w:tcPr>
            <w:tcW w:w="5891" w:type="dxa"/>
          </w:tcPr>
          <w:p w14:paraId="28902317" w14:textId="77777777" w:rsidR="004674C2" w:rsidRPr="00CB1714" w:rsidRDefault="004674C2" w:rsidP="004674C2">
            <w:pPr>
              <w:rPr>
                <w:rFonts w:ascii="Lato" w:hAnsi="Lato"/>
                <w:sz w:val="22"/>
                <w:szCs w:val="22"/>
              </w:rPr>
            </w:pPr>
            <w:r w:rsidRPr="00F72ED7">
              <w:rPr>
                <w:rFonts w:ascii="Lato" w:hAnsi="Lato"/>
                <w:sz w:val="22"/>
                <w:szCs w:val="22"/>
              </w:rPr>
              <w:t xml:space="preserve">solely </w:t>
            </w:r>
            <w:r w:rsidRPr="00CB1714">
              <w:rPr>
                <w:rFonts w:ascii="Lato" w:hAnsi="Lato"/>
                <w:sz w:val="22"/>
                <w:szCs w:val="22"/>
              </w:rPr>
              <w:t>at the discretion of the Qualifying Investor AIF where the redeeming unitholder requests redemption of a number of units that represent 5% or more of the net asset value of the Qualifying Investor AIF. In this event the Qualifying Investor AIF will, if requested, sell the assets on behalf of the unitholder. The cost of the sale can be charged to the unitholder</w:t>
            </w:r>
          </w:p>
        </w:tc>
        <w:tc>
          <w:tcPr>
            <w:tcW w:w="3188" w:type="dxa"/>
            <w:tcBorders>
              <w:top w:val="single" w:sz="4" w:space="0" w:color="auto"/>
            </w:tcBorders>
          </w:tcPr>
          <w:p w14:paraId="3C9EF3E9" w14:textId="77777777" w:rsidR="004674C2" w:rsidRPr="00CB1714" w:rsidRDefault="004674C2" w:rsidP="004674C2">
            <w:pPr>
              <w:rPr>
                <w:rFonts w:ascii="Lato" w:hAnsi="Lato"/>
                <w:sz w:val="22"/>
                <w:szCs w:val="22"/>
              </w:rPr>
            </w:pPr>
          </w:p>
        </w:tc>
      </w:tr>
      <w:tr w:rsidR="004674C2" w:rsidRPr="00CB1714" w14:paraId="6F695161" w14:textId="77777777" w:rsidTr="0042571B">
        <w:tc>
          <w:tcPr>
            <w:tcW w:w="1316" w:type="dxa"/>
          </w:tcPr>
          <w:p w14:paraId="503B9770" w14:textId="77777777" w:rsidR="004674C2" w:rsidRPr="00CB1714" w:rsidRDefault="004674C2" w:rsidP="004674C2">
            <w:pPr>
              <w:jc w:val="right"/>
              <w:rPr>
                <w:rFonts w:ascii="Lato" w:hAnsi="Lato"/>
                <w:sz w:val="22"/>
                <w:szCs w:val="22"/>
              </w:rPr>
            </w:pPr>
          </w:p>
        </w:tc>
        <w:tc>
          <w:tcPr>
            <w:tcW w:w="5891" w:type="dxa"/>
          </w:tcPr>
          <w:p w14:paraId="192D7237" w14:textId="77777777" w:rsidR="004674C2" w:rsidRPr="00CB1714" w:rsidRDefault="004674C2" w:rsidP="004674C2">
            <w:pPr>
              <w:rPr>
                <w:rFonts w:ascii="Lato" w:hAnsi="Lato"/>
                <w:sz w:val="22"/>
                <w:szCs w:val="22"/>
              </w:rPr>
            </w:pPr>
            <w:r w:rsidRPr="00CB1714">
              <w:rPr>
                <w:rFonts w:ascii="Lato" w:hAnsi="Lato"/>
                <w:sz w:val="22"/>
                <w:szCs w:val="22"/>
              </w:rPr>
              <w:t xml:space="preserve">(n/a for exchange traded fund where the original </w:t>
            </w:r>
          </w:p>
        </w:tc>
        <w:tc>
          <w:tcPr>
            <w:tcW w:w="3188" w:type="dxa"/>
          </w:tcPr>
          <w:p w14:paraId="7F83693D" w14:textId="77777777" w:rsidR="004674C2" w:rsidRPr="00CB1714" w:rsidRDefault="004674C2" w:rsidP="004674C2">
            <w:pPr>
              <w:rPr>
                <w:rFonts w:ascii="Lato" w:hAnsi="Lato"/>
                <w:sz w:val="22"/>
                <w:szCs w:val="22"/>
              </w:rPr>
            </w:pPr>
          </w:p>
        </w:tc>
      </w:tr>
      <w:tr w:rsidR="004674C2" w:rsidRPr="00CB1714" w14:paraId="3E06AD67" w14:textId="77777777" w:rsidTr="0042571B">
        <w:tc>
          <w:tcPr>
            <w:tcW w:w="1316" w:type="dxa"/>
          </w:tcPr>
          <w:p w14:paraId="3663D8C5" w14:textId="77777777" w:rsidR="004674C2" w:rsidRPr="00CB1714" w:rsidRDefault="004674C2" w:rsidP="004674C2">
            <w:pPr>
              <w:jc w:val="right"/>
              <w:rPr>
                <w:rFonts w:ascii="Lato" w:hAnsi="Lato"/>
                <w:sz w:val="22"/>
                <w:szCs w:val="22"/>
              </w:rPr>
            </w:pPr>
          </w:p>
        </w:tc>
        <w:tc>
          <w:tcPr>
            <w:tcW w:w="5891" w:type="dxa"/>
          </w:tcPr>
          <w:p w14:paraId="2F7FD203" w14:textId="77777777" w:rsidR="004674C2" w:rsidRPr="00CB1714" w:rsidRDefault="004674C2" w:rsidP="004674C2">
            <w:pPr>
              <w:rPr>
                <w:rFonts w:ascii="Lato" w:hAnsi="Lato"/>
                <w:sz w:val="22"/>
                <w:szCs w:val="22"/>
              </w:rPr>
            </w:pPr>
            <w:r w:rsidRPr="00F72ED7">
              <w:rPr>
                <w:rFonts w:ascii="Lato" w:hAnsi="Lato"/>
                <w:sz w:val="22"/>
                <w:szCs w:val="22"/>
              </w:rPr>
              <w:t xml:space="preserve">subscription </w:t>
            </w:r>
            <w:r w:rsidRPr="00CB1714">
              <w:rPr>
                <w:rFonts w:ascii="Lato" w:hAnsi="Lato"/>
                <w:sz w:val="22"/>
                <w:szCs w:val="22"/>
              </w:rPr>
              <w:t>was made in specie)</w:t>
            </w:r>
          </w:p>
        </w:tc>
        <w:tc>
          <w:tcPr>
            <w:tcW w:w="3188" w:type="dxa"/>
          </w:tcPr>
          <w:p w14:paraId="55A88BC3" w14:textId="77777777" w:rsidR="004674C2" w:rsidRPr="00CB1714" w:rsidRDefault="004674C2" w:rsidP="004674C2">
            <w:pPr>
              <w:rPr>
                <w:rFonts w:ascii="Lato" w:hAnsi="Lato"/>
                <w:sz w:val="22"/>
                <w:szCs w:val="22"/>
              </w:rPr>
            </w:pPr>
          </w:p>
        </w:tc>
      </w:tr>
      <w:tr w:rsidR="004674C2" w:rsidRPr="00CB1714" w14:paraId="59858648" w14:textId="77777777" w:rsidTr="00990D73">
        <w:tc>
          <w:tcPr>
            <w:tcW w:w="1316" w:type="dxa"/>
          </w:tcPr>
          <w:p w14:paraId="21372209" w14:textId="77777777" w:rsidR="004674C2" w:rsidRPr="00CB1714" w:rsidRDefault="004674C2" w:rsidP="004674C2">
            <w:pPr>
              <w:jc w:val="right"/>
              <w:rPr>
                <w:rFonts w:ascii="Lato" w:hAnsi="Lato"/>
                <w:sz w:val="22"/>
                <w:szCs w:val="22"/>
              </w:rPr>
            </w:pPr>
          </w:p>
        </w:tc>
        <w:tc>
          <w:tcPr>
            <w:tcW w:w="5891" w:type="dxa"/>
          </w:tcPr>
          <w:p w14:paraId="5B217009"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2CD3EF06" w14:textId="77777777" w:rsidR="004674C2" w:rsidRPr="00CB1714" w:rsidRDefault="004674C2" w:rsidP="004674C2">
            <w:pPr>
              <w:rPr>
                <w:rFonts w:ascii="Lato" w:hAnsi="Lato"/>
                <w:sz w:val="22"/>
                <w:szCs w:val="22"/>
              </w:rPr>
            </w:pPr>
          </w:p>
        </w:tc>
      </w:tr>
      <w:tr w:rsidR="004674C2" w:rsidRPr="00CB1714" w14:paraId="68DC33EB" w14:textId="77777777" w:rsidTr="00990D73">
        <w:tc>
          <w:tcPr>
            <w:tcW w:w="1316" w:type="dxa"/>
          </w:tcPr>
          <w:p w14:paraId="727D4E79" w14:textId="77777777" w:rsidR="004674C2" w:rsidRPr="00CB1714" w:rsidRDefault="004674C2" w:rsidP="004674C2">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4C385B63" w14:textId="77777777" w:rsidR="004674C2" w:rsidRPr="00CB1714" w:rsidRDefault="004674C2" w:rsidP="004674C2">
            <w:pPr>
              <w:rPr>
                <w:rFonts w:ascii="Lato" w:hAnsi="Lato"/>
                <w:sz w:val="22"/>
                <w:szCs w:val="22"/>
              </w:rPr>
            </w:pPr>
            <w:r w:rsidRPr="00CB1714">
              <w:rPr>
                <w:rFonts w:ascii="Lato" w:hAnsi="Lato"/>
                <w:sz w:val="22"/>
                <w:szCs w:val="22"/>
              </w:rPr>
              <w:t xml:space="preserve">Redemptions for units of AIF on an in specie basis may only </w:t>
            </w:r>
          </w:p>
        </w:tc>
        <w:tc>
          <w:tcPr>
            <w:tcW w:w="3188" w:type="dxa"/>
            <w:tcBorders>
              <w:top w:val="single" w:sz="4" w:space="0" w:color="auto"/>
              <w:left w:val="single" w:sz="4" w:space="0" w:color="auto"/>
              <w:bottom w:val="single" w:sz="4" w:space="0" w:color="auto"/>
              <w:right w:val="single" w:sz="4" w:space="0" w:color="auto"/>
            </w:tcBorders>
          </w:tcPr>
          <w:p w14:paraId="2916C04E" w14:textId="77777777" w:rsidR="004674C2" w:rsidRPr="00CB1714" w:rsidRDefault="004674C2" w:rsidP="004674C2">
            <w:pPr>
              <w:rPr>
                <w:rFonts w:ascii="Lato" w:hAnsi="Lato"/>
                <w:sz w:val="22"/>
                <w:szCs w:val="22"/>
              </w:rPr>
            </w:pPr>
          </w:p>
        </w:tc>
      </w:tr>
      <w:tr w:rsidR="004674C2" w:rsidRPr="00CB1714" w14:paraId="418B1BD8" w14:textId="77777777" w:rsidTr="0042571B">
        <w:tc>
          <w:tcPr>
            <w:tcW w:w="1316" w:type="dxa"/>
          </w:tcPr>
          <w:p w14:paraId="62C0B86D" w14:textId="77777777" w:rsidR="004674C2" w:rsidRPr="00CB1714" w:rsidRDefault="004674C2" w:rsidP="004674C2">
            <w:pPr>
              <w:rPr>
                <w:rFonts w:ascii="Lato" w:hAnsi="Lato"/>
                <w:sz w:val="22"/>
                <w:szCs w:val="22"/>
              </w:rPr>
            </w:pPr>
          </w:p>
        </w:tc>
        <w:tc>
          <w:tcPr>
            <w:tcW w:w="5891" w:type="dxa"/>
          </w:tcPr>
          <w:p w14:paraId="167029AF" w14:textId="77777777" w:rsidR="004674C2" w:rsidRPr="00CB1714" w:rsidRDefault="004674C2" w:rsidP="004674C2">
            <w:pPr>
              <w:rPr>
                <w:rFonts w:ascii="Lato" w:hAnsi="Lato"/>
                <w:sz w:val="22"/>
                <w:szCs w:val="22"/>
              </w:rPr>
            </w:pPr>
            <w:r w:rsidRPr="00F72ED7">
              <w:rPr>
                <w:rFonts w:ascii="Lato" w:hAnsi="Lato"/>
                <w:sz w:val="22"/>
                <w:szCs w:val="22"/>
              </w:rPr>
              <w:t>be</w:t>
            </w:r>
            <w:r w:rsidRPr="00CB1714">
              <w:rPr>
                <w:rFonts w:ascii="Lato" w:hAnsi="Lato"/>
                <w:sz w:val="22"/>
                <w:szCs w:val="22"/>
              </w:rPr>
              <w:t xml:space="preserve"> accepted if the depositary is satisfied that the terms of the exchange will not be such as are likely to result in any material prejudice to the Qualifying Investor AIF unitholders</w:t>
            </w:r>
          </w:p>
        </w:tc>
        <w:tc>
          <w:tcPr>
            <w:tcW w:w="3188" w:type="dxa"/>
            <w:tcBorders>
              <w:top w:val="single" w:sz="4" w:space="0" w:color="auto"/>
            </w:tcBorders>
          </w:tcPr>
          <w:p w14:paraId="67FBCA41" w14:textId="77777777" w:rsidR="004674C2" w:rsidRPr="00CB1714" w:rsidRDefault="004674C2" w:rsidP="004674C2">
            <w:pPr>
              <w:rPr>
                <w:rFonts w:ascii="Lato" w:hAnsi="Lato"/>
                <w:sz w:val="22"/>
                <w:szCs w:val="22"/>
              </w:rPr>
            </w:pPr>
          </w:p>
        </w:tc>
      </w:tr>
      <w:tr w:rsidR="004674C2" w:rsidRPr="00CB1714" w14:paraId="3809C8D8" w14:textId="77777777" w:rsidTr="00990D73">
        <w:tc>
          <w:tcPr>
            <w:tcW w:w="1316" w:type="dxa"/>
          </w:tcPr>
          <w:p w14:paraId="10B80D75" w14:textId="77777777" w:rsidR="004674C2" w:rsidRPr="00CB1714" w:rsidRDefault="004674C2" w:rsidP="004674C2">
            <w:pPr>
              <w:rPr>
                <w:rFonts w:ascii="Lato" w:hAnsi="Lato"/>
                <w:sz w:val="22"/>
                <w:szCs w:val="22"/>
              </w:rPr>
            </w:pPr>
          </w:p>
        </w:tc>
        <w:tc>
          <w:tcPr>
            <w:tcW w:w="5891" w:type="dxa"/>
          </w:tcPr>
          <w:p w14:paraId="7FE8E8C3" w14:textId="77777777" w:rsidR="004674C2" w:rsidRPr="00CB1714" w:rsidRDefault="004674C2" w:rsidP="004674C2">
            <w:pPr>
              <w:pStyle w:val="Heading1"/>
              <w:spacing w:before="0" w:after="0" w:line="240" w:lineRule="auto"/>
              <w:rPr>
                <w:rFonts w:ascii="Lato" w:hAnsi="Lato"/>
                <w:color w:val="auto"/>
                <w:sz w:val="22"/>
                <w:szCs w:val="22"/>
              </w:rPr>
            </w:pPr>
          </w:p>
        </w:tc>
        <w:tc>
          <w:tcPr>
            <w:tcW w:w="3188" w:type="dxa"/>
          </w:tcPr>
          <w:p w14:paraId="253687F0" w14:textId="77777777" w:rsidR="004674C2" w:rsidRPr="00CB1714" w:rsidRDefault="004674C2" w:rsidP="004674C2">
            <w:pPr>
              <w:rPr>
                <w:rFonts w:ascii="Lato" w:hAnsi="Lato"/>
                <w:sz w:val="22"/>
                <w:szCs w:val="22"/>
              </w:rPr>
            </w:pPr>
          </w:p>
        </w:tc>
      </w:tr>
      <w:tr w:rsidR="004674C2" w:rsidRPr="00CB1714" w14:paraId="637062F3" w14:textId="77777777" w:rsidTr="00990D73">
        <w:tc>
          <w:tcPr>
            <w:tcW w:w="1316" w:type="dxa"/>
          </w:tcPr>
          <w:p w14:paraId="6A6AEB52" w14:textId="77777777" w:rsidR="004674C2" w:rsidRPr="00CB1714" w:rsidRDefault="004674C2" w:rsidP="004674C2">
            <w:pPr>
              <w:rPr>
                <w:rFonts w:ascii="Lato" w:hAnsi="Lato"/>
                <w:b/>
                <w:bCs/>
                <w:sz w:val="22"/>
                <w:szCs w:val="22"/>
              </w:rPr>
            </w:pPr>
            <w:r w:rsidRPr="00CB1714">
              <w:rPr>
                <w:rFonts w:ascii="Lato" w:hAnsi="Lato"/>
                <w:b/>
                <w:bCs/>
                <w:sz w:val="22"/>
                <w:szCs w:val="22"/>
              </w:rPr>
              <w:t>2.17</w:t>
            </w:r>
          </w:p>
        </w:tc>
        <w:tc>
          <w:tcPr>
            <w:tcW w:w="5891" w:type="dxa"/>
          </w:tcPr>
          <w:p w14:paraId="22D2955D" w14:textId="77777777" w:rsidR="004674C2" w:rsidRPr="00CB1714" w:rsidRDefault="004674C2" w:rsidP="004674C2">
            <w:pPr>
              <w:pStyle w:val="Heading3"/>
              <w:spacing w:before="0" w:after="0" w:line="240" w:lineRule="auto"/>
              <w:rPr>
                <w:rFonts w:ascii="Lato" w:hAnsi="Lato"/>
                <w:color w:val="auto"/>
                <w:sz w:val="22"/>
                <w:szCs w:val="22"/>
              </w:rPr>
            </w:pPr>
            <w:r w:rsidRPr="00CB1714">
              <w:rPr>
                <w:rFonts w:ascii="Lato" w:hAnsi="Lato"/>
                <w:color w:val="auto"/>
                <w:sz w:val="22"/>
                <w:szCs w:val="22"/>
              </w:rPr>
              <w:t>Dealing Procedures</w:t>
            </w:r>
          </w:p>
        </w:tc>
        <w:tc>
          <w:tcPr>
            <w:tcW w:w="3188" w:type="dxa"/>
          </w:tcPr>
          <w:p w14:paraId="03B8CBD5" w14:textId="77777777" w:rsidR="004674C2" w:rsidRPr="00CB1714" w:rsidRDefault="004674C2" w:rsidP="004674C2">
            <w:pPr>
              <w:rPr>
                <w:rFonts w:ascii="Lato" w:hAnsi="Lato"/>
                <w:sz w:val="22"/>
                <w:szCs w:val="22"/>
              </w:rPr>
            </w:pPr>
          </w:p>
        </w:tc>
      </w:tr>
      <w:tr w:rsidR="004674C2" w:rsidRPr="00CB1714" w14:paraId="786D4094" w14:textId="77777777" w:rsidTr="00990D73">
        <w:tc>
          <w:tcPr>
            <w:tcW w:w="1316" w:type="dxa"/>
          </w:tcPr>
          <w:p w14:paraId="6990E36F" w14:textId="77777777" w:rsidR="004674C2" w:rsidRPr="00CB1714" w:rsidRDefault="004674C2" w:rsidP="004674C2">
            <w:pPr>
              <w:jc w:val="right"/>
              <w:rPr>
                <w:rFonts w:ascii="Lato" w:hAnsi="Lato"/>
                <w:sz w:val="22"/>
                <w:szCs w:val="22"/>
              </w:rPr>
            </w:pPr>
          </w:p>
        </w:tc>
        <w:tc>
          <w:tcPr>
            <w:tcW w:w="5891" w:type="dxa"/>
          </w:tcPr>
          <w:p w14:paraId="76720D63" w14:textId="77777777" w:rsidR="004674C2" w:rsidRPr="00CB1714" w:rsidRDefault="004674C2" w:rsidP="004674C2">
            <w:pPr>
              <w:jc w:val="both"/>
              <w:rPr>
                <w:rFonts w:ascii="Lato" w:hAnsi="Lato"/>
                <w:sz w:val="22"/>
                <w:szCs w:val="22"/>
              </w:rPr>
            </w:pPr>
          </w:p>
        </w:tc>
        <w:tc>
          <w:tcPr>
            <w:tcW w:w="3188" w:type="dxa"/>
            <w:tcBorders>
              <w:bottom w:val="single" w:sz="4" w:space="0" w:color="auto"/>
            </w:tcBorders>
          </w:tcPr>
          <w:p w14:paraId="107876AB" w14:textId="77777777" w:rsidR="004674C2" w:rsidRPr="00CB1714" w:rsidRDefault="004674C2" w:rsidP="004674C2">
            <w:pPr>
              <w:rPr>
                <w:rFonts w:ascii="Lato" w:hAnsi="Lato"/>
                <w:sz w:val="22"/>
                <w:szCs w:val="22"/>
              </w:rPr>
            </w:pPr>
          </w:p>
        </w:tc>
      </w:tr>
      <w:tr w:rsidR="004674C2" w:rsidRPr="00CB1714" w14:paraId="42437130" w14:textId="77777777" w:rsidTr="00990D73">
        <w:tc>
          <w:tcPr>
            <w:tcW w:w="1316" w:type="dxa"/>
          </w:tcPr>
          <w:p w14:paraId="12537264" w14:textId="77777777" w:rsidR="004674C2" w:rsidRPr="00CB1714" w:rsidRDefault="004674C2" w:rsidP="004674C2">
            <w:pPr>
              <w:rPr>
                <w:rFonts w:ascii="Lato" w:hAnsi="Lato"/>
                <w:sz w:val="22"/>
                <w:szCs w:val="22"/>
              </w:rPr>
            </w:pPr>
            <w:r w:rsidRPr="00CB1714">
              <w:rPr>
                <w:rFonts w:ascii="Lato" w:hAnsi="Lato"/>
                <w:sz w:val="22"/>
                <w:szCs w:val="22"/>
              </w:rPr>
              <w:t>2.17.1</w:t>
            </w:r>
          </w:p>
        </w:tc>
        <w:tc>
          <w:tcPr>
            <w:tcW w:w="5891" w:type="dxa"/>
            <w:tcBorders>
              <w:right w:val="single" w:sz="4" w:space="0" w:color="auto"/>
            </w:tcBorders>
          </w:tcPr>
          <w:p w14:paraId="26582D4A" w14:textId="77777777" w:rsidR="004674C2" w:rsidRPr="00CB1714" w:rsidRDefault="004674C2" w:rsidP="004674C2">
            <w:pPr>
              <w:rPr>
                <w:rFonts w:ascii="Lato" w:hAnsi="Lato"/>
                <w:sz w:val="22"/>
                <w:szCs w:val="22"/>
              </w:rPr>
            </w:pPr>
            <w:r w:rsidRPr="00CB1714">
              <w:rPr>
                <w:rFonts w:ascii="Lato" w:hAnsi="Lato"/>
                <w:sz w:val="22"/>
                <w:szCs w:val="22"/>
              </w:rPr>
              <w:t>Disclose the circumstances in which units in the Qualifying</w:t>
            </w:r>
          </w:p>
        </w:tc>
        <w:tc>
          <w:tcPr>
            <w:tcW w:w="3188" w:type="dxa"/>
            <w:tcBorders>
              <w:top w:val="single" w:sz="4" w:space="0" w:color="auto"/>
              <w:left w:val="single" w:sz="4" w:space="0" w:color="auto"/>
              <w:bottom w:val="single" w:sz="4" w:space="0" w:color="auto"/>
              <w:right w:val="single" w:sz="4" w:space="0" w:color="auto"/>
            </w:tcBorders>
          </w:tcPr>
          <w:p w14:paraId="1FCE23E3" w14:textId="77777777" w:rsidR="004674C2" w:rsidRPr="00CB1714" w:rsidRDefault="004674C2" w:rsidP="004674C2">
            <w:pPr>
              <w:rPr>
                <w:rFonts w:ascii="Lato" w:hAnsi="Lato"/>
                <w:sz w:val="22"/>
                <w:szCs w:val="22"/>
              </w:rPr>
            </w:pPr>
          </w:p>
        </w:tc>
      </w:tr>
      <w:tr w:rsidR="004674C2" w:rsidRPr="00CB1714" w14:paraId="107E1586" w14:textId="77777777" w:rsidTr="00990D73">
        <w:tc>
          <w:tcPr>
            <w:tcW w:w="1316" w:type="dxa"/>
          </w:tcPr>
          <w:p w14:paraId="305A2158" w14:textId="77777777" w:rsidR="004674C2" w:rsidRPr="00CB1714" w:rsidRDefault="004674C2" w:rsidP="004674C2">
            <w:pPr>
              <w:rPr>
                <w:rFonts w:ascii="Lato" w:hAnsi="Lato"/>
                <w:sz w:val="22"/>
                <w:szCs w:val="22"/>
              </w:rPr>
            </w:pPr>
          </w:p>
        </w:tc>
        <w:tc>
          <w:tcPr>
            <w:tcW w:w="5891" w:type="dxa"/>
          </w:tcPr>
          <w:p w14:paraId="0CBDFDD2" w14:textId="77777777" w:rsidR="004674C2" w:rsidRPr="00CB1714" w:rsidRDefault="004674C2" w:rsidP="004674C2">
            <w:pPr>
              <w:rPr>
                <w:rFonts w:ascii="Lato" w:hAnsi="Lato"/>
                <w:sz w:val="22"/>
                <w:szCs w:val="22"/>
              </w:rPr>
            </w:pPr>
            <w:r w:rsidRPr="00CB1714">
              <w:rPr>
                <w:rFonts w:ascii="Lato" w:hAnsi="Lato"/>
                <w:sz w:val="22"/>
                <w:szCs w:val="22"/>
              </w:rPr>
              <w:t xml:space="preserve">Investor AIF can be redeemed compulsorily, which must </w:t>
            </w:r>
          </w:p>
        </w:tc>
        <w:tc>
          <w:tcPr>
            <w:tcW w:w="3188" w:type="dxa"/>
            <w:tcBorders>
              <w:top w:val="single" w:sz="4" w:space="0" w:color="auto"/>
            </w:tcBorders>
          </w:tcPr>
          <w:p w14:paraId="6FBF1463" w14:textId="77777777" w:rsidR="004674C2" w:rsidRPr="00CB1714" w:rsidRDefault="004674C2" w:rsidP="004674C2">
            <w:pPr>
              <w:rPr>
                <w:rFonts w:ascii="Lato" w:hAnsi="Lato"/>
                <w:sz w:val="22"/>
                <w:szCs w:val="22"/>
              </w:rPr>
            </w:pPr>
          </w:p>
        </w:tc>
      </w:tr>
      <w:tr w:rsidR="004674C2" w:rsidRPr="00CB1714" w14:paraId="1F072021" w14:textId="77777777" w:rsidTr="00990D73">
        <w:tc>
          <w:tcPr>
            <w:tcW w:w="1316" w:type="dxa"/>
          </w:tcPr>
          <w:p w14:paraId="500C7D63" w14:textId="77777777" w:rsidR="004674C2" w:rsidRPr="00CB1714" w:rsidRDefault="004674C2" w:rsidP="004674C2">
            <w:pPr>
              <w:rPr>
                <w:rFonts w:ascii="Lato" w:hAnsi="Lato"/>
                <w:sz w:val="22"/>
                <w:szCs w:val="22"/>
              </w:rPr>
            </w:pPr>
          </w:p>
        </w:tc>
        <w:tc>
          <w:tcPr>
            <w:tcW w:w="5891" w:type="dxa"/>
          </w:tcPr>
          <w:p w14:paraId="0A33124A" w14:textId="77777777" w:rsidR="004674C2" w:rsidRPr="00CB1714" w:rsidRDefault="004674C2" w:rsidP="004674C2">
            <w:pPr>
              <w:rPr>
                <w:rFonts w:ascii="Lato" w:hAnsi="Lato"/>
                <w:sz w:val="22"/>
                <w:szCs w:val="22"/>
              </w:rPr>
            </w:pPr>
            <w:r w:rsidRPr="00F72ED7">
              <w:rPr>
                <w:rFonts w:ascii="Lato" w:hAnsi="Lato"/>
                <w:sz w:val="22"/>
                <w:szCs w:val="22"/>
              </w:rPr>
              <w:t>reflect</w:t>
            </w:r>
            <w:r w:rsidRPr="00CB1714">
              <w:rPr>
                <w:rFonts w:ascii="Lato" w:hAnsi="Lato"/>
                <w:sz w:val="22"/>
                <w:szCs w:val="22"/>
              </w:rPr>
              <w:t xml:space="preserve"> the constitutional document</w:t>
            </w:r>
          </w:p>
        </w:tc>
        <w:tc>
          <w:tcPr>
            <w:tcW w:w="3188" w:type="dxa"/>
          </w:tcPr>
          <w:p w14:paraId="645153C2" w14:textId="77777777" w:rsidR="004674C2" w:rsidRPr="00CB1714" w:rsidRDefault="004674C2" w:rsidP="004674C2">
            <w:pPr>
              <w:rPr>
                <w:rFonts w:ascii="Lato" w:hAnsi="Lato"/>
                <w:sz w:val="22"/>
                <w:szCs w:val="22"/>
              </w:rPr>
            </w:pPr>
          </w:p>
        </w:tc>
      </w:tr>
      <w:tr w:rsidR="004674C2" w:rsidRPr="00CB1714" w14:paraId="65F086EC" w14:textId="77777777" w:rsidTr="00990D73">
        <w:tc>
          <w:tcPr>
            <w:tcW w:w="1316" w:type="dxa"/>
          </w:tcPr>
          <w:p w14:paraId="6F6865FB" w14:textId="77777777" w:rsidR="004674C2" w:rsidRPr="00CB1714" w:rsidRDefault="004674C2" w:rsidP="004674C2">
            <w:pPr>
              <w:jc w:val="right"/>
              <w:rPr>
                <w:rFonts w:ascii="Lato" w:hAnsi="Lato"/>
                <w:sz w:val="22"/>
                <w:szCs w:val="22"/>
              </w:rPr>
            </w:pPr>
          </w:p>
        </w:tc>
        <w:tc>
          <w:tcPr>
            <w:tcW w:w="5891" w:type="dxa"/>
          </w:tcPr>
          <w:p w14:paraId="131D3FC7"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642476DA" w14:textId="77777777" w:rsidR="004674C2" w:rsidRPr="00CB1714" w:rsidRDefault="004674C2" w:rsidP="004674C2">
            <w:pPr>
              <w:rPr>
                <w:rFonts w:ascii="Lato" w:hAnsi="Lato"/>
                <w:sz w:val="22"/>
                <w:szCs w:val="22"/>
              </w:rPr>
            </w:pPr>
          </w:p>
        </w:tc>
      </w:tr>
      <w:tr w:rsidR="004674C2" w:rsidRPr="00CB1714" w14:paraId="3600C1CC" w14:textId="77777777" w:rsidTr="00990D73">
        <w:tc>
          <w:tcPr>
            <w:tcW w:w="1316" w:type="dxa"/>
          </w:tcPr>
          <w:p w14:paraId="577503FE" w14:textId="77777777" w:rsidR="004674C2" w:rsidRPr="00CB1714" w:rsidRDefault="004674C2" w:rsidP="004674C2">
            <w:pPr>
              <w:rPr>
                <w:rFonts w:ascii="Lato" w:hAnsi="Lato"/>
                <w:sz w:val="22"/>
                <w:szCs w:val="22"/>
              </w:rPr>
            </w:pPr>
            <w:r w:rsidRPr="00CB1714">
              <w:rPr>
                <w:rFonts w:ascii="Lato" w:hAnsi="Lato"/>
                <w:sz w:val="22"/>
                <w:szCs w:val="22"/>
              </w:rPr>
              <w:t>2.17.2</w:t>
            </w:r>
          </w:p>
        </w:tc>
        <w:tc>
          <w:tcPr>
            <w:tcW w:w="5891" w:type="dxa"/>
            <w:tcBorders>
              <w:right w:val="single" w:sz="4" w:space="0" w:color="auto"/>
            </w:tcBorders>
          </w:tcPr>
          <w:p w14:paraId="3F271591" w14:textId="77777777" w:rsidR="004674C2" w:rsidRPr="00CB1714" w:rsidRDefault="004674C2" w:rsidP="004674C2">
            <w:pPr>
              <w:rPr>
                <w:rFonts w:ascii="Lato" w:hAnsi="Lato"/>
                <w:sz w:val="22"/>
                <w:szCs w:val="22"/>
              </w:rPr>
            </w:pPr>
            <w:r w:rsidRPr="00CB1714">
              <w:rPr>
                <w:rFonts w:ascii="Lato" w:hAnsi="Lato"/>
                <w:sz w:val="22"/>
                <w:szCs w:val="22"/>
              </w:rPr>
              <w:t xml:space="preserve">Disclose a statement that the subscription and redemption </w:t>
            </w:r>
          </w:p>
        </w:tc>
        <w:tc>
          <w:tcPr>
            <w:tcW w:w="3188" w:type="dxa"/>
            <w:tcBorders>
              <w:top w:val="single" w:sz="4" w:space="0" w:color="auto"/>
              <w:left w:val="single" w:sz="4" w:space="0" w:color="auto"/>
              <w:bottom w:val="single" w:sz="4" w:space="0" w:color="auto"/>
              <w:right w:val="single" w:sz="4" w:space="0" w:color="auto"/>
            </w:tcBorders>
          </w:tcPr>
          <w:p w14:paraId="597343E6" w14:textId="77777777" w:rsidR="004674C2" w:rsidRPr="00CB1714" w:rsidRDefault="004674C2" w:rsidP="004674C2">
            <w:pPr>
              <w:rPr>
                <w:rFonts w:ascii="Lato" w:hAnsi="Lato"/>
                <w:sz w:val="22"/>
                <w:szCs w:val="22"/>
              </w:rPr>
            </w:pPr>
          </w:p>
        </w:tc>
      </w:tr>
      <w:tr w:rsidR="004674C2" w:rsidRPr="00CB1714" w14:paraId="78BB9E3E" w14:textId="77777777" w:rsidTr="00990D73">
        <w:tc>
          <w:tcPr>
            <w:tcW w:w="1316" w:type="dxa"/>
          </w:tcPr>
          <w:p w14:paraId="56177085" w14:textId="77777777" w:rsidR="004674C2" w:rsidRPr="00CB1714" w:rsidRDefault="004674C2" w:rsidP="004674C2">
            <w:pPr>
              <w:jc w:val="right"/>
              <w:rPr>
                <w:rFonts w:ascii="Lato" w:hAnsi="Lato"/>
                <w:sz w:val="22"/>
                <w:szCs w:val="22"/>
              </w:rPr>
            </w:pPr>
          </w:p>
        </w:tc>
        <w:tc>
          <w:tcPr>
            <w:tcW w:w="5891" w:type="dxa"/>
          </w:tcPr>
          <w:p w14:paraId="5C448E1C" w14:textId="77777777" w:rsidR="004674C2" w:rsidRPr="00CB1714" w:rsidRDefault="004674C2" w:rsidP="004674C2">
            <w:pPr>
              <w:rPr>
                <w:rFonts w:ascii="Lato" w:hAnsi="Lato"/>
                <w:sz w:val="22"/>
                <w:szCs w:val="22"/>
              </w:rPr>
            </w:pPr>
            <w:r w:rsidRPr="00F72ED7">
              <w:rPr>
                <w:rFonts w:ascii="Lato" w:hAnsi="Lato"/>
                <w:sz w:val="22"/>
                <w:szCs w:val="22"/>
              </w:rPr>
              <w:t xml:space="preserve">prices </w:t>
            </w:r>
            <w:r w:rsidRPr="00CB1714">
              <w:rPr>
                <w:rFonts w:ascii="Lato" w:hAnsi="Lato"/>
                <w:sz w:val="22"/>
                <w:szCs w:val="22"/>
              </w:rPr>
              <w:t>are available to unitholders on request</w:t>
            </w:r>
          </w:p>
        </w:tc>
        <w:tc>
          <w:tcPr>
            <w:tcW w:w="3188" w:type="dxa"/>
            <w:tcBorders>
              <w:top w:val="single" w:sz="4" w:space="0" w:color="auto"/>
            </w:tcBorders>
          </w:tcPr>
          <w:p w14:paraId="4D0CA24F" w14:textId="77777777" w:rsidR="004674C2" w:rsidRPr="00CB1714" w:rsidRDefault="004674C2" w:rsidP="004674C2">
            <w:pPr>
              <w:rPr>
                <w:rFonts w:ascii="Lato" w:hAnsi="Lato"/>
                <w:sz w:val="22"/>
                <w:szCs w:val="22"/>
              </w:rPr>
            </w:pPr>
          </w:p>
        </w:tc>
      </w:tr>
      <w:tr w:rsidR="004674C2" w:rsidRPr="00CB1714" w14:paraId="69F19B4C" w14:textId="77777777" w:rsidTr="00990D73">
        <w:tc>
          <w:tcPr>
            <w:tcW w:w="1316" w:type="dxa"/>
          </w:tcPr>
          <w:p w14:paraId="50B29FCB" w14:textId="77777777" w:rsidR="004674C2" w:rsidRPr="00CB1714" w:rsidRDefault="004674C2" w:rsidP="004674C2">
            <w:pPr>
              <w:jc w:val="right"/>
              <w:rPr>
                <w:rFonts w:ascii="Lato" w:hAnsi="Lato"/>
                <w:sz w:val="22"/>
                <w:szCs w:val="22"/>
              </w:rPr>
            </w:pPr>
          </w:p>
        </w:tc>
        <w:tc>
          <w:tcPr>
            <w:tcW w:w="5891" w:type="dxa"/>
          </w:tcPr>
          <w:p w14:paraId="6FA8FE8B" w14:textId="77777777" w:rsidR="004674C2" w:rsidRPr="00CB1714" w:rsidRDefault="004674C2" w:rsidP="004674C2">
            <w:pPr>
              <w:rPr>
                <w:rFonts w:ascii="Lato" w:hAnsi="Lato"/>
                <w:sz w:val="22"/>
                <w:szCs w:val="22"/>
              </w:rPr>
            </w:pPr>
          </w:p>
        </w:tc>
        <w:tc>
          <w:tcPr>
            <w:tcW w:w="3188" w:type="dxa"/>
          </w:tcPr>
          <w:p w14:paraId="413A057E" w14:textId="77777777" w:rsidR="004674C2" w:rsidRPr="00CB1714" w:rsidRDefault="004674C2" w:rsidP="004674C2">
            <w:pPr>
              <w:rPr>
                <w:rFonts w:ascii="Lato" w:hAnsi="Lato"/>
                <w:sz w:val="22"/>
                <w:szCs w:val="22"/>
              </w:rPr>
            </w:pPr>
          </w:p>
        </w:tc>
      </w:tr>
      <w:tr w:rsidR="004674C2" w:rsidRPr="00CB1714" w14:paraId="7B630A10" w14:textId="77777777" w:rsidTr="00990D73">
        <w:tc>
          <w:tcPr>
            <w:tcW w:w="1316" w:type="dxa"/>
          </w:tcPr>
          <w:p w14:paraId="74DF9B5B" w14:textId="77777777" w:rsidR="004674C2" w:rsidRPr="00CB1714" w:rsidRDefault="004674C2" w:rsidP="004674C2">
            <w:pPr>
              <w:rPr>
                <w:rFonts w:ascii="Lato" w:hAnsi="Lato"/>
                <w:b/>
                <w:bCs/>
                <w:sz w:val="22"/>
                <w:szCs w:val="22"/>
              </w:rPr>
            </w:pPr>
            <w:r w:rsidRPr="00CB1714">
              <w:rPr>
                <w:rFonts w:ascii="Lato" w:hAnsi="Lato"/>
                <w:b/>
                <w:bCs/>
                <w:sz w:val="22"/>
                <w:szCs w:val="22"/>
              </w:rPr>
              <w:t>2.18</w:t>
            </w:r>
          </w:p>
        </w:tc>
        <w:tc>
          <w:tcPr>
            <w:tcW w:w="5891" w:type="dxa"/>
          </w:tcPr>
          <w:p w14:paraId="4157EFB7" w14:textId="77777777" w:rsidR="004674C2" w:rsidRPr="00CB1714" w:rsidRDefault="004674C2" w:rsidP="004674C2">
            <w:pPr>
              <w:pStyle w:val="Heading4"/>
              <w:rPr>
                <w:rFonts w:ascii="Lato" w:hAnsi="Lato"/>
                <w:sz w:val="22"/>
                <w:szCs w:val="22"/>
                <w:lang w:val="en-GB"/>
              </w:rPr>
            </w:pPr>
            <w:r w:rsidRPr="00CB1714">
              <w:rPr>
                <w:rFonts w:ascii="Lato" w:hAnsi="Lato"/>
                <w:sz w:val="22"/>
                <w:szCs w:val="22"/>
                <w:lang w:val="en-GB"/>
              </w:rPr>
              <w:t>Suspensions of Calculation of NAV and Redemptions</w:t>
            </w:r>
          </w:p>
        </w:tc>
        <w:tc>
          <w:tcPr>
            <w:tcW w:w="3188" w:type="dxa"/>
          </w:tcPr>
          <w:p w14:paraId="65940A7B" w14:textId="77777777" w:rsidR="004674C2" w:rsidRPr="00CB1714" w:rsidRDefault="004674C2" w:rsidP="004674C2">
            <w:pPr>
              <w:rPr>
                <w:rFonts w:ascii="Lato" w:hAnsi="Lato"/>
                <w:sz w:val="22"/>
                <w:szCs w:val="22"/>
              </w:rPr>
            </w:pPr>
          </w:p>
        </w:tc>
      </w:tr>
      <w:tr w:rsidR="004674C2" w:rsidRPr="00CB1714" w14:paraId="20FA4856" w14:textId="77777777" w:rsidTr="00990D73">
        <w:tc>
          <w:tcPr>
            <w:tcW w:w="1316" w:type="dxa"/>
          </w:tcPr>
          <w:p w14:paraId="218611E8" w14:textId="77777777" w:rsidR="004674C2" w:rsidRPr="00CB1714" w:rsidRDefault="004674C2" w:rsidP="004674C2">
            <w:pPr>
              <w:rPr>
                <w:rFonts w:ascii="Lato" w:hAnsi="Lato"/>
                <w:sz w:val="22"/>
                <w:szCs w:val="22"/>
              </w:rPr>
            </w:pPr>
          </w:p>
        </w:tc>
        <w:tc>
          <w:tcPr>
            <w:tcW w:w="5891" w:type="dxa"/>
          </w:tcPr>
          <w:p w14:paraId="2F69C221"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07494575" w14:textId="77777777" w:rsidR="004674C2" w:rsidRPr="00CB1714" w:rsidRDefault="004674C2" w:rsidP="004674C2">
            <w:pPr>
              <w:rPr>
                <w:rFonts w:ascii="Lato" w:hAnsi="Lato"/>
                <w:sz w:val="22"/>
                <w:szCs w:val="22"/>
              </w:rPr>
            </w:pPr>
          </w:p>
        </w:tc>
      </w:tr>
      <w:tr w:rsidR="004674C2" w:rsidRPr="00CB1714" w14:paraId="4B91FBBD" w14:textId="77777777" w:rsidTr="00990D73">
        <w:trPr>
          <w:cantSplit/>
          <w:trHeight w:val="255"/>
        </w:trPr>
        <w:tc>
          <w:tcPr>
            <w:tcW w:w="1316" w:type="dxa"/>
            <w:vMerge w:val="restart"/>
          </w:tcPr>
          <w:p w14:paraId="3CB5D2E0" w14:textId="77777777" w:rsidR="004674C2" w:rsidRPr="00CB1714" w:rsidRDefault="004674C2" w:rsidP="004674C2">
            <w:pPr>
              <w:rPr>
                <w:rFonts w:ascii="Lato" w:hAnsi="Lato"/>
                <w:sz w:val="22"/>
                <w:szCs w:val="22"/>
              </w:rPr>
            </w:pPr>
            <w:r w:rsidRPr="00CB1714">
              <w:rPr>
                <w:rFonts w:ascii="Lato" w:hAnsi="Lato"/>
                <w:sz w:val="22"/>
                <w:szCs w:val="22"/>
              </w:rPr>
              <w:t>2.18.1</w:t>
            </w:r>
          </w:p>
        </w:tc>
        <w:tc>
          <w:tcPr>
            <w:tcW w:w="5891" w:type="dxa"/>
            <w:vMerge w:val="restart"/>
            <w:tcBorders>
              <w:right w:val="single" w:sz="4" w:space="0" w:color="auto"/>
            </w:tcBorders>
          </w:tcPr>
          <w:p w14:paraId="2667A7BB" w14:textId="77777777" w:rsidR="004674C2" w:rsidRPr="00CB1714" w:rsidRDefault="004674C2" w:rsidP="004674C2">
            <w:pPr>
              <w:rPr>
                <w:rFonts w:ascii="Lato" w:hAnsi="Lato"/>
                <w:sz w:val="22"/>
                <w:szCs w:val="22"/>
              </w:rPr>
            </w:pPr>
            <w:r w:rsidRPr="00CB1714">
              <w:rPr>
                <w:rFonts w:ascii="Lato" w:hAnsi="Lato"/>
                <w:sz w:val="22"/>
                <w:szCs w:val="22"/>
              </w:rPr>
              <w:t>Disclose the circumstances in which repurchases or redemptions may be suspended temporarily</w:t>
            </w:r>
          </w:p>
        </w:tc>
        <w:tc>
          <w:tcPr>
            <w:tcW w:w="3188" w:type="dxa"/>
            <w:tcBorders>
              <w:top w:val="single" w:sz="4" w:space="0" w:color="auto"/>
              <w:left w:val="single" w:sz="4" w:space="0" w:color="auto"/>
              <w:bottom w:val="single" w:sz="4" w:space="0" w:color="auto"/>
              <w:right w:val="single" w:sz="4" w:space="0" w:color="auto"/>
            </w:tcBorders>
          </w:tcPr>
          <w:p w14:paraId="719A67EE" w14:textId="77777777" w:rsidR="004674C2" w:rsidRPr="00CB1714" w:rsidRDefault="004674C2" w:rsidP="004674C2">
            <w:pPr>
              <w:rPr>
                <w:rFonts w:ascii="Lato" w:hAnsi="Lato"/>
                <w:sz w:val="22"/>
                <w:szCs w:val="22"/>
              </w:rPr>
            </w:pPr>
          </w:p>
        </w:tc>
      </w:tr>
      <w:tr w:rsidR="004674C2" w:rsidRPr="00CB1714" w14:paraId="21789F18" w14:textId="77777777" w:rsidTr="00990D73">
        <w:trPr>
          <w:cantSplit/>
          <w:trHeight w:val="254"/>
        </w:trPr>
        <w:tc>
          <w:tcPr>
            <w:tcW w:w="1316" w:type="dxa"/>
            <w:vMerge/>
          </w:tcPr>
          <w:p w14:paraId="3A735941" w14:textId="77777777" w:rsidR="004674C2" w:rsidRPr="00CB1714" w:rsidRDefault="004674C2" w:rsidP="004674C2">
            <w:pPr>
              <w:rPr>
                <w:rFonts w:ascii="Lato" w:hAnsi="Lato"/>
                <w:sz w:val="22"/>
                <w:szCs w:val="22"/>
              </w:rPr>
            </w:pPr>
          </w:p>
        </w:tc>
        <w:tc>
          <w:tcPr>
            <w:tcW w:w="5891" w:type="dxa"/>
            <w:vMerge/>
          </w:tcPr>
          <w:p w14:paraId="7633D30C"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3D347BA8" w14:textId="77777777" w:rsidR="004674C2" w:rsidRPr="00CB1714" w:rsidRDefault="004674C2" w:rsidP="004674C2">
            <w:pPr>
              <w:rPr>
                <w:rFonts w:ascii="Lato" w:hAnsi="Lato"/>
                <w:sz w:val="22"/>
                <w:szCs w:val="22"/>
              </w:rPr>
            </w:pPr>
          </w:p>
        </w:tc>
      </w:tr>
      <w:tr w:rsidR="004674C2" w:rsidRPr="00CB1714" w14:paraId="396DC295" w14:textId="77777777" w:rsidTr="00990D73">
        <w:tc>
          <w:tcPr>
            <w:tcW w:w="1316" w:type="dxa"/>
          </w:tcPr>
          <w:p w14:paraId="2B7C2500" w14:textId="77777777" w:rsidR="004674C2" w:rsidRPr="00CB1714" w:rsidRDefault="004674C2" w:rsidP="004674C2">
            <w:pPr>
              <w:rPr>
                <w:rFonts w:ascii="Lato" w:hAnsi="Lato"/>
                <w:sz w:val="22"/>
                <w:szCs w:val="22"/>
              </w:rPr>
            </w:pPr>
          </w:p>
        </w:tc>
        <w:tc>
          <w:tcPr>
            <w:tcW w:w="5891" w:type="dxa"/>
          </w:tcPr>
          <w:p w14:paraId="54A43D33" w14:textId="77777777" w:rsidR="004674C2" w:rsidRPr="00CB1714" w:rsidRDefault="004674C2" w:rsidP="004674C2">
            <w:pPr>
              <w:rPr>
                <w:rFonts w:ascii="Lato" w:hAnsi="Lato"/>
                <w:sz w:val="22"/>
                <w:szCs w:val="22"/>
              </w:rPr>
            </w:pPr>
          </w:p>
        </w:tc>
        <w:tc>
          <w:tcPr>
            <w:tcW w:w="3188" w:type="dxa"/>
            <w:tcBorders>
              <w:bottom w:val="single" w:sz="4" w:space="0" w:color="auto"/>
            </w:tcBorders>
          </w:tcPr>
          <w:p w14:paraId="3BCCC351" w14:textId="77777777" w:rsidR="004674C2" w:rsidRPr="00CB1714" w:rsidRDefault="004674C2" w:rsidP="004674C2">
            <w:pPr>
              <w:rPr>
                <w:rFonts w:ascii="Lato" w:hAnsi="Lato"/>
                <w:sz w:val="22"/>
                <w:szCs w:val="22"/>
              </w:rPr>
            </w:pPr>
          </w:p>
        </w:tc>
      </w:tr>
      <w:tr w:rsidR="004674C2" w:rsidRPr="00CB1714" w14:paraId="219F6B22" w14:textId="77777777" w:rsidTr="00990D73">
        <w:trPr>
          <w:cantSplit/>
          <w:trHeight w:val="255"/>
        </w:trPr>
        <w:tc>
          <w:tcPr>
            <w:tcW w:w="1316" w:type="dxa"/>
            <w:vMerge w:val="restart"/>
          </w:tcPr>
          <w:p w14:paraId="42CEA4E5" w14:textId="77777777" w:rsidR="004674C2" w:rsidRPr="00CB1714" w:rsidRDefault="004674C2" w:rsidP="004674C2">
            <w:pPr>
              <w:rPr>
                <w:rFonts w:ascii="Lato" w:hAnsi="Lato"/>
                <w:sz w:val="22"/>
                <w:szCs w:val="22"/>
              </w:rPr>
            </w:pPr>
            <w:r w:rsidRPr="00CB1714">
              <w:rPr>
                <w:rFonts w:ascii="Lato" w:hAnsi="Lato"/>
                <w:sz w:val="22"/>
                <w:szCs w:val="22"/>
              </w:rPr>
              <w:t>2.18.2</w:t>
            </w:r>
          </w:p>
        </w:tc>
        <w:tc>
          <w:tcPr>
            <w:tcW w:w="5891" w:type="dxa"/>
            <w:vMerge w:val="restart"/>
            <w:tcBorders>
              <w:right w:val="single" w:sz="4" w:space="0" w:color="auto"/>
            </w:tcBorders>
          </w:tcPr>
          <w:p w14:paraId="0C98CC12" w14:textId="77777777" w:rsidR="004674C2" w:rsidRPr="00CB1714" w:rsidRDefault="004674C2" w:rsidP="004674C2">
            <w:pPr>
              <w:rPr>
                <w:rFonts w:ascii="Lato" w:hAnsi="Lato"/>
                <w:sz w:val="22"/>
                <w:szCs w:val="22"/>
              </w:rPr>
            </w:pPr>
            <w:r w:rsidRPr="00CB1714">
              <w:rPr>
                <w:rFonts w:ascii="Lato" w:hAnsi="Lato"/>
                <w:sz w:val="22"/>
                <w:szCs w:val="22"/>
              </w:rPr>
              <w:t>A management company, in the case of a unit trust or common</w:t>
            </w:r>
            <w:r w:rsidRPr="00CB1714" w:rsidDel="004C0D4A">
              <w:rPr>
                <w:rFonts w:ascii="Lato" w:hAnsi="Lato"/>
                <w:sz w:val="22"/>
                <w:szCs w:val="22"/>
              </w:rPr>
              <w:t xml:space="preserve"> </w:t>
            </w:r>
            <w:r w:rsidRPr="00CB1714">
              <w:rPr>
                <w:rFonts w:ascii="Lato" w:hAnsi="Lato"/>
                <w:sz w:val="22"/>
                <w:szCs w:val="22"/>
              </w:rPr>
              <w:t>contractual fund, a general partner, in the case of an investment limited partnership or an investment company or ICAV which temporarily suspends the calculation of the net asset value and repurchase or redemption of its units must inform the Central Bank immediately, and in any event within the working day on which such suspension took effect</w:t>
            </w:r>
          </w:p>
        </w:tc>
        <w:tc>
          <w:tcPr>
            <w:tcW w:w="3188" w:type="dxa"/>
            <w:tcBorders>
              <w:top w:val="single" w:sz="4" w:space="0" w:color="auto"/>
              <w:left w:val="single" w:sz="4" w:space="0" w:color="auto"/>
              <w:bottom w:val="single" w:sz="4" w:space="0" w:color="auto"/>
              <w:right w:val="single" w:sz="4" w:space="0" w:color="auto"/>
            </w:tcBorders>
          </w:tcPr>
          <w:p w14:paraId="5CD99113" w14:textId="77777777" w:rsidR="004674C2" w:rsidRPr="00CB1714" w:rsidRDefault="004674C2" w:rsidP="004674C2">
            <w:pPr>
              <w:rPr>
                <w:rFonts w:ascii="Lato" w:hAnsi="Lato"/>
                <w:sz w:val="22"/>
                <w:szCs w:val="22"/>
              </w:rPr>
            </w:pPr>
          </w:p>
        </w:tc>
      </w:tr>
      <w:tr w:rsidR="004674C2" w:rsidRPr="00CB1714" w14:paraId="4939AAC6" w14:textId="77777777" w:rsidTr="00990D73">
        <w:trPr>
          <w:cantSplit/>
          <w:trHeight w:val="254"/>
        </w:trPr>
        <w:tc>
          <w:tcPr>
            <w:tcW w:w="1316" w:type="dxa"/>
            <w:vMerge/>
          </w:tcPr>
          <w:p w14:paraId="7BDDBA09" w14:textId="77777777" w:rsidR="004674C2" w:rsidRPr="00CB1714" w:rsidRDefault="004674C2" w:rsidP="004674C2">
            <w:pPr>
              <w:rPr>
                <w:rFonts w:ascii="Lato" w:hAnsi="Lato"/>
                <w:sz w:val="22"/>
                <w:szCs w:val="22"/>
              </w:rPr>
            </w:pPr>
          </w:p>
        </w:tc>
        <w:tc>
          <w:tcPr>
            <w:tcW w:w="5891" w:type="dxa"/>
            <w:vMerge/>
          </w:tcPr>
          <w:p w14:paraId="0436DE70" w14:textId="77777777" w:rsidR="004674C2" w:rsidRPr="00CB1714" w:rsidRDefault="004674C2" w:rsidP="004674C2">
            <w:pPr>
              <w:rPr>
                <w:rFonts w:ascii="Lato" w:hAnsi="Lato"/>
                <w:sz w:val="22"/>
                <w:szCs w:val="22"/>
              </w:rPr>
            </w:pPr>
          </w:p>
        </w:tc>
        <w:tc>
          <w:tcPr>
            <w:tcW w:w="3188" w:type="dxa"/>
            <w:tcBorders>
              <w:top w:val="single" w:sz="4" w:space="0" w:color="auto"/>
            </w:tcBorders>
          </w:tcPr>
          <w:p w14:paraId="48002935" w14:textId="77777777" w:rsidR="004674C2" w:rsidRPr="00CB1714" w:rsidRDefault="004674C2" w:rsidP="004674C2">
            <w:pPr>
              <w:rPr>
                <w:rFonts w:ascii="Lato" w:hAnsi="Lato"/>
                <w:sz w:val="22"/>
                <w:szCs w:val="22"/>
              </w:rPr>
            </w:pPr>
          </w:p>
        </w:tc>
      </w:tr>
      <w:tr w:rsidR="004674C2" w:rsidRPr="00CB1714" w14:paraId="16AAFF19" w14:textId="77777777" w:rsidTr="00990D73">
        <w:trPr>
          <w:cantSplit/>
          <w:trHeight w:val="254"/>
        </w:trPr>
        <w:tc>
          <w:tcPr>
            <w:tcW w:w="1316" w:type="dxa"/>
            <w:vMerge/>
          </w:tcPr>
          <w:p w14:paraId="44594393" w14:textId="77777777" w:rsidR="004674C2" w:rsidRPr="00CB1714" w:rsidRDefault="004674C2" w:rsidP="004674C2">
            <w:pPr>
              <w:rPr>
                <w:rFonts w:ascii="Lato" w:hAnsi="Lato"/>
                <w:sz w:val="22"/>
                <w:szCs w:val="22"/>
              </w:rPr>
            </w:pPr>
          </w:p>
        </w:tc>
        <w:tc>
          <w:tcPr>
            <w:tcW w:w="5891" w:type="dxa"/>
            <w:vMerge/>
          </w:tcPr>
          <w:p w14:paraId="2F82297B" w14:textId="77777777" w:rsidR="004674C2" w:rsidRPr="00CB1714" w:rsidRDefault="004674C2" w:rsidP="004674C2">
            <w:pPr>
              <w:rPr>
                <w:rFonts w:ascii="Lato" w:hAnsi="Lato"/>
                <w:sz w:val="22"/>
                <w:szCs w:val="22"/>
              </w:rPr>
            </w:pPr>
          </w:p>
        </w:tc>
        <w:tc>
          <w:tcPr>
            <w:tcW w:w="3188" w:type="dxa"/>
          </w:tcPr>
          <w:p w14:paraId="2F7E2DAC" w14:textId="77777777" w:rsidR="004674C2" w:rsidRPr="00CB1714" w:rsidRDefault="004674C2" w:rsidP="004674C2">
            <w:pPr>
              <w:rPr>
                <w:rFonts w:ascii="Lato" w:hAnsi="Lato"/>
                <w:sz w:val="22"/>
                <w:szCs w:val="22"/>
              </w:rPr>
            </w:pPr>
          </w:p>
        </w:tc>
      </w:tr>
      <w:tr w:rsidR="004674C2" w:rsidRPr="00CB1714" w14:paraId="067B07E0" w14:textId="77777777" w:rsidTr="00990D73">
        <w:tc>
          <w:tcPr>
            <w:tcW w:w="1316" w:type="dxa"/>
          </w:tcPr>
          <w:p w14:paraId="39090CDE" w14:textId="77777777" w:rsidR="004674C2" w:rsidRPr="00CB1714" w:rsidRDefault="004674C2" w:rsidP="004674C2">
            <w:pPr>
              <w:rPr>
                <w:rFonts w:ascii="Lato" w:hAnsi="Lato"/>
                <w:b/>
                <w:bCs/>
                <w:sz w:val="22"/>
                <w:szCs w:val="22"/>
              </w:rPr>
            </w:pPr>
          </w:p>
        </w:tc>
        <w:tc>
          <w:tcPr>
            <w:tcW w:w="5891" w:type="dxa"/>
          </w:tcPr>
          <w:p w14:paraId="2B3F6FA0" w14:textId="77777777" w:rsidR="004674C2" w:rsidRPr="00CB1714" w:rsidRDefault="004674C2" w:rsidP="004674C2">
            <w:pPr>
              <w:rPr>
                <w:rFonts w:ascii="Lato" w:hAnsi="Lato"/>
                <w:b/>
                <w:bCs/>
                <w:sz w:val="22"/>
                <w:szCs w:val="22"/>
              </w:rPr>
            </w:pPr>
          </w:p>
        </w:tc>
        <w:tc>
          <w:tcPr>
            <w:tcW w:w="3188" w:type="dxa"/>
          </w:tcPr>
          <w:p w14:paraId="3BAA11D6" w14:textId="77777777" w:rsidR="004674C2" w:rsidRPr="00CB1714" w:rsidRDefault="004674C2" w:rsidP="004674C2">
            <w:pPr>
              <w:rPr>
                <w:rFonts w:ascii="Lato" w:hAnsi="Lato"/>
                <w:sz w:val="22"/>
                <w:szCs w:val="22"/>
              </w:rPr>
            </w:pPr>
          </w:p>
        </w:tc>
      </w:tr>
      <w:tr w:rsidR="004674C2" w:rsidRPr="00CB1714" w14:paraId="00BBB823" w14:textId="77777777" w:rsidTr="00990D73">
        <w:tc>
          <w:tcPr>
            <w:tcW w:w="1316" w:type="dxa"/>
          </w:tcPr>
          <w:p w14:paraId="38E9DAA4" w14:textId="77777777" w:rsidR="004674C2" w:rsidRPr="00CB1714" w:rsidRDefault="004674C2" w:rsidP="004674C2">
            <w:pPr>
              <w:rPr>
                <w:rFonts w:ascii="Lato" w:hAnsi="Lato"/>
                <w:b/>
                <w:bCs/>
                <w:sz w:val="22"/>
                <w:szCs w:val="22"/>
              </w:rPr>
            </w:pPr>
            <w:r w:rsidRPr="00CB1714">
              <w:rPr>
                <w:rFonts w:ascii="Lato" w:hAnsi="Lato"/>
                <w:b/>
                <w:bCs/>
                <w:sz w:val="22"/>
                <w:szCs w:val="22"/>
              </w:rPr>
              <w:t>2.19</w:t>
            </w:r>
          </w:p>
        </w:tc>
        <w:tc>
          <w:tcPr>
            <w:tcW w:w="5891" w:type="dxa"/>
          </w:tcPr>
          <w:p w14:paraId="7E759D3E" w14:textId="77777777" w:rsidR="004674C2" w:rsidRPr="00CB1714" w:rsidRDefault="004674C2" w:rsidP="004674C2">
            <w:pPr>
              <w:rPr>
                <w:rFonts w:ascii="Lato" w:hAnsi="Lato"/>
                <w:b/>
                <w:bCs/>
                <w:sz w:val="22"/>
                <w:szCs w:val="22"/>
              </w:rPr>
            </w:pPr>
            <w:r w:rsidRPr="00CB1714">
              <w:rPr>
                <w:rFonts w:ascii="Lato" w:hAnsi="Lato"/>
                <w:b/>
                <w:bCs/>
                <w:sz w:val="22"/>
                <w:szCs w:val="22"/>
              </w:rPr>
              <w:t>Closed-ended Qualifying Investor AIF</w:t>
            </w:r>
          </w:p>
        </w:tc>
        <w:tc>
          <w:tcPr>
            <w:tcW w:w="3188" w:type="dxa"/>
          </w:tcPr>
          <w:p w14:paraId="011E414C" w14:textId="77777777" w:rsidR="004674C2" w:rsidRPr="00CB1714" w:rsidRDefault="004674C2" w:rsidP="004674C2">
            <w:pPr>
              <w:rPr>
                <w:rFonts w:ascii="Lato" w:hAnsi="Lato"/>
                <w:sz w:val="22"/>
                <w:szCs w:val="22"/>
              </w:rPr>
            </w:pPr>
          </w:p>
        </w:tc>
      </w:tr>
      <w:tr w:rsidR="004674C2" w:rsidRPr="00CB1714" w14:paraId="5E7C1270" w14:textId="77777777" w:rsidTr="00990D73">
        <w:trPr>
          <w:cantSplit/>
          <w:trHeight w:val="255"/>
        </w:trPr>
        <w:tc>
          <w:tcPr>
            <w:tcW w:w="1316" w:type="dxa"/>
            <w:vMerge w:val="restart"/>
          </w:tcPr>
          <w:p w14:paraId="3C93BAAF" w14:textId="77777777" w:rsidR="004674C2" w:rsidRPr="00CB1714" w:rsidRDefault="004674C2" w:rsidP="004674C2">
            <w:pPr>
              <w:rPr>
                <w:rFonts w:ascii="Lato" w:hAnsi="Lato"/>
                <w:sz w:val="22"/>
                <w:szCs w:val="22"/>
              </w:rPr>
            </w:pPr>
            <w:r w:rsidRPr="00CB1714">
              <w:rPr>
                <w:rFonts w:ascii="Lato" w:hAnsi="Lato"/>
                <w:sz w:val="22"/>
                <w:szCs w:val="22"/>
              </w:rPr>
              <w:t>2.19.1</w:t>
            </w:r>
          </w:p>
        </w:tc>
        <w:tc>
          <w:tcPr>
            <w:tcW w:w="5891" w:type="dxa"/>
            <w:vMerge w:val="restart"/>
            <w:tcBorders>
              <w:right w:val="single" w:sz="4" w:space="0" w:color="auto"/>
            </w:tcBorders>
          </w:tcPr>
          <w:p w14:paraId="0A6D91BF" w14:textId="77777777" w:rsidR="004674C2" w:rsidRPr="00CB1714" w:rsidRDefault="004674C2" w:rsidP="004674C2">
            <w:pPr>
              <w:rPr>
                <w:rFonts w:ascii="Lato" w:hAnsi="Lato"/>
                <w:sz w:val="22"/>
                <w:szCs w:val="22"/>
              </w:rPr>
            </w:pPr>
            <w:r w:rsidRPr="00CB1714">
              <w:rPr>
                <w:rFonts w:ascii="Lato" w:hAnsi="Lato"/>
                <w:sz w:val="22"/>
                <w:szCs w:val="22"/>
              </w:rPr>
              <w:t xml:space="preserve">Disclose the finite closed-ended period of the Qualifying Investor AIF as a material part of the Investment Policy </w:t>
            </w:r>
          </w:p>
        </w:tc>
        <w:tc>
          <w:tcPr>
            <w:tcW w:w="3188" w:type="dxa"/>
            <w:tcBorders>
              <w:top w:val="single" w:sz="4" w:space="0" w:color="auto"/>
              <w:left w:val="single" w:sz="4" w:space="0" w:color="auto"/>
              <w:bottom w:val="single" w:sz="4" w:space="0" w:color="auto"/>
              <w:right w:val="single" w:sz="4" w:space="0" w:color="auto"/>
            </w:tcBorders>
          </w:tcPr>
          <w:p w14:paraId="287D002A" w14:textId="77777777" w:rsidR="004674C2" w:rsidRPr="00CB1714" w:rsidRDefault="004674C2" w:rsidP="004674C2">
            <w:pPr>
              <w:rPr>
                <w:rFonts w:ascii="Lato" w:hAnsi="Lato"/>
                <w:sz w:val="22"/>
                <w:szCs w:val="22"/>
              </w:rPr>
            </w:pPr>
          </w:p>
        </w:tc>
      </w:tr>
      <w:tr w:rsidR="004674C2" w:rsidRPr="00CB1714" w14:paraId="4BCA2C3A" w14:textId="77777777" w:rsidTr="00A3122F">
        <w:trPr>
          <w:cantSplit/>
          <w:trHeight w:val="254"/>
        </w:trPr>
        <w:tc>
          <w:tcPr>
            <w:tcW w:w="1316" w:type="dxa"/>
            <w:vMerge/>
          </w:tcPr>
          <w:p w14:paraId="58DC41F4" w14:textId="77777777" w:rsidR="004674C2" w:rsidRPr="00CB1714" w:rsidRDefault="004674C2" w:rsidP="004674C2">
            <w:pPr>
              <w:rPr>
                <w:rFonts w:ascii="Lato" w:hAnsi="Lato"/>
                <w:sz w:val="22"/>
                <w:szCs w:val="22"/>
              </w:rPr>
            </w:pPr>
          </w:p>
        </w:tc>
        <w:tc>
          <w:tcPr>
            <w:tcW w:w="5891" w:type="dxa"/>
            <w:vMerge/>
          </w:tcPr>
          <w:p w14:paraId="14DB23BB" w14:textId="77777777" w:rsidR="004674C2" w:rsidRPr="00CB1714" w:rsidRDefault="004674C2" w:rsidP="004674C2">
            <w:pPr>
              <w:rPr>
                <w:rFonts w:ascii="Lato" w:hAnsi="Lato"/>
                <w:sz w:val="22"/>
                <w:szCs w:val="22"/>
              </w:rPr>
            </w:pPr>
          </w:p>
        </w:tc>
        <w:tc>
          <w:tcPr>
            <w:tcW w:w="3188" w:type="dxa"/>
            <w:tcBorders>
              <w:top w:val="single" w:sz="4" w:space="0" w:color="auto"/>
              <w:bottom w:val="single" w:sz="4" w:space="0" w:color="auto"/>
            </w:tcBorders>
          </w:tcPr>
          <w:p w14:paraId="35F67A9A" w14:textId="77777777" w:rsidR="004674C2" w:rsidRPr="00CB1714" w:rsidRDefault="004674C2" w:rsidP="004674C2">
            <w:pPr>
              <w:rPr>
                <w:rFonts w:ascii="Lato" w:hAnsi="Lato"/>
                <w:sz w:val="22"/>
                <w:szCs w:val="22"/>
              </w:rPr>
            </w:pPr>
          </w:p>
        </w:tc>
      </w:tr>
      <w:tr w:rsidR="006E3A3D" w:rsidRPr="00CB1714" w14:paraId="53C0AD7D" w14:textId="77777777" w:rsidTr="00A3122F">
        <w:tc>
          <w:tcPr>
            <w:tcW w:w="1316" w:type="dxa"/>
          </w:tcPr>
          <w:p w14:paraId="260F9573"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3EE5113A" w14:textId="77777777" w:rsidR="006E3A3D" w:rsidRPr="00CB1714" w:rsidRDefault="006E3A3D" w:rsidP="006E3A3D">
            <w:pPr>
              <w:rPr>
                <w:rFonts w:ascii="Lato" w:hAnsi="Lato"/>
                <w:i/>
                <w:iCs/>
                <w:sz w:val="22"/>
                <w:szCs w:val="22"/>
              </w:rPr>
            </w:pPr>
            <w:r>
              <w:rPr>
                <w:rFonts w:ascii="Lato" w:hAnsi="Lato"/>
                <w:sz w:val="22"/>
                <w:szCs w:val="22"/>
              </w:rPr>
              <w:t>W</w:t>
            </w:r>
            <w:r w:rsidRPr="00746D69">
              <w:rPr>
                <w:rFonts w:ascii="Lato" w:hAnsi="Lato"/>
                <w:sz w:val="22"/>
                <w:szCs w:val="22"/>
              </w:rPr>
              <w:t>here the intention is to extend this fi</w:t>
            </w:r>
            <w:r>
              <w:rPr>
                <w:rFonts w:ascii="Lato" w:hAnsi="Lato"/>
                <w:sz w:val="22"/>
                <w:szCs w:val="22"/>
              </w:rPr>
              <w:t>nite period, disclose</w:t>
            </w:r>
          </w:p>
        </w:tc>
        <w:tc>
          <w:tcPr>
            <w:tcW w:w="3188" w:type="dxa"/>
            <w:tcBorders>
              <w:top w:val="single" w:sz="4" w:space="0" w:color="auto"/>
              <w:left w:val="single" w:sz="4" w:space="0" w:color="auto"/>
              <w:bottom w:val="single" w:sz="4" w:space="0" w:color="auto"/>
              <w:right w:val="single" w:sz="4" w:space="0" w:color="auto"/>
            </w:tcBorders>
          </w:tcPr>
          <w:p w14:paraId="74D2BD9A" w14:textId="77777777" w:rsidR="006E3A3D" w:rsidRPr="00CB1714" w:rsidRDefault="006E3A3D" w:rsidP="006E3A3D">
            <w:pPr>
              <w:rPr>
                <w:rFonts w:ascii="Lato" w:hAnsi="Lato"/>
                <w:sz w:val="22"/>
                <w:szCs w:val="22"/>
              </w:rPr>
            </w:pPr>
          </w:p>
        </w:tc>
      </w:tr>
      <w:tr w:rsidR="006E3A3D" w:rsidRPr="00CB1714" w14:paraId="71D1D101" w14:textId="77777777" w:rsidTr="00A3122F">
        <w:tc>
          <w:tcPr>
            <w:tcW w:w="1316" w:type="dxa"/>
          </w:tcPr>
          <w:p w14:paraId="21CC67A8" w14:textId="77777777" w:rsidR="006E3A3D" w:rsidRPr="00CB1714" w:rsidRDefault="006E3A3D" w:rsidP="006E3A3D">
            <w:pPr>
              <w:rPr>
                <w:rFonts w:ascii="Lato" w:hAnsi="Lato"/>
                <w:sz w:val="22"/>
                <w:szCs w:val="22"/>
              </w:rPr>
            </w:pPr>
          </w:p>
        </w:tc>
        <w:tc>
          <w:tcPr>
            <w:tcW w:w="5891" w:type="dxa"/>
          </w:tcPr>
          <w:p w14:paraId="39B16A4E" w14:textId="77777777" w:rsidR="006E3A3D" w:rsidRDefault="006E3A3D" w:rsidP="006E3A3D">
            <w:pPr>
              <w:rPr>
                <w:rFonts w:ascii="Lato" w:hAnsi="Lato"/>
                <w:sz w:val="22"/>
                <w:szCs w:val="22"/>
              </w:rPr>
            </w:pPr>
            <w:r>
              <w:rPr>
                <w:rFonts w:ascii="Lato" w:hAnsi="Lato"/>
                <w:sz w:val="22"/>
                <w:szCs w:val="22"/>
              </w:rPr>
              <w:t>the duration of the</w:t>
            </w:r>
            <w:r w:rsidRPr="00746D69">
              <w:rPr>
                <w:rFonts w:ascii="Lato" w:hAnsi="Lato"/>
                <w:sz w:val="22"/>
                <w:szCs w:val="22"/>
              </w:rPr>
              <w:t xml:space="preserve"> </w:t>
            </w:r>
            <w:r>
              <w:rPr>
                <w:rFonts w:ascii="Lato" w:hAnsi="Lato"/>
                <w:sz w:val="22"/>
                <w:szCs w:val="22"/>
              </w:rPr>
              <w:t>extension</w:t>
            </w:r>
          </w:p>
        </w:tc>
        <w:tc>
          <w:tcPr>
            <w:tcW w:w="3188" w:type="dxa"/>
            <w:tcBorders>
              <w:top w:val="single" w:sz="4" w:space="0" w:color="auto"/>
            </w:tcBorders>
          </w:tcPr>
          <w:p w14:paraId="6647F6BE" w14:textId="77777777" w:rsidR="006E3A3D" w:rsidRPr="00CB1714" w:rsidRDefault="006E3A3D" w:rsidP="006E3A3D">
            <w:pPr>
              <w:rPr>
                <w:rFonts w:ascii="Lato" w:hAnsi="Lato"/>
                <w:sz w:val="22"/>
                <w:szCs w:val="22"/>
              </w:rPr>
            </w:pPr>
          </w:p>
        </w:tc>
      </w:tr>
      <w:tr w:rsidR="006E3A3D" w:rsidRPr="00CB1714" w14:paraId="369DF150" w14:textId="77777777" w:rsidTr="00A3122F">
        <w:tc>
          <w:tcPr>
            <w:tcW w:w="1316" w:type="dxa"/>
          </w:tcPr>
          <w:p w14:paraId="194C087B" w14:textId="77777777" w:rsidR="006E3A3D" w:rsidRPr="00CB1714" w:rsidRDefault="006E3A3D" w:rsidP="006E3A3D">
            <w:pPr>
              <w:rPr>
                <w:rFonts w:ascii="Lato" w:hAnsi="Lato"/>
                <w:sz w:val="22"/>
                <w:szCs w:val="22"/>
              </w:rPr>
            </w:pPr>
          </w:p>
        </w:tc>
        <w:tc>
          <w:tcPr>
            <w:tcW w:w="5891" w:type="dxa"/>
          </w:tcPr>
          <w:p w14:paraId="14EE0691" w14:textId="77777777" w:rsidR="006E3A3D" w:rsidRPr="00CB1714" w:rsidRDefault="006E3A3D" w:rsidP="006E3A3D">
            <w:pPr>
              <w:rPr>
                <w:rFonts w:ascii="Lato" w:hAnsi="Lato"/>
                <w:i/>
                <w:iCs/>
                <w:sz w:val="22"/>
                <w:szCs w:val="22"/>
              </w:rPr>
            </w:pPr>
          </w:p>
        </w:tc>
        <w:tc>
          <w:tcPr>
            <w:tcW w:w="3188" w:type="dxa"/>
            <w:tcBorders>
              <w:bottom w:val="single" w:sz="4" w:space="0" w:color="auto"/>
            </w:tcBorders>
          </w:tcPr>
          <w:p w14:paraId="0A7E9EC7" w14:textId="77777777" w:rsidR="006E3A3D" w:rsidRPr="00CB1714" w:rsidRDefault="006E3A3D" w:rsidP="006E3A3D">
            <w:pPr>
              <w:rPr>
                <w:rFonts w:ascii="Lato" w:hAnsi="Lato"/>
                <w:sz w:val="22"/>
                <w:szCs w:val="22"/>
              </w:rPr>
            </w:pPr>
          </w:p>
        </w:tc>
      </w:tr>
      <w:tr w:rsidR="006E3A3D" w:rsidRPr="00CB1714" w14:paraId="7EBC4EFB" w14:textId="77777777" w:rsidTr="00990D73">
        <w:trPr>
          <w:cantSplit/>
          <w:trHeight w:val="255"/>
        </w:trPr>
        <w:tc>
          <w:tcPr>
            <w:tcW w:w="1316" w:type="dxa"/>
            <w:vMerge w:val="restart"/>
          </w:tcPr>
          <w:p w14:paraId="643F6CAB" w14:textId="77777777" w:rsidR="006E3A3D" w:rsidRPr="00CB1714" w:rsidRDefault="006E3A3D" w:rsidP="006E3A3D">
            <w:pPr>
              <w:rPr>
                <w:rFonts w:ascii="Lato" w:hAnsi="Lato"/>
                <w:sz w:val="22"/>
                <w:szCs w:val="22"/>
              </w:rPr>
            </w:pPr>
            <w:r w:rsidRPr="00CB1714">
              <w:rPr>
                <w:rFonts w:ascii="Lato" w:hAnsi="Lato"/>
                <w:sz w:val="22"/>
                <w:szCs w:val="22"/>
              </w:rPr>
              <w:t>2.19.2</w:t>
            </w:r>
          </w:p>
        </w:tc>
        <w:tc>
          <w:tcPr>
            <w:tcW w:w="5891" w:type="dxa"/>
            <w:vMerge w:val="restart"/>
            <w:tcBorders>
              <w:right w:val="single" w:sz="4" w:space="0" w:color="auto"/>
            </w:tcBorders>
          </w:tcPr>
          <w:p w14:paraId="7038B775" w14:textId="77777777" w:rsidR="006E3A3D" w:rsidRPr="00CB1714" w:rsidRDefault="006E3A3D" w:rsidP="006E3A3D">
            <w:pPr>
              <w:rPr>
                <w:rFonts w:ascii="Lato" w:hAnsi="Lato"/>
                <w:sz w:val="22"/>
                <w:szCs w:val="22"/>
              </w:rPr>
            </w:pPr>
            <w:r w:rsidRPr="00CB1714">
              <w:rPr>
                <w:rFonts w:ascii="Lato" w:hAnsi="Lato"/>
                <w:sz w:val="22"/>
                <w:szCs w:val="22"/>
              </w:rPr>
              <w:t>In the case of an umbrella Qualifying Investor AIF, disclose the closed-ended period of each sub-fund</w:t>
            </w:r>
          </w:p>
        </w:tc>
        <w:tc>
          <w:tcPr>
            <w:tcW w:w="3188" w:type="dxa"/>
            <w:tcBorders>
              <w:top w:val="single" w:sz="4" w:space="0" w:color="auto"/>
              <w:left w:val="single" w:sz="4" w:space="0" w:color="auto"/>
              <w:bottom w:val="single" w:sz="4" w:space="0" w:color="auto"/>
              <w:right w:val="single" w:sz="4" w:space="0" w:color="auto"/>
            </w:tcBorders>
          </w:tcPr>
          <w:p w14:paraId="4AE2ED74" w14:textId="77777777" w:rsidR="006E3A3D" w:rsidRPr="00CB1714" w:rsidRDefault="006E3A3D" w:rsidP="006E3A3D">
            <w:pPr>
              <w:rPr>
                <w:rFonts w:ascii="Lato" w:hAnsi="Lato"/>
                <w:sz w:val="22"/>
                <w:szCs w:val="22"/>
              </w:rPr>
            </w:pPr>
          </w:p>
        </w:tc>
      </w:tr>
      <w:tr w:rsidR="006E3A3D" w:rsidRPr="00CB1714" w14:paraId="4D7032E1" w14:textId="77777777" w:rsidTr="00990D73">
        <w:trPr>
          <w:cantSplit/>
          <w:trHeight w:val="254"/>
        </w:trPr>
        <w:tc>
          <w:tcPr>
            <w:tcW w:w="1316" w:type="dxa"/>
            <w:vMerge/>
          </w:tcPr>
          <w:p w14:paraId="192EFD34" w14:textId="77777777" w:rsidR="006E3A3D" w:rsidRPr="00CB1714" w:rsidRDefault="006E3A3D" w:rsidP="006E3A3D">
            <w:pPr>
              <w:rPr>
                <w:rFonts w:ascii="Lato" w:hAnsi="Lato"/>
                <w:sz w:val="22"/>
                <w:szCs w:val="22"/>
              </w:rPr>
            </w:pPr>
          </w:p>
        </w:tc>
        <w:tc>
          <w:tcPr>
            <w:tcW w:w="5891" w:type="dxa"/>
            <w:vMerge/>
          </w:tcPr>
          <w:p w14:paraId="3AB47DD8"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394CAC06" w14:textId="77777777" w:rsidR="006E3A3D" w:rsidRPr="00CB1714" w:rsidRDefault="006E3A3D" w:rsidP="006E3A3D">
            <w:pPr>
              <w:rPr>
                <w:rFonts w:ascii="Lato" w:hAnsi="Lato"/>
                <w:sz w:val="22"/>
                <w:szCs w:val="22"/>
              </w:rPr>
            </w:pPr>
          </w:p>
        </w:tc>
      </w:tr>
      <w:tr w:rsidR="006E3A3D" w:rsidRPr="00CB1714" w14:paraId="5394AEC3" w14:textId="77777777" w:rsidTr="00990D73">
        <w:tc>
          <w:tcPr>
            <w:tcW w:w="1316" w:type="dxa"/>
          </w:tcPr>
          <w:p w14:paraId="645CAD44" w14:textId="77777777" w:rsidR="006E3A3D" w:rsidRPr="00CB1714" w:rsidRDefault="006E3A3D" w:rsidP="006E3A3D">
            <w:pPr>
              <w:rPr>
                <w:rFonts w:ascii="Lato" w:hAnsi="Lato"/>
                <w:sz w:val="22"/>
                <w:szCs w:val="22"/>
              </w:rPr>
            </w:pPr>
          </w:p>
        </w:tc>
        <w:tc>
          <w:tcPr>
            <w:tcW w:w="5891" w:type="dxa"/>
          </w:tcPr>
          <w:p w14:paraId="526FE723" w14:textId="77777777" w:rsidR="006E3A3D" w:rsidRPr="00CB1714" w:rsidRDefault="006E3A3D" w:rsidP="006E3A3D">
            <w:pPr>
              <w:jc w:val="both"/>
              <w:rPr>
                <w:rFonts w:ascii="Lato" w:hAnsi="Lato"/>
                <w:sz w:val="22"/>
                <w:szCs w:val="22"/>
              </w:rPr>
            </w:pPr>
            <w:r w:rsidRPr="00CB1714">
              <w:rPr>
                <w:rFonts w:ascii="Lato" w:hAnsi="Lato"/>
                <w:sz w:val="22"/>
                <w:szCs w:val="22"/>
              </w:rPr>
              <w:t xml:space="preserve">Note:  It is possible to establish an umbrella Qualifying Investor AIF with open, open-ended with limited liquidity and closed sub-funds.  In this case the prospectus may provide that notwithstanding the right of unitholders to request redemption of their holding, certain sub-funds may be established with no rights of redemption, subject to conditions set down by the Central Bank  </w:t>
            </w:r>
          </w:p>
        </w:tc>
        <w:tc>
          <w:tcPr>
            <w:tcW w:w="3188" w:type="dxa"/>
          </w:tcPr>
          <w:p w14:paraId="2A0316F6" w14:textId="77777777" w:rsidR="006E3A3D" w:rsidRPr="00CB1714" w:rsidRDefault="006E3A3D" w:rsidP="006E3A3D">
            <w:pPr>
              <w:rPr>
                <w:rFonts w:ascii="Lato" w:hAnsi="Lato"/>
                <w:sz w:val="22"/>
                <w:szCs w:val="22"/>
              </w:rPr>
            </w:pPr>
          </w:p>
        </w:tc>
      </w:tr>
      <w:tr w:rsidR="006E3A3D" w:rsidRPr="00CB1714" w14:paraId="30BC3863" w14:textId="77777777" w:rsidTr="00990D73">
        <w:tc>
          <w:tcPr>
            <w:tcW w:w="1316" w:type="dxa"/>
          </w:tcPr>
          <w:p w14:paraId="0A014F0D" w14:textId="77777777" w:rsidR="006E3A3D" w:rsidRPr="00CB1714" w:rsidRDefault="006E3A3D" w:rsidP="006E3A3D">
            <w:pPr>
              <w:rPr>
                <w:rFonts w:ascii="Lato" w:hAnsi="Lato"/>
                <w:sz w:val="22"/>
                <w:szCs w:val="22"/>
              </w:rPr>
            </w:pPr>
          </w:p>
        </w:tc>
        <w:tc>
          <w:tcPr>
            <w:tcW w:w="5891" w:type="dxa"/>
          </w:tcPr>
          <w:p w14:paraId="6F4261E3" w14:textId="77777777" w:rsidR="006E3A3D" w:rsidRPr="00CB1714" w:rsidRDefault="006E3A3D" w:rsidP="006E3A3D">
            <w:pPr>
              <w:jc w:val="both"/>
              <w:rPr>
                <w:rFonts w:ascii="Lato" w:hAnsi="Lato"/>
                <w:sz w:val="22"/>
                <w:szCs w:val="22"/>
              </w:rPr>
            </w:pPr>
          </w:p>
        </w:tc>
        <w:tc>
          <w:tcPr>
            <w:tcW w:w="3188" w:type="dxa"/>
          </w:tcPr>
          <w:p w14:paraId="60B23C32" w14:textId="77777777" w:rsidR="006E3A3D" w:rsidRPr="00CB1714" w:rsidRDefault="006E3A3D" w:rsidP="006E3A3D">
            <w:pPr>
              <w:rPr>
                <w:rFonts w:ascii="Lato" w:hAnsi="Lato"/>
                <w:sz w:val="22"/>
                <w:szCs w:val="22"/>
              </w:rPr>
            </w:pPr>
          </w:p>
        </w:tc>
      </w:tr>
      <w:tr w:rsidR="006E3A3D" w:rsidRPr="00CB1714" w14:paraId="3FEEEEE2" w14:textId="77777777" w:rsidTr="00990D73">
        <w:tc>
          <w:tcPr>
            <w:tcW w:w="1316" w:type="dxa"/>
          </w:tcPr>
          <w:p w14:paraId="3FCBE8DC" w14:textId="77777777" w:rsidR="006E3A3D" w:rsidRPr="00CB1714" w:rsidRDefault="006E3A3D" w:rsidP="006E3A3D">
            <w:pPr>
              <w:rPr>
                <w:rFonts w:ascii="Lato" w:hAnsi="Lato"/>
                <w:sz w:val="22"/>
                <w:szCs w:val="22"/>
              </w:rPr>
            </w:pPr>
          </w:p>
        </w:tc>
        <w:tc>
          <w:tcPr>
            <w:tcW w:w="5891" w:type="dxa"/>
          </w:tcPr>
          <w:p w14:paraId="0CB110EC" w14:textId="77777777" w:rsidR="006E3A3D" w:rsidRPr="00CB1714" w:rsidRDefault="006E3A3D" w:rsidP="006E3A3D">
            <w:pPr>
              <w:jc w:val="both"/>
              <w:rPr>
                <w:rFonts w:ascii="Lato" w:hAnsi="Lato"/>
                <w:sz w:val="22"/>
                <w:szCs w:val="22"/>
              </w:rPr>
            </w:pPr>
          </w:p>
        </w:tc>
        <w:tc>
          <w:tcPr>
            <w:tcW w:w="3188" w:type="dxa"/>
          </w:tcPr>
          <w:p w14:paraId="7FE2EEC5" w14:textId="77777777" w:rsidR="006E3A3D" w:rsidRPr="00CB1714" w:rsidRDefault="006E3A3D" w:rsidP="006E3A3D">
            <w:pPr>
              <w:rPr>
                <w:rFonts w:ascii="Lato" w:hAnsi="Lato"/>
                <w:sz w:val="22"/>
                <w:szCs w:val="22"/>
              </w:rPr>
            </w:pPr>
          </w:p>
        </w:tc>
      </w:tr>
      <w:tr w:rsidR="006E3A3D" w:rsidRPr="00CB1714" w14:paraId="5C17BA44" w14:textId="77777777" w:rsidTr="003F57C4">
        <w:tc>
          <w:tcPr>
            <w:tcW w:w="1316" w:type="dxa"/>
          </w:tcPr>
          <w:p w14:paraId="4C4F1C8F" w14:textId="77777777" w:rsidR="006E3A3D" w:rsidRPr="00CB1714" w:rsidRDefault="006E3A3D" w:rsidP="006E3A3D">
            <w:pPr>
              <w:rPr>
                <w:rFonts w:ascii="Lato" w:hAnsi="Lato"/>
                <w:sz w:val="22"/>
                <w:szCs w:val="22"/>
              </w:rPr>
            </w:pPr>
            <w:r w:rsidRPr="00CB1714">
              <w:rPr>
                <w:rFonts w:ascii="Lato" w:hAnsi="Lato"/>
                <w:sz w:val="22"/>
                <w:szCs w:val="22"/>
              </w:rPr>
              <w:t>2.19.3</w:t>
            </w:r>
          </w:p>
        </w:tc>
        <w:tc>
          <w:tcPr>
            <w:tcW w:w="5891" w:type="dxa"/>
          </w:tcPr>
          <w:p w14:paraId="1207663B"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 xml:space="preserve">Provide that at the end of the specified duration the </w:t>
            </w:r>
          </w:p>
        </w:tc>
        <w:tc>
          <w:tcPr>
            <w:tcW w:w="3188" w:type="dxa"/>
          </w:tcPr>
          <w:p w14:paraId="40E99577" w14:textId="77777777" w:rsidR="006E3A3D" w:rsidRPr="00CB1714" w:rsidRDefault="006E3A3D" w:rsidP="006E3A3D">
            <w:pPr>
              <w:rPr>
                <w:rFonts w:ascii="Lato" w:hAnsi="Lato"/>
                <w:sz w:val="22"/>
                <w:szCs w:val="22"/>
              </w:rPr>
            </w:pPr>
          </w:p>
        </w:tc>
      </w:tr>
      <w:tr w:rsidR="006E3A3D" w:rsidRPr="00CB1714" w14:paraId="16E79B18" w14:textId="77777777" w:rsidTr="003F57C4">
        <w:tc>
          <w:tcPr>
            <w:tcW w:w="1316" w:type="dxa"/>
          </w:tcPr>
          <w:p w14:paraId="155199D9" w14:textId="77777777" w:rsidR="006E3A3D" w:rsidRPr="00CB1714" w:rsidRDefault="006E3A3D" w:rsidP="006E3A3D">
            <w:pPr>
              <w:rPr>
                <w:rFonts w:ascii="Lato" w:hAnsi="Lato"/>
                <w:b/>
                <w:sz w:val="22"/>
                <w:szCs w:val="22"/>
              </w:rPr>
            </w:pPr>
          </w:p>
        </w:tc>
        <w:tc>
          <w:tcPr>
            <w:tcW w:w="5891" w:type="dxa"/>
          </w:tcPr>
          <w:p w14:paraId="7687D6D2" w14:textId="77777777" w:rsidR="006E3A3D" w:rsidRPr="00CB1714" w:rsidRDefault="006E3A3D" w:rsidP="006E3A3D">
            <w:pPr>
              <w:pStyle w:val="BodyTextIndent"/>
              <w:ind w:left="-5"/>
              <w:jc w:val="both"/>
              <w:rPr>
                <w:rFonts w:ascii="Lato" w:hAnsi="Lato"/>
                <w:bCs/>
                <w:szCs w:val="22"/>
              </w:rPr>
            </w:pPr>
            <w:r w:rsidRPr="00F72ED7">
              <w:rPr>
                <w:rFonts w:ascii="Lato" w:hAnsi="Lato"/>
                <w:bCs/>
                <w:szCs w:val="22"/>
              </w:rPr>
              <w:t>Qualifying</w:t>
            </w:r>
            <w:r w:rsidRPr="00CB1714">
              <w:rPr>
                <w:rFonts w:ascii="Lato" w:hAnsi="Lato"/>
                <w:bCs/>
                <w:szCs w:val="22"/>
              </w:rPr>
              <w:t xml:space="preserve"> Investor AIF will undertake one of the following action(s):</w:t>
            </w:r>
          </w:p>
        </w:tc>
        <w:tc>
          <w:tcPr>
            <w:tcW w:w="3188" w:type="dxa"/>
          </w:tcPr>
          <w:p w14:paraId="544930F2" w14:textId="77777777" w:rsidR="006E3A3D" w:rsidRPr="00CB1714" w:rsidRDefault="006E3A3D" w:rsidP="006E3A3D">
            <w:pPr>
              <w:rPr>
                <w:rFonts w:ascii="Lato" w:hAnsi="Lato"/>
                <w:sz w:val="22"/>
                <w:szCs w:val="22"/>
              </w:rPr>
            </w:pPr>
          </w:p>
        </w:tc>
      </w:tr>
      <w:tr w:rsidR="006E3A3D" w:rsidRPr="00CB1714" w14:paraId="49DD7018" w14:textId="77777777" w:rsidTr="003F57C4">
        <w:tc>
          <w:tcPr>
            <w:tcW w:w="1316" w:type="dxa"/>
          </w:tcPr>
          <w:p w14:paraId="4E359FC4" w14:textId="77777777" w:rsidR="006E3A3D" w:rsidRPr="00CB1714" w:rsidRDefault="006E3A3D" w:rsidP="006E3A3D">
            <w:pPr>
              <w:rPr>
                <w:rFonts w:ascii="Lato" w:hAnsi="Lato"/>
                <w:b/>
                <w:sz w:val="22"/>
                <w:szCs w:val="22"/>
              </w:rPr>
            </w:pPr>
          </w:p>
        </w:tc>
        <w:tc>
          <w:tcPr>
            <w:tcW w:w="5891" w:type="dxa"/>
          </w:tcPr>
          <w:p w14:paraId="7A3EF6F2" w14:textId="77777777" w:rsidR="006E3A3D" w:rsidRPr="00CB1714" w:rsidRDefault="006E3A3D" w:rsidP="006E3A3D">
            <w:pPr>
              <w:pStyle w:val="BodyTextIndent"/>
              <w:ind w:left="-5"/>
              <w:jc w:val="both"/>
              <w:rPr>
                <w:rFonts w:ascii="Lato" w:hAnsi="Lato"/>
                <w:bCs/>
                <w:szCs w:val="22"/>
              </w:rPr>
            </w:pPr>
          </w:p>
        </w:tc>
        <w:tc>
          <w:tcPr>
            <w:tcW w:w="3188" w:type="dxa"/>
            <w:tcBorders>
              <w:bottom w:val="single" w:sz="4" w:space="0" w:color="auto"/>
            </w:tcBorders>
          </w:tcPr>
          <w:p w14:paraId="5C948C76" w14:textId="77777777" w:rsidR="006E3A3D" w:rsidRPr="00CB1714" w:rsidRDefault="006E3A3D" w:rsidP="006E3A3D">
            <w:pPr>
              <w:rPr>
                <w:rFonts w:ascii="Lato" w:hAnsi="Lato"/>
                <w:sz w:val="22"/>
                <w:szCs w:val="22"/>
              </w:rPr>
            </w:pPr>
          </w:p>
        </w:tc>
      </w:tr>
      <w:tr w:rsidR="006E3A3D" w:rsidRPr="00CB1714" w14:paraId="5A38398E" w14:textId="77777777" w:rsidTr="003F57C4">
        <w:tc>
          <w:tcPr>
            <w:tcW w:w="1316" w:type="dxa"/>
          </w:tcPr>
          <w:p w14:paraId="4F2231C5" w14:textId="77777777" w:rsidR="006E3A3D" w:rsidRPr="00CB1714" w:rsidRDefault="006E3A3D" w:rsidP="006E3A3D">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6DDC1F5E"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 xml:space="preserve">Wind-up and apply to the </w:t>
            </w:r>
            <w:r w:rsidRPr="00CB1714">
              <w:rPr>
                <w:rFonts w:ascii="Lato" w:hAnsi="Lato"/>
                <w:szCs w:val="22"/>
              </w:rPr>
              <w:t xml:space="preserve">Central Bank </w:t>
            </w:r>
            <w:r w:rsidRPr="00CB1714">
              <w:rPr>
                <w:rFonts w:ascii="Lato" w:hAnsi="Lato"/>
                <w:bCs/>
                <w:szCs w:val="22"/>
              </w:rPr>
              <w:t xml:space="preserve">for a revocation of </w:t>
            </w:r>
          </w:p>
        </w:tc>
        <w:tc>
          <w:tcPr>
            <w:tcW w:w="3188" w:type="dxa"/>
            <w:tcBorders>
              <w:top w:val="single" w:sz="4" w:space="0" w:color="auto"/>
              <w:left w:val="single" w:sz="4" w:space="0" w:color="auto"/>
              <w:bottom w:val="single" w:sz="4" w:space="0" w:color="auto"/>
              <w:right w:val="single" w:sz="4" w:space="0" w:color="auto"/>
            </w:tcBorders>
          </w:tcPr>
          <w:p w14:paraId="30AC39F5" w14:textId="77777777" w:rsidR="006E3A3D" w:rsidRPr="00CB1714" w:rsidRDefault="006E3A3D" w:rsidP="006E3A3D">
            <w:pPr>
              <w:rPr>
                <w:rFonts w:ascii="Lato" w:hAnsi="Lato"/>
                <w:sz w:val="22"/>
                <w:szCs w:val="22"/>
              </w:rPr>
            </w:pPr>
          </w:p>
        </w:tc>
      </w:tr>
      <w:tr w:rsidR="006E3A3D" w:rsidRPr="00CB1714" w14:paraId="14554387" w14:textId="77777777" w:rsidTr="003F57C4">
        <w:tc>
          <w:tcPr>
            <w:tcW w:w="1316" w:type="dxa"/>
          </w:tcPr>
          <w:p w14:paraId="3A04D65A" w14:textId="77777777" w:rsidR="006E3A3D" w:rsidRPr="00CB1714" w:rsidRDefault="006E3A3D" w:rsidP="006E3A3D">
            <w:pPr>
              <w:jc w:val="right"/>
              <w:rPr>
                <w:rFonts w:ascii="Lato" w:hAnsi="Lato"/>
                <w:sz w:val="22"/>
                <w:szCs w:val="22"/>
              </w:rPr>
            </w:pPr>
          </w:p>
        </w:tc>
        <w:tc>
          <w:tcPr>
            <w:tcW w:w="5891" w:type="dxa"/>
          </w:tcPr>
          <w:p w14:paraId="66A00566" w14:textId="77777777" w:rsidR="006E3A3D" w:rsidRPr="00CB1714" w:rsidRDefault="006E3A3D" w:rsidP="006E3A3D">
            <w:pPr>
              <w:pStyle w:val="BodyTextIndent"/>
              <w:ind w:left="-5"/>
              <w:jc w:val="both"/>
              <w:rPr>
                <w:rFonts w:ascii="Lato" w:hAnsi="Lato"/>
                <w:bCs/>
                <w:szCs w:val="22"/>
              </w:rPr>
            </w:pPr>
            <w:r w:rsidRPr="00F72ED7">
              <w:rPr>
                <w:rFonts w:ascii="Lato" w:hAnsi="Lato"/>
                <w:bCs/>
                <w:szCs w:val="22"/>
              </w:rPr>
              <w:t>the</w:t>
            </w:r>
            <w:r w:rsidRPr="00CB1714">
              <w:rPr>
                <w:rFonts w:ascii="Lato" w:hAnsi="Lato"/>
                <w:bCs/>
                <w:szCs w:val="22"/>
              </w:rPr>
              <w:t xml:space="preserve"> Qualifying Investor AIF authorisation;</w:t>
            </w:r>
          </w:p>
        </w:tc>
        <w:tc>
          <w:tcPr>
            <w:tcW w:w="3188" w:type="dxa"/>
            <w:tcBorders>
              <w:top w:val="single" w:sz="4" w:space="0" w:color="auto"/>
            </w:tcBorders>
          </w:tcPr>
          <w:p w14:paraId="23FBF791" w14:textId="77777777" w:rsidR="006E3A3D" w:rsidRPr="00CB1714" w:rsidRDefault="006E3A3D" w:rsidP="006E3A3D">
            <w:pPr>
              <w:rPr>
                <w:rFonts w:ascii="Lato" w:hAnsi="Lato"/>
                <w:sz w:val="22"/>
                <w:szCs w:val="22"/>
              </w:rPr>
            </w:pPr>
          </w:p>
        </w:tc>
      </w:tr>
      <w:tr w:rsidR="006E3A3D" w:rsidRPr="00CB1714" w14:paraId="7AF1BA6C" w14:textId="77777777" w:rsidTr="003F57C4">
        <w:tc>
          <w:tcPr>
            <w:tcW w:w="1316" w:type="dxa"/>
          </w:tcPr>
          <w:p w14:paraId="260C6152" w14:textId="77777777" w:rsidR="006E3A3D" w:rsidRPr="00CB1714" w:rsidRDefault="006E3A3D" w:rsidP="006E3A3D">
            <w:pPr>
              <w:jc w:val="right"/>
              <w:rPr>
                <w:rFonts w:ascii="Lato" w:hAnsi="Lato"/>
                <w:sz w:val="22"/>
                <w:szCs w:val="22"/>
              </w:rPr>
            </w:pPr>
          </w:p>
        </w:tc>
        <w:tc>
          <w:tcPr>
            <w:tcW w:w="5891" w:type="dxa"/>
          </w:tcPr>
          <w:p w14:paraId="43FE4102" w14:textId="77777777" w:rsidR="006E3A3D" w:rsidRPr="00CB1714" w:rsidRDefault="006E3A3D" w:rsidP="006E3A3D">
            <w:pPr>
              <w:pStyle w:val="BodyTextIndent"/>
              <w:ind w:left="-5"/>
              <w:jc w:val="both"/>
              <w:rPr>
                <w:rFonts w:ascii="Lato" w:hAnsi="Lato"/>
                <w:bCs/>
                <w:szCs w:val="22"/>
              </w:rPr>
            </w:pPr>
          </w:p>
        </w:tc>
        <w:tc>
          <w:tcPr>
            <w:tcW w:w="3188" w:type="dxa"/>
            <w:tcBorders>
              <w:bottom w:val="single" w:sz="4" w:space="0" w:color="auto"/>
            </w:tcBorders>
          </w:tcPr>
          <w:p w14:paraId="0C10C8BD" w14:textId="77777777" w:rsidR="006E3A3D" w:rsidRPr="00CB1714" w:rsidRDefault="006E3A3D" w:rsidP="006E3A3D">
            <w:pPr>
              <w:rPr>
                <w:rFonts w:ascii="Lato" w:hAnsi="Lato"/>
                <w:sz w:val="22"/>
                <w:szCs w:val="22"/>
              </w:rPr>
            </w:pPr>
          </w:p>
        </w:tc>
      </w:tr>
      <w:tr w:rsidR="006E3A3D" w:rsidRPr="00CB1714" w14:paraId="762A5A91" w14:textId="77777777" w:rsidTr="003F57C4">
        <w:tc>
          <w:tcPr>
            <w:tcW w:w="1316" w:type="dxa"/>
          </w:tcPr>
          <w:p w14:paraId="2689B12E" w14:textId="77777777" w:rsidR="006E3A3D" w:rsidRPr="00CB1714" w:rsidRDefault="006E3A3D" w:rsidP="006E3A3D">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0B5EF394"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 xml:space="preserve">Redeem all outstanding units and apply to the </w:t>
            </w:r>
            <w:r w:rsidRPr="00CB1714">
              <w:rPr>
                <w:rFonts w:ascii="Lato" w:hAnsi="Lato"/>
                <w:szCs w:val="22"/>
              </w:rPr>
              <w:t xml:space="preserve">Central Bank </w:t>
            </w:r>
          </w:p>
        </w:tc>
        <w:tc>
          <w:tcPr>
            <w:tcW w:w="3188" w:type="dxa"/>
            <w:tcBorders>
              <w:top w:val="single" w:sz="4" w:space="0" w:color="auto"/>
              <w:left w:val="single" w:sz="4" w:space="0" w:color="auto"/>
              <w:bottom w:val="single" w:sz="4" w:space="0" w:color="auto"/>
              <w:right w:val="single" w:sz="4" w:space="0" w:color="auto"/>
            </w:tcBorders>
          </w:tcPr>
          <w:p w14:paraId="54B31B47" w14:textId="77777777" w:rsidR="006E3A3D" w:rsidRPr="00CB1714" w:rsidRDefault="006E3A3D" w:rsidP="006E3A3D">
            <w:pPr>
              <w:rPr>
                <w:rFonts w:ascii="Lato" w:hAnsi="Lato"/>
                <w:sz w:val="22"/>
                <w:szCs w:val="22"/>
              </w:rPr>
            </w:pPr>
          </w:p>
        </w:tc>
      </w:tr>
      <w:tr w:rsidR="006E3A3D" w:rsidRPr="00CB1714" w14:paraId="03CE8798" w14:textId="77777777" w:rsidTr="003F57C4">
        <w:tc>
          <w:tcPr>
            <w:tcW w:w="1316" w:type="dxa"/>
          </w:tcPr>
          <w:p w14:paraId="51E15C78" w14:textId="77777777" w:rsidR="006E3A3D" w:rsidRPr="00CB1714" w:rsidRDefault="006E3A3D" w:rsidP="006E3A3D">
            <w:pPr>
              <w:jc w:val="right"/>
              <w:rPr>
                <w:rFonts w:ascii="Lato" w:hAnsi="Lato"/>
                <w:sz w:val="22"/>
                <w:szCs w:val="22"/>
              </w:rPr>
            </w:pPr>
          </w:p>
        </w:tc>
        <w:tc>
          <w:tcPr>
            <w:tcW w:w="5891" w:type="dxa"/>
          </w:tcPr>
          <w:p w14:paraId="4DA541BB" w14:textId="77777777" w:rsidR="006E3A3D" w:rsidRPr="00CB1714" w:rsidRDefault="006E3A3D" w:rsidP="006E3A3D">
            <w:pPr>
              <w:pStyle w:val="BodyTextIndent"/>
              <w:ind w:left="-5"/>
              <w:jc w:val="both"/>
              <w:rPr>
                <w:rFonts w:ascii="Lato" w:hAnsi="Lato"/>
                <w:bCs/>
                <w:szCs w:val="22"/>
              </w:rPr>
            </w:pPr>
            <w:r w:rsidRPr="00F72ED7">
              <w:rPr>
                <w:rFonts w:ascii="Lato" w:hAnsi="Lato"/>
                <w:bCs/>
                <w:szCs w:val="22"/>
              </w:rPr>
              <w:t>for</w:t>
            </w:r>
            <w:r w:rsidRPr="00CB1714">
              <w:rPr>
                <w:rFonts w:ascii="Lato" w:hAnsi="Lato"/>
                <w:bCs/>
                <w:szCs w:val="22"/>
              </w:rPr>
              <w:t xml:space="preserve"> a revocation of the Qualifying Investor AIF authorisation;</w:t>
            </w:r>
          </w:p>
        </w:tc>
        <w:tc>
          <w:tcPr>
            <w:tcW w:w="3188" w:type="dxa"/>
            <w:tcBorders>
              <w:top w:val="single" w:sz="4" w:space="0" w:color="auto"/>
            </w:tcBorders>
          </w:tcPr>
          <w:p w14:paraId="57D7907A" w14:textId="77777777" w:rsidR="006E3A3D" w:rsidRPr="00CB1714" w:rsidRDefault="006E3A3D" w:rsidP="006E3A3D">
            <w:pPr>
              <w:rPr>
                <w:rFonts w:ascii="Lato" w:hAnsi="Lato"/>
                <w:sz w:val="22"/>
                <w:szCs w:val="22"/>
              </w:rPr>
            </w:pPr>
          </w:p>
        </w:tc>
      </w:tr>
      <w:tr w:rsidR="006E3A3D" w:rsidRPr="00CB1714" w14:paraId="651E9CB4" w14:textId="77777777" w:rsidTr="003F57C4">
        <w:tc>
          <w:tcPr>
            <w:tcW w:w="1316" w:type="dxa"/>
          </w:tcPr>
          <w:p w14:paraId="25347B95" w14:textId="77777777" w:rsidR="006E3A3D" w:rsidRPr="00CB1714" w:rsidRDefault="006E3A3D" w:rsidP="006E3A3D">
            <w:pPr>
              <w:jc w:val="right"/>
              <w:rPr>
                <w:rFonts w:ascii="Lato" w:hAnsi="Lato"/>
                <w:sz w:val="22"/>
                <w:szCs w:val="22"/>
              </w:rPr>
            </w:pPr>
          </w:p>
        </w:tc>
        <w:tc>
          <w:tcPr>
            <w:tcW w:w="5891" w:type="dxa"/>
          </w:tcPr>
          <w:p w14:paraId="6975C0CB" w14:textId="77777777" w:rsidR="006E3A3D" w:rsidRPr="00CB1714" w:rsidRDefault="006E3A3D" w:rsidP="006E3A3D">
            <w:pPr>
              <w:pStyle w:val="BodyTextIndent"/>
              <w:ind w:left="-5"/>
              <w:jc w:val="both"/>
              <w:rPr>
                <w:rFonts w:ascii="Lato" w:hAnsi="Lato"/>
                <w:bCs/>
                <w:szCs w:val="22"/>
              </w:rPr>
            </w:pPr>
          </w:p>
        </w:tc>
        <w:tc>
          <w:tcPr>
            <w:tcW w:w="3188" w:type="dxa"/>
            <w:tcBorders>
              <w:bottom w:val="single" w:sz="4" w:space="0" w:color="auto"/>
            </w:tcBorders>
          </w:tcPr>
          <w:p w14:paraId="65721864" w14:textId="77777777" w:rsidR="006E3A3D" w:rsidRPr="00CB1714" w:rsidRDefault="006E3A3D" w:rsidP="006E3A3D">
            <w:pPr>
              <w:rPr>
                <w:rFonts w:ascii="Lato" w:hAnsi="Lato"/>
                <w:sz w:val="22"/>
                <w:szCs w:val="22"/>
              </w:rPr>
            </w:pPr>
          </w:p>
        </w:tc>
      </w:tr>
      <w:tr w:rsidR="006E3A3D" w:rsidRPr="00CB1714" w14:paraId="623CE263" w14:textId="77777777" w:rsidTr="003F57C4">
        <w:tc>
          <w:tcPr>
            <w:tcW w:w="1316" w:type="dxa"/>
          </w:tcPr>
          <w:p w14:paraId="626E8034" w14:textId="77777777" w:rsidR="006E3A3D" w:rsidRPr="00CB1714" w:rsidRDefault="006E3A3D" w:rsidP="006E3A3D">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44392A6D"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Convert into an open-ended Qualifying Investor AIF and</w:t>
            </w:r>
          </w:p>
        </w:tc>
        <w:tc>
          <w:tcPr>
            <w:tcW w:w="3188" w:type="dxa"/>
            <w:tcBorders>
              <w:top w:val="single" w:sz="4" w:space="0" w:color="auto"/>
              <w:left w:val="single" w:sz="4" w:space="0" w:color="auto"/>
              <w:bottom w:val="single" w:sz="4" w:space="0" w:color="auto"/>
              <w:right w:val="single" w:sz="4" w:space="0" w:color="auto"/>
            </w:tcBorders>
          </w:tcPr>
          <w:p w14:paraId="601D61C6" w14:textId="77777777" w:rsidR="006E3A3D" w:rsidRPr="00CB1714" w:rsidRDefault="006E3A3D" w:rsidP="006E3A3D">
            <w:pPr>
              <w:rPr>
                <w:rFonts w:ascii="Lato" w:hAnsi="Lato"/>
                <w:sz w:val="22"/>
                <w:szCs w:val="22"/>
              </w:rPr>
            </w:pPr>
          </w:p>
        </w:tc>
      </w:tr>
      <w:tr w:rsidR="006E3A3D" w:rsidRPr="00CB1714" w14:paraId="668F9A3E" w14:textId="77777777" w:rsidTr="003F57C4">
        <w:tc>
          <w:tcPr>
            <w:tcW w:w="1316" w:type="dxa"/>
          </w:tcPr>
          <w:p w14:paraId="54C5DAA9" w14:textId="77777777" w:rsidR="006E3A3D" w:rsidRPr="00CB1714" w:rsidRDefault="006E3A3D" w:rsidP="006E3A3D">
            <w:pPr>
              <w:jc w:val="right"/>
              <w:rPr>
                <w:rFonts w:ascii="Lato" w:hAnsi="Lato"/>
                <w:sz w:val="22"/>
                <w:szCs w:val="22"/>
              </w:rPr>
            </w:pPr>
          </w:p>
        </w:tc>
        <w:tc>
          <w:tcPr>
            <w:tcW w:w="5891" w:type="dxa"/>
          </w:tcPr>
          <w:p w14:paraId="45627869"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disclosed relevant details; or</w:t>
            </w:r>
          </w:p>
        </w:tc>
        <w:tc>
          <w:tcPr>
            <w:tcW w:w="3188" w:type="dxa"/>
            <w:tcBorders>
              <w:top w:val="single" w:sz="4" w:space="0" w:color="auto"/>
            </w:tcBorders>
          </w:tcPr>
          <w:p w14:paraId="6DB22703" w14:textId="77777777" w:rsidR="006E3A3D" w:rsidRPr="00CB1714" w:rsidRDefault="006E3A3D" w:rsidP="006E3A3D">
            <w:pPr>
              <w:rPr>
                <w:rFonts w:ascii="Lato" w:hAnsi="Lato"/>
                <w:sz w:val="22"/>
                <w:szCs w:val="22"/>
              </w:rPr>
            </w:pPr>
          </w:p>
        </w:tc>
      </w:tr>
      <w:tr w:rsidR="006E3A3D" w:rsidRPr="00CB1714" w14:paraId="38839935" w14:textId="77777777" w:rsidTr="003F57C4">
        <w:tc>
          <w:tcPr>
            <w:tcW w:w="1316" w:type="dxa"/>
          </w:tcPr>
          <w:p w14:paraId="2E1D3BFA" w14:textId="77777777" w:rsidR="006E3A3D" w:rsidRPr="00CB1714" w:rsidRDefault="006E3A3D" w:rsidP="006E3A3D">
            <w:pPr>
              <w:jc w:val="right"/>
              <w:rPr>
                <w:rFonts w:ascii="Lato" w:hAnsi="Lato"/>
                <w:sz w:val="22"/>
                <w:szCs w:val="22"/>
              </w:rPr>
            </w:pPr>
          </w:p>
        </w:tc>
        <w:tc>
          <w:tcPr>
            <w:tcW w:w="5891" w:type="dxa"/>
          </w:tcPr>
          <w:p w14:paraId="3292BE89"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or</w:t>
            </w:r>
          </w:p>
        </w:tc>
        <w:tc>
          <w:tcPr>
            <w:tcW w:w="3188" w:type="dxa"/>
            <w:tcBorders>
              <w:bottom w:val="single" w:sz="4" w:space="0" w:color="auto"/>
            </w:tcBorders>
          </w:tcPr>
          <w:p w14:paraId="42A46A02" w14:textId="77777777" w:rsidR="006E3A3D" w:rsidRPr="00CB1714" w:rsidRDefault="006E3A3D" w:rsidP="006E3A3D">
            <w:pPr>
              <w:rPr>
                <w:rFonts w:ascii="Lato" w:hAnsi="Lato"/>
                <w:sz w:val="22"/>
                <w:szCs w:val="22"/>
              </w:rPr>
            </w:pPr>
          </w:p>
        </w:tc>
      </w:tr>
      <w:tr w:rsidR="006E3A3D" w:rsidRPr="00CB1714" w14:paraId="6076CD6E" w14:textId="77777777" w:rsidTr="003F57C4">
        <w:tc>
          <w:tcPr>
            <w:tcW w:w="1316" w:type="dxa"/>
          </w:tcPr>
          <w:p w14:paraId="2B994EDC" w14:textId="77777777" w:rsidR="006E3A3D" w:rsidRPr="00CB1714" w:rsidRDefault="006E3A3D" w:rsidP="006E3A3D">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33732823" w14:textId="77777777" w:rsidR="006E3A3D" w:rsidRPr="00CB1714" w:rsidRDefault="006E3A3D" w:rsidP="006E3A3D">
            <w:pPr>
              <w:pStyle w:val="BodyTextIndent"/>
              <w:ind w:left="-5"/>
              <w:jc w:val="both"/>
              <w:rPr>
                <w:rFonts w:ascii="Lato" w:hAnsi="Lato"/>
                <w:bCs/>
                <w:szCs w:val="22"/>
              </w:rPr>
            </w:pPr>
            <w:r w:rsidRPr="00CB1714">
              <w:rPr>
                <w:rFonts w:ascii="Lato" w:hAnsi="Lato"/>
                <w:bCs/>
                <w:szCs w:val="22"/>
              </w:rPr>
              <w:t xml:space="preserve">Obtain unitholder approval  to extend the closed-ended </w:t>
            </w:r>
          </w:p>
        </w:tc>
        <w:tc>
          <w:tcPr>
            <w:tcW w:w="3188" w:type="dxa"/>
            <w:tcBorders>
              <w:top w:val="single" w:sz="4" w:space="0" w:color="auto"/>
              <w:left w:val="single" w:sz="4" w:space="0" w:color="auto"/>
              <w:bottom w:val="single" w:sz="4" w:space="0" w:color="auto"/>
              <w:right w:val="single" w:sz="4" w:space="0" w:color="auto"/>
            </w:tcBorders>
          </w:tcPr>
          <w:p w14:paraId="63D794DD" w14:textId="77777777" w:rsidR="006E3A3D" w:rsidRPr="00CB1714" w:rsidRDefault="006E3A3D" w:rsidP="006E3A3D">
            <w:pPr>
              <w:rPr>
                <w:rFonts w:ascii="Lato" w:hAnsi="Lato"/>
                <w:sz w:val="22"/>
                <w:szCs w:val="22"/>
              </w:rPr>
            </w:pPr>
          </w:p>
        </w:tc>
      </w:tr>
      <w:tr w:rsidR="006E3A3D" w:rsidRPr="00CB1714" w14:paraId="36171B10" w14:textId="77777777" w:rsidTr="003F57C4">
        <w:tc>
          <w:tcPr>
            <w:tcW w:w="1316" w:type="dxa"/>
          </w:tcPr>
          <w:p w14:paraId="48B3EB6C" w14:textId="77777777" w:rsidR="006E3A3D" w:rsidRPr="00CB1714" w:rsidRDefault="006E3A3D" w:rsidP="006E3A3D">
            <w:pPr>
              <w:jc w:val="right"/>
              <w:rPr>
                <w:rFonts w:ascii="Lato" w:hAnsi="Lato"/>
                <w:sz w:val="22"/>
                <w:szCs w:val="22"/>
              </w:rPr>
            </w:pPr>
          </w:p>
        </w:tc>
        <w:tc>
          <w:tcPr>
            <w:tcW w:w="5891" w:type="dxa"/>
          </w:tcPr>
          <w:p w14:paraId="395B6EBE" w14:textId="77777777" w:rsidR="006E3A3D" w:rsidRPr="00CB1714" w:rsidRDefault="006E3A3D" w:rsidP="006E3A3D">
            <w:pPr>
              <w:pStyle w:val="BodyTextIndent"/>
              <w:ind w:left="-5"/>
              <w:jc w:val="both"/>
              <w:rPr>
                <w:rFonts w:ascii="Lato" w:hAnsi="Lato"/>
                <w:bCs/>
                <w:szCs w:val="22"/>
              </w:rPr>
            </w:pPr>
            <w:r w:rsidRPr="00F72ED7">
              <w:rPr>
                <w:rFonts w:ascii="Lato" w:hAnsi="Lato"/>
                <w:bCs/>
                <w:szCs w:val="22"/>
              </w:rPr>
              <w:t>period</w:t>
            </w:r>
            <w:r w:rsidRPr="00CB1714">
              <w:rPr>
                <w:rFonts w:ascii="Lato" w:hAnsi="Lato"/>
                <w:bCs/>
                <w:szCs w:val="22"/>
              </w:rPr>
              <w:t xml:space="preserve"> for a further finite period </w:t>
            </w:r>
          </w:p>
        </w:tc>
        <w:tc>
          <w:tcPr>
            <w:tcW w:w="3188" w:type="dxa"/>
            <w:tcBorders>
              <w:top w:val="single" w:sz="4" w:space="0" w:color="auto"/>
            </w:tcBorders>
          </w:tcPr>
          <w:p w14:paraId="03B44711" w14:textId="77777777" w:rsidR="006E3A3D" w:rsidRPr="00CB1714" w:rsidRDefault="006E3A3D" w:rsidP="006E3A3D">
            <w:pPr>
              <w:rPr>
                <w:rFonts w:ascii="Lato" w:hAnsi="Lato"/>
                <w:sz w:val="22"/>
                <w:szCs w:val="22"/>
              </w:rPr>
            </w:pPr>
          </w:p>
        </w:tc>
      </w:tr>
      <w:tr w:rsidR="006E3A3D" w:rsidRPr="00CB1714" w14:paraId="0A656FDA" w14:textId="77777777" w:rsidTr="00990D73">
        <w:tc>
          <w:tcPr>
            <w:tcW w:w="1316" w:type="dxa"/>
          </w:tcPr>
          <w:p w14:paraId="2F75FE05" w14:textId="77777777" w:rsidR="006E3A3D" w:rsidRPr="00CB1714" w:rsidRDefault="006E3A3D" w:rsidP="006E3A3D">
            <w:pPr>
              <w:rPr>
                <w:rFonts w:ascii="Lato" w:hAnsi="Lato"/>
                <w:sz w:val="22"/>
                <w:szCs w:val="22"/>
              </w:rPr>
            </w:pPr>
          </w:p>
        </w:tc>
        <w:tc>
          <w:tcPr>
            <w:tcW w:w="5891" w:type="dxa"/>
          </w:tcPr>
          <w:p w14:paraId="5C9ECB0C" w14:textId="77777777" w:rsidR="006E3A3D" w:rsidRPr="00CB1714" w:rsidRDefault="006E3A3D" w:rsidP="006E3A3D">
            <w:pPr>
              <w:jc w:val="both"/>
              <w:rPr>
                <w:rFonts w:ascii="Lato" w:hAnsi="Lato"/>
                <w:sz w:val="22"/>
                <w:szCs w:val="22"/>
              </w:rPr>
            </w:pPr>
          </w:p>
        </w:tc>
        <w:tc>
          <w:tcPr>
            <w:tcW w:w="3188" w:type="dxa"/>
          </w:tcPr>
          <w:p w14:paraId="52E08544" w14:textId="77777777" w:rsidR="006E3A3D" w:rsidRPr="00CB1714" w:rsidRDefault="006E3A3D" w:rsidP="006E3A3D">
            <w:pPr>
              <w:rPr>
                <w:rFonts w:ascii="Lato" w:hAnsi="Lato"/>
                <w:sz w:val="22"/>
                <w:szCs w:val="22"/>
              </w:rPr>
            </w:pPr>
          </w:p>
        </w:tc>
      </w:tr>
      <w:tr w:rsidR="006E3A3D" w:rsidRPr="00CB1714" w14:paraId="280CF52E" w14:textId="77777777" w:rsidTr="00990D73">
        <w:tc>
          <w:tcPr>
            <w:tcW w:w="1316" w:type="dxa"/>
          </w:tcPr>
          <w:p w14:paraId="7080B21E" w14:textId="77777777" w:rsidR="006E3A3D" w:rsidRPr="00CB1714" w:rsidRDefault="006E3A3D" w:rsidP="006E3A3D">
            <w:pPr>
              <w:rPr>
                <w:rFonts w:ascii="Lato" w:hAnsi="Lato"/>
                <w:sz w:val="22"/>
                <w:szCs w:val="22"/>
              </w:rPr>
            </w:pPr>
            <w:r w:rsidRPr="00CB1714">
              <w:rPr>
                <w:rFonts w:ascii="Lato" w:hAnsi="Lato"/>
                <w:sz w:val="22"/>
                <w:szCs w:val="22"/>
              </w:rPr>
              <w:t>2.19.4</w:t>
            </w:r>
          </w:p>
        </w:tc>
        <w:tc>
          <w:tcPr>
            <w:tcW w:w="5891" w:type="dxa"/>
          </w:tcPr>
          <w:p w14:paraId="143E2462" w14:textId="77777777" w:rsidR="006E3A3D" w:rsidRPr="00CB1714" w:rsidRDefault="006E3A3D" w:rsidP="006E3A3D">
            <w:pPr>
              <w:jc w:val="both"/>
              <w:rPr>
                <w:rFonts w:ascii="Lato" w:hAnsi="Lato"/>
                <w:i/>
                <w:sz w:val="22"/>
                <w:szCs w:val="22"/>
              </w:rPr>
            </w:pPr>
            <w:r w:rsidRPr="00CB1714">
              <w:rPr>
                <w:rFonts w:ascii="Lato" w:hAnsi="Lato"/>
                <w:i/>
                <w:sz w:val="22"/>
                <w:szCs w:val="22"/>
              </w:rPr>
              <w:t>Changes to duration</w:t>
            </w:r>
          </w:p>
        </w:tc>
        <w:tc>
          <w:tcPr>
            <w:tcW w:w="3188" w:type="dxa"/>
          </w:tcPr>
          <w:p w14:paraId="2F068444" w14:textId="77777777" w:rsidR="006E3A3D" w:rsidRPr="00CB1714" w:rsidRDefault="006E3A3D" w:rsidP="006E3A3D">
            <w:pPr>
              <w:rPr>
                <w:rFonts w:ascii="Lato" w:hAnsi="Lato"/>
                <w:sz w:val="22"/>
                <w:szCs w:val="22"/>
              </w:rPr>
            </w:pPr>
          </w:p>
        </w:tc>
      </w:tr>
      <w:tr w:rsidR="006E3A3D" w:rsidRPr="00CB1714" w14:paraId="6FB0E20D" w14:textId="77777777" w:rsidTr="00990D73">
        <w:tc>
          <w:tcPr>
            <w:tcW w:w="1316" w:type="dxa"/>
          </w:tcPr>
          <w:p w14:paraId="14269C56" w14:textId="77777777" w:rsidR="006E3A3D" w:rsidRPr="00CB1714" w:rsidRDefault="006E3A3D" w:rsidP="006E3A3D">
            <w:pPr>
              <w:rPr>
                <w:rFonts w:ascii="Lato" w:hAnsi="Lato"/>
                <w:sz w:val="22"/>
                <w:szCs w:val="22"/>
              </w:rPr>
            </w:pPr>
          </w:p>
        </w:tc>
        <w:tc>
          <w:tcPr>
            <w:tcW w:w="5891" w:type="dxa"/>
          </w:tcPr>
          <w:p w14:paraId="284852AE" w14:textId="77777777" w:rsidR="006E3A3D" w:rsidRPr="00CB1714" w:rsidRDefault="006E3A3D" w:rsidP="006E3A3D">
            <w:pPr>
              <w:jc w:val="both"/>
              <w:rPr>
                <w:rFonts w:ascii="Lato" w:hAnsi="Lato"/>
                <w:sz w:val="22"/>
                <w:szCs w:val="22"/>
              </w:rPr>
            </w:pPr>
            <w:r w:rsidRPr="00CB1714">
              <w:rPr>
                <w:rFonts w:ascii="Lato" w:hAnsi="Lato"/>
                <w:sz w:val="22"/>
                <w:szCs w:val="22"/>
              </w:rPr>
              <w:t>Provide that:</w:t>
            </w:r>
          </w:p>
        </w:tc>
        <w:tc>
          <w:tcPr>
            <w:tcW w:w="3188" w:type="dxa"/>
            <w:tcBorders>
              <w:bottom w:val="single" w:sz="4" w:space="0" w:color="auto"/>
            </w:tcBorders>
          </w:tcPr>
          <w:p w14:paraId="7998A2F7" w14:textId="77777777" w:rsidR="006E3A3D" w:rsidRPr="00CB1714" w:rsidRDefault="006E3A3D" w:rsidP="006E3A3D">
            <w:pPr>
              <w:rPr>
                <w:rFonts w:ascii="Lato" w:hAnsi="Lato"/>
                <w:sz w:val="22"/>
                <w:szCs w:val="22"/>
              </w:rPr>
            </w:pPr>
          </w:p>
        </w:tc>
      </w:tr>
      <w:tr w:rsidR="006E3A3D" w:rsidRPr="00CB1714" w14:paraId="77D4D747" w14:textId="77777777" w:rsidTr="00990D73">
        <w:tc>
          <w:tcPr>
            <w:tcW w:w="1316" w:type="dxa"/>
          </w:tcPr>
          <w:p w14:paraId="6FDD0488" w14:textId="77777777" w:rsidR="006E3A3D" w:rsidRPr="00CB1714" w:rsidRDefault="006E3A3D" w:rsidP="006E3A3D">
            <w:pPr>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0D03C055" w14:textId="77777777" w:rsidR="006E3A3D" w:rsidRPr="00CB1714" w:rsidRDefault="006E3A3D" w:rsidP="006E3A3D">
            <w:pPr>
              <w:jc w:val="both"/>
              <w:rPr>
                <w:rFonts w:ascii="Lato" w:hAnsi="Lato"/>
                <w:sz w:val="22"/>
                <w:szCs w:val="22"/>
              </w:rPr>
            </w:pPr>
            <w:r w:rsidRPr="00CB1714">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63F63825" w14:textId="77777777" w:rsidR="006E3A3D" w:rsidRPr="00CB1714" w:rsidRDefault="006E3A3D" w:rsidP="006E3A3D">
            <w:pPr>
              <w:rPr>
                <w:rFonts w:ascii="Lato" w:hAnsi="Lato"/>
                <w:sz w:val="22"/>
                <w:szCs w:val="22"/>
              </w:rPr>
            </w:pPr>
          </w:p>
        </w:tc>
      </w:tr>
      <w:tr w:rsidR="006E3A3D" w:rsidRPr="00CB1714" w14:paraId="0475256A" w14:textId="77777777" w:rsidTr="00990D73">
        <w:tc>
          <w:tcPr>
            <w:tcW w:w="1316" w:type="dxa"/>
          </w:tcPr>
          <w:p w14:paraId="3B53B7F4" w14:textId="77777777" w:rsidR="006E3A3D" w:rsidRPr="00CB1714" w:rsidRDefault="006E3A3D" w:rsidP="006E3A3D">
            <w:pPr>
              <w:rPr>
                <w:rFonts w:ascii="Lato" w:hAnsi="Lato"/>
                <w:sz w:val="22"/>
                <w:szCs w:val="22"/>
              </w:rPr>
            </w:pPr>
          </w:p>
        </w:tc>
        <w:tc>
          <w:tcPr>
            <w:tcW w:w="5891" w:type="dxa"/>
          </w:tcPr>
          <w:p w14:paraId="15C4DA8B" w14:textId="77777777" w:rsidR="006E3A3D" w:rsidRPr="00CB1714" w:rsidRDefault="006E3A3D" w:rsidP="006E3A3D">
            <w:pPr>
              <w:jc w:val="both"/>
              <w:rPr>
                <w:rFonts w:ascii="Lato" w:hAnsi="Lato"/>
                <w:sz w:val="22"/>
                <w:szCs w:val="22"/>
              </w:rPr>
            </w:pPr>
            <w:r w:rsidRPr="00CB1714">
              <w:rPr>
                <w:rFonts w:ascii="Lato" w:hAnsi="Lato"/>
                <w:sz w:val="22"/>
                <w:szCs w:val="22"/>
              </w:rPr>
              <w:t>otherwise exit the Qualifying Investor AIF, the Qualifying Investor AIF shall ensure that votes in favour of the</w:t>
            </w:r>
          </w:p>
        </w:tc>
        <w:tc>
          <w:tcPr>
            <w:tcW w:w="3188" w:type="dxa"/>
            <w:tcBorders>
              <w:top w:val="single" w:sz="4" w:space="0" w:color="auto"/>
            </w:tcBorders>
          </w:tcPr>
          <w:p w14:paraId="3C00C43D" w14:textId="77777777" w:rsidR="006E3A3D" w:rsidRPr="00CB1714" w:rsidRDefault="006E3A3D" w:rsidP="006E3A3D">
            <w:pPr>
              <w:rPr>
                <w:rFonts w:ascii="Lato" w:hAnsi="Lato"/>
                <w:sz w:val="22"/>
                <w:szCs w:val="22"/>
              </w:rPr>
            </w:pPr>
          </w:p>
        </w:tc>
      </w:tr>
      <w:tr w:rsidR="006E3A3D" w:rsidRPr="00CB1714" w14:paraId="5192CAB5" w14:textId="77777777" w:rsidTr="00990D73">
        <w:tc>
          <w:tcPr>
            <w:tcW w:w="1316" w:type="dxa"/>
          </w:tcPr>
          <w:p w14:paraId="1D291167" w14:textId="77777777" w:rsidR="006E3A3D" w:rsidRPr="00CB1714" w:rsidRDefault="006E3A3D" w:rsidP="006E3A3D">
            <w:pPr>
              <w:rPr>
                <w:rFonts w:ascii="Lato" w:hAnsi="Lato"/>
                <w:sz w:val="22"/>
                <w:szCs w:val="22"/>
              </w:rPr>
            </w:pPr>
          </w:p>
        </w:tc>
        <w:tc>
          <w:tcPr>
            <w:tcW w:w="5891" w:type="dxa"/>
          </w:tcPr>
          <w:p w14:paraId="4B8D513E" w14:textId="77777777" w:rsidR="006E3A3D" w:rsidRPr="00CB1714" w:rsidRDefault="006E3A3D" w:rsidP="006E3A3D">
            <w:pPr>
              <w:jc w:val="both"/>
              <w:rPr>
                <w:rFonts w:ascii="Lato" w:hAnsi="Lato"/>
                <w:sz w:val="22"/>
                <w:szCs w:val="22"/>
              </w:rPr>
            </w:pPr>
            <w:r w:rsidRPr="00CB1714">
              <w:rPr>
                <w:rFonts w:ascii="Lato" w:hAnsi="Lato"/>
                <w:sz w:val="22"/>
                <w:szCs w:val="22"/>
              </w:rPr>
              <w:t>change must represent at least 75% of votes cast</w:t>
            </w:r>
          </w:p>
        </w:tc>
        <w:tc>
          <w:tcPr>
            <w:tcW w:w="3188" w:type="dxa"/>
            <w:tcBorders>
              <w:bottom w:val="single" w:sz="4" w:space="0" w:color="auto"/>
            </w:tcBorders>
          </w:tcPr>
          <w:p w14:paraId="0772938A" w14:textId="77777777" w:rsidR="006E3A3D" w:rsidRPr="00CB1714" w:rsidRDefault="006E3A3D" w:rsidP="006E3A3D">
            <w:pPr>
              <w:rPr>
                <w:rFonts w:ascii="Lato" w:hAnsi="Lato"/>
                <w:sz w:val="22"/>
                <w:szCs w:val="22"/>
              </w:rPr>
            </w:pPr>
          </w:p>
        </w:tc>
      </w:tr>
      <w:tr w:rsidR="006E3A3D" w:rsidRPr="00CB1714" w14:paraId="02F86865" w14:textId="77777777" w:rsidTr="00990D73">
        <w:tc>
          <w:tcPr>
            <w:tcW w:w="1316" w:type="dxa"/>
          </w:tcPr>
          <w:p w14:paraId="077756BA" w14:textId="77777777" w:rsidR="006E3A3D" w:rsidRPr="00CB1714" w:rsidRDefault="006E3A3D" w:rsidP="006E3A3D">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0846D04D" w14:textId="77777777" w:rsidR="006E3A3D" w:rsidRPr="00CB1714" w:rsidRDefault="006E3A3D" w:rsidP="006E3A3D">
            <w:pPr>
              <w:jc w:val="both"/>
              <w:rPr>
                <w:rFonts w:ascii="Lato" w:hAnsi="Lato"/>
                <w:sz w:val="22"/>
                <w:szCs w:val="22"/>
              </w:rPr>
            </w:pPr>
            <w:r w:rsidRPr="00CB1714">
              <w:rPr>
                <w:rFonts w:ascii="Lato" w:hAnsi="Lato"/>
                <w:sz w:val="22"/>
                <w:szCs w:val="22"/>
              </w:rPr>
              <w:t>If there is an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1FB1CC54" w14:textId="77777777" w:rsidR="006E3A3D" w:rsidRPr="00CB1714" w:rsidRDefault="006E3A3D" w:rsidP="006E3A3D">
            <w:pPr>
              <w:rPr>
                <w:rFonts w:ascii="Lato" w:hAnsi="Lato"/>
                <w:sz w:val="22"/>
                <w:szCs w:val="22"/>
              </w:rPr>
            </w:pPr>
          </w:p>
        </w:tc>
      </w:tr>
      <w:tr w:rsidR="006E3A3D" w:rsidRPr="00CB1714" w14:paraId="6476292B" w14:textId="77777777" w:rsidTr="00990D73">
        <w:tc>
          <w:tcPr>
            <w:tcW w:w="1316" w:type="dxa"/>
          </w:tcPr>
          <w:p w14:paraId="0EC98ECF" w14:textId="77777777" w:rsidR="006E3A3D" w:rsidRPr="00CB1714" w:rsidRDefault="006E3A3D" w:rsidP="006E3A3D">
            <w:pPr>
              <w:rPr>
                <w:rFonts w:ascii="Lato" w:hAnsi="Lato"/>
                <w:sz w:val="22"/>
                <w:szCs w:val="22"/>
              </w:rPr>
            </w:pPr>
          </w:p>
        </w:tc>
        <w:tc>
          <w:tcPr>
            <w:tcW w:w="5891" w:type="dxa"/>
          </w:tcPr>
          <w:p w14:paraId="657863CE" w14:textId="77777777" w:rsidR="006E3A3D" w:rsidRPr="00CB1714" w:rsidRDefault="006E3A3D" w:rsidP="006E3A3D">
            <w:pPr>
              <w:jc w:val="both"/>
              <w:rPr>
                <w:rFonts w:ascii="Lato" w:hAnsi="Lato"/>
                <w:sz w:val="22"/>
                <w:szCs w:val="22"/>
              </w:rPr>
            </w:pPr>
            <w:r w:rsidRPr="00CB1714">
              <w:rPr>
                <w:rFonts w:ascii="Lato" w:hAnsi="Lato"/>
                <w:sz w:val="22"/>
                <w:szCs w:val="22"/>
              </w:rPr>
              <w:t>Otherwise exit the Qualifying Investor AIF, the Qualifying Investor AIF shall ensure that votes in favour of</w:t>
            </w:r>
          </w:p>
        </w:tc>
        <w:tc>
          <w:tcPr>
            <w:tcW w:w="3188" w:type="dxa"/>
            <w:tcBorders>
              <w:top w:val="single" w:sz="4" w:space="0" w:color="auto"/>
            </w:tcBorders>
          </w:tcPr>
          <w:p w14:paraId="5699C70D" w14:textId="77777777" w:rsidR="006E3A3D" w:rsidRPr="00CB1714" w:rsidRDefault="006E3A3D" w:rsidP="006E3A3D">
            <w:pPr>
              <w:rPr>
                <w:rFonts w:ascii="Lato" w:hAnsi="Lato"/>
                <w:sz w:val="22"/>
                <w:szCs w:val="22"/>
              </w:rPr>
            </w:pPr>
          </w:p>
        </w:tc>
      </w:tr>
      <w:tr w:rsidR="006E3A3D" w:rsidRPr="00CB1714" w14:paraId="77DE2EF9" w14:textId="77777777" w:rsidTr="00990D73">
        <w:tc>
          <w:tcPr>
            <w:tcW w:w="1316" w:type="dxa"/>
          </w:tcPr>
          <w:p w14:paraId="24164298" w14:textId="77777777" w:rsidR="006E3A3D" w:rsidRPr="00CB1714" w:rsidRDefault="006E3A3D" w:rsidP="006E3A3D">
            <w:pPr>
              <w:rPr>
                <w:rFonts w:ascii="Lato" w:hAnsi="Lato"/>
                <w:sz w:val="22"/>
                <w:szCs w:val="22"/>
              </w:rPr>
            </w:pPr>
          </w:p>
        </w:tc>
        <w:tc>
          <w:tcPr>
            <w:tcW w:w="5891" w:type="dxa"/>
          </w:tcPr>
          <w:p w14:paraId="0505913F" w14:textId="77777777" w:rsidR="006E3A3D" w:rsidRPr="00CB1714" w:rsidRDefault="006E3A3D" w:rsidP="006E3A3D">
            <w:pPr>
              <w:jc w:val="both"/>
              <w:rPr>
                <w:rFonts w:ascii="Lato" w:hAnsi="Lato"/>
                <w:sz w:val="22"/>
                <w:szCs w:val="22"/>
              </w:rPr>
            </w:pPr>
            <w:r w:rsidRPr="00CB1714">
              <w:rPr>
                <w:rFonts w:ascii="Lato" w:hAnsi="Lato"/>
                <w:sz w:val="22"/>
                <w:szCs w:val="22"/>
              </w:rPr>
              <w:t>the change must represent at least 50% of votes cast</w:t>
            </w:r>
          </w:p>
        </w:tc>
        <w:tc>
          <w:tcPr>
            <w:tcW w:w="3188" w:type="dxa"/>
          </w:tcPr>
          <w:p w14:paraId="41A1D110" w14:textId="77777777" w:rsidR="006E3A3D" w:rsidRPr="00CB1714" w:rsidRDefault="006E3A3D" w:rsidP="006E3A3D">
            <w:pPr>
              <w:rPr>
                <w:rFonts w:ascii="Lato" w:hAnsi="Lato"/>
                <w:sz w:val="22"/>
                <w:szCs w:val="22"/>
              </w:rPr>
            </w:pPr>
          </w:p>
        </w:tc>
      </w:tr>
      <w:tr w:rsidR="006E3A3D" w:rsidRPr="00CB1714" w14:paraId="2CCE725E" w14:textId="77777777" w:rsidTr="00990D73">
        <w:tc>
          <w:tcPr>
            <w:tcW w:w="1316" w:type="dxa"/>
          </w:tcPr>
          <w:p w14:paraId="21BCF055" w14:textId="77777777" w:rsidR="006E3A3D" w:rsidRPr="00CB1714" w:rsidRDefault="006E3A3D" w:rsidP="006E3A3D">
            <w:pPr>
              <w:rPr>
                <w:rFonts w:ascii="Lato" w:hAnsi="Lato"/>
                <w:sz w:val="22"/>
                <w:szCs w:val="22"/>
              </w:rPr>
            </w:pPr>
          </w:p>
        </w:tc>
        <w:tc>
          <w:tcPr>
            <w:tcW w:w="5891" w:type="dxa"/>
          </w:tcPr>
          <w:p w14:paraId="685CB9AE" w14:textId="77777777" w:rsidR="006E3A3D" w:rsidRPr="00CB1714" w:rsidRDefault="006E3A3D" w:rsidP="006E3A3D">
            <w:pPr>
              <w:jc w:val="both"/>
              <w:rPr>
                <w:rFonts w:ascii="Lato" w:hAnsi="Lato"/>
                <w:sz w:val="22"/>
                <w:szCs w:val="22"/>
              </w:rPr>
            </w:pPr>
          </w:p>
        </w:tc>
        <w:tc>
          <w:tcPr>
            <w:tcW w:w="3188" w:type="dxa"/>
          </w:tcPr>
          <w:p w14:paraId="484C2905" w14:textId="77777777" w:rsidR="006E3A3D" w:rsidRPr="00CB1714" w:rsidRDefault="006E3A3D" w:rsidP="006E3A3D">
            <w:pPr>
              <w:rPr>
                <w:rFonts w:ascii="Lato" w:hAnsi="Lato"/>
                <w:sz w:val="22"/>
                <w:szCs w:val="22"/>
              </w:rPr>
            </w:pPr>
          </w:p>
        </w:tc>
      </w:tr>
      <w:tr w:rsidR="006E3A3D" w:rsidRPr="00CB1714" w14:paraId="73D55556" w14:textId="77777777" w:rsidTr="00990D73">
        <w:tc>
          <w:tcPr>
            <w:tcW w:w="1316" w:type="dxa"/>
          </w:tcPr>
          <w:p w14:paraId="070659EB" w14:textId="77777777" w:rsidR="006E3A3D" w:rsidRPr="00CB1714" w:rsidRDefault="006E3A3D" w:rsidP="006E3A3D">
            <w:pPr>
              <w:rPr>
                <w:rFonts w:ascii="Lato" w:hAnsi="Lato"/>
                <w:sz w:val="22"/>
                <w:szCs w:val="22"/>
              </w:rPr>
            </w:pPr>
            <w:r w:rsidRPr="00CB1714">
              <w:rPr>
                <w:rFonts w:ascii="Lato" w:hAnsi="Lato"/>
                <w:sz w:val="22"/>
                <w:szCs w:val="22"/>
              </w:rPr>
              <w:t>2.19.5</w:t>
            </w:r>
          </w:p>
        </w:tc>
        <w:tc>
          <w:tcPr>
            <w:tcW w:w="5891" w:type="dxa"/>
          </w:tcPr>
          <w:p w14:paraId="19B430B7" w14:textId="77777777" w:rsidR="006E3A3D" w:rsidRPr="00CB1714" w:rsidRDefault="006E3A3D" w:rsidP="006E3A3D">
            <w:pPr>
              <w:jc w:val="both"/>
              <w:rPr>
                <w:rFonts w:ascii="Lato" w:hAnsi="Lato"/>
                <w:i/>
                <w:sz w:val="22"/>
                <w:szCs w:val="22"/>
              </w:rPr>
            </w:pPr>
            <w:r w:rsidRPr="00CB1714">
              <w:rPr>
                <w:rFonts w:ascii="Lato" w:hAnsi="Lato"/>
                <w:i/>
                <w:sz w:val="22"/>
                <w:szCs w:val="22"/>
              </w:rPr>
              <w:t xml:space="preserve">Changes to maximum redemption fee or charges </w:t>
            </w:r>
          </w:p>
        </w:tc>
        <w:tc>
          <w:tcPr>
            <w:tcW w:w="3188" w:type="dxa"/>
          </w:tcPr>
          <w:p w14:paraId="30BD93A1" w14:textId="77777777" w:rsidR="006E3A3D" w:rsidRPr="00CB1714" w:rsidRDefault="006E3A3D" w:rsidP="006E3A3D">
            <w:pPr>
              <w:rPr>
                <w:rFonts w:ascii="Lato" w:hAnsi="Lato"/>
                <w:sz w:val="22"/>
                <w:szCs w:val="22"/>
              </w:rPr>
            </w:pPr>
          </w:p>
        </w:tc>
      </w:tr>
      <w:tr w:rsidR="006E3A3D" w:rsidRPr="00CB1714" w14:paraId="7837C904" w14:textId="77777777" w:rsidTr="00990D73">
        <w:tc>
          <w:tcPr>
            <w:tcW w:w="1316" w:type="dxa"/>
          </w:tcPr>
          <w:p w14:paraId="5A37B9E1" w14:textId="77777777" w:rsidR="006E3A3D" w:rsidRPr="00CB1714" w:rsidRDefault="006E3A3D" w:rsidP="006E3A3D">
            <w:pPr>
              <w:rPr>
                <w:rFonts w:ascii="Lato" w:hAnsi="Lato"/>
                <w:sz w:val="22"/>
                <w:szCs w:val="22"/>
              </w:rPr>
            </w:pPr>
            <w:r w:rsidRPr="00CB1714">
              <w:rPr>
                <w:rFonts w:ascii="Lato" w:hAnsi="Lato"/>
                <w:sz w:val="22"/>
                <w:szCs w:val="22"/>
              </w:rPr>
              <w:t>(i)</w:t>
            </w:r>
          </w:p>
        </w:tc>
        <w:tc>
          <w:tcPr>
            <w:tcW w:w="5891" w:type="dxa"/>
          </w:tcPr>
          <w:p w14:paraId="26E2CD79" w14:textId="77777777" w:rsidR="006E3A3D" w:rsidRPr="00CB1714" w:rsidRDefault="006E3A3D" w:rsidP="006E3A3D">
            <w:pPr>
              <w:jc w:val="both"/>
              <w:rPr>
                <w:rFonts w:ascii="Lato" w:hAnsi="Lato"/>
                <w:sz w:val="22"/>
                <w:szCs w:val="22"/>
              </w:rPr>
            </w:pPr>
            <w:r w:rsidRPr="00CB1714">
              <w:rPr>
                <w:rFonts w:ascii="Lato" w:hAnsi="Lato"/>
                <w:sz w:val="22"/>
                <w:szCs w:val="22"/>
              </w:rPr>
              <w:t>Where the Qualifying Investor AIF proposes to increase the maximum redemption charge or the maximum annual fee charged by the management company, AIFM , general partner or investment manger (where the investment manger is paid directly out of the assets of the Qualifying Investor AIF) provide that:</w:t>
            </w:r>
          </w:p>
        </w:tc>
        <w:tc>
          <w:tcPr>
            <w:tcW w:w="3188" w:type="dxa"/>
          </w:tcPr>
          <w:p w14:paraId="65F1618A" w14:textId="77777777" w:rsidR="006E3A3D" w:rsidRPr="00CB1714" w:rsidRDefault="006E3A3D" w:rsidP="006E3A3D">
            <w:pPr>
              <w:rPr>
                <w:rFonts w:ascii="Lato" w:hAnsi="Lato"/>
                <w:sz w:val="22"/>
                <w:szCs w:val="22"/>
              </w:rPr>
            </w:pPr>
          </w:p>
        </w:tc>
      </w:tr>
      <w:tr w:rsidR="006E3A3D" w:rsidRPr="00CB1714" w14:paraId="0FA9BB10" w14:textId="77777777" w:rsidTr="00990D73">
        <w:tc>
          <w:tcPr>
            <w:tcW w:w="1316" w:type="dxa"/>
          </w:tcPr>
          <w:p w14:paraId="0F278F26" w14:textId="77777777" w:rsidR="006E3A3D" w:rsidRPr="00CB1714" w:rsidRDefault="006E3A3D" w:rsidP="006E3A3D">
            <w:pPr>
              <w:rPr>
                <w:rFonts w:ascii="Lato" w:hAnsi="Lato"/>
                <w:sz w:val="22"/>
                <w:szCs w:val="22"/>
              </w:rPr>
            </w:pPr>
          </w:p>
        </w:tc>
        <w:tc>
          <w:tcPr>
            <w:tcW w:w="5891" w:type="dxa"/>
          </w:tcPr>
          <w:p w14:paraId="7BAB5F78"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787A8769" w14:textId="77777777" w:rsidR="006E3A3D" w:rsidRPr="00CB1714" w:rsidRDefault="006E3A3D" w:rsidP="006E3A3D">
            <w:pPr>
              <w:rPr>
                <w:rFonts w:ascii="Lato" w:hAnsi="Lato"/>
                <w:sz w:val="22"/>
                <w:szCs w:val="22"/>
              </w:rPr>
            </w:pPr>
          </w:p>
        </w:tc>
      </w:tr>
      <w:tr w:rsidR="006E3A3D" w:rsidRPr="00CB1714" w14:paraId="6D0CF4C9" w14:textId="77777777" w:rsidTr="00990D73">
        <w:tc>
          <w:tcPr>
            <w:tcW w:w="1316" w:type="dxa"/>
          </w:tcPr>
          <w:p w14:paraId="7D7A0849" w14:textId="77777777" w:rsidR="006E3A3D" w:rsidRPr="00CB1714" w:rsidRDefault="006E3A3D" w:rsidP="006E3A3D">
            <w:pPr>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4D9CD08E" w14:textId="77777777" w:rsidR="006E3A3D" w:rsidRPr="00CB1714" w:rsidRDefault="006E3A3D" w:rsidP="006E3A3D">
            <w:pPr>
              <w:jc w:val="both"/>
              <w:rPr>
                <w:rFonts w:ascii="Lato" w:hAnsi="Lato"/>
                <w:sz w:val="22"/>
                <w:szCs w:val="22"/>
              </w:rPr>
            </w:pPr>
            <w:r w:rsidRPr="00CB1714">
              <w:rPr>
                <w:rFonts w:ascii="Lato" w:hAnsi="Lato"/>
                <w:sz w:val="22"/>
                <w:szCs w:val="22"/>
              </w:rPr>
              <w:t>Where there is no opportunity for unitholders to redeem or</w:t>
            </w:r>
          </w:p>
        </w:tc>
        <w:tc>
          <w:tcPr>
            <w:tcW w:w="3188" w:type="dxa"/>
            <w:tcBorders>
              <w:top w:val="single" w:sz="4" w:space="0" w:color="auto"/>
              <w:left w:val="single" w:sz="4" w:space="0" w:color="auto"/>
              <w:bottom w:val="single" w:sz="4" w:space="0" w:color="auto"/>
              <w:right w:val="single" w:sz="4" w:space="0" w:color="auto"/>
            </w:tcBorders>
          </w:tcPr>
          <w:p w14:paraId="13F9B121" w14:textId="77777777" w:rsidR="006E3A3D" w:rsidRPr="00CB1714" w:rsidRDefault="006E3A3D" w:rsidP="006E3A3D">
            <w:pPr>
              <w:rPr>
                <w:rFonts w:ascii="Lato" w:hAnsi="Lato"/>
                <w:sz w:val="22"/>
                <w:szCs w:val="22"/>
              </w:rPr>
            </w:pPr>
          </w:p>
        </w:tc>
      </w:tr>
      <w:tr w:rsidR="006E3A3D" w:rsidRPr="00CB1714" w14:paraId="4B94A12E" w14:textId="77777777" w:rsidTr="00990D73">
        <w:tc>
          <w:tcPr>
            <w:tcW w:w="1316" w:type="dxa"/>
          </w:tcPr>
          <w:p w14:paraId="2517ACE5" w14:textId="77777777" w:rsidR="006E3A3D" w:rsidRPr="00CB1714" w:rsidRDefault="006E3A3D" w:rsidP="006E3A3D">
            <w:pPr>
              <w:rPr>
                <w:rFonts w:ascii="Lato" w:hAnsi="Lato"/>
                <w:sz w:val="22"/>
                <w:szCs w:val="22"/>
              </w:rPr>
            </w:pPr>
          </w:p>
        </w:tc>
        <w:tc>
          <w:tcPr>
            <w:tcW w:w="5891" w:type="dxa"/>
          </w:tcPr>
          <w:p w14:paraId="185099FF" w14:textId="77777777" w:rsidR="006E3A3D" w:rsidRPr="00CB1714" w:rsidRDefault="006E3A3D" w:rsidP="006E3A3D">
            <w:pPr>
              <w:jc w:val="both"/>
              <w:rPr>
                <w:rFonts w:ascii="Lato" w:hAnsi="Lato"/>
                <w:sz w:val="22"/>
                <w:szCs w:val="22"/>
              </w:rPr>
            </w:pPr>
            <w:r w:rsidRPr="00CB1714">
              <w:rPr>
                <w:rFonts w:ascii="Lato" w:hAnsi="Lato"/>
                <w:sz w:val="22"/>
                <w:szCs w:val="22"/>
              </w:rPr>
              <w:t>otherwise exit the Qualifying Investor AIF, it shall ensure that votes in favour of the increase must represent at least 75% of votes cast;</w:t>
            </w:r>
          </w:p>
        </w:tc>
        <w:tc>
          <w:tcPr>
            <w:tcW w:w="3188" w:type="dxa"/>
            <w:tcBorders>
              <w:top w:val="single" w:sz="4" w:space="0" w:color="auto"/>
            </w:tcBorders>
          </w:tcPr>
          <w:p w14:paraId="67308614" w14:textId="77777777" w:rsidR="006E3A3D" w:rsidRPr="00CB1714" w:rsidRDefault="006E3A3D" w:rsidP="006E3A3D">
            <w:pPr>
              <w:rPr>
                <w:rFonts w:ascii="Lato" w:hAnsi="Lato"/>
                <w:sz w:val="22"/>
                <w:szCs w:val="22"/>
              </w:rPr>
            </w:pPr>
          </w:p>
        </w:tc>
      </w:tr>
      <w:tr w:rsidR="006E3A3D" w:rsidRPr="00CB1714" w14:paraId="12773D28" w14:textId="77777777" w:rsidTr="00990D73">
        <w:tc>
          <w:tcPr>
            <w:tcW w:w="1316" w:type="dxa"/>
          </w:tcPr>
          <w:p w14:paraId="1FF83B7A" w14:textId="77777777" w:rsidR="006E3A3D" w:rsidRPr="00CB1714" w:rsidRDefault="006E3A3D" w:rsidP="006E3A3D">
            <w:pPr>
              <w:rPr>
                <w:rFonts w:ascii="Lato" w:hAnsi="Lato"/>
                <w:sz w:val="22"/>
                <w:szCs w:val="22"/>
              </w:rPr>
            </w:pPr>
          </w:p>
        </w:tc>
        <w:tc>
          <w:tcPr>
            <w:tcW w:w="5891" w:type="dxa"/>
          </w:tcPr>
          <w:p w14:paraId="110E8207"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749EFDB0" w14:textId="77777777" w:rsidR="006E3A3D" w:rsidRPr="00CB1714" w:rsidRDefault="006E3A3D" w:rsidP="006E3A3D">
            <w:pPr>
              <w:rPr>
                <w:rFonts w:ascii="Lato" w:hAnsi="Lato"/>
                <w:sz w:val="22"/>
                <w:szCs w:val="22"/>
              </w:rPr>
            </w:pPr>
          </w:p>
        </w:tc>
      </w:tr>
      <w:tr w:rsidR="006E3A3D" w:rsidRPr="00CB1714" w14:paraId="276A3641" w14:textId="77777777" w:rsidTr="00990D73">
        <w:tc>
          <w:tcPr>
            <w:tcW w:w="1316" w:type="dxa"/>
          </w:tcPr>
          <w:p w14:paraId="0371D085"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40593F81" w14:textId="77777777" w:rsidR="006E3A3D" w:rsidRPr="00CB1714" w:rsidRDefault="006E3A3D" w:rsidP="006E3A3D">
            <w:pPr>
              <w:jc w:val="both"/>
              <w:rPr>
                <w:rFonts w:ascii="Lato" w:hAnsi="Lato"/>
                <w:sz w:val="22"/>
                <w:szCs w:val="22"/>
              </w:rPr>
            </w:pPr>
            <w:r w:rsidRPr="00CB1714">
              <w:rPr>
                <w:rFonts w:ascii="Lato" w:hAnsi="Lato"/>
                <w:sz w:val="22"/>
                <w:szCs w:val="22"/>
              </w:rPr>
              <w:t xml:space="preserve">If there is an opportunity for unitholders to redeem or </w:t>
            </w:r>
          </w:p>
        </w:tc>
        <w:tc>
          <w:tcPr>
            <w:tcW w:w="3188" w:type="dxa"/>
            <w:tcBorders>
              <w:top w:val="single" w:sz="4" w:space="0" w:color="auto"/>
              <w:left w:val="single" w:sz="4" w:space="0" w:color="auto"/>
              <w:bottom w:val="single" w:sz="4" w:space="0" w:color="auto"/>
              <w:right w:val="single" w:sz="4" w:space="0" w:color="auto"/>
            </w:tcBorders>
          </w:tcPr>
          <w:p w14:paraId="3AE612C0" w14:textId="77777777" w:rsidR="006E3A3D" w:rsidRPr="00CB1714" w:rsidRDefault="006E3A3D" w:rsidP="006E3A3D">
            <w:pPr>
              <w:rPr>
                <w:rFonts w:ascii="Lato" w:hAnsi="Lato"/>
                <w:sz w:val="22"/>
                <w:szCs w:val="22"/>
              </w:rPr>
            </w:pPr>
          </w:p>
        </w:tc>
      </w:tr>
      <w:tr w:rsidR="006E3A3D" w:rsidRPr="00CB1714" w14:paraId="0B4A316A" w14:textId="77777777" w:rsidTr="00990D73">
        <w:tc>
          <w:tcPr>
            <w:tcW w:w="1316" w:type="dxa"/>
          </w:tcPr>
          <w:p w14:paraId="30B021AC" w14:textId="77777777" w:rsidR="006E3A3D" w:rsidRPr="00CB1714" w:rsidRDefault="006E3A3D" w:rsidP="006E3A3D">
            <w:pPr>
              <w:rPr>
                <w:rFonts w:ascii="Lato" w:hAnsi="Lato"/>
                <w:sz w:val="22"/>
                <w:szCs w:val="22"/>
              </w:rPr>
            </w:pPr>
          </w:p>
        </w:tc>
        <w:tc>
          <w:tcPr>
            <w:tcW w:w="5891" w:type="dxa"/>
          </w:tcPr>
          <w:p w14:paraId="700896F4" w14:textId="77777777" w:rsidR="006E3A3D" w:rsidRPr="00CB1714" w:rsidRDefault="006E3A3D" w:rsidP="006E3A3D">
            <w:pPr>
              <w:jc w:val="both"/>
              <w:rPr>
                <w:rFonts w:ascii="Lato" w:hAnsi="Lato"/>
                <w:sz w:val="22"/>
                <w:szCs w:val="22"/>
              </w:rPr>
            </w:pPr>
            <w:r w:rsidRPr="00F72ED7">
              <w:rPr>
                <w:rFonts w:ascii="Lato" w:hAnsi="Lato"/>
                <w:sz w:val="22"/>
                <w:szCs w:val="22"/>
              </w:rPr>
              <w:t xml:space="preserve">otherwise </w:t>
            </w:r>
            <w:r w:rsidRPr="00CB1714">
              <w:rPr>
                <w:rFonts w:ascii="Lato" w:hAnsi="Lato"/>
                <w:sz w:val="22"/>
                <w:szCs w:val="22"/>
              </w:rPr>
              <w:t>exit the Qualifying Investor AIF, it shall ensure that votes in favour of the increase must represent at least 50% of votes cast</w:t>
            </w:r>
          </w:p>
        </w:tc>
        <w:tc>
          <w:tcPr>
            <w:tcW w:w="3188" w:type="dxa"/>
            <w:tcBorders>
              <w:top w:val="single" w:sz="4" w:space="0" w:color="auto"/>
            </w:tcBorders>
          </w:tcPr>
          <w:p w14:paraId="1493F5D2" w14:textId="77777777" w:rsidR="006E3A3D" w:rsidRPr="00CB1714" w:rsidRDefault="006E3A3D" w:rsidP="006E3A3D">
            <w:pPr>
              <w:rPr>
                <w:rFonts w:ascii="Lato" w:hAnsi="Lato"/>
                <w:sz w:val="22"/>
                <w:szCs w:val="22"/>
              </w:rPr>
            </w:pPr>
          </w:p>
        </w:tc>
      </w:tr>
      <w:tr w:rsidR="006E3A3D" w:rsidRPr="00CB1714" w14:paraId="2559DF98" w14:textId="77777777" w:rsidTr="00990D73">
        <w:tc>
          <w:tcPr>
            <w:tcW w:w="1316" w:type="dxa"/>
          </w:tcPr>
          <w:p w14:paraId="385664DC" w14:textId="77777777" w:rsidR="006E3A3D" w:rsidRPr="00CB1714" w:rsidRDefault="006E3A3D" w:rsidP="006E3A3D">
            <w:pPr>
              <w:rPr>
                <w:rFonts w:ascii="Lato" w:hAnsi="Lato"/>
                <w:sz w:val="22"/>
                <w:szCs w:val="22"/>
              </w:rPr>
            </w:pPr>
          </w:p>
        </w:tc>
        <w:tc>
          <w:tcPr>
            <w:tcW w:w="5891" w:type="dxa"/>
          </w:tcPr>
          <w:p w14:paraId="65680BFC" w14:textId="77777777" w:rsidR="006E3A3D" w:rsidRPr="00CB1714" w:rsidRDefault="006E3A3D" w:rsidP="006E3A3D">
            <w:pPr>
              <w:jc w:val="both"/>
              <w:rPr>
                <w:rFonts w:ascii="Lato" w:hAnsi="Lato"/>
                <w:sz w:val="22"/>
                <w:szCs w:val="22"/>
              </w:rPr>
            </w:pPr>
          </w:p>
        </w:tc>
        <w:tc>
          <w:tcPr>
            <w:tcW w:w="3188" w:type="dxa"/>
          </w:tcPr>
          <w:p w14:paraId="63A0A7FF" w14:textId="77777777" w:rsidR="006E3A3D" w:rsidRPr="00CB1714" w:rsidRDefault="006E3A3D" w:rsidP="006E3A3D">
            <w:pPr>
              <w:rPr>
                <w:rFonts w:ascii="Lato" w:hAnsi="Lato"/>
                <w:sz w:val="22"/>
                <w:szCs w:val="22"/>
              </w:rPr>
            </w:pPr>
          </w:p>
        </w:tc>
      </w:tr>
      <w:tr w:rsidR="006E3A3D" w:rsidRPr="00CB1714" w14:paraId="5019F328" w14:textId="77777777" w:rsidTr="00990D73">
        <w:tc>
          <w:tcPr>
            <w:tcW w:w="1316" w:type="dxa"/>
          </w:tcPr>
          <w:p w14:paraId="03E38AA9" w14:textId="77777777" w:rsidR="006E3A3D" w:rsidRPr="00CB1714" w:rsidRDefault="006E3A3D" w:rsidP="006E3A3D">
            <w:pPr>
              <w:rPr>
                <w:rFonts w:ascii="Lato" w:hAnsi="Lato"/>
                <w:sz w:val="22"/>
                <w:szCs w:val="22"/>
              </w:rPr>
            </w:pPr>
          </w:p>
        </w:tc>
        <w:tc>
          <w:tcPr>
            <w:tcW w:w="5891" w:type="dxa"/>
          </w:tcPr>
          <w:p w14:paraId="4B4B30F6" w14:textId="77777777" w:rsidR="006E3A3D" w:rsidRPr="00CB1714" w:rsidRDefault="006E3A3D" w:rsidP="006E3A3D">
            <w:pPr>
              <w:jc w:val="both"/>
              <w:rPr>
                <w:rFonts w:ascii="Lato" w:hAnsi="Lato"/>
                <w:sz w:val="22"/>
                <w:szCs w:val="22"/>
              </w:rPr>
            </w:pPr>
            <w:r w:rsidRPr="00CB1714">
              <w:rPr>
                <w:rFonts w:ascii="Lato" w:hAnsi="Lato"/>
                <w:sz w:val="22"/>
                <w:szCs w:val="22"/>
              </w:rPr>
              <w:t>Note: the annual fee includes any performance related fee</w:t>
            </w:r>
          </w:p>
        </w:tc>
        <w:tc>
          <w:tcPr>
            <w:tcW w:w="3188" w:type="dxa"/>
          </w:tcPr>
          <w:p w14:paraId="1EA236B8" w14:textId="77777777" w:rsidR="006E3A3D" w:rsidRPr="00CB1714" w:rsidRDefault="006E3A3D" w:rsidP="006E3A3D">
            <w:pPr>
              <w:rPr>
                <w:rFonts w:ascii="Lato" w:hAnsi="Lato"/>
                <w:sz w:val="22"/>
                <w:szCs w:val="22"/>
              </w:rPr>
            </w:pPr>
          </w:p>
        </w:tc>
      </w:tr>
      <w:tr w:rsidR="006E3A3D" w:rsidRPr="00CB1714" w14:paraId="73FB46B4" w14:textId="77777777" w:rsidTr="00990D73">
        <w:tc>
          <w:tcPr>
            <w:tcW w:w="1316" w:type="dxa"/>
          </w:tcPr>
          <w:p w14:paraId="0E9215DC" w14:textId="77777777" w:rsidR="006E3A3D" w:rsidRPr="00CB1714" w:rsidRDefault="006E3A3D" w:rsidP="006E3A3D">
            <w:pPr>
              <w:rPr>
                <w:rFonts w:ascii="Lato" w:hAnsi="Lato"/>
                <w:sz w:val="22"/>
                <w:szCs w:val="22"/>
              </w:rPr>
            </w:pPr>
          </w:p>
        </w:tc>
        <w:tc>
          <w:tcPr>
            <w:tcW w:w="5891" w:type="dxa"/>
          </w:tcPr>
          <w:p w14:paraId="155D419C" w14:textId="77777777" w:rsidR="006E3A3D" w:rsidRPr="00CB1714" w:rsidRDefault="006E3A3D" w:rsidP="006E3A3D">
            <w:pPr>
              <w:jc w:val="both"/>
              <w:rPr>
                <w:rFonts w:ascii="Lato" w:hAnsi="Lato"/>
                <w:sz w:val="22"/>
                <w:szCs w:val="22"/>
              </w:rPr>
            </w:pPr>
            <w:r w:rsidRPr="00CB1714">
              <w:rPr>
                <w:rFonts w:ascii="Lato" w:hAnsi="Lato"/>
                <w:sz w:val="22"/>
                <w:szCs w:val="22"/>
              </w:rPr>
              <w:t>charged by the AIFM, management company, general partner or the investment manager</w:t>
            </w:r>
          </w:p>
        </w:tc>
        <w:tc>
          <w:tcPr>
            <w:tcW w:w="3188" w:type="dxa"/>
          </w:tcPr>
          <w:p w14:paraId="35AAC95A" w14:textId="77777777" w:rsidR="006E3A3D" w:rsidRPr="00CB1714" w:rsidRDefault="006E3A3D" w:rsidP="006E3A3D">
            <w:pPr>
              <w:rPr>
                <w:rFonts w:ascii="Lato" w:hAnsi="Lato"/>
                <w:sz w:val="22"/>
                <w:szCs w:val="22"/>
              </w:rPr>
            </w:pPr>
          </w:p>
        </w:tc>
      </w:tr>
      <w:tr w:rsidR="006E3A3D" w:rsidRPr="00CB1714" w14:paraId="4D5447F7" w14:textId="77777777" w:rsidTr="00990D73">
        <w:tc>
          <w:tcPr>
            <w:tcW w:w="1316" w:type="dxa"/>
          </w:tcPr>
          <w:p w14:paraId="09D44C66" w14:textId="77777777" w:rsidR="006E3A3D" w:rsidRPr="00CB1714" w:rsidRDefault="006E3A3D" w:rsidP="006E3A3D">
            <w:pPr>
              <w:rPr>
                <w:rFonts w:ascii="Lato" w:hAnsi="Lato"/>
                <w:sz w:val="22"/>
                <w:szCs w:val="22"/>
              </w:rPr>
            </w:pPr>
          </w:p>
        </w:tc>
        <w:tc>
          <w:tcPr>
            <w:tcW w:w="5891" w:type="dxa"/>
          </w:tcPr>
          <w:p w14:paraId="308392D6" w14:textId="77777777" w:rsidR="006E3A3D" w:rsidRPr="00CB1714" w:rsidRDefault="006E3A3D" w:rsidP="006E3A3D">
            <w:pPr>
              <w:jc w:val="both"/>
              <w:rPr>
                <w:rFonts w:ascii="Lato" w:hAnsi="Lato"/>
                <w:sz w:val="22"/>
                <w:szCs w:val="22"/>
              </w:rPr>
            </w:pPr>
            <w:r w:rsidRPr="00CB1714">
              <w:rPr>
                <w:rFonts w:ascii="Lato" w:hAnsi="Lato"/>
                <w:sz w:val="22"/>
                <w:szCs w:val="22"/>
              </w:rPr>
              <w:t>Note: if the fee disclosed in the prospectus is less than the maximum fee permitted in the constitutional documents, unitholder approval will also be required for an</w:t>
            </w:r>
          </w:p>
        </w:tc>
        <w:tc>
          <w:tcPr>
            <w:tcW w:w="3188" w:type="dxa"/>
          </w:tcPr>
          <w:p w14:paraId="42A4F4E8" w14:textId="77777777" w:rsidR="006E3A3D" w:rsidRPr="00CB1714" w:rsidRDefault="006E3A3D" w:rsidP="006E3A3D">
            <w:pPr>
              <w:rPr>
                <w:rFonts w:ascii="Lato" w:hAnsi="Lato"/>
                <w:sz w:val="22"/>
                <w:szCs w:val="22"/>
              </w:rPr>
            </w:pPr>
          </w:p>
        </w:tc>
      </w:tr>
      <w:tr w:rsidR="006E3A3D" w:rsidRPr="00CB1714" w14:paraId="691A61C9" w14:textId="77777777" w:rsidTr="00734A0A">
        <w:tc>
          <w:tcPr>
            <w:tcW w:w="1316" w:type="dxa"/>
          </w:tcPr>
          <w:p w14:paraId="3559A6D9" w14:textId="77777777" w:rsidR="006E3A3D" w:rsidRPr="00CB1714" w:rsidRDefault="006E3A3D" w:rsidP="006E3A3D">
            <w:pPr>
              <w:rPr>
                <w:rFonts w:ascii="Lato" w:hAnsi="Lato"/>
                <w:sz w:val="22"/>
                <w:szCs w:val="22"/>
              </w:rPr>
            </w:pPr>
          </w:p>
        </w:tc>
        <w:tc>
          <w:tcPr>
            <w:tcW w:w="5891" w:type="dxa"/>
          </w:tcPr>
          <w:p w14:paraId="4B629DAF" w14:textId="77777777" w:rsidR="006E3A3D" w:rsidRPr="00CB1714" w:rsidRDefault="006E3A3D" w:rsidP="006E3A3D">
            <w:pPr>
              <w:jc w:val="both"/>
              <w:rPr>
                <w:rFonts w:ascii="Lato" w:hAnsi="Lato"/>
                <w:sz w:val="22"/>
                <w:szCs w:val="22"/>
              </w:rPr>
            </w:pPr>
            <w:r w:rsidRPr="00CB1714">
              <w:rPr>
                <w:rFonts w:ascii="Lato" w:hAnsi="Lato"/>
                <w:sz w:val="22"/>
                <w:szCs w:val="22"/>
              </w:rPr>
              <w:t>increase in the fee disclosed in the prospectus unless the prospectus also provides that a higher fee may be charged</w:t>
            </w:r>
          </w:p>
        </w:tc>
        <w:tc>
          <w:tcPr>
            <w:tcW w:w="3188" w:type="dxa"/>
          </w:tcPr>
          <w:p w14:paraId="21482E06" w14:textId="77777777" w:rsidR="006E3A3D" w:rsidRPr="00CB1714" w:rsidRDefault="006E3A3D" w:rsidP="006E3A3D">
            <w:pPr>
              <w:rPr>
                <w:rFonts w:ascii="Lato" w:hAnsi="Lato"/>
                <w:sz w:val="22"/>
                <w:szCs w:val="22"/>
              </w:rPr>
            </w:pPr>
          </w:p>
        </w:tc>
      </w:tr>
      <w:tr w:rsidR="006E3A3D" w:rsidRPr="00CB1714" w14:paraId="51E78626" w14:textId="77777777" w:rsidTr="00734A0A">
        <w:tc>
          <w:tcPr>
            <w:tcW w:w="1316" w:type="dxa"/>
          </w:tcPr>
          <w:p w14:paraId="34265268" w14:textId="77777777" w:rsidR="006E3A3D" w:rsidRPr="00CB1714" w:rsidRDefault="006E3A3D" w:rsidP="006E3A3D">
            <w:pPr>
              <w:rPr>
                <w:rFonts w:ascii="Lato" w:hAnsi="Lato"/>
                <w:sz w:val="22"/>
                <w:szCs w:val="22"/>
              </w:rPr>
            </w:pPr>
          </w:p>
        </w:tc>
        <w:tc>
          <w:tcPr>
            <w:tcW w:w="5891" w:type="dxa"/>
          </w:tcPr>
          <w:p w14:paraId="3D343952" w14:textId="77777777" w:rsidR="006E3A3D" w:rsidRPr="00CB1714" w:rsidRDefault="006E3A3D" w:rsidP="006E3A3D">
            <w:pPr>
              <w:jc w:val="both"/>
              <w:rPr>
                <w:rFonts w:ascii="Lato" w:hAnsi="Lato"/>
                <w:sz w:val="22"/>
                <w:szCs w:val="22"/>
              </w:rPr>
            </w:pPr>
          </w:p>
        </w:tc>
        <w:tc>
          <w:tcPr>
            <w:tcW w:w="3188" w:type="dxa"/>
          </w:tcPr>
          <w:p w14:paraId="1787DAF4" w14:textId="77777777" w:rsidR="006E3A3D" w:rsidRPr="00CB1714" w:rsidRDefault="006E3A3D" w:rsidP="006E3A3D">
            <w:pPr>
              <w:rPr>
                <w:rFonts w:ascii="Lato" w:hAnsi="Lato"/>
                <w:sz w:val="22"/>
                <w:szCs w:val="22"/>
              </w:rPr>
            </w:pPr>
          </w:p>
        </w:tc>
      </w:tr>
      <w:tr w:rsidR="006E3A3D" w:rsidRPr="00CB1714" w14:paraId="4C05D84E" w14:textId="77777777" w:rsidTr="00734A0A">
        <w:tc>
          <w:tcPr>
            <w:tcW w:w="1316" w:type="dxa"/>
          </w:tcPr>
          <w:p w14:paraId="3A1252E5" w14:textId="77777777" w:rsidR="006E3A3D" w:rsidRPr="00CB1714" w:rsidRDefault="006E3A3D" w:rsidP="006E3A3D">
            <w:pPr>
              <w:rPr>
                <w:rFonts w:ascii="Lato" w:hAnsi="Lato"/>
                <w:sz w:val="22"/>
                <w:szCs w:val="22"/>
              </w:rPr>
            </w:pPr>
          </w:p>
        </w:tc>
        <w:tc>
          <w:tcPr>
            <w:tcW w:w="5891" w:type="dxa"/>
          </w:tcPr>
          <w:p w14:paraId="6C02F507" w14:textId="77777777" w:rsidR="006E3A3D" w:rsidRPr="00CB1714" w:rsidRDefault="006E3A3D" w:rsidP="006E3A3D">
            <w:pPr>
              <w:jc w:val="both"/>
              <w:rPr>
                <w:rFonts w:ascii="Lato" w:hAnsi="Lato"/>
                <w:sz w:val="22"/>
                <w:szCs w:val="22"/>
              </w:rPr>
            </w:pPr>
          </w:p>
        </w:tc>
        <w:tc>
          <w:tcPr>
            <w:tcW w:w="3188" w:type="dxa"/>
          </w:tcPr>
          <w:p w14:paraId="487F0594" w14:textId="77777777" w:rsidR="006E3A3D" w:rsidRPr="00CB1714" w:rsidRDefault="006E3A3D" w:rsidP="006E3A3D">
            <w:pPr>
              <w:rPr>
                <w:rFonts w:ascii="Lato" w:hAnsi="Lato"/>
                <w:sz w:val="22"/>
                <w:szCs w:val="22"/>
              </w:rPr>
            </w:pPr>
          </w:p>
        </w:tc>
      </w:tr>
      <w:tr w:rsidR="006E3A3D" w:rsidRPr="00CB1714" w14:paraId="599D24C3" w14:textId="77777777" w:rsidTr="00734A0A">
        <w:tc>
          <w:tcPr>
            <w:tcW w:w="1316" w:type="dxa"/>
          </w:tcPr>
          <w:p w14:paraId="17480480" w14:textId="77777777" w:rsidR="006E3A3D" w:rsidRPr="00CB1714" w:rsidRDefault="006E3A3D" w:rsidP="006E3A3D">
            <w:pPr>
              <w:rPr>
                <w:rFonts w:ascii="Lato" w:hAnsi="Lato"/>
                <w:sz w:val="22"/>
                <w:szCs w:val="22"/>
              </w:rPr>
            </w:pPr>
            <w:r>
              <w:rPr>
                <w:rFonts w:ascii="Lato" w:hAnsi="Lato"/>
                <w:sz w:val="22"/>
                <w:szCs w:val="22"/>
              </w:rPr>
              <w:t>2.19.6</w:t>
            </w:r>
          </w:p>
        </w:tc>
        <w:tc>
          <w:tcPr>
            <w:tcW w:w="5891" w:type="dxa"/>
          </w:tcPr>
          <w:p w14:paraId="40E16603" w14:textId="77777777" w:rsidR="006E3A3D" w:rsidRPr="00CB1714" w:rsidRDefault="006E3A3D" w:rsidP="006E3A3D">
            <w:pPr>
              <w:jc w:val="both"/>
              <w:rPr>
                <w:rFonts w:ascii="Lato" w:hAnsi="Lato"/>
                <w:sz w:val="22"/>
                <w:szCs w:val="22"/>
              </w:rPr>
            </w:pPr>
            <w:r w:rsidRPr="00B74E51">
              <w:rPr>
                <w:rFonts w:ascii="Lato" w:hAnsi="Lato"/>
                <w:sz w:val="22"/>
                <w:szCs w:val="22"/>
                <w:u w:val="single"/>
              </w:rPr>
              <w:t>Share class features of closed-ended Qualifying Investor AIFs</w:t>
            </w:r>
            <w:r>
              <w:rPr>
                <w:rFonts w:ascii="Lato" w:hAnsi="Lato"/>
                <w:sz w:val="22"/>
                <w:szCs w:val="22"/>
                <w:u w:val="single"/>
              </w:rPr>
              <w:t xml:space="preserve"> </w:t>
            </w:r>
            <w:r w:rsidRPr="00B132FE">
              <w:rPr>
                <w:rFonts w:ascii="Lato" w:hAnsi="Lato"/>
                <w:sz w:val="22"/>
                <w:szCs w:val="22"/>
              </w:rPr>
              <w:t>(“CE QIAIF”) which typically invest in illiquid assets</w:t>
            </w:r>
          </w:p>
        </w:tc>
        <w:tc>
          <w:tcPr>
            <w:tcW w:w="3188" w:type="dxa"/>
          </w:tcPr>
          <w:p w14:paraId="22134DD2" w14:textId="77777777" w:rsidR="006E3A3D" w:rsidRPr="00CB1714" w:rsidRDefault="006E3A3D" w:rsidP="006E3A3D">
            <w:pPr>
              <w:rPr>
                <w:rFonts w:ascii="Lato" w:hAnsi="Lato"/>
                <w:sz w:val="22"/>
                <w:szCs w:val="22"/>
              </w:rPr>
            </w:pPr>
          </w:p>
        </w:tc>
      </w:tr>
      <w:tr w:rsidR="006E3A3D" w:rsidRPr="00CB1714" w14:paraId="5DED0EA8" w14:textId="77777777" w:rsidTr="00734A0A">
        <w:tc>
          <w:tcPr>
            <w:tcW w:w="1316" w:type="dxa"/>
          </w:tcPr>
          <w:p w14:paraId="7C9844DF" w14:textId="77777777" w:rsidR="006E3A3D" w:rsidRPr="00CB1714" w:rsidRDefault="006E3A3D" w:rsidP="006E3A3D">
            <w:pPr>
              <w:rPr>
                <w:rFonts w:ascii="Lato" w:hAnsi="Lato"/>
                <w:sz w:val="22"/>
                <w:szCs w:val="22"/>
              </w:rPr>
            </w:pPr>
          </w:p>
        </w:tc>
        <w:tc>
          <w:tcPr>
            <w:tcW w:w="5891" w:type="dxa"/>
          </w:tcPr>
          <w:p w14:paraId="78971EC3" w14:textId="77777777" w:rsidR="006E3A3D" w:rsidRPr="00CB1714" w:rsidRDefault="006E3A3D" w:rsidP="006E3A3D">
            <w:pPr>
              <w:jc w:val="both"/>
              <w:rPr>
                <w:rFonts w:ascii="Lato" w:hAnsi="Lato"/>
                <w:sz w:val="22"/>
                <w:szCs w:val="22"/>
              </w:rPr>
            </w:pPr>
          </w:p>
        </w:tc>
        <w:tc>
          <w:tcPr>
            <w:tcW w:w="3188" w:type="dxa"/>
          </w:tcPr>
          <w:p w14:paraId="58841381" w14:textId="77777777" w:rsidR="006E3A3D" w:rsidRPr="00CB1714" w:rsidRDefault="006E3A3D" w:rsidP="006E3A3D">
            <w:pPr>
              <w:rPr>
                <w:rFonts w:ascii="Lato" w:hAnsi="Lato"/>
                <w:sz w:val="22"/>
                <w:szCs w:val="22"/>
              </w:rPr>
            </w:pPr>
          </w:p>
        </w:tc>
      </w:tr>
      <w:tr w:rsidR="006E3A3D" w:rsidRPr="00CB1714" w14:paraId="2E5DE624" w14:textId="77777777" w:rsidTr="00A3122F">
        <w:tc>
          <w:tcPr>
            <w:tcW w:w="1316" w:type="dxa"/>
          </w:tcPr>
          <w:p w14:paraId="6A583838" w14:textId="77777777" w:rsidR="006E3A3D" w:rsidRPr="00CB1714" w:rsidRDefault="006E3A3D" w:rsidP="006E3A3D">
            <w:pPr>
              <w:rPr>
                <w:rFonts w:ascii="Lato" w:hAnsi="Lato"/>
                <w:sz w:val="22"/>
                <w:szCs w:val="22"/>
              </w:rPr>
            </w:pPr>
          </w:p>
        </w:tc>
        <w:tc>
          <w:tcPr>
            <w:tcW w:w="5891" w:type="dxa"/>
          </w:tcPr>
          <w:p w14:paraId="5571997B" w14:textId="77777777" w:rsidR="006E3A3D" w:rsidRPr="00B132FE" w:rsidRDefault="006E3A3D" w:rsidP="006E3A3D">
            <w:pPr>
              <w:jc w:val="both"/>
              <w:rPr>
                <w:rFonts w:ascii="Lato" w:hAnsi="Lato"/>
                <w:sz w:val="22"/>
                <w:szCs w:val="22"/>
              </w:rPr>
            </w:pPr>
            <w:r>
              <w:rPr>
                <w:rFonts w:ascii="Lato" w:hAnsi="Lato"/>
                <w:sz w:val="22"/>
                <w:szCs w:val="22"/>
              </w:rPr>
              <w:t>The e</w:t>
            </w:r>
            <w:r w:rsidRPr="00B132FE">
              <w:rPr>
                <w:rFonts w:ascii="Lato" w:hAnsi="Lato"/>
                <w:sz w:val="22"/>
                <w:szCs w:val="22"/>
              </w:rPr>
              <w:t>stablishment of share classes which provide for differentiated participation will be permissible to reflect:</w:t>
            </w:r>
          </w:p>
          <w:p w14:paraId="0219D50F" w14:textId="77777777" w:rsidR="006E3A3D" w:rsidRPr="00B132FE" w:rsidRDefault="006E3A3D" w:rsidP="006E3A3D">
            <w:pPr>
              <w:jc w:val="both"/>
              <w:rPr>
                <w:rFonts w:ascii="Lato" w:hAnsi="Lato"/>
                <w:sz w:val="22"/>
                <w:szCs w:val="22"/>
              </w:rPr>
            </w:pPr>
            <w:r w:rsidRPr="00B132FE">
              <w:rPr>
                <w:rFonts w:ascii="Lato" w:hAnsi="Lato"/>
                <w:sz w:val="22"/>
                <w:szCs w:val="22"/>
              </w:rPr>
              <w:t>a. issue of shares at a price other than net asset value without prior approval of the Central Bank;</w:t>
            </w:r>
          </w:p>
          <w:p w14:paraId="340F5DF7" w14:textId="77777777" w:rsidR="006E3A3D" w:rsidRPr="00B132FE" w:rsidRDefault="006E3A3D" w:rsidP="006E3A3D">
            <w:pPr>
              <w:jc w:val="both"/>
              <w:rPr>
                <w:rFonts w:ascii="Lato" w:hAnsi="Lato"/>
                <w:sz w:val="22"/>
                <w:szCs w:val="22"/>
              </w:rPr>
            </w:pPr>
            <w:r w:rsidRPr="00B132FE">
              <w:rPr>
                <w:rFonts w:ascii="Lato" w:hAnsi="Lato"/>
                <w:sz w:val="22"/>
                <w:szCs w:val="22"/>
              </w:rPr>
              <w:t>b. excuse and exclude provisions;</w:t>
            </w:r>
          </w:p>
          <w:p w14:paraId="4C94AB71" w14:textId="77777777" w:rsidR="006E3A3D" w:rsidRDefault="006E3A3D" w:rsidP="006E3A3D">
            <w:pPr>
              <w:jc w:val="both"/>
              <w:rPr>
                <w:rFonts w:ascii="Lato" w:hAnsi="Lato"/>
                <w:sz w:val="22"/>
                <w:szCs w:val="22"/>
              </w:rPr>
            </w:pPr>
            <w:r w:rsidRPr="00B132FE">
              <w:rPr>
                <w:rFonts w:ascii="Lato" w:hAnsi="Lato"/>
                <w:sz w:val="22"/>
                <w:szCs w:val="22"/>
              </w:rPr>
              <w:t>c. stage investing; and</w:t>
            </w:r>
          </w:p>
          <w:p w14:paraId="7E81EF4E" w14:textId="77777777" w:rsidR="006E3A3D" w:rsidRPr="00CB1714" w:rsidRDefault="006E3A3D" w:rsidP="006E3A3D">
            <w:pPr>
              <w:jc w:val="both"/>
              <w:rPr>
                <w:rFonts w:ascii="Lato" w:hAnsi="Lato"/>
                <w:sz w:val="22"/>
                <w:szCs w:val="22"/>
              </w:rPr>
            </w:pPr>
            <w:r w:rsidRPr="00B132FE">
              <w:rPr>
                <w:rFonts w:ascii="Lato" w:hAnsi="Lato"/>
                <w:sz w:val="22"/>
                <w:szCs w:val="22"/>
              </w:rPr>
              <w:t>d. management participation.</w:t>
            </w:r>
          </w:p>
        </w:tc>
        <w:tc>
          <w:tcPr>
            <w:tcW w:w="3188" w:type="dxa"/>
            <w:tcBorders>
              <w:bottom w:val="single" w:sz="4" w:space="0" w:color="auto"/>
            </w:tcBorders>
          </w:tcPr>
          <w:p w14:paraId="59C67AB2" w14:textId="77777777" w:rsidR="006E3A3D" w:rsidRPr="00CB1714" w:rsidRDefault="006E3A3D" w:rsidP="006E3A3D">
            <w:pPr>
              <w:rPr>
                <w:rFonts w:ascii="Lato" w:hAnsi="Lato"/>
                <w:sz w:val="22"/>
                <w:szCs w:val="22"/>
              </w:rPr>
            </w:pPr>
          </w:p>
        </w:tc>
      </w:tr>
      <w:tr w:rsidR="006E3A3D" w:rsidRPr="00CB1714" w14:paraId="5C071452" w14:textId="77777777" w:rsidTr="00A3122F">
        <w:tc>
          <w:tcPr>
            <w:tcW w:w="1316" w:type="dxa"/>
          </w:tcPr>
          <w:p w14:paraId="6352C6FF" w14:textId="77777777" w:rsidR="006E3A3D" w:rsidRPr="00CB1714" w:rsidRDefault="006E3A3D" w:rsidP="006E3A3D">
            <w:pPr>
              <w:rPr>
                <w:rFonts w:ascii="Lato" w:hAnsi="Lato"/>
                <w:sz w:val="22"/>
                <w:szCs w:val="22"/>
              </w:rPr>
            </w:pPr>
            <w:r>
              <w:rPr>
                <w:rFonts w:ascii="Lato" w:hAnsi="Lato"/>
                <w:sz w:val="22"/>
                <w:szCs w:val="22"/>
              </w:rPr>
              <w:t>i)</w:t>
            </w:r>
          </w:p>
        </w:tc>
        <w:tc>
          <w:tcPr>
            <w:tcW w:w="5891" w:type="dxa"/>
            <w:tcBorders>
              <w:right w:val="single" w:sz="4" w:space="0" w:color="auto"/>
            </w:tcBorders>
          </w:tcPr>
          <w:p w14:paraId="79A90F42" w14:textId="77777777" w:rsidR="006E3A3D" w:rsidRPr="00CB1714" w:rsidRDefault="006E3A3D" w:rsidP="006E3A3D">
            <w:pPr>
              <w:jc w:val="both"/>
              <w:rPr>
                <w:rFonts w:ascii="Lato" w:hAnsi="Lato"/>
                <w:sz w:val="22"/>
                <w:szCs w:val="22"/>
              </w:rPr>
            </w:pPr>
            <w:r>
              <w:rPr>
                <w:rFonts w:ascii="Lato" w:hAnsi="Lato"/>
                <w:sz w:val="22"/>
                <w:szCs w:val="22"/>
              </w:rPr>
              <w:t>Where a</w:t>
            </w:r>
            <w:r w:rsidRPr="00B132FE">
              <w:rPr>
                <w:rFonts w:ascii="Lato" w:hAnsi="Lato"/>
                <w:sz w:val="22"/>
                <w:szCs w:val="22"/>
              </w:rPr>
              <w:t xml:space="preserve"> CE QIAIFprovide</w:t>
            </w:r>
            <w:r>
              <w:rPr>
                <w:rFonts w:ascii="Lato" w:hAnsi="Lato"/>
                <w:sz w:val="22"/>
                <w:szCs w:val="22"/>
              </w:rPr>
              <w:t>s</w:t>
            </w:r>
            <w:r w:rsidRPr="00B132FE">
              <w:rPr>
                <w:rFonts w:ascii="Lato" w:hAnsi="Lato"/>
                <w:sz w:val="22"/>
                <w:szCs w:val="22"/>
              </w:rPr>
              <w:t xml:space="preserve"> for a share class with one or </w:t>
            </w:r>
          </w:p>
        </w:tc>
        <w:tc>
          <w:tcPr>
            <w:tcW w:w="3188" w:type="dxa"/>
            <w:tcBorders>
              <w:top w:val="single" w:sz="4" w:space="0" w:color="auto"/>
              <w:left w:val="single" w:sz="4" w:space="0" w:color="auto"/>
              <w:bottom w:val="single" w:sz="4" w:space="0" w:color="auto"/>
              <w:right w:val="single" w:sz="4" w:space="0" w:color="auto"/>
            </w:tcBorders>
          </w:tcPr>
          <w:p w14:paraId="65BB4305" w14:textId="77777777" w:rsidR="006E3A3D" w:rsidRPr="00CB1714" w:rsidRDefault="006E3A3D" w:rsidP="006E3A3D">
            <w:pPr>
              <w:rPr>
                <w:rFonts w:ascii="Lato" w:hAnsi="Lato"/>
                <w:sz w:val="22"/>
                <w:szCs w:val="22"/>
              </w:rPr>
            </w:pPr>
          </w:p>
        </w:tc>
      </w:tr>
      <w:tr w:rsidR="006E3A3D" w:rsidRPr="00CB1714" w14:paraId="08E2D380" w14:textId="77777777" w:rsidTr="00A3122F">
        <w:tc>
          <w:tcPr>
            <w:tcW w:w="1316" w:type="dxa"/>
          </w:tcPr>
          <w:p w14:paraId="16A37126" w14:textId="77777777" w:rsidR="006E3A3D" w:rsidRPr="00CB1714" w:rsidRDefault="006E3A3D" w:rsidP="006E3A3D">
            <w:pPr>
              <w:rPr>
                <w:rFonts w:ascii="Lato" w:hAnsi="Lato"/>
                <w:sz w:val="22"/>
                <w:szCs w:val="22"/>
              </w:rPr>
            </w:pPr>
          </w:p>
        </w:tc>
        <w:tc>
          <w:tcPr>
            <w:tcW w:w="5891" w:type="dxa"/>
          </w:tcPr>
          <w:p w14:paraId="17386CBD" w14:textId="77777777" w:rsidR="006E3A3D" w:rsidRPr="00CB1714" w:rsidRDefault="006E3A3D" w:rsidP="006E3A3D">
            <w:pPr>
              <w:jc w:val="both"/>
              <w:rPr>
                <w:rFonts w:ascii="Lato" w:hAnsi="Lato"/>
                <w:sz w:val="22"/>
                <w:szCs w:val="22"/>
              </w:rPr>
            </w:pPr>
            <w:r w:rsidRPr="00B132FE">
              <w:rPr>
                <w:rFonts w:ascii="Lato" w:hAnsi="Lato"/>
                <w:sz w:val="22"/>
                <w:szCs w:val="22"/>
              </w:rPr>
              <w:t>more of the features noted at (a)-(d) and to allocate the returns of a specific asset to that sha</w:t>
            </w:r>
            <w:r>
              <w:rPr>
                <w:rFonts w:ascii="Lato" w:hAnsi="Lato"/>
                <w:sz w:val="22"/>
                <w:szCs w:val="22"/>
              </w:rPr>
              <w:t xml:space="preserve">re class, disclose that the </w:t>
            </w:r>
            <w:r w:rsidRPr="004E314E">
              <w:rPr>
                <w:rFonts w:ascii="Lato" w:hAnsi="Lato"/>
                <w:sz w:val="22"/>
                <w:szCs w:val="22"/>
              </w:rPr>
              <w:t>establishment of share classes which provide for different levels of participation in the CE QIAIF</w:t>
            </w:r>
            <w:r>
              <w:rPr>
                <w:rFonts w:ascii="Lato" w:hAnsi="Lato"/>
                <w:sz w:val="22"/>
                <w:szCs w:val="22"/>
              </w:rPr>
              <w:t xml:space="preserve"> is permitted.</w:t>
            </w:r>
          </w:p>
        </w:tc>
        <w:tc>
          <w:tcPr>
            <w:tcW w:w="3188" w:type="dxa"/>
            <w:tcBorders>
              <w:top w:val="single" w:sz="4" w:space="0" w:color="auto"/>
            </w:tcBorders>
          </w:tcPr>
          <w:p w14:paraId="6AB04F65" w14:textId="77777777" w:rsidR="006E3A3D" w:rsidRPr="00CB1714" w:rsidRDefault="006E3A3D" w:rsidP="006E3A3D">
            <w:pPr>
              <w:rPr>
                <w:rFonts w:ascii="Lato" w:hAnsi="Lato"/>
                <w:sz w:val="22"/>
                <w:szCs w:val="22"/>
              </w:rPr>
            </w:pPr>
          </w:p>
        </w:tc>
      </w:tr>
      <w:tr w:rsidR="006E3A3D" w:rsidRPr="00CB1714" w14:paraId="78993158" w14:textId="77777777" w:rsidTr="00A3122F">
        <w:tc>
          <w:tcPr>
            <w:tcW w:w="1316" w:type="dxa"/>
          </w:tcPr>
          <w:p w14:paraId="00D88801" w14:textId="77777777" w:rsidR="006E3A3D" w:rsidRPr="00CB1714" w:rsidRDefault="006E3A3D" w:rsidP="006E3A3D">
            <w:pPr>
              <w:rPr>
                <w:rFonts w:ascii="Lato" w:hAnsi="Lato"/>
                <w:sz w:val="22"/>
                <w:szCs w:val="22"/>
              </w:rPr>
            </w:pPr>
          </w:p>
        </w:tc>
        <w:tc>
          <w:tcPr>
            <w:tcW w:w="5891" w:type="dxa"/>
          </w:tcPr>
          <w:p w14:paraId="0DE6522D"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57EB4A96" w14:textId="77777777" w:rsidR="006E3A3D" w:rsidRPr="00CB1714" w:rsidRDefault="006E3A3D" w:rsidP="006E3A3D">
            <w:pPr>
              <w:rPr>
                <w:rFonts w:ascii="Lato" w:hAnsi="Lato"/>
                <w:sz w:val="22"/>
                <w:szCs w:val="22"/>
              </w:rPr>
            </w:pPr>
          </w:p>
        </w:tc>
      </w:tr>
      <w:tr w:rsidR="006E3A3D" w:rsidRPr="00CB1714" w14:paraId="0CD0E6F1" w14:textId="77777777" w:rsidTr="00A3122F">
        <w:tc>
          <w:tcPr>
            <w:tcW w:w="1316" w:type="dxa"/>
          </w:tcPr>
          <w:p w14:paraId="28070531" w14:textId="77777777" w:rsidR="006E3A3D" w:rsidRPr="00CB1714" w:rsidRDefault="006E3A3D" w:rsidP="006E3A3D">
            <w:pPr>
              <w:rPr>
                <w:rFonts w:ascii="Lato" w:hAnsi="Lato"/>
                <w:sz w:val="22"/>
                <w:szCs w:val="22"/>
              </w:rPr>
            </w:pPr>
            <w:r>
              <w:rPr>
                <w:rFonts w:ascii="Lato" w:hAnsi="Lato"/>
                <w:sz w:val="22"/>
                <w:szCs w:val="22"/>
              </w:rPr>
              <w:lastRenderedPageBreak/>
              <w:t>ii)</w:t>
            </w:r>
          </w:p>
        </w:tc>
        <w:tc>
          <w:tcPr>
            <w:tcW w:w="5891" w:type="dxa"/>
            <w:tcBorders>
              <w:right w:val="single" w:sz="4" w:space="0" w:color="auto"/>
            </w:tcBorders>
          </w:tcPr>
          <w:p w14:paraId="305EE4F8" w14:textId="77777777" w:rsidR="006E3A3D" w:rsidRPr="00CB1714" w:rsidRDefault="006E3A3D" w:rsidP="006E3A3D">
            <w:pPr>
              <w:jc w:val="both"/>
              <w:rPr>
                <w:rFonts w:ascii="Lato" w:hAnsi="Lato"/>
                <w:sz w:val="22"/>
                <w:szCs w:val="22"/>
              </w:rPr>
            </w:pPr>
            <w:r w:rsidRPr="00045CB0">
              <w:rPr>
                <w:rFonts w:ascii="Lato" w:hAnsi="Lato"/>
                <w:sz w:val="22"/>
                <w:szCs w:val="22"/>
              </w:rPr>
              <w:t>Share classes enabling the exercise of excuse or exclude provisions</w:t>
            </w:r>
          </w:p>
        </w:tc>
        <w:tc>
          <w:tcPr>
            <w:tcW w:w="3188" w:type="dxa"/>
            <w:tcBorders>
              <w:top w:val="single" w:sz="4" w:space="0" w:color="auto"/>
              <w:left w:val="single" w:sz="4" w:space="0" w:color="auto"/>
              <w:bottom w:val="single" w:sz="4" w:space="0" w:color="auto"/>
              <w:right w:val="single" w:sz="4" w:space="0" w:color="auto"/>
            </w:tcBorders>
          </w:tcPr>
          <w:p w14:paraId="4382D277" w14:textId="77777777" w:rsidR="006E3A3D" w:rsidRPr="00CB1714" w:rsidRDefault="006E3A3D" w:rsidP="006E3A3D">
            <w:pPr>
              <w:rPr>
                <w:rFonts w:ascii="Lato" w:hAnsi="Lato"/>
                <w:sz w:val="22"/>
                <w:szCs w:val="22"/>
              </w:rPr>
            </w:pPr>
          </w:p>
        </w:tc>
      </w:tr>
      <w:tr w:rsidR="006E3A3D" w:rsidRPr="00CB1714" w14:paraId="425A4D19" w14:textId="77777777" w:rsidTr="00A3122F">
        <w:tc>
          <w:tcPr>
            <w:tcW w:w="1316" w:type="dxa"/>
          </w:tcPr>
          <w:p w14:paraId="45385882" w14:textId="77777777" w:rsidR="006E3A3D" w:rsidRPr="00CB1714" w:rsidRDefault="006E3A3D" w:rsidP="006E3A3D">
            <w:pPr>
              <w:rPr>
                <w:rFonts w:ascii="Lato" w:hAnsi="Lato"/>
                <w:sz w:val="22"/>
                <w:szCs w:val="22"/>
              </w:rPr>
            </w:pPr>
          </w:p>
        </w:tc>
        <w:tc>
          <w:tcPr>
            <w:tcW w:w="5891" w:type="dxa"/>
          </w:tcPr>
          <w:p w14:paraId="1DA84C78" w14:textId="77777777" w:rsidR="006E3A3D" w:rsidRPr="00CB1714" w:rsidRDefault="006E3A3D" w:rsidP="006E3A3D">
            <w:pPr>
              <w:jc w:val="both"/>
              <w:rPr>
                <w:rFonts w:ascii="Lato" w:hAnsi="Lato"/>
                <w:sz w:val="22"/>
                <w:szCs w:val="22"/>
              </w:rPr>
            </w:pPr>
            <w:r>
              <w:rPr>
                <w:rFonts w:ascii="Lato" w:hAnsi="Lato"/>
                <w:sz w:val="22"/>
                <w:szCs w:val="22"/>
              </w:rPr>
              <w:t xml:space="preserve">Where a </w:t>
            </w:r>
            <w:r w:rsidRPr="00045CB0">
              <w:rPr>
                <w:rFonts w:ascii="Lato" w:hAnsi="Lato"/>
                <w:sz w:val="22"/>
                <w:szCs w:val="22"/>
              </w:rPr>
              <w:t xml:space="preserve">CE QIAIF may facilitate excuse provisions (which </w:t>
            </w:r>
          </w:p>
        </w:tc>
        <w:tc>
          <w:tcPr>
            <w:tcW w:w="3188" w:type="dxa"/>
            <w:tcBorders>
              <w:top w:val="single" w:sz="4" w:space="0" w:color="auto"/>
            </w:tcBorders>
          </w:tcPr>
          <w:p w14:paraId="5C8A57E1" w14:textId="77777777" w:rsidR="006E3A3D" w:rsidRPr="00CB1714" w:rsidRDefault="006E3A3D" w:rsidP="006E3A3D">
            <w:pPr>
              <w:rPr>
                <w:rFonts w:ascii="Lato" w:hAnsi="Lato"/>
                <w:sz w:val="22"/>
                <w:szCs w:val="22"/>
              </w:rPr>
            </w:pPr>
          </w:p>
        </w:tc>
      </w:tr>
      <w:tr w:rsidR="006E3A3D" w:rsidRPr="00CB1714" w14:paraId="0D0F5DAC" w14:textId="77777777" w:rsidTr="00734A0A">
        <w:tc>
          <w:tcPr>
            <w:tcW w:w="1316" w:type="dxa"/>
          </w:tcPr>
          <w:p w14:paraId="1D4C8350" w14:textId="77777777" w:rsidR="006E3A3D" w:rsidRPr="00CB1714" w:rsidRDefault="006E3A3D" w:rsidP="006E3A3D">
            <w:pPr>
              <w:rPr>
                <w:rFonts w:ascii="Lato" w:hAnsi="Lato"/>
                <w:sz w:val="22"/>
                <w:szCs w:val="22"/>
              </w:rPr>
            </w:pPr>
          </w:p>
        </w:tc>
        <w:tc>
          <w:tcPr>
            <w:tcW w:w="5891" w:type="dxa"/>
          </w:tcPr>
          <w:p w14:paraId="1B5655A1" w14:textId="77777777" w:rsidR="006E3A3D" w:rsidRPr="00CB1714" w:rsidRDefault="006E3A3D" w:rsidP="006E3A3D">
            <w:pPr>
              <w:jc w:val="both"/>
              <w:rPr>
                <w:rFonts w:ascii="Lato" w:hAnsi="Lato"/>
                <w:sz w:val="22"/>
                <w:szCs w:val="22"/>
              </w:rPr>
            </w:pPr>
            <w:r w:rsidRPr="00045CB0">
              <w:rPr>
                <w:rFonts w:ascii="Lato" w:hAnsi="Lato"/>
                <w:sz w:val="22"/>
                <w:szCs w:val="22"/>
              </w:rPr>
              <w:t>enable an investor to be excused from an investment that the CE QIAIF proposes to make) and / or exclude provisions</w:t>
            </w:r>
            <w:r>
              <w:rPr>
                <w:rFonts w:ascii="Lato" w:hAnsi="Lato"/>
                <w:sz w:val="22"/>
                <w:szCs w:val="22"/>
              </w:rPr>
              <w:t xml:space="preserve"> </w:t>
            </w:r>
            <w:r w:rsidRPr="00045CB0">
              <w:rPr>
                <w:rFonts w:ascii="Lato" w:hAnsi="Lato"/>
                <w:sz w:val="22"/>
                <w:szCs w:val="22"/>
              </w:rPr>
              <w:t xml:space="preserve">(which permits the CE QIAIF to exclude an investor from a proposed investment that the CE </w:t>
            </w:r>
            <w:r>
              <w:rPr>
                <w:rFonts w:ascii="Lato" w:hAnsi="Lato"/>
                <w:sz w:val="22"/>
                <w:szCs w:val="22"/>
              </w:rPr>
              <w:t>QIAIF proposes to make), disclose the circumstances in which this may occur.</w:t>
            </w:r>
          </w:p>
        </w:tc>
        <w:tc>
          <w:tcPr>
            <w:tcW w:w="3188" w:type="dxa"/>
          </w:tcPr>
          <w:p w14:paraId="5A1FB27D" w14:textId="77777777" w:rsidR="006E3A3D" w:rsidRPr="00CB1714" w:rsidRDefault="006E3A3D" w:rsidP="006E3A3D">
            <w:pPr>
              <w:rPr>
                <w:rFonts w:ascii="Lato" w:hAnsi="Lato"/>
                <w:sz w:val="22"/>
                <w:szCs w:val="22"/>
              </w:rPr>
            </w:pPr>
          </w:p>
        </w:tc>
      </w:tr>
      <w:tr w:rsidR="006E3A3D" w:rsidRPr="00CB1714" w14:paraId="774F41C2" w14:textId="77777777" w:rsidTr="00A3122F">
        <w:tc>
          <w:tcPr>
            <w:tcW w:w="1316" w:type="dxa"/>
          </w:tcPr>
          <w:p w14:paraId="2189576B" w14:textId="77777777" w:rsidR="006E3A3D" w:rsidRPr="00CB1714" w:rsidRDefault="006E3A3D" w:rsidP="006E3A3D">
            <w:pPr>
              <w:rPr>
                <w:rFonts w:ascii="Lato" w:hAnsi="Lato"/>
                <w:sz w:val="22"/>
                <w:szCs w:val="22"/>
              </w:rPr>
            </w:pPr>
          </w:p>
        </w:tc>
        <w:tc>
          <w:tcPr>
            <w:tcW w:w="5891" w:type="dxa"/>
          </w:tcPr>
          <w:p w14:paraId="2CEB65BC"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5DAAAA2C" w14:textId="77777777" w:rsidR="006E3A3D" w:rsidRPr="00CB1714" w:rsidRDefault="006E3A3D" w:rsidP="006E3A3D">
            <w:pPr>
              <w:rPr>
                <w:rFonts w:ascii="Lato" w:hAnsi="Lato"/>
                <w:sz w:val="22"/>
                <w:szCs w:val="22"/>
              </w:rPr>
            </w:pPr>
          </w:p>
        </w:tc>
      </w:tr>
      <w:tr w:rsidR="006E3A3D" w:rsidRPr="00CB1714" w14:paraId="6293FD97" w14:textId="77777777" w:rsidTr="00A3122F">
        <w:tc>
          <w:tcPr>
            <w:tcW w:w="1316" w:type="dxa"/>
          </w:tcPr>
          <w:p w14:paraId="369A9F45" w14:textId="77777777" w:rsidR="006E3A3D" w:rsidRPr="00CB1714" w:rsidRDefault="006E3A3D" w:rsidP="006E3A3D">
            <w:pPr>
              <w:rPr>
                <w:rFonts w:ascii="Lato" w:hAnsi="Lato"/>
                <w:sz w:val="22"/>
                <w:szCs w:val="22"/>
              </w:rPr>
            </w:pPr>
            <w:r>
              <w:rPr>
                <w:rFonts w:ascii="Lato" w:hAnsi="Lato"/>
                <w:sz w:val="22"/>
                <w:szCs w:val="22"/>
              </w:rPr>
              <w:t>iii)</w:t>
            </w:r>
          </w:p>
        </w:tc>
        <w:tc>
          <w:tcPr>
            <w:tcW w:w="5891" w:type="dxa"/>
            <w:tcBorders>
              <w:right w:val="single" w:sz="4" w:space="0" w:color="auto"/>
            </w:tcBorders>
          </w:tcPr>
          <w:p w14:paraId="64DCF434" w14:textId="77777777" w:rsidR="006E3A3D" w:rsidRPr="00CB1714" w:rsidRDefault="006E3A3D" w:rsidP="006E3A3D">
            <w:pPr>
              <w:jc w:val="both"/>
              <w:rPr>
                <w:rFonts w:ascii="Lato" w:hAnsi="Lato"/>
                <w:sz w:val="22"/>
                <w:szCs w:val="22"/>
              </w:rPr>
            </w:pPr>
            <w:r w:rsidRPr="004E314E">
              <w:rPr>
                <w:rFonts w:ascii="Lato" w:hAnsi="Lato"/>
                <w:sz w:val="22"/>
                <w:szCs w:val="22"/>
              </w:rPr>
              <w:t>Share classes providing for management participation</w:t>
            </w:r>
          </w:p>
        </w:tc>
        <w:tc>
          <w:tcPr>
            <w:tcW w:w="3188" w:type="dxa"/>
            <w:tcBorders>
              <w:top w:val="single" w:sz="4" w:space="0" w:color="auto"/>
              <w:left w:val="single" w:sz="4" w:space="0" w:color="auto"/>
              <w:bottom w:val="single" w:sz="4" w:space="0" w:color="auto"/>
              <w:right w:val="single" w:sz="4" w:space="0" w:color="auto"/>
            </w:tcBorders>
          </w:tcPr>
          <w:p w14:paraId="0B915C70" w14:textId="77777777" w:rsidR="006E3A3D" w:rsidRPr="00CB1714" w:rsidRDefault="006E3A3D" w:rsidP="006E3A3D">
            <w:pPr>
              <w:rPr>
                <w:rFonts w:ascii="Lato" w:hAnsi="Lato"/>
                <w:sz w:val="22"/>
                <w:szCs w:val="22"/>
              </w:rPr>
            </w:pPr>
          </w:p>
        </w:tc>
      </w:tr>
      <w:tr w:rsidR="006E3A3D" w:rsidRPr="00CB1714" w14:paraId="0F6E5A86" w14:textId="77777777" w:rsidTr="00A3122F">
        <w:tc>
          <w:tcPr>
            <w:tcW w:w="1316" w:type="dxa"/>
          </w:tcPr>
          <w:p w14:paraId="62747FF1" w14:textId="77777777" w:rsidR="006E3A3D" w:rsidRPr="00CB1714" w:rsidRDefault="006E3A3D" w:rsidP="006E3A3D">
            <w:pPr>
              <w:rPr>
                <w:rFonts w:ascii="Lato" w:hAnsi="Lato"/>
                <w:sz w:val="22"/>
                <w:szCs w:val="22"/>
              </w:rPr>
            </w:pPr>
          </w:p>
        </w:tc>
        <w:tc>
          <w:tcPr>
            <w:tcW w:w="5891" w:type="dxa"/>
          </w:tcPr>
          <w:p w14:paraId="2A5D2495" w14:textId="77777777" w:rsidR="006E3A3D" w:rsidRPr="00CB1714" w:rsidRDefault="006E3A3D" w:rsidP="006E3A3D">
            <w:pPr>
              <w:jc w:val="both"/>
              <w:rPr>
                <w:rFonts w:ascii="Lato" w:hAnsi="Lato"/>
                <w:sz w:val="22"/>
                <w:szCs w:val="22"/>
              </w:rPr>
            </w:pPr>
            <w:r>
              <w:rPr>
                <w:rFonts w:ascii="Lato" w:hAnsi="Lato"/>
                <w:sz w:val="22"/>
                <w:szCs w:val="22"/>
              </w:rPr>
              <w:t xml:space="preserve">Disclose </w:t>
            </w:r>
            <w:r w:rsidRPr="004E314E">
              <w:rPr>
                <w:rFonts w:ascii="Lato" w:hAnsi="Lato"/>
                <w:sz w:val="22"/>
                <w:szCs w:val="22"/>
              </w:rPr>
              <w:t>the conditions applicable t</w:t>
            </w:r>
            <w:r>
              <w:rPr>
                <w:rFonts w:ascii="Lato" w:hAnsi="Lato"/>
                <w:sz w:val="22"/>
                <w:szCs w:val="22"/>
              </w:rPr>
              <w:t xml:space="preserve">o management share </w:t>
            </w:r>
          </w:p>
        </w:tc>
        <w:tc>
          <w:tcPr>
            <w:tcW w:w="3188" w:type="dxa"/>
            <w:tcBorders>
              <w:top w:val="single" w:sz="4" w:space="0" w:color="auto"/>
            </w:tcBorders>
          </w:tcPr>
          <w:p w14:paraId="52512E69" w14:textId="77777777" w:rsidR="006E3A3D" w:rsidRPr="00CB1714" w:rsidRDefault="006E3A3D" w:rsidP="006E3A3D">
            <w:pPr>
              <w:rPr>
                <w:rFonts w:ascii="Lato" w:hAnsi="Lato"/>
                <w:sz w:val="22"/>
                <w:szCs w:val="22"/>
              </w:rPr>
            </w:pPr>
          </w:p>
        </w:tc>
      </w:tr>
      <w:tr w:rsidR="006E3A3D" w:rsidRPr="00CB1714" w14:paraId="3D55F105" w14:textId="77777777" w:rsidTr="00734A0A">
        <w:tc>
          <w:tcPr>
            <w:tcW w:w="1316" w:type="dxa"/>
          </w:tcPr>
          <w:p w14:paraId="17937B22" w14:textId="77777777" w:rsidR="006E3A3D" w:rsidRPr="00CB1714" w:rsidRDefault="006E3A3D" w:rsidP="006E3A3D">
            <w:pPr>
              <w:rPr>
                <w:rFonts w:ascii="Lato" w:hAnsi="Lato"/>
                <w:sz w:val="22"/>
                <w:szCs w:val="22"/>
              </w:rPr>
            </w:pPr>
          </w:p>
        </w:tc>
        <w:tc>
          <w:tcPr>
            <w:tcW w:w="5891" w:type="dxa"/>
          </w:tcPr>
          <w:p w14:paraId="0FE78086" w14:textId="77777777" w:rsidR="006E3A3D" w:rsidRPr="00CB1714" w:rsidRDefault="006E3A3D" w:rsidP="006E3A3D">
            <w:pPr>
              <w:jc w:val="both"/>
              <w:rPr>
                <w:rFonts w:ascii="Lato" w:hAnsi="Lato"/>
                <w:sz w:val="22"/>
                <w:szCs w:val="22"/>
              </w:rPr>
            </w:pPr>
            <w:r>
              <w:rPr>
                <w:rFonts w:ascii="Lato" w:hAnsi="Lato"/>
                <w:sz w:val="22"/>
                <w:szCs w:val="22"/>
              </w:rPr>
              <w:t>classes</w:t>
            </w:r>
          </w:p>
        </w:tc>
        <w:tc>
          <w:tcPr>
            <w:tcW w:w="3188" w:type="dxa"/>
          </w:tcPr>
          <w:p w14:paraId="3F3A5EDC" w14:textId="77777777" w:rsidR="006E3A3D" w:rsidRPr="00CB1714" w:rsidRDefault="006E3A3D" w:rsidP="006E3A3D">
            <w:pPr>
              <w:rPr>
                <w:rFonts w:ascii="Lato" w:hAnsi="Lato"/>
                <w:sz w:val="22"/>
                <w:szCs w:val="22"/>
              </w:rPr>
            </w:pPr>
          </w:p>
        </w:tc>
      </w:tr>
      <w:tr w:rsidR="006E3A3D" w:rsidRPr="00CB1714" w14:paraId="178752B1" w14:textId="77777777" w:rsidTr="00734A0A">
        <w:tc>
          <w:tcPr>
            <w:tcW w:w="1316" w:type="dxa"/>
          </w:tcPr>
          <w:p w14:paraId="250C1127" w14:textId="77777777" w:rsidR="006E3A3D" w:rsidRPr="00CB1714" w:rsidRDefault="006E3A3D" w:rsidP="006E3A3D">
            <w:pPr>
              <w:rPr>
                <w:rFonts w:ascii="Lato" w:hAnsi="Lato"/>
                <w:sz w:val="22"/>
                <w:szCs w:val="22"/>
              </w:rPr>
            </w:pPr>
          </w:p>
        </w:tc>
        <w:tc>
          <w:tcPr>
            <w:tcW w:w="5891" w:type="dxa"/>
          </w:tcPr>
          <w:p w14:paraId="5AFAD1D1" w14:textId="77777777" w:rsidR="006E3A3D" w:rsidRPr="00CB1714" w:rsidRDefault="006E3A3D" w:rsidP="006E3A3D">
            <w:pPr>
              <w:jc w:val="both"/>
              <w:rPr>
                <w:rFonts w:ascii="Lato" w:hAnsi="Lato"/>
                <w:sz w:val="22"/>
                <w:szCs w:val="22"/>
              </w:rPr>
            </w:pPr>
          </w:p>
        </w:tc>
        <w:tc>
          <w:tcPr>
            <w:tcW w:w="3188" w:type="dxa"/>
          </w:tcPr>
          <w:p w14:paraId="63503828" w14:textId="77777777" w:rsidR="006E3A3D" w:rsidRPr="00CB1714" w:rsidRDefault="006E3A3D" w:rsidP="006E3A3D">
            <w:pPr>
              <w:rPr>
                <w:rFonts w:ascii="Lato" w:hAnsi="Lato"/>
                <w:sz w:val="22"/>
                <w:szCs w:val="22"/>
              </w:rPr>
            </w:pPr>
          </w:p>
        </w:tc>
      </w:tr>
      <w:tr w:rsidR="006E3A3D" w:rsidRPr="00CB1714" w14:paraId="394A5442" w14:textId="77777777" w:rsidTr="00734A0A">
        <w:tc>
          <w:tcPr>
            <w:tcW w:w="1316" w:type="dxa"/>
          </w:tcPr>
          <w:p w14:paraId="3D7C02F4" w14:textId="77777777" w:rsidR="006E3A3D" w:rsidRPr="00CB1714" w:rsidRDefault="006E3A3D" w:rsidP="006E3A3D">
            <w:pPr>
              <w:rPr>
                <w:rFonts w:ascii="Lato" w:hAnsi="Lato"/>
                <w:sz w:val="22"/>
                <w:szCs w:val="22"/>
              </w:rPr>
            </w:pPr>
          </w:p>
        </w:tc>
        <w:tc>
          <w:tcPr>
            <w:tcW w:w="5891" w:type="dxa"/>
          </w:tcPr>
          <w:p w14:paraId="598A1C63" w14:textId="77777777" w:rsidR="006E3A3D" w:rsidRPr="00CB1714" w:rsidRDefault="006E3A3D" w:rsidP="006E3A3D">
            <w:pPr>
              <w:jc w:val="both"/>
              <w:rPr>
                <w:rFonts w:ascii="Lato" w:hAnsi="Lato"/>
                <w:sz w:val="22"/>
                <w:szCs w:val="22"/>
              </w:rPr>
            </w:pPr>
          </w:p>
        </w:tc>
        <w:tc>
          <w:tcPr>
            <w:tcW w:w="3188" w:type="dxa"/>
          </w:tcPr>
          <w:p w14:paraId="226FE253" w14:textId="77777777" w:rsidR="006E3A3D" w:rsidRPr="00CB1714" w:rsidRDefault="006E3A3D" w:rsidP="006E3A3D">
            <w:pPr>
              <w:rPr>
                <w:rFonts w:ascii="Lato" w:hAnsi="Lato"/>
                <w:sz w:val="22"/>
                <w:szCs w:val="22"/>
              </w:rPr>
            </w:pPr>
          </w:p>
        </w:tc>
      </w:tr>
      <w:tr w:rsidR="006E3A3D" w:rsidRPr="00CB1714" w14:paraId="331D5773" w14:textId="77777777" w:rsidTr="00734A0A">
        <w:tc>
          <w:tcPr>
            <w:tcW w:w="1316" w:type="dxa"/>
          </w:tcPr>
          <w:p w14:paraId="738F341A" w14:textId="77777777" w:rsidR="006E3A3D" w:rsidRPr="00CB1714" w:rsidRDefault="006E3A3D" w:rsidP="006E3A3D">
            <w:pPr>
              <w:rPr>
                <w:rFonts w:ascii="Lato" w:hAnsi="Lato"/>
                <w:b/>
                <w:bCs/>
                <w:sz w:val="22"/>
                <w:szCs w:val="22"/>
              </w:rPr>
            </w:pPr>
            <w:r w:rsidRPr="00CB1714">
              <w:rPr>
                <w:rFonts w:ascii="Lato" w:hAnsi="Lato"/>
                <w:b/>
                <w:bCs/>
                <w:sz w:val="22"/>
                <w:szCs w:val="22"/>
              </w:rPr>
              <w:t>2.20</w:t>
            </w:r>
          </w:p>
        </w:tc>
        <w:tc>
          <w:tcPr>
            <w:tcW w:w="5891" w:type="dxa"/>
          </w:tcPr>
          <w:p w14:paraId="57CEB843" w14:textId="77777777" w:rsidR="006E3A3D" w:rsidRPr="00CB1714" w:rsidRDefault="006E3A3D" w:rsidP="006E3A3D">
            <w:pPr>
              <w:pStyle w:val="Header"/>
              <w:tabs>
                <w:tab w:val="left" w:pos="720"/>
              </w:tabs>
              <w:spacing w:line="240" w:lineRule="auto"/>
              <w:rPr>
                <w:rFonts w:ascii="Lato" w:hAnsi="Lato"/>
                <w:b/>
                <w:bCs/>
                <w:szCs w:val="22"/>
              </w:rPr>
            </w:pPr>
            <w:r w:rsidRPr="00CB1714">
              <w:rPr>
                <w:rFonts w:ascii="Lato" w:hAnsi="Lato"/>
                <w:b/>
                <w:bCs/>
                <w:szCs w:val="22"/>
              </w:rPr>
              <w:t>Fees and Expenses</w:t>
            </w:r>
          </w:p>
        </w:tc>
        <w:tc>
          <w:tcPr>
            <w:tcW w:w="3188" w:type="dxa"/>
          </w:tcPr>
          <w:p w14:paraId="307FD50E" w14:textId="77777777" w:rsidR="006E3A3D" w:rsidRPr="00CB1714" w:rsidRDefault="006E3A3D" w:rsidP="006E3A3D">
            <w:pPr>
              <w:rPr>
                <w:rFonts w:ascii="Lato" w:hAnsi="Lato"/>
                <w:sz w:val="22"/>
                <w:szCs w:val="22"/>
              </w:rPr>
            </w:pPr>
          </w:p>
        </w:tc>
      </w:tr>
      <w:tr w:rsidR="006E3A3D" w:rsidRPr="00CB1714" w14:paraId="0BB1B888" w14:textId="77777777" w:rsidTr="00990D73">
        <w:tc>
          <w:tcPr>
            <w:tcW w:w="1316" w:type="dxa"/>
          </w:tcPr>
          <w:p w14:paraId="07B096B2" w14:textId="77777777" w:rsidR="006E3A3D" w:rsidRPr="00CB1714" w:rsidRDefault="006E3A3D" w:rsidP="006E3A3D">
            <w:pPr>
              <w:rPr>
                <w:rFonts w:ascii="Lato" w:hAnsi="Lato"/>
                <w:sz w:val="22"/>
                <w:szCs w:val="22"/>
              </w:rPr>
            </w:pPr>
          </w:p>
        </w:tc>
        <w:tc>
          <w:tcPr>
            <w:tcW w:w="5891" w:type="dxa"/>
          </w:tcPr>
          <w:p w14:paraId="1C91DBD2"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22AAC0C3" w14:textId="77777777" w:rsidR="006E3A3D" w:rsidRPr="00CB1714" w:rsidRDefault="006E3A3D" w:rsidP="006E3A3D">
            <w:pPr>
              <w:rPr>
                <w:rFonts w:ascii="Lato" w:hAnsi="Lato"/>
                <w:sz w:val="22"/>
                <w:szCs w:val="22"/>
              </w:rPr>
            </w:pPr>
          </w:p>
        </w:tc>
      </w:tr>
      <w:tr w:rsidR="006E3A3D" w:rsidRPr="00CB1714" w14:paraId="2BBFB4F9" w14:textId="77777777" w:rsidTr="00990D73">
        <w:trPr>
          <w:cantSplit/>
          <w:trHeight w:val="253"/>
        </w:trPr>
        <w:tc>
          <w:tcPr>
            <w:tcW w:w="1316" w:type="dxa"/>
            <w:vMerge w:val="restart"/>
          </w:tcPr>
          <w:p w14:paraId="3C00FC05" w14:textId="77777777" w:rsidR="006E3A3D" w:rsidRPr="00CB1714" w:rsidRDefault="006E3A3D" w:rsidP="006E3A3D">
            <w:pPr>
              <w:rPr>
                <w:rFonts w:ascii="Lato" w:hAnsi="Lato"/>
                <w:sz w:val="22"/>
                <w:szCs w:val="22"/>
              </w:rPr>
            </w:pPr>
            <w:r w:rsidRPr="00CB1714">
              <w:rPr>
                <w:rFonts w:ascii="Lato" w:hAnsi="Lato"/>
                <w:sz w:val="22"/>
                <w:szCs w:val="22"/>
              </w:rPr>
              <w:t>2.20.1</w:t>
            </w:r>
          </w:p>
        </w:tc>
        <w:tc>
          <w:tcPr>
            <w:tcW w:w="5891" w:type="dxa"/>
            <w:vMerge w:val="restart"/>
            <w:tcBorders>
              <w:right w:val="single" w:sz="4" w:space="0" w:color="auto"/>
            </w:tcBorders>
          </w:tcPr>
          <w:p w14:paraId="0CD111A7" w14:textId="77777777" w:rsidR="006E3A3D" w:rsidRPr="00CB1714" w:rsidRDefault="006E3A3D" w:rsidP="006E3A3D">
            <w:pPr>
              <w:rPr>
                <w:rFonts w:ascii="Lato" w:hAnsi="Lato"/>
                <w:sz w:val="22"/>
                <w:szCs w:val="22"/>
              </w:rPr>
            </w:pPr>
            <w:r w:rsidRPr="00CB1714">
              <w:rPr>
                <w:rFonts w:ascii="Lato" w:hAnsi="Lato"/>
                <w:sz w:val="22"/>
                <w:szCs w:val="22"/>
              </w:rPr>
              <w:t>Insert a description of all fees, charges and expenses and of the maximum amounts thereof which are directly or indirectly borne by unitholders</w:t>
            </w:r>
          </w:p>
        </w:tc>
        <w:tc>
          <w:tcPr>
            <w:tcW w:w="3188" w:type="dxa"/>
            <w:tcBorders>
              <w:top w:val="single" w:sz="4" w:space="0" w:color="auto"/>
              <w:left w:val="single" w:sz="4" w:space="0" w:color="auto"/>
              <w:bottom w:val="single" w:sz="4" w:space="0" w:color="auto"/>
              <w:right w:val="single" w:sz="4" w:space="0" w:color="auto"/>
            </w:tcBorders>
          </w:tcPr>
          <w:p w14:paraId="4B9EF23C" w14:textId="77777777" w:rsidR="006E3A3D" w:rsidRPr="00CB1714" w:rsidRDefault="006E3A3D" w:rsidP="006E3A3D">
            <w:pPr>
              <w:rPr>
                <w:rFonts w:ascii="Lato" w:hAnsi="Lato"/>
                <w:sz w:val="22"/>
                <w:szCs w:val="22"/>
              </w:rPr>
            </w:pPr>
          </w:p>
        </w:tc>
      </w:tr>
      <w:tr w:rsidR="006E3A3D" w:rsidRPr="00CB1714" w14:paraId="6C7BCC69" w14:textId="77777777" w:rsidTr="00CB1714">
        <w:trPr>
          <w:cantSplit/>
          <w:trHeight w:val="251"/>
        </w:trPr>
        <w:tc>
          <w:tcPr>
            <w:tcW w:w="1316" w:type="dxa"/>
            <w:vMerge/>
          </w:tcPr>
          <w:p w14:paraId="748E91BD" w14:textId="77777777" w:rsidR="006E3A3D" w:rsidRPr="00CB1714" w:rsidRDefault="006E3A3D" w:rsidP="006E3A3D">
            <w:pPr>
              <w:rPr>
                <w:rFonts w:ascii="Lato" w:hAnsi="Lato"/>
                <w:sz w:val="22"/>
                <w:szCs w:val="22"/>
              </w:rPr>
            </w:pPr>
          </w:p>
        </w:tc>
        <w:tc>
          <w:tcPr>
            <w:tcW w:w="5891" w:type="dxa"/>
            <w:vMerge/>
          </w:tcPr>
          <w:p w14:paraId="1C7A0556"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102B6985" w14:textId="77777777" w:rsidR="006E3A3D" w:rsidRPr="00CB1714" w:rsidRDefault="006E3A3D" w:rsidP="006E3A3D">
            <w:pPr>
              <w:rPr>
                <w:rFonts w:ascii="Lato" w:hAnsi="Lato"/>
                <w:sz w:val="22"/>
                <w:szCs w:val="22"/>
              </w:rPr>
            </w:pPr>
          </w:p>
        </w:tc>
      </w:tr>
      <w:tr w:rsidR="006E3A3D" w:rsidRPr="00CB1714" w14:paraId="24A2C9FF" w14:textId="77777777" w:rsidTr="00CB1714">
        <w:trPr>
          <w:cantSplit/>
          <w:trHeight w:val="251"/>
        </w:trPr>
        <w:tc>
          <w:tcPr>
            <w:tcW w:w="1316" w:type="dxa"/>
            <w:vMerge/>
          </w:tcPr>
          <w:p w14:paraId="645DC1B7" w14:textId="77777777" w:rsidR="006E3A3D" w:rsidRPr="00CB1714" w:rsidRDefault="006E3A3D" w:rsidP="006E3A3D">
            <w:pPr>
              <w:rPr>
                <w:rFonts w:ascii="Lato" w:hAnsi="Lato"/>
                <w:sz w:val="22"/>
                <w:szCs w:val="22"/>
              </w:rPr>
            </w:pPr>
          </w:p>
        </w:tc>
        <w:tc>
          <w:tcPr>
            <w:tcW w:w="5891" w:type="dxa"/>
            <w:vMerge/>
            <w:tcBorders>
              <w:right w:val="single" w:sz="4" w:space="0" w:color="auto"/>
            </w:tcBorders>
          </w:tcPr>
          <w:p w14:paraId="7BDD8722" w14:textId="77777777" w:rsidR="006E3A3D" w:rsidRPr="00CB1714" w:rsidRDefault="006E3A3D" w:rsidP="006E3A3D">
            <w:pPr>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7C9614A4" w14:textId="77777777" w:rsidR="006E3A3D" w:rsidRPr="00CB1714" w:rsidRDefault="006E3A3D" w:rsidP="006E3A3D">
            <w:pPr>
              <w:rPr>
                <w:rFonts w:ascii="Lato" w:hAnsi="Lato"/>
                <w:sz w:val="22"/>
                <w:szCs w:val="22"/>
              </w:rPr>
            </w:pPr>
          </w:p>
        </w:tc>
      </w:tr>
      <w:tr w:rsidR="006E3A3D" w:rsidRPr="00CB1714" w14:paraId="6AC9755C" w14:textId="77777777" w:rsidTr="00CB1714">
        <w:trPr>
          <w:cantSplit/>
          <w:trHeight w:val="251"/>
        </w:trPr>
        <w:tc>
          <w:tcPr>
            <w:tcW w:w="1316" w:type="dxa"/>
          </w:tcPr>
          <w:p w14:paraId="142BFD34" w14:textId="77777777" w:rsidR="006E3A3D" w:rsidRPr="00CB1714" w:rsidRDefault="006E3A3D" w:rsidP="006E3A3D">
            <w:pPr>
              <w:rPr>
                <w:rFonts w:ascii="Lato" w:hAnsi="Lato"/>
                <w:sz w:val="22"/>
                <w:szCs w:val="22"/>
              </w:rPr>
            </w:pPr>
          </w:p>
        </w:tc>
        <w:tc>
          <w:tcPr>
            <w:tcW w:w="5891" w:type="dxa"/>
          </w:tcPr>
          <w:p w14:paraId="769D64E4"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0F347717" w14:textId="77777777" w:rsidR="006E3A3D" w:rsidRPr="00CB1714" w:rsidRDefault="006E3A3D" w:rsidP="006E3A3D">
            <w:pPr>
              <w:rPr>
                <w:rFonts w:ascii="Lato" w:hAnsi="Lato"/>
                <w:sz w:val="22"/>
                <w:szCs w:val="22"/>
              </w:rPr>
            </w:pPr>
          </w:p>
        </w:tc>
      </w:tr>
      <w:tr w:rsidR="006E3A3D" w:rsidRPr="00CB1714" w14:paraId="69F892B2" w14:textId="77777777" w:rsidTr="00500602">
        <w:tc>
          <w:tcPr>
            <w:tcW w:w="1316" w:type="dxa"/>
          </w:tcPr>
          <w:p w14:paraId="4DA8399D" w14:textId="77777777" w:rsidR="006E3A3D" w:rsidRPr="00CB1714" w:rsidRDefault="006E3A3D" w:rsidP="006E3A3D">
            <w:pPr>
              <w:rPr>
                <w:rFonts w:ascii="Lato" w:hAnsi="Lato"/>
                <w:sz w:val="22"/>
                <w:szCs w:val="22"/>
              </w:rPr>
            </w:pPr>
            <w:r w:rsidRPr="00CB1714">
              <w:rPr>
                <w:rFonts w:ascii="Lato" w:hAnsi="Lato"/>
                <w:sz w:val="22"/>
                <w:szCs w:val="22"/>
              </w:rPr>
              <w:t>2.20.2</w:t>
            </w:r>
          </w:p>
        </w:tc>
        <w:tc>
          <w:tcPr>
            <w:tcW w:w="5891" w:type="dxa"/>
            <w:tcBorders>
              <w:right w:val="single" w:sz="4" w:space="0" w:color="auto"/>
            </w:tcBorders>
          </w:tcPr>
          <w:p w14:paraId="49B72B27" w14:textId="77777777" w:rsidR="006E3A3D" w:rsidRPr="00CB1714" w:rsidRDefault="006E3A3D" w:rsidP="006E3A3D">
            <w:pPr>
              <w:pStyle w:val="Heading3"/>
              <w:spacing w:before="0" w:after="0" w:line="240" w:lineRule="auto"/>
              <w:rPr>
                <w:rFonts w:ascii="Lato" w:eastAsia="Arial Unicode MS" w:hAnsi="Lato"/>
                <w:b w:val="0"/>
                <w:bCs/>
                <w:color w:val="auto"/>
                <w:sz w:val="22"/>
                <w:szCs w:val="22"/>
              </w:rPr>
            </w:pPr>
            <w:r w:rsidRPr="00CB1714">
              <w:rPr>
                <w:rFonts w:ascii="Lato" w:eastAsia="Arial Unicode MS" w:hAnsi="Lato"/>
                <w:b w:val="0"/>
                <w:bCs/>
                <w:color w:val="auto"/>
                <w:sz w:val="22"/>
                <w:szCs w:val="22"/>
              </w:rPr>
              <w:t xml:space="preserve">Provide a description of the AIFMs remuneration policies </w:t>
            </w:r>
          </w:p>
        </w:tc>
        <w:tc>
          <w:tcPr>
            <w:tcW w:w="3188" w:type="dxa"/>
            <w:tcBorders>
              <w:top w:val="single" w:sz="4" w:space="0" w:color="auto"/>
              <w:left w:val="single" w:sz="4" w:space="0" w:color="auto"/>
              <w:bottom w:val="single" w:sz="4" w:space="0" w:color="auto"/>
              <w:right w:val="single" w:sz="4" w:space="0" w:color="auto"/>
            </w:tcBorders>
          </w:tcPr>
          <w:p w14:paraId="12FF5F52" w14:textId="77777777" w:rsidR="006E3A3D" w:rsidRPr="00CB1714" w:rsidRDefault="006E3A3D" w:rsidP="006E3A3D">
            <w:pPr>
              <w:rPr>
                <w:rFonts w:ascii="Lato" w:hAnsi="Lato"/>
                <w:sz w:val="22"/>
                <w:szCs w:val="22"/>
              </w:rPr>
            </w:pPr>
          </w:p>
        </w:tc>
      </w:tr>
      <w:tr w:rsidR="006E3A3D" w:rsidRPr="00CB1714" w14:paraId="08DF6560" w14:textId="77777777" w:rsidTr="00500602">
        <w:tc>
          <w:tcPr>
            <w:tcW w:w="1316" w:type="dxa"/>
          </w:tcPr>
          <w:p w14:paraId="0020A291" w14:textId="77777777" w:rsidR="006E3A3D" w:rsidRPr="00CB1714" w:rsidRDefault="006E3A3D" w:rsidP="006E3A3D">
            <w:pPr>
              <w:rPr>
                <w:rFonts w:ascii="Lato" w:hAnsi="Lato"/>
                <w:sz w:val="22"/>
                <w:szCs w:val="22"/>
              </w:rPr>
            </w:pPr>
          </w:p>
        </w:tc>
        <w:tc>
          <w:tcPr>
            <w:tcW w:w="5891" w:type="dxa"/>
          </w:tcPr>
          <w:p w14:paraId="7F09375D" w14:textId="77777777" w:rsidR="006E3A3D" w:rsidRPr="00CB1714" w:rsidRDefault="006E3A3D" w:rsidP="006E3A3D">
            <w:pPr>
              <w:pStyle w:val="Heading3"/>
              <w:spacing w:before="0" w:after="0" w:line="240" w:lineRule="auto"/>
              <w:rPr>
                <w:rFonts w:ascii="Lato" w:eastAsia="Arial Unicode MS" w:hAnsi="Lato"/>
                <w:b w:val="0"/>
                <w:bCs/>
                <w:color w:val="auto"/>
                <w:sz w:val="22"/>
                <w:szCs w:val="22"/>
              </w:rPr>
            </w:pPr>
            <w:r w:rsidRPr="00F72ED7">
              <w:rPr>
                <w:rFonts w:ascii="Lato" w:eastAsia="Arial Unicode MS" w:hAnsi="Lato"/>
                <w:b w:val="0"/>
                <w:bCs/>
                <w:color w:val="auto"/>
                <w:sz w:val="22"/>
                <w:szCs w:val="22"/>
              </w:rPr>
              <w:t xml:space="preserve">and </w:t>
            </w:r>
            <w:r w:rsidRPr="00CB1714">
              <w:rPr>
                <w:rFonts w:ascii="Lato" w:eastAsia="Arial Unicode MS" w:hAnsi="Lato"/>
                <w:b w:val="0"/>
                <w:bCs/>
                <w:color w:val="auto"/>
                <w:sz w:val="22"/>
                <w:szCs w:val="22"/>
              </w:rPr>
              <w:t>practices pursuant to Regulation 14</w:t>
            </w:r>
          </w:p>
        </w:tc>
        <w:tc>
          <w:tcPr>
            <w:tcW w:w="3188" w:type="dxa"/>
            <w:tcBorders>
              <w:top w:val="single" w:sz="4" w:space="0" w:color="auto"/>
            </w:tcBorders>
          </w:tcPr>
          <w:p w14:paraId="1F9DEED0" w14:textId="77777777" w:rsidR="006E3A3D" w:rsidRPr="00CB1714" w:rsidRDefault="006E3A3D" w:rsidP="006E3A3D">
            <w:pPr>
              <w:rPr>
                <w:rFonts w:ascii="Lato" w:hAnsi="Lato"/>
                <w:sz w:val="22"/>
                <w:szCs w:val="22"/>
              </w:rPr>
            </w:pPr>
          </w:p>
        </w:tc>
      </w:tr>
      <w:tr w:rsidR="006E3A3D" w:rsidRPr="00CB1714" w14:paraId="751A082C" w14:textId="77777777" w:rsidTr="00500602">
        <w:tc>
          <w:tcPr>
            <w:tcW w:w="1316" w:type="dxa"/>
          </w:tcPr>
          <w:p w14:paraId="7D40D61C" w14:textId="77777777" w:rsidR="006E3A3D" w:rsidRPr="00CB1714" w:rsidRDefault="006E3A3D" w:rsidP="006E3A3D">
            <w:pPr>
              <w:rPr>
                <w:rFonts w:ascii="Lato" w:hAnsi="Lato"/>
                <w:sz w:val="22"/>
                <w:szCs w:val="22"/>
              </w:rPr>
            </w:pPr>
          </w:p>
        </w:tc>
        <w:tc>
          <w:tcPr>
            <w:tcW w:w="5891" w:type="dxa"/>
          </w:tcPr>
          <w:p w14:paraId="3B62DFE4" w14:textId="77777777" w:rsidR="006E3A3D" w:rsidRPr="00CB1714" w:rsidRDefault="006E3A3D" w:rsidP="006E3A3D">
            <w:pPr>
              <w:pStyle w:val="Heading3"/>
              <w:spacing w:before="0" w:after="0" w:line="240" w:lineRule="auto"/>
              <w:rPr>
                <w:rFonts w:ascii="Lato" w:eastAsia="Arial Unicode MS" w:hAnsi="Lato"/>
                <w:b w:val="0"/>
                <w:bCs/>
                <w:color w:val="auto"/>
                <w:sz w:val="22"/>
                <w:szCs w:val="22"/>
              </w:rPr>
            </w:pPr>
          </w:p>
        </w:tc>
        <w:tc>
          <w:tcPr>
            <w:tcW w:w="3188" w:type="dxa"/>
            <w:tcBorders>
              <w:bottom w:val="single" w:sz="4" w:space="0" w:color="auto"/>
            </w:tcBorders>
          </w:tcPr>
          <w:p w14:paraId="5B340112" w14:textId="77777777" w:rsidR="006E3A3D" w:rsidRPr="00CB1714" w:rsidRDefault="006E3A3D" w:rsidP="006E3A3D">
            <w:pPr>
              <w:rPr>
                <w:rFonts w:ascii="Lato" w:hAnsi="Lato"/>
                <w:sz w:val="22"/>
                <w:szCs w:val="22"/>
              </w:rPr>
            </w:pPr>
          </w:p>
        </w:tc>
      </w:tr>
      <w:tr w:rsidR="006E3A3D" w:rsidRPr="00CB1714" w14:paraId="2E822384" w14:textId="77777777" w:rsidTr="00990D73">
        <w:trPr>
          <w:cantSplit/>
          <w:trHeight w:val="255"/>
        </w:trPr>
        <w:tc>
          <w:tcPr>
            <w:tcW w:w="1316" w:type="dxa"/>
            <w:vMerge w:val="restart"/>
          </w:tcPr>
          <w:p w14:paraId="02B86AC3" w14:textId="77777777" w:rsidR="006E3A3D" w:rsidRPr="00CB1714" w:rsidRDefault="006E3A3D" w:rsidP="006E3A3D">
            <w:pPr>
              <w:rPr>
                <w:rFonts w:ascii="Lato" w:hAnsi="Lato"/>
                <w:sz w:val="22"/>
                <w:szCs w:val="22"/>
              </w:rPr>
            </w:pPr>
            <w:r w:rsidRPr="00CB1714">
              <w:rPr>
                <w:rFonts w:ascii="Lato" w:hAnsi="Lato"/>
                <w:sz w:val="22"/>
                <w:szCs w:val="22"/>
              </w:rPr>
              <w:t>2.20.3    a)</w:t>
            </w:r>
          </w:p>
        </w:tc>
        <w:tc>
          <w:tcPr>
            <w:tcW w:w="5891" w:type="dxa"/>
            <w:vMerge w:val="restart"/>
            <w:tcBorders>
              <w:right w:val="single" w:sz="4" w:space="0" w:color="auto"/>
            </w:tcBorders>
          </w:tcPr>
          <w:p w14:paraId="77E4682B" w14:textId="77777777" w:rsidR="006E3A3D" w:rsidRPr="00CB1714" w:rsidRDefault="006E3A3D" w:rsidP="006E3A3D">
            <w:pPr>
              <w:jc w:val="both"/>
              <w:rPr>
                <w:rFonts w:ascii="Lato" w:hAnsi="Lato"/>
                <w:sz w:val="22"/>
                <w:szCs w:val="22"/>
              </w:rPr>
            </w:pPr>
            <w:r w:rsidRPr="00CB1714">
              <w:rPr>
                <w:rFonts w:ascii="Lato" w:hAnsi="Lato"/>
                <w:sz w:val="22"/>
                <w:szCs w:val="22"/>
              </w:rPr>
              <w:t>Insert details of how each service providers/directors fees are accrued and paid (i.e. daily, weekly, monthly in arrears)</w:t>
            </w:r>
          </w:p>
        </w:tc>
        <w:tc>
          <w:tcPr>
            <w:tcW w:w="3188" w:type="dxa"/>
            <w:tcBorders>
              <w:top w:val="single" w:sz="4" w:space="0" w:color="auto"/>
              <w:left w:val="single" w:sz="4" w:space="0" w:color="auto"/>
              <w:bottom w:val="single" w:sz="4" w:space="0" w:color="auto"/>
              <w:right w:val="single" w:sz="4" w:space="0" w:color="auto"/>
            </w:tcBorders>
          </w:tcPr>
          <w:p w14:paraId="107D35B5" w14:textId="77777777" w:rsidR="006E3A3D" w:rsidRPr="00CB1714" w:rsidRDefault="006E3A3D" w:rsidP="006E3A3D">
            <w:pPr>
              <w:rPr>
                <w:rFonts w:ascii="Lato" w:hAnsi="Lato"/>
                <w:sz w:val="22"/>
                <w:szCs w:val="22"/>
              </w:rPr>
            </w:pPr>
          </w:p>
        </w:tc>
      </w:tr>
      <w:tr w:rsidR="006E3A3D" w:rsidRPr="00CB1714" w14:paraId="63B62F24" w14:textId="77777777" w:rsidTr="00990D73">
        <w:trPr>
          <w:cantSplit/>
          <w:trHeight w:val="254"/>
        </w:trPr>
        <w:tc>
          <w:tcPr>
            <w:tcW w:w="1316" w:type="dxa"/>
            <w:vMerge/>
          </w:tcPr>
          <w:p w14:paraId="519952B9" w14:textId="77777777" w:rsidR="006E3A3D" w:rsidRPr="00CB1714" w:rsidRDefault="006E3A3D" w:rsidP="006E3A3D">
            <w:pPr>
              <w:rPr>
                <w:rFonts w:ascii="Lato" w:hAnsi="Lato"/>
                <w:sz w:val="22"/>
                <w:szCs w:val="22"/>
              </w:rPr>
            </w:pPr>
          </w:p>
        </w:tc>
        <w:tc>
          <w:tcPr>
            <w:tcW w:w="5891" w:type="dxa"/>
            <w:vMerge/>
          </w:tcPr>
          <w:p w14:paraId="02075FE6"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6FF6A21D" w14:textId="77777777" w:rsidR="006E3A3D" w:rsidRPr="00CB1714" w:rsidRDefault="006E3A3D" w:rsidP="006E3A3D">
            <w:pPr>
              <w:rPr>
                <w:rFonts w:ascii="Lato" w:hAnsi="Lato"/>
                <w:sz w:val="22"/>
                <w:szCs w:val="22"/>
              </w:rPr>
            </w:pPr>
          </w:p>
        </w:tc>
      </w:tr>
      <w:tr w:rsidR="006E3A3D" w:rsidRPr="00CB1714" w14:paraId="7AF99288" w14:textId="77777777" w:rsidTr="00990D73">
        <w:tc>
          <w:tcPr>
            <w:tcW w:w="1316" w:type="dxa"/>
          </w:tcPr>
          <w:p w14:paraId="5F3B6B8B" w14:textId="77777777" w:rsidR="006E3A3D" w:rsidRPr="00CB1714" w:rsidRDefault="006E3A3D" w:rsidP="006E3A3D">
            <w:pPr>
              <w:rPr>
                <w:rFonts w:ascii="Lato" w:hAnsi="Lato"/>
                <w:sz w:val="22"/>
                <w:szCs w:val="22"/>
              </w:rPr>
            </w:pPr>
          </w:p>
        </w:tc>
        <w:tc>
          <w:tcPr>
            <w:tcW w:w="5891" w:type="dxa"/>
          </w:tcPr>
          <w:p w14:paraId="059989D1" w14:textId="77777777" w:rsidR="006E3A3D" w:rsidRPr="00CB1714" w:rsidRDefault="006E3A3D" w:rsidP="006E3A3D">
            <w:pPr>
              <w:rPr>
                <w:rFonts w:ascii="Lato" w:hAnsi="Lato"/>
                <w:sz w:val="22"/>
                <w:szCs w:val="22"/>
              </w:rPr>
            </w:pPr>
          </w:p>
        </w:tc>
        <w:tc>
          <w:tcPr>
            <w:tcW w:w="3188" w:type="dxa"/>
          </w:tcPr>
          <w:p w14:paraId="6E48D3FD" w14:textId="77777777" w:rsidR="006E3A3D" w:rsidRPr="00CB1714" w:rsidRDefault="006E3A3D" w:rsidP="006E3A3D">
            <w:pPr>
              <w:rPr>
                <w:rFonts w:ascii="Lato" w:hAnsi="Lato"/>
                <w:sz w:val="22"/>
                <w:szCs w:val="22"/>
              </w:rPr>
            </w:pPr>
          </w:p>
        </w:tc>
      </w:tr>
      <w:tr w:rsidR="006E3A3D" w:rsidRPr="00CB1714" w14:paraId="6BD38F03" w14:textId="77777777" w:rsidTr="00990D73">
        <w:tc>
          <w:tcPr>
            <w:tcW w:w="1316" w:type="dxa"/>
          </w:tcPr>
          <w:p w14:paraId="537774E6" w14:textId="77777777" w:rsidR="006E3A3D" w:rsidRPr="00CB1714" w:rsidRDefault="006E3A3D" w:rsidP="006E3A3D">
            <w:pPr>
              <w:rPr>
                <w:rFonts w:ascii="Lato" w:hAnsi="Lato"/>
                <w:sz w:val="22"/>
                <w:szCs w:val="22"/>
              </w:rPr>
            </w:pPr>
          </w:p>
        </w:tc>
        <w:tc>
          <w:tcPr>
            <w:tcW w:w="5891" w:type="dxa"/>
          </w:tcPr>
          <w:p w14:paraId="28CC8162" w14:textId="77777777" w:rsidR="006E3A3D" w:rsidRPr="00CB1714" w:rsidRDefault="006E3A3D" w:rsidP="006E3A3D">
            <w:pPr>
              <w:jc w:val="both"/>
              <w:rPr>
                <w:rFonts w:ascii="Lato" w:hAnsi="Lato"/>
                <w:sz w:val="22"/>
                <w:szCs w:val="22"/>
              </w:rPr>
            </w:pPr>
            <w:r w:rsidRPr="00CB1714">
              <w:rPr>
                <w:rFonts w:ascii="Lato" w:hAnsi="Lato"/>
                <w:sz w:val="22"/>
                <w:szCs w:val="22"/>
              </w:rPr>
              <w:t>Note: (i) if fees are payable in advance the relevant party must have agreed to repay any fees not earned if the agreement is terminated.</w:t>
            </w:r>
          </w:p>
          <w:p w14:paraId="488C60AC" w14:textId="77777777" w:rsidR="006E3A3D" w:rsidRPr="00CB1714" w:rsidRDefault="006E3A3D" w:rsidP="006E3A3D">
            <w:pPr>
              <w:jc w:val="both"/>
              <w:rPr>
                <w:rFonts w:ascii="Lato" w:hAnsi="Lato"/>
                <w:sz w:val="22"/>
                <w:szCs w:val="22"/>
              </w:rPr>
            </w:pPr>
            <w:r w:rsidRPr="00CB1714">
              <w:rPr>
                <w:rFonts w:ascii="Lato" w:hAnsi="Lato"/>
                <w:sz w:val="22"/>
                <w:szCs w:val="22"/>
              </w:rPr>
              <w:t>(ii):  If provision is made for penalty fees, (e.g. fees that may arise on early termination of an appointment), these must be disclosed</w:t>
            </w:r>
          </w:p>
        </w:tc>
        <w:tc>
          <w:tcPr>
            <w:tcW w:w="3188" w:type="dxa"/>
          </w:tcPr>
          <w:p w14:paraId="4C6578AE" w14:textId="77777777" w:rsidR="006E3A3D" w:rsidRPr="00CB1714" w:rsidRDefault="006E3A3D" w:rsidP="006E3A3D">
            <w:pPr>
              <w:rPr>
                <w:rFonts w:ascii="Lato" w:hAnsi="Lato"/>
                <w:sz w:val="22"/>
                <w:szCs w:val="22"/>
              </w:rPr>
            </w:pPr>
          </w:p>
        </w:tc>
      </w:tr>
      <w:tr w:rsidR="006E3A3D" w:rsidRPr="00CB1714" w14:paraId="0282776F" w14:textId="77777777" w:rsidTr="00990D73">
        <w:tc>
          <w:tcPr>
            <w:tcW w:w="1316" w:type="dxa"/>
          </w:tcPr>
          <w:p w14:paraId="2E226432" w14:textId="77777777" w:rsidR="006E3A3D" w:rsidRPr="00CB1714" w:rsidRDefault="006E3A3D" w:rsidP="006E3A3D">
            <w:pPr>
              <w:rPr>
                <w:rFonts w:ascii="Lato" w:hAnsi="Lato"/>
                <w:sz w:val="22"/>
                <w:szCs w:val="22"/>
              </w:rPr>
            </w:pPr>
          </w:p>
        </w:tc>
        <w:tc>
          <w:tcPr>
            <w:tcW w:w="5891" w:type="dxa"/>
          </w:tcPr>
          <w:p w14:paraId="786AA09C"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2DA087B2" w14:textId="77777777" w:rsidR="006E3A3D" w:rsidRPr="00CB1714" w:rsidRDefault="006E3A3D" w:rsidP="006E3A3D">
            <w:pPr>
              <w:rPr>
                <w:rFonts w:ascii="Lato" w:hAnsi="Lato"/>
                <w:sz w:val="22"/>
                <w:szCs w:val="22"/>
              </w:rPr>
            </w:pPr>
          </w:p>
        </w:tc>
      </w:tr>
      <w:tr w:rsidR="006E3A3D" w:rsidRPr="00CB1714" w14:paraId="3EE5B3E7" w14:textId="77777777" w:rsidTr="00990D73">
        <w:trPr>
          <w:cantSplit/>
          <w:trHeight w:val="255"/>
        </w:trPr>
        <w:tc>
          <w:tcPr>
            <w:tcW w:w="1316" w:type="dxa"/>
            <w:vMerge w:val="restart"/>
          </w:tcPr>
          <w:p w14:paraId="622C808A" w14:textId="77777777" w:rsidR="006E3A3D" w:rsidRPr="00CB1714" w:rsidRDefault="006E3A3D" w:rsidP="006E3A3D">
            <w:pPr>
              <w:jc w:val="right"/>
              <w:rPr>
                <w:rFonts w:ascii="Lato" w:hAnsi="Lato"/>
                <w:sz w:val="22"/>
                <w:szCs w:val="22"/>
              </w:rPr>
            </w:pPr>
            <w:r w:rsidRPr="00CB1714">
              <w:rPr>
                <w:rFonts w:ascii="Lato" w:hAnsi="Lato"/>
                <w:sz w:val="22"/>
                <w:szCs w:val="22"/>
              </w:rPr>
              <w:t>b)</w:t>
            </w:r>
          </w:p>
        </w:tc>
        <w:tc>
          <w:tcPr>
            <w:tcW w:w="5891" w:type="dxa"/>
            <w:vMerge w:val="restart"/>
            <w:tcBorders>
              <w:right w:val="single" w:sz="4" w:space="0" w:color="auto"/>
            </w:tcBorders>
          </w:tcPr>
          <w:p w14:paraId="604C1635" w14:textId="77777777" w:rsidR="006E3A3D" w:rsidRPr="00CB1714" w:rsidRDefault="006E3A3D" w:rsidP="006E3A3D">
            <w:pPr>
              <w:rPr>
                <w:rFonts w:ascii="Lato" w:hAnsi="Lato"/>
                <w:sz w:val="22"/>
                <w:szCs w:val="22"/>
              </w:rPr>
            </w:pPr>
            <w:r w:rsidRPr="00CB1714">
              <w:rPr>
                <w:rFonts w:ascii="Lato" w:hAnsi="Lato"/>
                <w:sz w:val="22"/>
                <w:szCs w:val="22"/>
              </w:rPr>
              <w:t>The basis of the fee calculation (e.g., % per annum of net asset value, gross asset value, gross proceeds)</w:t>
            </w:r>
          </w:p>
        </w:tc>
        <w:tc>
          <w:tcPr>
            <w:tcW w:w="3188" w:type="dxa"/>
            <w:tcBorders>
              <w:top w:val="single" w:sz="4" w:space="0" w:color="auto"/>
              <w:left w:val="single" w:sz="4" w:space="0" w:color="auto"/>
              <w:bottom w:val="single" w:sz="4" w:space="0" w:color="auto"/>
              <w:right w:val="single" w:sz="4" w:space="0" w:color="auto"/>
            </w:tcBorders>
          </w:tcPr>
          <w:p w14:paraId="61FCEB8F" w14:textId="77777777" w:rsidR="006E3A3D" w:rsidRPr="00CB1714" w:rsidRDefault="006E3A3D" w:rsidP="006E3A3D">
            <w:pPr>
              <w:rPr>
                <w:rFonts w:ascii="Lato" w:hAnsi="Lato"/>
                <w:sz w:val="22"/>
                <w:szCs w:val="22"/>
              </w:rPr>
            </w:pPr>
          </w:p>
        </w:tc>
      </w:tr>
      <w:tr w:rsidR="006E3A3D" w:rsidRPr="00CB1714" w14:paraId="161FF930" w14:textId="77777777" w:rsidTr="00990D73">
        <w:trPr>
          <w:cantSplit/>
          <w:trHeight w:val="254"/>
        </w:trPr>
        <w:tc>
          <w:tcPr>
            <w:tcW w:w="1316" w:type="dxa"/>
            <w:vMerge/>
          </w:tcPr>
          <w:p w14:paraId="0D336E6D" w14:textId="77777777" w:rsidR="006E3A3D" w:rsidRPr="00CB1714" w:rsidRDefault="006E3A3D" w:rsidP="006E3A3D">
            <w:pPr>
              <w:jc w:val="right"/>
              <w:rPr>
                <w:rFonts w:ascii="Lato" w:hAnsi="Lato"/>
                <w:sz w:val="22"/>
                <w:szCs w:val="22"/>
              </w:rPr>
            </w:pPr>
          </w:p>
        </w:tc>
        <w:tc>
          <w:tcPr>
            <w:tcW w:w="5891" w:type="dxa"/>
            <w:vMerge/>
          </w:tcPr>
          <w:p w14:paraId="09200658"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2CA02108" w14:textId="77777777" w:rsidR="006E3A3D" w:rsidRPr="00CB1714" w:rsidRDefault="006E3A3D" w:rsidP="006E3A3D">
            <w:pPr>
              <w:rPr>
                <w:rFonts w:ascii="Lato" w:hAnsi="Lato"/>
                <w:sz w:val="22"/>
                <w:szCs w:val="22"/>
              </w:rPr>
            </w:pPr>
          </w:p>
        </w:tc>
      </w:tr>
      <w:tr w:rsidR="006E3A3D" w:rsidRPr="00CB1714" w14:paraId="5AEE3015" w14:textId="77777777" w:rsidTr="00990D73">
        <w:tc>
          <w:tcPr>
            <w:tcW w:w="1316" w:type="dxa"/>
          </w:tcPr>
          <w:p w14:paraId="63A772A3" w14:textId="77777777" w:rsidR="006E3A3D" w:rsidRPr="00CB1714" w:rsidRDefault="006E3A3D" w:rsidP="006E3A3D">
            <w:pPr>
              <w:jc w:val="right"/>
              <w:rPr>
                <w:rFonts w:ascii="Lato" w:hAnsi="Lato"/>
                <w:sz w:val="22"/>
                <w:szCs w:val="22"/>
              </w:rPr>
            </w:pPr>
          </w:p>
        </w:tc>
        <w:tc>
          <w:tcPr>
            <w:tcW w:w="5891" w:type="dxa"/>
          </w:tcPr>
          <w:p w14:paraId="29E5CD01"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6FF66784" w14:textId="77777777" w:rsidR="006E3A3D" w:rsidRPr="00CB1714" w:rsidRDefault="006E3A3D" w:rsidP="006E3A3D">
            <w:pPr>
              <w:rPr>
                <w:rFonts w:ascii="Lato" w:hAnsi="Lato"/>
                <w:sz w:val="22"/>
                <w:szCs w:val="22"/>
              </w:rPr>
            </w:pPr>
          </w:p>
        </w:tc>
      </w:tr>
      <w:tr w:rsidR="006E3A3D" w:rsidRPr="00CB1714" w14:paraId="633D0C5F" w14:textId="77777777" w:rsidTr="00990D73">
        <w:tc>
          <w:tcPr>
            <w:tcW w:w="1316" w:type="dxa"/>
          </w:tcPr>
          <w:p w14:paraId="7EB77CA7" w14:textId="77777777" w:rsidR="006E3A3D" w:rsidRPr="00CB1714" w:rsidRDefault="006E3A3D" w:rsidP="006E3A3D">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60360981" w14:textId="77777777" w:rsidR="006E3A3D" w:rsidRPr="00CB1714" w:rsidRDefault="006E3A3D" w:rsidP="006E3A3D">
            <w:pPr>
              <w:rPr>
                <w:rFonts w:ascii="Lato" w:hAnsi="Lato"/>
                <w:sz w:val="22"/>
                <w:szCs w:val="22"/>
              </w:rPr>
            </w:pPr>
            <w:r w:rsidRPr="00CB1714">
              <w:rPr>
                <w:rFonts w:ascii="Lato" w:hAnsi="Lato"/>
                <w:sz w:val="22"/>
                <w:szCs w:val="22"/>
              </w:rPr>
              <w:t xml:space="preserve">The maximum fee and out of pocket expenses of each of </w:t>
            </w:r>
          </w:p>
        </w:tc>
        <w:tc>
          <w:tcPr>
            <w:tcW w:w="3188" w:type="dxa"/>
            <w:tcBorders>
              <w:top w:val="single" w:sz="4" w:space="0" w:color="auto"/>
              <w:left w:val="single" w:sz="4" w:space="0" w:color="auto"/>
              <w:bottom w:val="single" w:sz="4" w:space="0" w:color="auto"/>
              <w:right w:val="single" w:sz="4" w:space="0" w:color="auto"/>
            </w:tcBorders>
          </w:tcPr>
          <w:p w14:paraId="14177701" w14:textId="77777777" w:rsidR="006E3A3D" w:rsidRPr="00CB1714" w:rsidRDefault="006E3A3D" w:rsidP="006E3A3D">
            <w:pPr>
              <w:rPr>
                <w:rFonts w:ascii="Lato" w:hAnsi="Lato"/>
                <w:sz w:val="22"/>
                <w:szCs w:val="22"/>
              </w:rPr>
            </w:pPr>
          </w:p>
        </w:tc>
      </w:tr>
      <w:tr w:rsidR="006E3A3D" w:rsidRPr="00CB1714" w14:paraId="79F5C29A" w14:textId="77777777" w:rsidTr="00990D73">
        <w:tc>
          <w:tcPr>
            <w:tcW w:w="1316" w:type="dxa"/>
          </w:tcPr>
          <w:p w14:paraId="38107C64" w14:textId="77777777" w:rsidR="006E3A3D" w:rsidRPr="00CB1714" w:rsidRDefault="006E3A3D" w:rsidP="006E3A3D">
            <w:pPr>
              <w:jc w:val="right"/>
              <w:rPr>
                <w:rFonts w:ascii="Lato" w:hAnsi="Lato"/>
                <w:sz w:val="22"/>
                <w:szCs w:val="22"/>
              </w:rPr>
            </w:pPr>
          </w:p>
        </w:tc>
        <w:tc>
          <w:tcPr>
            <w:tcW w:w="5891" w:type="dxa"/>
          </w:tcPr>
          <w:p w14:paraId="6B80E709" w14:textId="77777777" w:rsidR="006E3A3D" w:rsidRPr="00CB1714" w:rsidRDefault="006E3A3D" w:rsidP="006E3A3D">
            <w:pPr>
              <w:rPr>
                <w:rFonts w:ascii="Lato" w:hAnsi="Lato"/>
                <w:sz w:val="22"/>
                <w:szCs w:val="22"/>
              </w:rPr>
            </w:pPr>
            <w:r w:rsidRPr="00F72ED7">
              <w:rPr>
                <w:rFonts w:ascii="Lato" w:hAnsi="Lato"/>
                <w:sz w:val="22"/>
                <w:szCs w:val="22"/>
              </w:rPr>
              <w:t xml:space="preserve">the </w:t>
            </w:r>
            <w:r w:rsidRPr="00CB1714">
              <w:rPr>
                <w:rFonts w:ascii="Lato" w:hAnsi="Lato"/>
                <w:sz w:val="22"/>
                <w:szCs w:val="22"/>
              </w:rPr>
              <w:t>service providers/directors, where such fees are payable directly from the assets of the Qualifying Investor AIF</w:t>
            </w:r>
          </w:p>
        </w:tc>
        <w:tc>
          <w:tcPr>
            <w:tcW w:w="3188" w:type="dxa"/>
            <w:tcBorders>
              <w:top w:val="single" w:sz="4" w:space="0" w:color="auto"/>
            </w:tcBorders>
          </w:tcPr>
          <w:p w14:paraId="4B2C34E3" w14:textId="77777777" w:rsidR="006E3A3D" w:rsidRPr="00CB1714" w:rsidRDefault="006E3A3D" w:rsidP="006E3A3D">
            <w:pPr>
              <w:rPr>
                <w:rFonts w:ascii="Lato" w:hAnsi="Lato"/>
                <w:sz w:val="22"/>
                <w:szCs w:val="22"/>
              </w:rPr>
            </w:pPr>
          </w:p>
        </w:tc>
      </w:tr>
      <w:tr w:rsidR="006E3A3D" w:rsidRPr="00CB1714" w14:paraId="4AF583A2" w14:textId="77777777" w:rsidTr="00A70AEC">
        <w:tc>
          <w:tcPr>
            <w:tcW w:w="1316" w:type="dxa"/>
          </w:tcPr>
          <w:p w14:paraId="64377B7D" w14:textId="77777777" w:rsidR="006E3A3D" w:rsidRPr="00CB1714" w:rsidRDefault="006E3A3D" w:rsidP="006E3A3D">
            <w:pPr>
              <w:rPr>
                <w:rFonts w:ascii="Lato" w:hAnsi="Lato"/>
                <w:sz w:val="22"/>
                <w:szCs w:val="22"/>
              </w:rPr>
            </w:pPr>
          </w:p>
        </w:tc>
        <w:tc>
          <w:tcPr>
            <w:tcW w:w="5891" w:type="dxa"/>
          </w:tcPr>
          <w:p w14:paraId="3F8959D4" w14:textId="77777777" w:rsidR="006E3A3D" w:rsidRPr="00CB1714" w:rsidRDefault="006E3A3D" w:rsidP="006E3A3D">
            <w:pPr>
              <w:tabs>
                <w:tab w:val="left" w:pos="1036"/>
              </w:tabs>
              <w:rPr>
                <w:rFonts w:ascii="Lato" w:hAnsi="Lato"/>
                <w:sz w:val="22"/>
                <w:szCs w:val="22"/>
              </w:rPr>
            </w:pPr>
          </w:p>
        </w:tc>
        <w:tc>
          <w:tcPr>
            <w:tcW w:w="3188" w:type="dxa"/>
            <w:tcBorders>
              <w:bottom w:val="single" w:sz="4" w:space="0" w:color="auto"/>
            </w:tcBorders>
          </w:tcPr>
          <w:p w14:paraId="1347F7AE" w14:textId="77777777" w:rsidR="006E3A3D" w:rsidRPr="00CB1714" w:rsidRDefault="006E3A3D" w:rsidP="006E3A3D">
            <w:pPr>
              <w:rPr>
                <w:rFonts w:ascii="Lato" w:hAnsi="Lato"/>
                <w:sz w:val="22"/>
                <w:szCs w:val="22"/>
              </w:rPr>
            </w:pPr>
          </w:p>
        </w:tc>
      </w:tr>
      <w:tr w:rsidR="006E3A3D" w:rsidRPr="00CB1714" w14:paraId="5446DEFA" w14:textId="77777777" w:rsidTr="00A70AEC">
        <w:tc>
          <w:tcPr>
            <w:tcW w:w="1316" w:type="dxa"/>
          </w:tcPr>
          <w:p w14:paraId="47C7CB3F"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56CD1138"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(i)management company/investment manager</w:t>
            </w:r>
          </w:p>
        </w:tc>
        <w:tc>
          <w:tcPr>
            <w:tcW w:w="3188" w:type="dxa"/>
            <w:tcBorders>
              <w:top w:val="single" w:sz="4" w:space="0" w:color="auto"/>
              <w:left w:val="single" w:sz="4" w:space="0" w:color="auto"/>
              <w:bottom w:val="single" w:sz="4" w:space="0" w:color="auto"/>
              <w:right w:val="single" w:sz="4" w:space="0" w:color="auto"/>
            </w:tcBorders>
          </w:tcPr>
          <w:p w14:paraId="141A6950" w14:textId="77777777" w:rsidR="006E3A3D" w:rsidRPr="00CB1714" w:rsidRDefault="006E3A3D" w:rsidP="006E3A3D">
            <w:pPr>
              <w:rPr>
                <w:rFonts w:ascii="Lato" w:hAnsi="Lato"/>
                <w:sz w:val="22"/>
                <w:szCs w:val="22"/>
              </w:rPr>
            </w:pPr>
          </w:p>
        </w:tc>
      </w:tr>
      <w:tr w:rsidR="006E3A3D" w:rsidRPr="00CB1714" w14:paraId="177D2ADC" w14:textId="77777777" w:rsidTr="00A70AEC">
        <w:tc>
          <w:tcPr>
            <w:tcW w:w="1316" w:type="dxa"/>
          </w:tcPr>
          <w:p w14:paraId="3DE51083"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17B73674"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(ii)administrator/transfer agent</w:t>
            </w:r>
          </w:p>
        </w:tc>
        <w:tc>
          <w:tcPr>
            <w:tcW w:w="3188" w:type="dxa"/>
            <w:tcBorders>
              <w:top w:val="single" w:sz="4" w:space="0" w:color="auto"/>
              <w:left w:val="single" w:sz="4" w:space="0" w:color="auto"/>
              <w:bottom w:val="single" w:sz="4" w:space="0" w:color="auto"/>
              <w:right w:val="single" w:sz="4" w:space="0" w:color="auto"/>
            </w:tcBorders>
          </w:tcPr>
          <w:p w14:paraId="6AB0B0D7" w14:textId="77777777" w:rsidR="006E3A3D" w:rsidRPr="00CB1714" w:rsidRDefault="006E3A3D" w:rsidP="006E3A3D">
            <w:pPr>
              <w:rPr>
                <w:rFonts w:ascii="Lato" w:hAnsi="Lato"/>
                <w:sz w:val="22"/>
                <w:szCs w:val="22"/>
              </w:rPr>
            </w:pPr>
          </w:p>
        </w:tc>
      </w:tr>
      <w:tr w:rsidR="006E3A3D" w:rsidRPr="00CB1714" w14:paraId="23769AE4" w14:textId="77777777" w:rsidTr="00A70AEC">
        <w:tc>
          <w:tcPr>
            <w:tcW w:w="1316" w:type="dxa"/>
          </w:tcPr>
          <w:p w14:paraId="37E1EBFA"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7126962E"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(iii)depositary</w:t>
            </w:r>
          </w:p>
        </w:tc>
        <w:tc>
          <w:tcPr>
            <w:tcW w:w="3188" w:type="dxa"/>
            <w:tcBorders>
              <w:top w:val="single" w:sz="4" w:space="0" w:color="auto"/>
              <w:left w:val="single" w:sz="4" w:space="0" w:color="auto"/>
              <w:bottom w:val="single" w:sz="4" w:space="0" w:color="auto"/>
              <w:right w:val="single" w:sz="4" w:space="0" w:color="auto"/>
            </w:tcBorders>
          </w:tcPr>
          <w:p w14:paraId="705C6409" w14:textId="77777777" w:rsidR="006E3A3D" w:rsidRPr="00CB1714" w:rsidRDefault="006E3A3D" w:rsidP="006E3A3D">
            <w:pPr>
              <w:rPr>
                <w:rFonts w:ascii="Lato" w:hAnsi="Lato"/>
                <w:sz w:val="22"/>
                <w:szCs w:val="22"/>
              </w:rPr>
            </w:pPr>
          </w:p>
        </w:tc>
      </w:tr>
      <w:tr w:rsidR="006E3A3D" w:rsidRPr="00CB1714" w14:paraId="2F1F4A2D" w14:textId="77777777" w:rsidTr="00A70AEC">
        <w:tc>
          <w:tcPr>
            <w:tcW w:w="1316" w:type="dxa"/>
          </w:tcPr>
          <w:p w14:paraId="1820ECC8"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422860DD"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(iv)sub-depositary (fees and transaction charges)</w:t>
            </w:r>
          </w:p>
        </w:tc>
        <w:tc>
          <w:tcPr>
            <w:tcW w:w="3188" w:type="dxa"/>
            <w:tcBorders>
              <w:top w:val="single" w:sz="4" w:space="0" w:color="auto"/>
              <w:left w:val="single" w:sz="4" w:space="0" w:color="auto"/>
              <w:bottom w:val="single" w:sz="4" w:space="0" w:color="auto"/>
              <w:right w:val="single" w:sz="4" w:space="0" w:color="auto"/>
            </w:tcBorders>
          </w:tcPr>
          <w:p w14:paraId="2218DE92" w14:textId="77777777" w:rsidR="006E3A3D" w:rsidRPr="00CB1714" w:rsidRDefault="006E3A3D" w:rsidP="006E3A3D">
            <w:pPr>
              <w:rPr>
                <w:rFonts w:ascii="Lato" w:hAnsi="Lato"/>
                <w:sz w:val="22"/>
                <w:szCs w:val="22"/>
              </w:rPr>
            </w:pPr>
          </w:p>
        </w:tc>
      </w:tr>
      <w:tr w:rsidR="006E3A3D" w:rsidRPr="00CB1714" w14:paraId="052E0496" w14:textId="77777777" w:rsidTr="00A70AEC">
        <w:tc>
          <w:tcPr>
            <w:tcW w:w="1316" w:type="dxa"/>
          </w:tcPr>
          <w:p w14:paraId="5E6D7098"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278565AA"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(or state that they will be at normal commercial rates)</w:t>
            </w:r>
          </w:p>
        </w:tc>
        <w:tc>
          <w:tcPr>
            <w:tcW w:w="3188" w:type="dxa"/>
            <w:tcBorders>
              <w:top w:val="single" w:sz="4" w:space="0" w:color="auto"/>
              <w:left w:val="single" w:sz="4" w:space="0" w:color="auto"/>
              <w:bottom w:val="single" w:sz="4" w:space="0" w:color="auto"/>
              <w:right w:val="single" w:sz="4" w:space="0" w:color="auto"/>
            </w:tcBorders>
          </w:tcPr>
          <w:p w14:paraId="4399FA8E" w14:textId="77777777" w:rsidR="006E3A3D" w:rsidRPr="00CB1714" w:rsidRDefault="006E3A3D" w:rsidP="006E3A3D">
            <w:pPr>
              <w:rPr>
                <w:rFonts w:ascii="Lato" w:hAnsi="Lato"/>
                <w:sz w:val="22"/>
                <w:szCs w:val="22"/>
              </w:rPr>
            </w:pPr>
          </w:p>
        </w:tc>
      </w:tr>
      <w:tr w:rsidR="006E3A3D" w:rsidRPr="00CB1714" w14:paraId="21C98D30" w14:textId="77777777" w:rsidTr="00A70AEC">
        <w:tc>
          <w:tcPr>
            <w:tcW w:w="1316" w:type="dxa"/>
          </w:tcPr>
          <w:p w14:paraId="5172B0A7"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37EFDF6B"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(v)sub-investment manager</w:t>
            </w:r>
          </w:p>
        </w:tc>
        <w:tc>
          <w:tcPr>
            <w:tcW w:w="3188" w:type="dxa"/>
            <w:tcBorders>
              <w:top w:val="single" w:sz="4" w:space="0" w:color="auto"/>
              <w:left w:val="single" w:sz="4" w:space="0" w:color="auto"/>
              <w:bottom w:val="single" w:sz="4" w:space="0" w:color="auto"/>
              <w:right w:val="single" w:sz="4" w:space="0" w:color="auto"/>
            </w:tcBorders>
          </w:tcPr>
          <w:p w14:paraId="085AE32B" w14:textId="77777777" w:rsidR="006E3A3D" w:rsidRPr="00CB1714" w:rsidRDefault="006E3A3D" w:rsidP="006E3A3D">
            <w:pPr>
              <w:rPr>
                <w:rFonts w:ascii="Lato" w:hAnsi="Lato"/>
                <w:sz w:val="22"/>
                <w:szCs w:val="22"/>
              </w:rPr>
            </w:pPr>
          </w:p>
        </w:tc>
      </w:tr>
      <w:tr w:rsidR="006E3A3D" w:rsidRPr="00CB1714" w14:paraId="145363C1" w14:textId="77777777" w:rsidTr="00A70AEC">
        <w:tc>
          <w:tcPr>
            <w:tcW w:w="1316" w:type="dxa"/>
          </w:tcPr>
          <w:p w14:paraId="4C3A367D"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70494142"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(vi)investment adviser</w:t>
            </w:r>
          </w:p>
        </w:tc>
        <w:tc>
          <w:tcPr>
            <w:tcW w:w="3188" w:type="dxa"/>
            <w:tcBorders>
              <w:top w:val="single" w:sz="4" w:space="0" w:color="auto"/>
              <w:left w:val="single" w:sz="4" w:space="0" w:color="auto"/>
              <w:bottom w:val="single" w:sz="4" w:space="0" w:color="auto"/>
              <w:right w:val="single" w:sz="4" w:space="0" w:color="auto"/>
            </w:tcBorders>
          </w:tcPr>
          <w:p w14:paraId="455977BD" w14:textId="77777777" w:rsidR="006E3A3D" w:rsidRPr="00CB1714" w:rsidRDefault="006E3A3D" w:rsidP="006E3A3D">
            <w:pPr>
              <w:rPr>
                <w:rFonts w:ascii="Lato" w:hAnsi="Lato"/>
                <w:sz w:val="22"/>
                <w:szCs w:val="22"/>
              </w:rPr>
            </w:pPr>
          </w:p>
        </w:tc>
      </w:tr>
      <w:tr w:rsidR="006E3A3D" w:rsidRPr="00CB1714" w14:paraId="2BA63DC0" w14:textId="77777777" w:rsidTr="00A70AEC">
        <w:tc>
          <w:tcPr>
            <w:tcW w:w="1316" w:type="dxa"/>
          </w:tcPr>
          <w:p w14:paraId="5E26B1A3"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0D79A1D8"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(vii)distributor</w:t>
            </w:r>
          </w:p>
        </w:tc>
        <w:tc>
          <w:tcPr>
            <w:tcW w:w="3188" w:type="dxa"/>
            <w:tcBorders>
              <w:top w:val="single" w:sz="4" w:space="0" w:color="auto"/>
              <w:left w:val="single" w:sz="4" w:space="0" w:color="auto"/>
              <w:bottom w:val="single" w:sz="4" w:space="0" w:color="auto"/>
              <w:right w:val="single" w:sz="4" w:space="0" w:color="auto"/>
            </w:tcBorders>
          </w:tcPr>
          <w:p w14:paraId="0E4296F7" w14:textId="77777777" w:rsidR="006E3A3D" w:rsidRPr="00CB1714" w:rsidRDefault="006E3A3D" w:rsidP="006E3A3D">
            <w:pPr>
              <w:rPr>
                <w:rFonts w:ascii="Lato" w:hAnsi="Lato"/>
                <w:sz w:val="22"/>
                <w:szCs w:val="22"/>
              </w:rPr>
            </w:pPr>
          </w:p>
        </w:tc>
      </w:tr>
      <w:tr w:rsidR="006E3A3D" w:rsidRPr="00CB1714" w14:paraId="4F2DFA08" w14:textId="77777777" w:rsidTr="00A70AEC">
        <w:tc>
          <w:tcPr>
            <w:tcW w:w="1316" w:type="dxa"/>
          </w:tcPr>
          <w:p w14:paraId="239BB52F"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27829C06"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(viii)sub-distributor/paying agent</w:t>
            </w:r>
          </w:p>
        </w:tc>
        <w:tc>
          <w:tcPr>
            <w:tcW w:w="3188" w:type="dxa"/>
            <w:tcBorders>
              <w:top w:val="single" w:sz="4" w:space="0" w:color="auto"/>
              <w:left w:val="single" w:sz="4" w:space="0" w:color="auto"/>
              <w:bottom w:val="single" w:sz="4" w:space="0" w:color="auto"/>
              <w:right w:val="single" w:sz="4" w:space="0" w:color="auto"/>
            </w:tcBorders>
          </w:tcPr>
          <w:p w14:paraId="58A864C0" w14:textId="77777777" w:rsidR="006E3A3D" w:rsidRPr="00CB1714" w:rsidRDefault="006E3A3D" w:rsidP="006E3A3D">
            <w:pPr>
              <w:rPr>
                <w:rFonts w:ascii="Lato" w:hAnsi="Lato"/>
                <w:sz w:val="22"/>
                <w:szCs w:val="22"/>
              </w:rPr>
            </w:pPr>
          </w:p>
        </w:tc>
      </w:tr>
      <w:tr w:rsidR="006E3A3D" w:rsidRPr="00CB1714" w14:paraId="624247B5" w14:textId="77777777" w:rsidTr="00A70AEC">
        <w:tc>
          <w:tcPr>
            <w:tcW w:w="1316" w:type="dxa"/>
          </w:tcPr>
          <w:p w14:paraId="31DDEE68"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2A0FDC08"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(ix)directors</w:t>
            </w:r>
          </w:p>
        </w:tc>
        <w:tc>
          <w:tcPr>
            <w:tcW w:w="3188" w:type="dxa"/>
            <w:tcBorders>
              <w:top w:val="single" w:sz="4" w:space="0" w:color="auto"/>
              <w:left w:val="single" w:sz="4" w:space="0" w:color="auto"/>
              <w:bottom w:val="single" w:sz="4" w:space="0" w:color="auto"/>
              <w:right w:val="single" w:sz="4" w:space="0" w:color="auto"/>
            </w:tcBorders>
          </w:tcPr>
          <w:p w14:paraId="3D78E6FD" w14:textId="77777777" w:rsidR="006E3A3D" w:rsidRPr="00CB1714" w:rsidRDefault="006E3A3D" w:rsidP="006E3A3D">
            <w:pPr>
              <w:rPr>
                <w:rFonts w:ascii="Lato" w:hAnsi="Lato"/>
                <w:sz w:val="22"/>
                <w:szCs w:val="22"/>
              </w:rPr>
            </w:pPr>
          </w:p>
        </w:tc>
      </w:tr>
      <w:tr w:rsidR="006E3A3D" w:rsidRPr="00CB1714" w14:paraId="272C9127" w14:textId="77777777" w:rsidTr="00A70AEC">
        <w:tc>
          <w:tcPr>
            <w:tcW w:w="1316" w:type="dxa"/>
          </w:tcPr>
          <w:p w14:paraId="23C5D5C1"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77A60F46"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(x)prime broker</w:t>
            </w:r>
          </w:p>
        </w:tc>
        <w:tc>
          <w:tcPr>
            <w:tcW w:w="3188" w:type="dxa"/>
            <w:tcBorders>
              <w:top w:val="single" w:sz="4" w:space="0" w:color="auto"/>
              <w:left w:val="single" w:sz="4" w:space="0" w:color="auto"/>
              <w:bottom w:val="single" w:sz="4" w:space="0" w:color="auto"/>
              <w:right w:val="single" w:sz="4" w:space="0" w:color="auto"/>
            </w:tcBorders>
          </w:tcPr>
          <w:p w14:paraId="38A4D92E" w14:textId="77777777" w:rsidR="006E3A3D" w:rsidRPr="00CB1714" w:rsidRDefault="006E3A3D" w:rsidP="006E3A3D">
            <w:pPr>
              <w:rPr>
                <w:rFonts w:ascii="Lato" w:hAnsi="Lato"/>
                <w:sz w:val="22"/>
                <w:szCs w:val="22"/>
              </w:rPr>
            </w:pPr>
          </w:p>
        </w:tc>
      </w:tr>
      <w:tr w:rsidR="006E3A3D" w:rsidRPr="00CB1714" w14:paraId="271E73E0" w14:textId="77777777" w:rsidTr="00A70AEC">
        <w:tc>
          <w:tcPr>
            <w:tcW w:w="1316" w:type="dxa"/>
          </w:tcPr>
          <w:p w14:paraId="73C95E08"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0F294315"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(xi)AIFM</w:t>
            </w:r>
          </w:p>
        </w:tc>
        <w:tc>
          <w:tcPr>
            <w:tcW w:w="3188" w:type="dxa"/>
            <w:tcBorders>
              <w:top w:val="single" w:sz="4" w:space="0" w:color="auto"/>
              <w:left w:val="single" w:sz="4" w:space="0" w:color="auto"/>
              <w:bottom w:val="single" w:sz="4" w:space="0" w:color="auto"/>
              <w:right w:val="single" w:sz="4" w:space="0" w:color="auto"/>
            </w:tcBorders>
          </w:tcPr>
          <w:p w14:paraId="3CFF3EF1" w14:textId="77777777" w:rsidR="006E3A3D" w:rsidRPr="00CB1714" w:rsidRDefault="006E3A3D" w:rsidP="006E3A3D">
            <w:pPr>
              <w:rPr>
                <w:rFonts w:ascii="Lato" w:hAnsi="Lato"/>
                <w:sz w:val="22"/>
                <w:szCs w:val="22"/>
              </w:rPr>
            </w:pPr>
          </w:p>
        </w:tc>
      </w:tr>
      <w:tr w:rsidR="006E3A3D" w:rsidRPr="00CB1714" w14:paraId="4961117A" w14:textId="77777777" w:rsidTr="00990D73">
        <w:tc>
          <w:tcPr>
            <w:tcW w:w="1316" w:type="dxa"/>
          </w:tcPr>
          <w:p w14:paraId="5650276C" w14:textId="77777777" w:rsidR="006E3A3D" w:rsidRPr="00CB1714" w:rsidRDefault="006E3A3D" w:rsidP="006E3A3D">
            <w:pPr>
              <w:rPr>
                <w:rFonts w:ascii="Lato" w:hAnsi="Lato"/>
                <w:sz w:val="22"/>
                <w:szCs w:val="22"/>
              </w:rPr>
            </w:pPr>
          </w:p>
        </w:tc>
        <w:tc>
          <w:tcPr>
            <w:tcW w:w="5891" w:type="dxa"/>
          </w:tcPr>
          <w:p w14:paraId="5C054C46" w14:textId="77777777" w:rsidR="006E3A3D" w:rsidRPr="00CB1714" w:rsidRDefault="006E3A3D" w:rsidP="006E3A3D">
            <w:pPr>
              <w:tabs>
                <w:tab w:val="left" w:pos="1036"/>
              </w:tabs>
              <w:rPr>
                <w:rFonts w:ascii="Lato" w:hAnsi="Lato"/>
                <w:sz w:val="22"/>
                <w:szCs w:val="22"/>
              </w:rPr>
            </w:pPr>
          </w:p>
        </w:tc>
        <w:tc>
          <w:tcPr>
            <w:tcW w:w="3188" w:type="dxa"/>
            <w:tcBorders>
              <w:bottom w:val="single" w:sz="4" w:space="0" w:color="auto"/>
            </w:tcBorders>
          </w:tcPr>
          <w:p w14:paraId="524C04CD" w14:textId="77777777" w:rsidR="006E3A3D" w:rsidRPr="00CB1714" w:rsidRDefault="006E3A3D" w:rsidP="006E3A3D">
            <w:pPr>
              <w:rPr>
                <w:rFonts w:ascii="Lato" w:hAnsi="Lato"/>
                <w:sz w:val="22"/>
                <w:szCs w:val="22"/>
              </w:rPr>
            </w:pPr>
          </w:p>
        </w:tc>
      </w:tr>
      <w:tr w:rsidR="006E3A3D" w:rsidRPr="00CB1714" w14:paraId="5FB1FFFD" w14:textId="77777777" w:rsidTr="00990D73">
        <w:tc>
          <w:tcPr>
            <w:tcW w:w="1316" w:type="dxa"/>
          </w:tcPr>
          <w:p w14:paraId="2BE84977" w14:textId="77777777" w:rsidR="006E3A3D" w:rsidRPr="00CB1714" w:rsidRDefault="006E3A3D" w:rsidP="006E3A3D">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09573366" w14:textId="77777777" w:rsidR="006E3A3D" w:rsidRPr="00CB1714" w:rsidRDefault="006E3A3D" w:rsidP="006E3A3D">
            <w:pPr>
              <w:tabs>
                <w:tab w:val="left" w:pos="1036"/>
              </w:tabs>
              <w:rPr>
                <w:rFonts w:ascii="Lato" w:hAnsi="Lato"/>
                <w:sz w:val="22"/>
                <w:szCs w:val="22"/>
              </w:rPr>
            </w:pPr>
            <w:r w:rsidRPr="00CB1714">
              <w:rPr>
                <w:rFonts w:ascii="Lato" w:hAnsi="Lato"/>
                <w:sz w:val="22"/>
                <w:szCs w:val="22"/>
              </w:rPr>
              <w:t xml:space="preserve">Any other fees and expenses paid directly by the Qualifying </w:t>
            </w:r>
          </w:p>
        </w:tc>
        <w:tc>
          <w:tcPr>
            <w:tcW w:w="3188" w:type="dxa"/>
            <w:tcBorders>
              <w:top w:val="single" w:sz="4" w:space="0" w:color="auto"/>
              <w:left w:val="single" w:sz="4" w:space="0" w:color="auto"/>
              <w:bottom w:val="single" w:sz="4" w:space="0" w:color="auto"/>
              <w:right w:val="single" w:sz="4" w:space="0" w:color="auto"/>
            </w:tcBorders>
          </w:tcPr>
          <w:p w14:paraId="715B895F" w14:textId="77777777" w:rsidR="006E3A3D" w:rsidRPr="00CB1714" w:rsidRDefault="006E3A3D" w:rsidP="006E3A3D">
            <w:pPr>
              <w:rPr>
                <w:rFonts w:ascii="Lato" w:hAnsi="Lato"/>
                <w:sz w:val="22"/>
                <w:szCs w:val="22"/>
              </w:rPr>
            </w:pPr>
          </w:p>
        </w:tc>
      </w:tr>
      <w:tr w:rsidR="006E3A3D" w:rsidRPr="00CB1714" w14:paraId="0144FC9E" w14:textId="77777777" w:rsidTr="00990D73">
        <w:tc>
          <w:tcPr>
            <w:tcW w:w="1316" w:type="dxa"/>
          </w:tcPr>
          <w:p w14:paraId="4AB67E20" w14:textId="77777777" w:rsidR="006E3A3D" w:rsidRPr="00CB1714" w:rsidRDefault="006E3A3D" w:rsidP="006E3A3D">
            <w:pPr>
              <w:jc w:val="right"/>
              <w:rPr>
                <w:rFonts w:ascii="Lato" w:hAnsi="Lato"/>
                <w:sz w:val="22"/>
                <w:szCs w:val="22"/>
              </w:rPr>
            </w:pPr>
          </w:p>
        </w:tc>
        <w:tc>
          <w:tcPr>
            <w:tcW w:w="5891" w:type="dxa"/>
          </w:tcPr>
          <w:p w14:paraId="56117D12" w14:textId="77777777" w:rsidR="006E3A3D" w:rsidRPr="00CB1714" w:rsidRDefault="006E3A3D" w:rsidP="006E3A3D">
            <w:pPr>
              <w:tabs>
                <w:tab w:val="left" w:pos="1036"/>
              </w:tabs>
              <w:jc w:val="both"/>
              <w:rPr>
                <w:rFonts w:ascii="Lato" w:hAnsi="Lato"/>
                <w:sz w:val="22"/>
                <w:szCs w:val="22"/>
              </w:rPr>
            </w:pPr>
            <w:r w:rsidRPr="00CB1714">
              <w:rPr>
                <w:rFonts w:ascii="Lato" w:hAnsi="Lato"/>
                <w:sz w:val="22"/>
                <w:szCs w:val="22"/>
              </w:rPr>
              <w:t>Investor AIF</w:t>
            </w:r>
          </w:p>
        </w:tc>
        <w:tc>
          <w:tcPr>
            <w:tcW w:w="3188" w:type="dxa"/>
            <w:tcBorders>
              <w:top w:val="single" w:sz="4" w:space="0" w:color="auto"/>
            </w:tcBorders>
          </w:tcPr>
          <w:p w14:paraId="77F80782" w14:textId="77777777" w:rsidR="006E3A3D" w:rsidRPr="00CB1714" w:rsidRDefault="006E3A3D" w:rsidP="006E3A3D">
            <w:pPr>
              <w:rPr>
                <w:rFonts w:ascii="Lato" w:hAnsi="Lato"/>
                <w:sz w:val="22"/>
                <w:szCs w:val="22"/>
              </w:rPr>
            </w:pPr>
          </w:p>
        </w:tc>
      </w:tr>
      <w:tr w:rsidR="006E3A3D" w:rsidRPr="00CB1714" w14:paraId="616E6760" w14:textId="77777777" w:rsidTr="00990D73">
        <w:tc>
          <w:tcPr>
            <w:tcW w:w="1316" w:type="dxa"/>
          </w:tcPr>
          <w:p w14:paraId="4E9BEC93" w14:textId="77777777" w:rsidR="006E3A3D" w:rsidRPr="00CB1714" w:rsidRDefault="006E3A3D" w:rsidP="006E3A3D">
            <w:pPr>
              <w:jc w:val="right"/>
              <w:rPr>
                <w:rFonts w:ascii="Lato" w:hAnsi="Lato"/>
                <w:sz w:val="22"/>
                <w:szCs w:val="22"/>
              </w:rPr>
            </w:pPr>
          </w:p>
        </w:tc>
        <w:tc>
          <w:tcPr>
            <w:tcW w:w="5891" w:type="dxa"/>
          </w:tcPr>
          <w:p w14:paraId="4ECF9F91" w14:textId="77777777" w:rsidR="006E3A3D" w:rsidRPr="00CB1714" w:rsidRDefault="006E3A3D" w:rsidP="006E3A3D">
            <w:pPr>
              <w:tabs>
                <w:tab w:val="left" w:pos="1036"/>
              </w:tabs>
              <w:jc w:val="both"/>
              <w:rPr>
                <w:rFonts w:ascii="Lato" w:hAnsi="Lato"/>
                <w:sz w:val="22"/>
                <w:szCs w:val="22"/>
              </w:rPr>
            </w:pPr>
            <w:r w:rsidRPr="00CB1714">
              <w:rPr>
                <w:rFonts w:ascii="Lato" w:hAnsi="Lato"/>
                <w:sz w:val="22"/>
                <w:szCs w:val="22"/>
              </w:rPr>
              <w:t>Note:  It is also possible to provide a single figure which relates to all fees payable by the Qualifying Investor AIF provided it is clear what is included in the overall fee.</w:t>
            </w:r>
          </w:p>
        </w:tc>
        <w:tc>
          <w:tcPr>
            <w:tcW w:w="3188" w:type="dxa"/>
          </w:tcPr>
          <w:p w14:paraId="0E294CA7" w14:textId="77777777" w:rsidR="006E3A3D" w:rsidRPr="00CB1714" w:rsidRDefault="006E3A3D" w:rsidP="006E3A3D">
            <w:pPr>
              <w:rPr>
                <w:rFonts w:ascii="Lato" w:hAnsi="Lato"/>
                <w:sz w:val="22"/>
                <w:szCs w:val="22"/>
              </w:rPr>
            </w:pPr>
          </w:p>
        </w:tc>
      </w:tr>
      <w:tr w:rsidR="006E3A3D" w:rsidRPr="00CB1714" w14:paraId="53B304C6" w14:textId="77777777" w:rsidTr="00990D73">
        <w:tc>
          <w:tcPr>
            <w:tcW w:w="1316" w:type="dxa"/>
          </w:tcPr>
          <w:p w14:paraId="6380BD5E" w14:textId="77777777" w:rsidR="006E3A3D" w:rsidRPr="00CB1714" w:rsidRDefault="006E3A3D" w:rsidP="006E3A3D">
            <w:pPr>
              <w:rPr>
                <w:rFonts w:ascii="Lato" w:hAnsi="Lato"/>
                <w:sz w:val="22"/>
                <w:szCs w:val="22"/>
              </w:rPr>
            </w:pPr>
          </w:p>
        </w:tc>
        <w:tc>
          <w:tcPr>
            <w:tcW w:w="5891" w:type="dxa"/>
          </w:tcPr>
          <w:p w14:paraId="5CEDA3C7"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23B0E0F6" w14:textId="77777777" w:rsidR="006E3A3D" w:rsidRPr="00CB1714" w:rsidRDefault="006E3A3D" w:rsidP="006E3A3D">
            <w:pPr>
              <w:rPr>
                <w:rFonts w:ascii="Lato" w:hAnsi="Lato"/>
                <w:sz w:val="22"/>
                <w:szCs w:val="22"/>
              </w:rPr>
            </w:pPr>
          </w:p>
        </w:tc>
      </w:tr>
      <w:tr w:rsidR="006E3A3D" w:rsidRPr="00CB1714" w14:paraId="1E719F32" w14:textId="77777777" w:rsidTr="00990D73">
        <w:trPr>
          <w:cantSplit/>
          <w:trHeight w:val="257"/>
        </w:trPr>
        <w:tc>
          <w:tcPr>
            <w:tcW w:w="1316" w:type="dxa"/>
            <w:vMerge w:val="restart"/>
          </w:tcPr>
          <w:p w14:paraId="15CAFDBE" w14:textId="77777777" w:rsidR="006E3A3D" w:rsidRPr="00CB1714" w:rsidRDefault="006E3A3D" w:rsidP="006E3A3D">
            <w:pPr>
              <w:rPr>
                <w:rFonts w:ascii="Lato" w:hAnsi="Lato"/>
                <w:sz w:val="22"/>
                <w:szCs w:val="22"/>
              </w:rPr>
            </w:pPr>
            <w:r w:rsidRPr="00CB1714">
              <w:rPr>
                <w:rFonts w:ascii="Lato" w:hAnsi="Lato"/>
                <w:sz w:val="22"/>
                <w:szCs w:val="22"/>
              </w:rPr>
              <w:t>2.20.4</w:t>
            </w:r>
          </w:p>
        </w:tc>
        <w:tc>
          <w:tcPr>
            <w:tcW w:w="5891" w:type="dxa"/>
            <w:vMerge w:val="restart"/>
            <w:tcBorders>
              <w:right w:val="single" w:sz="4" w:space="0" w:color="auto"/>
            </w:tcBorders>
          </w:tcPr>
          <w:p w14:paraId="27752563" w14:textId="77777777" w:rsidR="006E3A3D" w:rsidRPr="00CB1714" w:rsidRDefault="006E3A3D" w:rsidP="006E3A3D">
            <w:pPr>
              <w:pStyle w:val="Heading1"/>
              <w:spacing w:before="0" w:after="0" w:line="240" w:lineRule="auto"/>
              <w:jc w:val="both"/>
              <w:rPr>
                <w:rFonts w:ascii="Lato" w:eastAsia="Arial Unicode MS" w:hAnsi="Lato"/>
                <w:color w:val="auto"/>
                <w:sz w:val="22"/>
                <w:szCs w:val="22"/>
              </w:rPr>
            </w:pPr>
            <w:r w:rsidRPr="00CB1714">
              <w:rPr>
                <w:rFonts w:ascii="Lato" w:hAnsi="Lato"/>
                <w:color w:val="auto"/>
                <w:sz w:val="22"/>
                <w:szCs w:val="22"/>
              </w:rPr>
              <w:t>All other costs and expenses, including establishment costs.  Indicate how costs of establishment will be dealt with in the accounts of the QIF e.g. amortised over first five accounting periods.</w:t>
            </w:r>
          </w:p>
        </w:tc>
        <w:tc>
          <w:tcPr>
            <w:tcW w:w="3188" w:type="dxa"/>
            <w:tcBorders>
              <w:top w:val="single" w:sz="4" w:space="0" w:color="auto"/>
              <w:left w:val="single" w:sz="4" w:space="0" w:color="auto"/>
              <w:bottom w:val="single" w:sz="4" w:space="0" w:color="auto"/>
              <w:right w:val="single" w:sz="4" w:space="0" w:color="auto"/>
            </w:tcBorders>
          </w:tcPr>
          <w:p w14:paraId="542805C1" w14:textId="77777777" w:rsidR="006E3A3D" w:rsidRPr="00CB1714" w:rsidRDefault="006E3A3D" w:rsidP="006E3A3D">
            <w:pPr>
              <w:rPr>
                <w:rFonts w:ascii="Lato" w:hAnsi="Lato"/>
                <w:sz w:val="22"/>
                <w:szCs w:val="22"/>
              </w:rPr>
            </w:pPr>
          </w:p>
        </w:tc>
      </w:tr>
      <w:tr w:rsidR="006E3A3D" w:rsidRPr="00CB1714" w14:paraId="4069427E" w14:textId="77777777" w:rsidTr="00990D73">
        <w:trPr>
          <w:cantSplit/>
          <w:trHeight w:val="254"/>
        </w:trPr>
        <w:tc>
          <w:tcPr>
            <w:tcW w:w="1316" w:type="dxa"/>
            <w:vMerge/>
          </w:tcPr>
          <w:p w14:paraId="07F51217" w14:textId="77777777" w:rsidR="006E3A3D" w:rsidRPr="00CB1714" w:rsidRDefault="006E3A3D" w:rsidP="006E3A3D">
            <w:pPr>
              <w:rPr>
                <w:rFonts w:ascii="Lato" w:hAnsi="Lato"/>
                <w:sz w:val="22"/>
                <w:szCs w:val="22"/>
              </w:rPr>
            </w:pPr>
          </w:p>
        </w:tc>
        <w:tc>
          <w:tcPr>
            <w:tcW w:w="5891" w:type="dxa"/>
            <w:vMerge/>
          </w:tcPr>
          <w:p w14:paraId="5FC3B66C" w14:textId="77777777" w:rsidR="006E3A3D" w:rsidRPr="00CB1714" w:rsidRDefault="006E3A3D" w:rsidP="006E3A3D">
            <w:pPr>
              <w:pStyle w:val="Heading1"/>
              <w:spacing w:before="0" w:after="0" w:line="240" w:lineRule="auto"/>
              <w:rPr>
                <w:rFonts w:ascii="Lato" w:hAnsi="Lato"/>
                <w:color w:val="auto"/>
                <w:sz w:val="22"/>
                <w:szCs w:val="22"/>
              </w:rPr>
            </w:pPr>
          </w:p>
        </w:tc>
        <w:tc>
          <w:tcPr>
            <w:tcW w:w="3188" w:type="dxa"/>
            <w:tcBorders>
              <w:top w:val="single" w:sz="4" w:space="0" w:color="auto"/>
            </w:tcBorders>
          </w:tcPr>
          <w:p w14:paraId="723A44AB" w14:textId="77777777" w:rsidR="006E3A3D" w:rsidRPr="00CB1714" w:rsidRDefault="006E3A3D" w:rsidP="006E3A3D">
            <w:pPr>
              <w:rPr>
                <w:rFonts w:ascii="Lato" w:hAnsi="Lato"/>
                <w:sz w:val="22"/>
                <w:szCs w:val="22"/>
              </w:rPr>
            </w:pPr>
          </w:p>
        </w:tc>
      </w:tr>
      <w:tr w:rsidR="006E3A3D" w:rsidRPr="00CB1714" w14:paraId="6CE3A1D7" w14:textId="77777777" w:rsidTr="00990D73">
        <w:trPr>
          <w:cantSplit/>
          <w:trHeight w:val="254"/>
        </w:trPr>
        <w:tc>
          <w:tcPr>
            <w:tcW w:w="1316" w:type="dxa"/>
            <w:vMerge/>
          </w:tcPr>
          <w:p w14:paraId="2128A4AE" w14:textId="77777777" w:rsidR="006E3A3D" w:rsidRPr="00CB1714" w:rsidRDefault="006E3A3D" w:rsidP="006E3A3D">
            <w:pPr>
              <w:rPr>
                <w:rFonts w:ascii="Lato" w:hAnsi="Lato"/>
                <w:sz w:val="22"/>
                <w:szCs w:val="22"/>
              </w:rPr>
            </w:pPr>
          </w:p>
        </w:tc>
        <w:tc>
          <w:tcPr>
            <w:tcW w:w="5891" w:type="dxa"/>
            <w:vMerge/>
          </w:tcPr>
          <w:p w14:paraId="2F4276F0" w14:textId="77777777" w:rsidR="006E3A3D" w:rsidRPr="00CB1714" w:rsidRDefault="006E3A3D" w:rsidP="006E3A3D">
            <w:pPr>
              <w:pStyle w:val="Heading1"/>
              <w:spacing w:before="0" w:after="0" w:line="240" w:lineRule="auto"/>
              <w:rPr>
                <w:rFonts w:ascii="Lato" w:hAnsi="Lato"/>
                <w:color w:val="auto"/>
                <w:sz w:val="22"/>
                <w:szCs w:val="22"/>
              </w:rPr>
            </w:pPr>
          </w:p>
        </w:tc>
        <w:tc>
          <w:tcPr>
            <w:tcW w:w="3188" w:type="dxa"/>
          </w:tcPr>
          <w:p w14:paraId="23D992DB" w14:textId="77777777" w:rsidR="006E3A3D" w:rsidRPr="00CB1714" w:rsidRDefault="006E3A3D" w:rsidP="006E3A3D">
            <w:pPr>
              <w:rPr>
                <w:rFonts w:ascii="Lato" w:hAnsi="Lato"/>
                <w:sz w:val="22"/>
                <w:szCs w:val="22"/>
              </w:rPr>
            </w:pPr>
          </w:p>
        </w:tc>
      </w:tr>
      <w:tr w:rsidR="006E3A3D" w:rsidRPr="00CB1714" w14:paraId="4045276D" w14:textId="77777777" w:rsidTr="00990D73">
        <w:trPr>
          <w:cantSplit/>
          <w:trHeight w:val="254"/>
        </w:trPr>
        <w:tc>
          <w:tcPr>
            <w:tcW w:w="1316" w:type="dxa"/>
            <w:vMerge/>
          </w:tcPr>
          <w:p w14:paraId="73C49D7A" w14:textId="77777777" w:rsidR="006E3A3D" w:rsidRPr="00CB1714" w:rsidRDefault="006E3A3D" w:rsidP="006E3A3D">
            <w:pPr>
              <w:rPr>
                <w:rFonts w:ascii="Lato" w:hAnsi="Lato"/>
                <w:sz w:val="22"/>
                <w:szCs w:val="22"/>
              </w:rPr>
            </w:pPr>
          </w:p>
        </w:tc>
        <w:tc>
          <w:tcPr>
            <w:tcW w:w="5891" w:type="dxa"/>
            <w:vMerge/>
          </w:tcPr>
          <w:p w14:paraId="58DA5292" w14:textId="77777777" w:rsidR="006E3A3D" w:rsidRPr="00CB1714" w:rsidRDefault="006E3A3D" w:rsidP="006E3A3D">
            <w:pPr>
              <w:pStyle w:val="Heading1"/>
              <w:spacing w:before="0" w:after="0" w:line="240" w:lineRule="auto"/>
              <w:rPr>
                <w:rFonts w:ascii="Lato" w:hAnsi="Lato"/>
                <w:color w:val="auto"/>
                <w:sz w:val="22"/>
                <w:szCs w:val="22"/>
              </w:rPr>
            </w:pPr>
          </w:p>
        </w:tc>
        <w:tc>
          <w:tcPr>
            <w:tcW w:w="3188" w:type="dxa"/>
          </w:tcPr>
          <w:p w14:paraId="4A9E919E" w14:textId="77777777" w:rsidR="006E3A3D" w:rsidRPr="00CB1714" w:rsidRDefault="006E3A3D" w:rsidP="006E3A3D">
            <w:pPr>
              <w:rPr>
                <w:rFonts w:ascii="Lato" w:hAnsi="Lato"/>
                <w:sz w:val="22"/>
                <w:szCs w:val="22"/>
              </w:rPr>
            </w:pPr>
          </w:p>
        </w:tc>
      </w:tr>
      <w:tr w:rsidR="006E3A3D" w:rsidRPr="00CB1714" w14:paraId="6188A366" w14:textId="77777777" w:rsidTr="00990D73">
        <w:tc>
          <w:tcPr>
            <w:tcW w:w="1316" w:type="dxa"/>
          </w:tcPr>
          <w:p w14:paraId="38064FF3" w14:textId="77777777" w:rsidR="006E3A3D" w:rsidRPr="00CB1714" w:rsidRDefault="006E3A3D" w:rsidP="006E3A3D">
            <w:pPr>
              <w:rPr>
                <w:rFonts w:ascii="Lato" w:hAnsi="Lato"/>
                <w:sz w:val="22"/>
                <w:szCs w:val="22"/>
              </w:rPr>
            </w:pPr>
          </w:p>
        </w:tc>
        <w:tc>
          <w:tcPr>
            <w:tcW w:w="5891" w:type="dxa"/>
          </w:tcPr>
          <w:p w14:paraId="6535DE77" w14:textId="77777777" w:rsidR="006E3A3D" w:rsidRPr="00CB1714" w:rsidRDefault="006E3A3D" w:rsidP="006E3A3D">
            <w:pPr>
              <w:rPr>
                <w:rFonts w:ascii="Lato" w:hAnsi="Lato"/>
                <w:sz w:val="22"/>
                <w:szCs w:val="22"/>
              </w:rPr>
            </w:pPr>
          </w:p>
        </w:tc>
        <w:tc>
          <w:tcPr>
            <w:tcW w:w="3188" w:type="dxa"/>
          </w:tcPr>
          <w:p w14:paraId="5EA4561E" w14:textId="77777777" w:rsidR="006E3A3D" w:rsidRPr="00CB1714" w:rsidRDefault="006E3A3D" w:rsidP="006E3A3D">
            <w:pPr>
              <w:rPr>
                <w:rFonts w:ascii="Lato" w:hAnsi="Lato"/>
                <w:sz w:val="22"/>
                <w:szCs w:val="22"/>
              </w:rPr>
            </w:pPr>
          </w:p>
        </w:tc>
      </w:tr>
      <w:tr w:rsidR="006E3A3D" w:rsidRPr="00CB1714" w14:paraId="03CB975D" w14:textId="77777777" w:rsidTr="004009A0">
        <w:tc>
          <w:tcPr>
            <w:tcW w:w="1316" w:type="dxa"/>
          </w:tcPr>
          <w:p w14:paraId="51F16C7A" w14:textId="77777777" w:rsidR="006E3A3D" w:rsidRPr="00CB1714" w:rsidRDefault="006E3A3D" w:rsidP="006E3A3D">
            <w:pPr>
              <w:rPr>
                <w:rFonts w:ascii="Lato" w:hAnsi="Lato"/>
                <w:sz w:val="22"/>
                <w:szCs w:val="22"/>
              </w:rPr>
            </w:pPr>
            <w:r w:rsidRPr="00CB1714">
              <w:rPr>
                <w:rFonts w:ascii="Lato" w:hAnsi="Lato"/>
                <w:sz w:val="22"/>
                <w:szCs w:val="22"/>
              </w:rPr>
              <w:t>2.20.5</w:t>
            </w:r>
          </w:p>
        </w:tc>
        <w:tc>
          <w:tcPr>
            <w:tcW w:w="5891" w:type="dxa"/>
          </w:tcPr>
          <w:p w14:paraId="35DB57CB" w14:textId="77777777" w:rsidR="006E3A3D" w:rsidRPr="00CB1714" w:rsidRDefault="006E3A3D" w:rsidP="006E3A3D">
            <w:pPr>
              <w:pStyle w:val="Heading1"/>
              <w:spacing w:before="0" w:after="0" w:line="240" w:lineRule="auto"/>
              <w:rPr>
                <w:rFonts w:ascii="Lato" w:eastAsia="Arial Unicode MS" w:hAnsi="Lato"/>
                <w:color w:val="auto"/>
                <w:sz w:val="22"/>
                <w:szCs w:val="22"/>
              </w:rPr>
            </w:pPr>
            <w:r w:rsidRPr="00CB1714">
              <w:rPr>
                <w:rFonts w:ascii="Lato" w:hAnsi="Lato"/>
                <w:color w:val="auto"/>
                <w:sz w:val="22"/>
                <w:szCs w:val="22"/>
              </w:rPr>
              <w:t>Carrying forward /backdating of fees</w:t>
            </w:r>
          </w:p>
        </w:tc>
        <w:tc>
          <w:tcPr>
            <w:tcW w:w="3188" w:type="dxa"/>
            <w:tcBorders>
              <w:bottom w:val="single" w:sz="4" w:space="0" w:color="auto"/>
            </w:tcBorders>
          </w:tcPr>
          <w:p w14:paraId="3AC3C78F" w14:textId="77777777" w:rsidR="006E3A3D" w:rsidRPr="00CB1714" w:rsidRDefault="006E3A3D" w:rsidP="006E3A3D">
            <w:pPr>
              <w:rPr>
                <w:rFonts w:ascii="Lato" w:hAnsi="Lato"/>
                <w:sz w:val="22"/>
                <w:szCs w:val="22"/>
              </w:rPr>
            </w:pPr>
          </w:p>
        </w:tc>
      </w:tr>
      <w:tr w:rsidR="006E3A3D" w:rsidRPr="00CB1714" w14:paraId="6429BD1E" w14:textId="77777777" w:rsidTr="004009A0">
        <w:tc>
          <w:tcPr>
            <w:tcW w:w="1316" w:type="dxa"/>
          </w:tcPr>
          <w:p w14:paraId="347A792B"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59872ACE" w14:textId="77777777" w:rsidR="006E3A3D" w:rsidRPr="00CB1714" w:rsidRDefault="006E3A3D" w:rsidP="006E3A3D">
            <w:pPr>
              <w:jc w:val="both"/>
              <w:rPr>
                <w:rFonts w:ascii="Lato" w:hAnsi="Lato"/>
                <w:sz w:val="22"/>
                <w:szCs w:val="22"/>
              </w:rPr>
            </w:pPr>
            <w:r w:rsidRPr="00CB1714">
              <w:rPr>
                <w:rFonts w:ascii="Lato" w:hAnsi="Lato"/>
                <w:sz w:val="22"/>
                <w:szCs w:val="22"/>
              </w:rPr>
              <w:t xml:space="preserve">Note: (i) The carrying forward of fees from one accounting </w:t>
            </w:r>
          </w:p>
        </w:tc>
        <w:tc>
          <w:tcPr>
            <w:tcW w:w="3188" w:type="dxa"/>
            <w:tcBorders>
              <w:top w:val="single" w:sz="4" w:space="0" w:color="auto"/>
              <w:left w:val="single" w:sz="4" w:space="0" w:color="auto"/>
              <w:bottom w:val="single" w:sz="4" w:space="0" w:color="auto"/>
              <w:right w:val="single" w:sz="4" w:space="0" w:color="auto"/>
            </w:tcBorders>
          </w:tcPr>
          <w:p w14:paraId="318205EA" w14:textId="77777777" w:rsidR="006E3A3D" w:rsidRPr="00CB1714" w:rsidRDefault="006E3A3D" w:rsidP="006E3A3D">
            <w:pPr>
              <w:rPr>
                <w:rFonts w:ascii="Lato" w:hAnsi="Lato"/>
                <w:sz w:val="22"/>
                <w:szCs w:val="22"/>
              </w:rPr>
            </w:pPr>
          </w:p>
        </w:tc>
      </w:tr>
      <w:tr w:rsidR="006E3A3D" w:rsidRPr="00CB1714" w14:paraId="61494721" w14:textId="77777777" w:rsidTr="007E3170">
        <w:tc>
          <w:tcPr>
            <w:tcW w:w="1316" w:type="dxa"/>
          </w:tcPr>
          <w:p w14:paraId="3049234E" w14:textId="77777777" w:rsidR="006E3A3D" w:rsidRPr="00CB1714" w:rsidRDefault="006E3A3D" w:rsidP="006E3A3D">
            <w:pPr>
              <w:rPr>
                <w:rFonts w:ascii="Lato" w:hAnsi="Lato"/>
                <w:sz w:val="22"/>
                <w:szCs w:val="22"/>
              </w:rPr>
            </w:pPr>
          </w:p>
        </w:tc>
        <w:tc>
          <w:tcPr>
            <w:tcW w:w="5891" w:type="dxa"/>
          </w:tcPr>
          <w:p w14:paraId="00DC4766" w14:textId="77777777" w:rsidR="006E3A3D" w:rsidRPr="00CB1714" w:rsidRDefault="006E3A3D" w:rsidP="006E3A3D">
            <w:pPr>
              <w:jc w:val="both"/>
              <w:rPr>
                <w:rFonts w:ascii="Lato" w:hAnsi="Lato"/>
                <w:sz w:val="22"/>
                <w:szCs w:val="22"/>
              </w:rPr>
            </w:pPr>
            <w:r w:rsidRPr="00CB1714">
              <w:rPr>
                <w:rFonts w:ascii="Lato" w:hAnsi="Lato"/>
                <w:sz w:val="22"/>
                <w:szCs w:val="22"/>
              </w:rPr>
              <w:t xml:space="preserve">period to subsequent periods is not permitted. </w:t>
            </w:r>
          </w:p>
        </w:tc>
        <w:tc>
          <w:tcPr>
            <w:tcW w:w="3188" w:type="dxa"/>
            <w:tcBorders>
              <w:top w:val="single" w:sz="4" w:space="0" w:color="auto"/>
              <w:bottom w:val="single" w:sz="4" w:space="0" w:color="auto"/>
            </w:tcBorders>
          </w:tcPr>
          <w:p w14:paraId="1DABC24A" w14:textId="77777777" w:rsidR="006E3A3D" w:rsidRPr="00CB1714" w:rsidRDefault="006E3A3D" w:rsidP="006E3A3D">
            <w:pPr>
              <w:rPr>
                <w:rFonts w:ascii="Lato" w:hAnsi="Lato"/>
                <w:sz w:val="22"/>
                <w:szCs w:val="22"/>
              </w:rPr>
            </w:pPr>
          </w:p>
        </w:tc>
      </w:tr>
      <w:tr w:rsidR="006E3A3D" w:rsidRPr="00CB1714" w14:paraId="47CA8E88" w14:textId="77777777" w:rsidTr="007E3170">
        <w:tc>
          <w:tcPr>
            <w:tcW w:w="1316" w:type="dxa"/>
          </w:tcPr>
          <w:p w14:paraId="533AB5CF"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0E5DAF41" w14:textId="77777777" w:rsidR="006E3A3D" w:rsidRPr="00CB1714" w:rsidRDefault="006E3A3D" w:rsidP="006E3A3D">
            <w:pPr>
              <w:jc w:val="both"/>
              <w:rPr>
                <w:rFonts w:ascii="Lato" w:hAnsi="Lato"/>
                <w:sz w:val="22"/>
                <w:szCs w:val="22"/>
              </w:rPr>
            </w:pPr>
            <w:r w:rsidRPr="00CB1714">
              <w:rPr>
                <w:rFonts w:ascii="Lato" w:hAnsi="Lato"/>
                <w:sz w:val="22"/>
                <w:szCs w:val="22"/>
              </w:rPr>
              <w:t>(ii) Backdating of fees is not permitted.</w:t>
            </w:r>
          </w:p>
        </w:tc>
        <w:tc>
          <w:tcPr>
            <w:tcW w:w="3188" w:type="dxa"/>
            <w:tcBorders>
              <w:top w:val="single" w:sz="4" w:space="0" w:color="auto"/>
              <w:left w:val="single" w:sz="4" w:space="0" w:color="auto"/>
              <w:bottom w:val="single" w:sz="4" w:space="0" w:color="auto"/>
              <w:right w:val="single" w:sz="4" w:space="0" w:color="auto"/>
            </w:tcBorders>
          </w:tcPr>
          <w:p w14:paraId="3B18F70D" w14:textId="77777777" w:rsidR="006E3A3D" w:rsidRPr="00CB1714" w:rsidRDefault="006E3A3D" w:rsidP="006E3A3D">
            <w:pPr>
              <w:rPr>
                <w:rFonts w:ascii="Lato" w:hAnsi="Lato"/>
                <w:sz w:val="22"/>
                <w:szCs w:val="22"/>
              </w:rPr>
            </w:pPr>
          </w:p>
        </w:tc>
      </w:tr>
      <w:tr w:rsidR="006E3A3D" w:rsidRPr="00CB1714" w14:paraId="5BA62893" w14:textId="77777777" w:rsidTr="004009A0">
        <w:tc>
          <w:tcPr>
            <w:tcW w:w="1316" w:type="dxa"/>
          </w:tcPr>
          <w:p w14:paraId="40CAC4F5" w14:textId="77777777" w:rsidR="006E3A3D" w:rsidRPr="00CB1714" w:rsidRDefault="006E3A3D" w:rsidP="006E3A3D">
            <w:pPr>
              <w:rPr>
                <w:rFonts w:ascii="Lato" w:hAnsi="Lato"/>
                <w:sz w:val="22"/>
                <w:szCs w:val="22"/>
              </w:rPr>
            </w:pPr>
          </w:p>
        </w:tc>
        <w:tc>
          <w:tcPr>
            <w:tcW w:w="5891" w:type="dxa"/>
          </w:tcPr>
          <w:p w14:paraId="3DF2C4C5"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25738446" w14:textId="77777777" w:rsidR="006E3A3D" w:rsidRPr="00CB1714" w:rsidRDefault="006E3A3D" w:rsidP="006E3A3D">
            <w:pPr>
              <w:rPr>
                <w:rFonts w:ascii="Lato" w:hAnsi="Lato"/>
                <w:sz w:val="22"/>
                <w:szCs w:val="22"/>
              </w:rPr>
            </w:pPr>
          </w:p>
        </w:tc>
      </w:tr>
      <w:tr w:rsidR="006E3A3D" w:rsidRPr="00CB1714" w14:paraId="619B012F" w14:textId="77777777" w:rsidTr="00990D73">
        <w:tc>
          <w:tcPr>
            <w:tcW w:w="1316" w:type="dxa"/>
          </w:tcPr>
          <w:p w14:paraId="106F839F" w14:textId="77777777" w:rsidR="006E3A3D" w:rsidRPr="00CB1714" w:rsidRDefault="006E3A3D" w:rsidP="006E3A3D">
            <w:pPr>
              <w:rPr>
                <w:rFonts w:ascii="Lato" w:hAnsi="Lato"/>
                <w:sz w:val="22"/>
                <w:szCs w:val="22"/>
              </w:rPr>
            </w:pPr>
            <w:r w:rsidRPr="00CB1714">
              <w:rPr>
                <w:rFonts w:ascii="Lato" w:hAnsi="Lato"/>
                <w:sz w:val="22"/>
                <w:szCs w:val="22"/>
              </w:rPr>
              <w:t>2.20.6</w:t>
            </w:r>
          </w:p>
        </w:tc>
        <w:tc>
          <w:tcPr>
            <w:tcW w:w="5891" w:type="dxa"/>
          </w:tcPr>
          <w:p w14:paraId="211913AD" w14:textId="77777777" w:rsidR="006E3A3D" w:rsidRPr="00CB1714" w:rsidRDefault="006E3A3D" w:rsidP="006E3A3D">
            <w:pPr>
              <w:pStyle w:val="Heading3"/>
              <w:spacing w:before="0" w:after="0" w:line="240" w:lineRule="auto"/>
              <w:rPr>
                <w:rFonts w:ascii="Lato" w:hAnsi="Lato"/>
                <w:b w:val="0"/>
                <w:bCs/>
                <w:color w:val="auto"/>
                <w:sz w:val="22"/>
                <w:szCs w:val="22"/>
                <w:u w:val="single"/>
              </w:rPr>
            </w:pPr>
            <w:r w:rsidRPr="00CB1714">
              <w:rPr>
                <w:rFonts w:ascii="Lato" w:hAnsi="Lato"/>
                <w:b w:val="0"/>
                <w:bCs/>
                <w:color w:val="auto"/>
                <w:sz w:val="22"/>
                <w:szCs w:val="22"/>
                <w:u w:val="single"/>
              </w:rPr>
              <w:t>Performance Fee</w:t>
            </w:r>
          </w:p>
        </w:tc>
        <w:tc>
          <w:tcPr>
            <w:tcW w:w="3188" w:type="dxa"/>
            <w:tcBorders>
              <w:bottom w:val="single" w:sz="4" w:space="0" w:color="auto"/>
            </w:tcBorders>
          </w:tcPr>
          <w:p w14:paraId="5A148E11" w14:textId="77777777" w:rsidR="006E3A3D" w:rsidRPr="00CB1714" w:rsidRDefault="006E3A3D" w:rsidP="006E3A3D">
            <w:pPr>
              <w:rPr>
                <w:rFonts w:ascii="Lato" w:hAnsi="Lato"/>
                <w:sz w:val="22"/>
                <w:szCs w:val="22"/>
              </w:rPr>
            </w:pPr>
          </w:p>
        </w:tc>
      </w:tr>
      <w:tr w:rsidR="006E3A3D" w:rsidRPr="00CB1714" w14:paraId="571BB66C" w14:textId="77777777" w:rsidTr="00990D73">
        <w:tc>
          <w:tcPr>
            <w:tcW w:w="1316" w:type="dxa"/>
          </w:tcPr>
          <w:p w14:paraId="12894E34" w14:textId="77777777" w:rsidR="006E3A3D" w:rsidRPr="00CB1714" w:rsidRDefault="006E3A3D" w:rsidP="006E3A3D">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3889EA79" w14:textId="77777777" w:rsidR="006E3A3D" w:rsidRPr="00CB1714" w:rsidRDefault="006E3A3D" w:rsidP="006E3A3D">
            <w:pPr>
              <w:rPr>
                <w:rFonts w:ascii="Lato" w:hAnsi="Lato"/>
                <w:sz w:val="22"/>
                <w:szCs w:val="22"/>
              </w:rPr>
            </w:pPr>
            <w:r w:rsidRPr="00CB1714">
              <w:rPr>
                <w:rFonts w:ascii="Lato" w:hAnsi="Lato"/>
                <w:sz w:val="22"/>
                <w:szCs w:val="22"/>
              </w:rPr>
              <w:t>Details of the performance fee</w:t>
            </w:r>
          </w:p>
        </w:tc>
        <w:tc>
          <w:tcPr>
            <w:tcW w:w="3188" w:type="dxa"/>
            <w:tcBorders>
              <w:top w:val="single" w:sz="4" w:space="0" w:color="auto"/>
              <w:left w:val="single" w:sz="4" w:space="0" w:color="auto"/>
              <w:bottom w:val="single" w:sz="4" w:space="0" w:color="auto"/>
              <w:right w:val="single" w:sz="4" w:space="0" w:color="auto"/>
            </w:tcBorders>
          </w:tcPr>
          <w:p w14:paraId="1DF4E5AC" w14:textId="77777777" w:rsidR="006E3A3D" w:rsidRPr="00CB1714" w:rsidRDefault="006E3A3D" w:rsidP="006E3A3D">
            <w:pPr>
              <w:rPr>
                <w:rFonts w:ascii="Lato" w:hAnsi="Lato"/>
                <w:sz w:val="22"/>
                <w:szCs w:val="22"/>
              </w:rPr>
            </w:pPr>
          </w:p>
        </w:tc>
      </w:tr>
      <w:tr w:rsidR="006E3A3D" w:rsidRPr="00CB1714" w14:paraId="3F949311" w14:textId="77777777" w:rsidTr="00990D73">
        <w:tc>
          <w:tcPr>
            <w:tcW w:w="1316" w:type="dxa"/>
          </w:tcPr>
          <w:p w14:paraId="5D323D40" w14:textId="77777777" w:rsidR="006E3A3D" w:rsidRPr="00CB1714" w:rsidRDefault="006E3A3D" w:rsidP="006E3A3D">
            <w:pPr>
              <w:jc w:val="right"/>
              <w:rPr>
                <w:rFonts w:ascii="Lato" w:hAnsi="Lato"/>
                <w:sz w:val="22"/>
                <w:szCs w:val="22"/>
              </w:rPr>
            </w:pPr>
          </w:p>
        </w:tc>
        <w:tc>
          <w:tcPr>
            <w:tcW w:w="5891" w:type="dxa"/>
          </w:tcPr>
          <w:p w14:paraId="6B64AF4B"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10A5B16E" w14:textId="77777777" w:rsidR="006E3A3D" w:rsidRPr="00CB1714" w:rsidRDefault="006E3A3D" w:rsidP="006E3A3D">
            <w:pPr>
              <w:rPr>
                <w:rFonts w:ascii="Lato" w:hAnsi="Lato"/>
                <w:sz w:val="22"/>
                <w:szCs w:val="22"/>
              </w:rPr>
            </w:pPr>
          </w:p>
        </w:tc>
      </w:tr>
      <w:tr w:rsidR="006E3A3D" w:rsidRPr="00CB1714" w14:paraId="5E5D07B8" w14:textId="77777777" w:rsidTr="00990D73">
        <w:tc>
          <w:tcPr>
            <w:tcW w:w="1316" w:type="dxa"/>
          </w:tcPr>
          <w:p w14:paraId="41DABF4E" w14:textId="77777777" w:rsidR="006E3A3D" w:rsidRPr="00CB1714" w:rsidRDefault="006E3A3D" w:rsidP="006E3A3D">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7FE9DBCA" w14:textId="77777777" w:rsidR="006E3A3D" w:rsidRPr="00CB1714" w:rsidRDefault="006E3A3D" w:rsidP="006E3A3D">
            <w:pPr>
              <w:rPr>
                <w:rFonts w:ascii="Lato" w:hAnsi="Lato"/>
                <w:sz w:val="22"/>
                <w:szCs w:val="22"/>
              </w:rPr>
            </w:pPr>
            <w:r w:rsidRPr="00CB1714">
              <w:rPr>
                <w:rFonts w:ascii="Lato" w:hAnsi="Lato"/>
                <w:sz w:val="22"/>
                <w:szCs w:val="22"/>
              </w:rPr>
              <w:t>The calculation period, including the first calculation period</w:t>
            </w:r>
          </w:p>
        </w:tc>
        <w:tc>
          <w:tcPr>
            <w:tcW w:w="3188" w:type="dxa"/>
            <w:tcBorders>
              <w:top w:val="single" w:sz="4" w:space="0" w:color="auto"/>
              <w:left w:val="single" w:sz="4" w:space="0" w:color="auto"/>
              <w:bottom w:val="single" w:sz="4" w:space="0" w:color="auto"/>
              <w:right w:val="single" w:sz="4" w:space="0" w:color="auto"/>
            </w:tcBorders>
          </w:tcPr>
          <w:p w14:paraId="49A1C706" w14:textId="77777777" w:rsidR="006E3A3D" w:rsidRPr="00CB1714" w:rsidRDefault="006E3A3D" w:rsidP="006E3A3D">
            <w:pPr>
              <w:rPr>
                <w:rFonts w:ascii="Lato" w:hAnsi="Lato"/>
                <w:sz w:val="22"/>
                <w:szCs w:val="22"/>
              </w:rPr>
            </w:pPr>
          </w:p>
        </w:tc>
      </w:tr>
      <w:tr w:rsidR="006E3A3D" w:rsidRPr="00CB1714" w14:paraId="51344C8B" w14:textId="77777777" w:rsidTr="00990D73">
        <w:tc>
          <w:tcPr>
            <w:tcW w:w="1316" w:type="dxa"/>
          </w:tcPr>
          <w:p w14:paraId="31FE162E" w14:textId="77777777" w:rsidR="006E3A3D" w:rsidRPr="00CB1714" w:rsidRDefault="006E3A3D" w:rsidP="006E3A3D">
            <w:pPr>
              <w:jc w:val="right"/>
              <w:rPr>
                <w:rFonts w:ascii="Lato" w:hAnsi="Lato"/>
                <w:sz w:val="22"/>
                <w:szCs w:val="22"/>
              </w:rPr>
            </w:pPr>
          </w:p>
        </w:tc>
        <w:tc>
          <w:tcPr>
            <w:tcW w:w="5891" w:type="dxa"/>
          </w:tcPr>
          <w:p w14:paraId="7BA5B19B"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1E9B91C7" w14:textId="77777777" w:rsidR="006E3A3D" w:rsidRPr="00CB1714" w:rsidRDefault="006E3A3D" w:rsidP="006E3A3D">
            <w:pPr>
              <w:rPr>
                <w:rFonts w:ascii="Lato" w:hAnsi="Lato"/>
                <w:sz w:val="22"/>
                <w:szCs w:val="22"/>
              </w:rPr>
            </w:pPr>
          </w:p>
        </w:tc>
      </w:tr>
      <w:tr w:rsidR="006E3A3D" w:rsidRPr="00CB1714" w14:paraId="07A06B78" w14:textId="77777777" w:rsidTr="00990D73">
        <w:trPr>
          <w:cantSplit/>
          <w:trHeight w:val="255"/>
        </w:trPr>
        <w:tc>
          <w:tcPr>
            <w:tcW w:w="1316" w:type="dxa"/>
            <w:vMerge w:val="restart"/>
          </w:tcPr>
          <w:p w14:paraId="5E6954C0" w14:textId="77777777" w:rsidR="006E3A3D" w:rsidRPr="00CB1714" w:rsidRDefault="006E3A3D" w:rsidP="006E3A3D">
            <w:pPr>
              <w:jc w:val="right"/>
              <w:rPr>
                <w:rFonts w:ascii="Lato" w:hAnsi="Lato"/>
                <w:sz w:val="22"/>
                <w:szCs w:val="22"/>
              </w:rPr>
            </w:pPr>
            <w:r w:rsidRPr="00CB1714">
              <w:rPr>
                <w:rFonts w:ascii="Lato" w:hAnsi="Lato"/>
                <w:sz w:val="22"/>
                <w:szCs w:val="22"/>
              </w:rPr>
              <w:t>(iii)</w:t>
            </w:r>
          </w:p>
        </w:tc>
        <w:tc>
          <w:tcPr>
            <w:tcW w:w="5891" w:type="dxa"/>
            <w:vMerge w:val="restart"/>
            <w:tcBorders>
              <w:right w:val="single" w:sz="4" w:space="0" w:color="auto"/>
            </w:tcBorders>
          </w:tcPr>
          <w:p w14:paraId="09E524F1" w14:textId="77777777" w:rsidR="006E3A3D" w:rsidRPr="00CB1714" w:rsidRDefault="006E3A3D" w:rsidP="006E3A3D">
            <w:pPr>
              <w:rPr>
                <w:rFonts w:ascii="Lato" w:hAnsi="Lato"/>
                <w:sz w:val="22"/>
                <w:szCs w:val="22"/>
              </w:rPr>
            </w:pPr>
            <w:r w:rsidRPr="00CB1714">
              <w:rPr>
                <w:rFonts w:ascii="Lato" w:hAnsi="Lato"/>
                <w:sz w:val="22"/>
                <w:szCs w:val="22"/>
              </w:rPr>
              <w:t>Details of the calculation method, e.g. percentage increase over previous highest NAV per unit</w:t>
            </w:r>
          </w:p>
        </w:tc>
        <w:tc>
          <w:tcPr>
            <w:tcW w:w="3188" w:type="dxa"/>
            <w:tcBorders>
              <w:top w:val="single" w:sz="4" w:space="0" w:color="auto"/>
              <w:left w:val="single" w:sz="4" w:space="0" w:color="auto"/>
              <w:bottom w:val="single" w:sz="4" w:space="0" w:color="auto"/>
              <w:right w:val="single" w:sz="4" w:space="0" w:color="auto"/>
            </w:tcBorders>
          </w:tcPr>
          <w:p w14:paraId="36C6E733" w14:textId="77777777" w:rsidR="006E3A3D" w:rsidRPr="00CB1714" w:rsidRDefault="006E3A3D" w:rsidP="006E3A3D">
            <w:pPr>
              <w:rPr>
                <w:rFonts w:ascii="Lato" w:hAnsi="Lato"/>
                <w:sz w:val="22"/>
                <w:szCs w:val="22"/>
              </w:rPr>
            </w:pPr>
          </w:p>
        </w:tc>
      </w:tr>
      <w:tr w:rsidR="006E3A3D" w:rsidRPr="00CB1714" w14:paraId="4906B4C6" w14:textId="77777777" w:rsidTr="00990D73">
        <w:trPr>
          <w:cantSplit/>
          <w:trHeight w:val="254"/>
        </w:trPr>
        <w:tc>
          <w:tcPr>
            <w:tcW w:w="1316" w:type="dxa"/>
            <w:vMerge/>
          </w:tcPr>
          <w:p w14:paraId="30478933" w14:textId="77777777" w:rsidR="006E3A3D" w:rsidRPr="00CB1714" w:rsidRDefault="006E3A3D" w:rsidP="006E3A3D">
            <w:pPr>
              <w:jc w:val="right"/>
              <w:rPr>
                <w:rFonts w:ascii="Lato" w:hAnsi="Lato"/>
                <w:sz w:val="22"/>
                <w:szCs w:val="22"/>
              </w:rPr>
            </w:pPr>
          </w:p>
        </w:tc>
        <w:tc>
          <w:tcPr>
            <w:tcW w:w="5891" w:type="dxa"/>
            <w:vMerge/>
          </w:tcPr>
          <w:p w14:paraId="4367429E"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6B73801C" w14:textId="77777777" w:rsidR="006E3A3D" w:rsidRPr="00CB1714" w:rsidRDefault="006E3A3D" w:rsidP="006E3A3D">
            <w:pPr>
              <w:rPr>
                <w:rFonts w:ascii="Lato" w:hAnsi="Lato"/>
                <w:sz w:val="22"/>
                <w:szCs w:val="22"/>
              </w:rPr>
            </w:pPr>
          </w:p>
        </w:tc>
      </w:tr>
      <w:tr w:rsidR="006E3A3D" w:rsidRPr="00CB1714" w14:paraId="43F7CB15" w14:textId="77777777" w:rsidTr="00990D73">
        <w:tc>
          <w:tcPr>
            <w:tcW w:w="1316" w:type="dxa"/>
          </w:tcPr>
          <w:p w14:paraId="2151DA7C" w14:textId="77777777" w:rsidR="006E3A3D" w:rsidRPr="00CB1714" w:rsidRDefault="006E3A3D" w:rsidP="006E3A3D">
            <w:pPr>
              <w:rPr>
                <w:rFonts w:ascii="Lato" w:hAnsi="Lato"/>
                <w:sz w:val="22"/>
                <w:szCs w:val="22"/>
              </w:rPr>
            </w:pPr>
          </w:p>
        </w:tc>
        <w:tc>
          <w:tcPr>
            <w:tcW w:w="5891" w:type="dxa"/>
          </w:tcPr>
          <w:p w14:paraId="5C37969F"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5B9A27DA" w14:textId="77777777" w:rsidR="006E3A3D" w:rsidRPr="00CB1714" w:rsidRDefault="006E3A3D" w:rsidP="006E3A3D">
            <w:pPr>
              <w:rPr>
                <w:rFonts w:ascii="Lato" w:hAnsi="Lato"/>
                <w:sz w:val="22"/>
                <w:szCs w:val="22"/>
              </w:rPr>
            </w:pPr>
          </w:p>
        </w:tc>
      </w:tr>
      <w:tr w:rsidR="006E3A3D" w:rsidRPr="00CB1714" w14:paraId="7BCE5940" w14:textId="77777777" w:rsidTr="00990D73">
        <w:tc>
          <w:tcPr>
            <w:tcW w:w="1316" w:type="dxa"/>
          </w:tcPr>
          <w:p w14:paraId="1436CC42" w14:textId="77777777" w:rsidR="006E3A3D" w:rsidRPr="00CB1714" w:rsidRDefault="006E3A3D" w:rsidP="006E3A3D">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1546BB79" w14:textId="77777777" w:rsidR="006E3A3D" w:rsidRPr="00CB1714" w:rsidRDefault="006E3A3D" w:rsidP="006E3A3D">
            <w:pPr>
              <w:rPr>
                <w:rFonts w:ascii="Lato" w:hAnsi="Lato"/>
                <w:sz w:val="22"/>
                <w:szCs w:val="22"/>
              </w:rPr>
            </w:pPr>
            <w:r w:rsidRPr="00CB1714">
              <w:rPr>
                <w:rFonts w:ascii="Lato" w:hAnsi="Lato"/>
                <w:sz w:val="22"/>
                <w:szCs w:val="22"/>
              </w:rPr>
              <w:t>Accrual basis of fee and payment date(s)</w:t>
            </w:r>
          </w:p>
        </w:tc>
        <w:tc>
          <w:tcPr>
            <w:tcW w:w="3188" w:type="dxa"/>
            <w:tcBorders>
              <w:top w:val="single" w:sz="4" w:space="0" w:color="auto"/>
              <w:left w:val="single" w:sz="4" w:space="0" w:color="auto"/>
              <w:bottom w:val="single" w:sz="4" w:space="0" w:color="auto"/>
              <w:right w:val="single" w:sz="4" w:space="0" w:color="auto"/>
            </w:tcBorders>
          </w:tcPr>
          <w:p w14:paraId="5592CCF9" w14:textId="77777777" w:rsidR="006E3A3D" w:rsidRPr="00CB1714" w:rsidRDefault="006E3A3D" w:rsidP="006E3A3D">
            <w:pPr>
              <w:rPr>
                <w:rFonts w:ascii="Lato" w:hAnsi="Lato"/>
                <w:sz w:val="22"/>
                <w:szCs w:val="22"/>
              </w:rPr>
            </w:pPr>
          </w:p>
        </w:tc>
      </w:tr>
      <w:tr w:rsidR="006E3A3D" w:rsidRPr="00CB1714" w14:paraId="3CBF88FE" w14:textId="77777777" w:rsidTr="00990D73">
        <w:tc>
          <w:tcPr>
            <w:tcW w:w="1316" w:type="dxa"/>
          </w:tcPr>
          <w:p w14:paraId="3642E290" w14:textId="77777777" w:rsidR="006E3A3D" w:rsidRPr="00CB1714" w:rsidRDefault="006E3A3D" w:rsidP="006E3A3D">
            <w:pPr>
              <w:rPr>
                <w:rFonts w:ascii="Lato" w:hAnsi="Lato"/>
                <w:sz w:val="22"/>
                <w:szCs w:val="22"/>
              </w:rPr>
            </w:pPr>
          </w:p>
        </w:tc>
        <w:tc>
          <w:tcPr>
            <w:tcW w:w="5891" w:type="dxa"/>
          </w:tcPr>
          <w:p w14:paraId="3EFA80F5"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2B321E42" w14:textId="77777777" w:rsidR="006E3A3D" w:rsidRPr="00CB1714" w:rsidRDefault="006E3A3D" w:rsidP="006E3A3D">
            <w:pPr>
              <w:rPr>
                <w:rFonts w:ascii="Lato" w:hAnsi="Lato"/>
                <w:sz w:val="22"/>
                <w:szCs w:val="22"/>
              </w:rPr>
            </w:pPr>
          </w:p>
        </w:tc>
      </w:tr>
      <w:tr w:rsidR="006E3A3D" w:rsidRPr="00CB1714" w14:paraId="0964F53B" w14:textId="77777777" w:rsidTr="00990D73">
        <w:trPr>
          <w:cantSplit/>
          <w:trHeight w:val="255"/>
        </w:trPr>
        <w:tc>
          <w:tcPr>
            <w:tcW w:w="1316" w:type="dxa"/>
            <w:vMerge w:val="restart"/>
          </w:tcPr>
          <w:p w14:paraId="1AF748E6" w14:textId="77777777" w:rsidR="006E3A3D" w:rsidRPr="00CB1714" w:rsidRDefault="006E3A3D" w:rsidP="006E3A3D">
            <w:pPr>
              <w:jc w:val="right"/>
              <w:rPr>
                <w:rFonts w:ascii="Lato" w:hAnsi="Lato"/>
                <w:sz w:val="22"/>
                <w:szCs w:val="22"/>
              </w:rPr>
            </w:pPr>
            <w:r w:rsidRPr="00CB1714">
              <w:rPr>
                <w:rFonts w:ascii="Lato" w:hAnsi="Lato"/>
                <w:sz w:val="22"/>
                <w:szCs w:val="22"/>
              </w:rPr>
              <w:t>(v)</w:t>
            </w:r>
          </w:p>
        </w:tc>
        <w:tc>
          <w:tcPr>
            <w:tcW w:w="5891" w:type="dxa"/>
            <w:vMerge w:val="restart"/>
            <w:tcBorders>
              <w:right w:val="single" w:sz="4" w:space="0" w:color="auto"/>
            </w:tcBorders>
          </w:tcPr>
          <w:p w14:paraId="1BB4641E" w14:textId="77777777" w:rsidR="006E3A3D" w:rsidRPr="00CB1714" w:rsidRDefault="006E3A3D" w:rsidP="006E3A3D">
            <w:pPr>
              <w:rPr>
                <w:rFonts w:ascii="Lato" w:hAnsi="Lato"/>
                <w:sz w:val="22"/>
                <w:szCs w:val="22"/>
              </w:rPr>
            </w:pPr>
            <w:r w:rsidRPr="00CB1714">
              <w:rPr>
                <w:rFonts w:ascii="Lato" w:hAnsi="Lato"/>
                <w:sz w:val="22"/>
                <w:szCs w:val="22"/>
              </w:rPr>
              <w:t>State that  the Qualifying Investor AIF shall ensure that the calculation of performance fees is  verified by the depositary or by a competent person appointed by the AIFM and approved for the purpose by the depositary</w:t>
            </w:r>
          </w:p>
        </w:tc>
        <w:tc>
          <w:tcPr>
            <w:tcW w:w="3188" w:type="dxa"/>
            <w:tcBorders>
              <w:top w:val="single" w:sz="4" w:space="0" w:color="auto"/>
              <w:left w:val="single" w:sz="4" w:space="0" w:color="auto"/>
              <w:bottom w:val="single" w:sz="4" w:space="0" w:color="auto"/>
              <w:right w:val="single" w:sz="4" w:space="0" w:color="auto"/>
            </w:tcBorders>
          </w:tcPr>
          <w:p w14:paraId="72718E17" w14:textId="77777777" w:rsidR="006E3A3D" w:rsidRPr="00CB1714" w:rsidRDefault="006E3A3D" w:rsidP="006E3A3D">
            <w:pPr>
              <w:rPr>
                <w:rFonts w:ascii="Lato" w:hAnsi="Lato"/>
                <w:sz w:val="22"/>
                <w:szCs w:val="22"/>
              </w:rPr>
            </w:pPr>
          </w:p>
        </w:tc>
      </w:tr>
      <w:tr w:rsidR="006E3A3D" w:rsidRPr="00CB1714" w14:paraId="08D522EA" w14:textId="77777777" w:rsidTr="00990D73">
        <w:trPr>
          <w:cantSplit/>
          <w:trHeight w:val="254"/>
        </w:trPr>
        <w:tc>
          <w:tcPr>
            <w:tcW w:w="1316" w:type="dxa"/>
            <w:vMerge/>
          </w:tcPr>
          <w:p w14:paraId="01208911" w14:textId="77777777" w:rsidR="006E3A3D" w:rsidRPr="00CB1714" w:rsidRDefault="006E3A3D" w:rsidP="006E3A3D">
            <w:pPr>
              <w:jc w:val="right"/>
              <w:rPr>
                <w:rFonts w:ascii="Lato" w:hAnsi="Lato"/>
                <w:sz w:val="22"/>
                <w:szCs w:val="22"/>
              </w:rPr>
            </w:pPr>
          </w:p>
        </w:tc>
        <w:tc>
          <w:tcPr>
            <w:tcW w:w="5891" w:type="dxa"/>
            <w:vMerge/>
          </w:tcPr>
          <w:p w14:paraId="5837003B"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5110B3F8" w14:textId="77777777" w:rsidR="006E3A3D" w:rsidRPr="00CB1714" w:rsidRDefault="006E3A3D" w:rsidP="006E3A3D">
            <w:pPr>
              <w:rPr>
                <w:rFonts w:ascii="Lato" w:hAnsi="Lato"/>
                <w:sz w:val="22"/>
                <w:szCs w:val="22"/>
              </w:rPr>
            </w:pPr>
          </w:p>
        </w:tc>
      </w:tr>
      <w:tr w:rsidR="006E3A3D" w:rsidRPr="00CB1714" w14:paraId="14187AC5" w14:textId="77777777" w:rsidTr="00990D73">
        <w:tc>
          <w:tcPr>
            <w:tcW w:w="1316" w:type="dxa"/>
          </w:tcPr>
          <w:p w14:paraId="73A91B1C" w14:textId="77777777" w:rsidR="006E3A3D" w:rsidRPr="00CB1714" w:rsidRDefault="006E3A3D" w:rsidP="006E3A3D">
            <w:pPr>
              <w:jc w:val="right"/>
              <w:rPr>
                <w:rFonts w:ascii="Lato" w:hAnsi="Lato"/>
                <w:sz w:val="22"/>
                <w:szCs w:val="22"/>
              </w:rPr>
            </w:pPr>
          </w:p>
        </w:tc>
        <w:tc>
          <w:tcPr>
            <w:tcW w:w="5891" w:type="dxa"/>
          </w:tcPr>
          <w:p w14:paraId="3981F28A" w14:textId="77777777" w:rsidR="006E3A3D" w:rsidRPr="00CB1714" w:rsidRDefault="006E3A3D" w:rsidP="006E3A3D">
            <w:pPr>
              <w:rPr>
                <w:rFonts w:ascii="Lato" w:hAnsi="Lato"/>
                <w:sz w:val="22"/>
                <w:szCs w:val="22"/>
              </w:rPr>
            </w:pPr>
          </w:p>
        </w:tc>
        <w:tc>
          <w:tcPr>
            <w:tcW w:w="3188" w:type="dxa"/>
          </w:tcPr>
          <w:p w14:paraId="49426B3A" w14:textId="77777777" w:rsidR="006E3A3D" w:rsidRPr="00CB1714" w:rsidRDefault="006E3A3D" w:rsidP="006E3A3D">
            <w:pPr>
              <w:rPr>
                <w:rFonts w:ascii="Lato" w:hAnsi="Lato"/>
                <w:sz w:val="22"/>
                <w:szCs w:val="22"/>
              </w:rPr>
            </w:pPr>
          </w:p>
        </w:tc>
      </w:tr>
      <w:tr w:rsidR="006E3A3D" w:rsidRPr="00CB1714" w14:paraId="37DCCEF2" w14:textId="77777777" w:rsidTr="00990D73">
        <w:tc>
          <w:tcPr>
            <w:tcW w:w="1316" w:type="dxa"/>
          </w:tcPr>
          <w:p w14:paraId="0A2AA439" w14:textId="77777777" w:rsidR="006E3A3D" w:rsidRPr="00CB1714" w:rsidRDefault="006E3A3D" w:rsidP="006E3A3D">
            <w:pPr>
              <w:rPr>
                <w:rFonts w:ascii="Lato" w:hAnsi="Lato"/>
                <w:b/>
                <w:bCs/>
                <w:sz w:val="22"/>
                <w:szCs w:val="22"/>
              </w:rPr>
            </w:pPr>
            <w:r w:rsidRPr="00CB1714">
              <w:rPr>
                <w:rFonts w:ascii="Lato" w:hAnsi="Lato"/>
                <w:b/>
                <w:bCs/>
                <w:sz w:val="22"/>
                <w:szCs w:val="22"/>
              </w:rPr>
              <w:t>2.21</w:t>
            </w:r>
          </w:p>
        </w:tc>
        <w:tc>
          <w:tcPr>
            <w:tcW w:w="5891" w:type="dxa"/>
          </w:tcPr>
          <w:p w14:paraId="20EACB37" w14:textId="77777777" w:rsidR="006E3A3D" w:rsidRPr="00CB1714" w:rsidRDefault="006E3A3D" w:rsidP="006E3A3D">
            <w:pPr>
              <w:pStyle w:val="Heading4"/>
              <w:rPr>
                <w:rFonts w:ascii="Lato" w:hAnsi="Lato"/>
                <w:sz w:val="22"/>
                <w:szCs w:val="22"/>
                <w:lang w:val="en-GB"/>
              </w:rPr>
            </w:pPr>
            <w:r w:rsidRPr="00CB1714">
              <w:rPr>
                <w:rFonts w:ascii="Lato" w:hAnsi="Lato"/>
                <w:sz w:val="22"/>
                <w:szCs w:val="22"/>
                <w:lang w:val="en-GB"/>
              </w:rPr>
              <w:t>Taxation</w:t>
            </w:r>
          </w:p>
        </w:tc>
        <w:tc>
          <w:tcPr>
            <w:tcW w:w="3188" w:type="dxa"/>
          </w:tcPr>
          <w:p w14:paraId="6A82D2C5" w14:textId="77777777" w:rsidR="006E3A3D" w:rsidRPr="00CB1714" w:rsidRDefault="006E3A3D" w:rsidP="006E3A3D">
            <w:pPr>
              <w:rPr>
                <w:rFonts w:ascii="Lato" w:hAnsi="Lato"/>
                <w:sz w:val="22"/>
                <w:szCs w:val="22"/>
              </w:rPr>
            </w:pPr>
          </w:p>
        </w:tc>
      </w:tr>
      <w:tr w:rsidR="006E3A3D" w:rsidRPr="00CB1714" w14:paraId="1D68F079" w14:textId="77777777" w:rsidTr="00990D73">
        <w:tc>
          <w:tcPr>
            <w:tcW w:w="1316" w:type="dxa"/>
          </w:tcPr>
          <w:p w14:paraId="2CFBEBAA" w14:textId="77777777" w:rsidR="006E3A3D" w:rsidRPr="00CB1714" w:rsidRDefault="006E3A3D" w:rsidP="006E3A3D">
            <w:pPr>
              <w:rPr>
                <w:rFonts w:ascii="Lato" w:hAnsi="Lato"/>
                <w:sz w:val="22"/>
                <w:szCs w:val="22"/>
              </w:rPr>
            </w:pPr>
          </w:p>
        </w:tc>
        <w:tc>
          <w:tcPr>
            <w:tcW w:w="5891" w:type="dxa"/>
          </w:tcPr>
          <w:p w14:paraId="578C92C0" w14:textId="77777777" w:rsidR="006E3A3D" w:rsidRPr="00CB1714" w:rsidRDefault="006E3A3D" w:rsidP="006E3A3D">
            <w:pPr>
              <w:pStyle w:val="Heading4"/>
              <w:rPr>
                <w:rFonts w:ascii="Lato" w:hAnsi="Lato"/>
                <w:sz w:val="22"/>
                <w:szCs w:val="22"/>
                <w:lang w:val="en-GB"/>
              </w:rPr>
            </w:pPr>
          </w:p>
        </w:tc>
        <w:tc>
          <w:tcPr>
            <w:tcW w:w="3188" w:type="dxa"/>
            <w:tcBorders>
              <w:bottom w:val="single" w:sz="4" w:space="0" w:color="auto"/>
            </w:tcBorders>
          </w:tcPr>
          <w:p w14:paraId="46E6C038" w14:textId="77777777" w:rsidR="006E3A3D" w:rsidRPr="00CB1714" w:rsidRDefault="006E3A3D" w:rsidP="006E3A3D">
            <w:pPr>
              <w:rPr>
                <w:rFonts w:ascii="Lato" w:hAnsi="Lato"/>
                <w:sz w:val="22"/>
                <w:szCs w:val="22"/>
              </w:rPr>
            </w:pPr>
          </w:p>
        </w:tc>
      </w:tr>
      <w:tr w:rsidR="006E3A3D" w:rsidRPr="00CB1714" w14:paraId="69B6C78A" w14:textId="77777777" w:rsidTr="00990D73">
        <w:trPr>
          <w:cantSplit/>
          <w:trHeight w:val="255"/>
        </w:trPr>
        <w:tc>
          <w:tcPr>
            <w:tcW w:w="1316" w:type="dxa"/>
            <w:vMerge w:val="restart"/>
          </w:tcPr>
          <w:p w14:paraId="5DDE1A69" w14:textId="77777777" w:rsidR="006E3A3D" w:rsidRPr="00CB1714" w:rsidRDefault="006E3A3D" w:rsidP="006E3A3D">
            <w:pPr>
              <w:rPr>
                <w:rFonts w:ascii="Lato" w:hAnsi="Lato"/>
                <w:sz w:val="22"/>
                <w:szCs w:val="22"/>
              </w:rPr>
            </w:pPr>
            <w:r w:rsidRPr="00CB1714">
              <w:rPr>
                <w:rFonts w:ascii="Lato" w:hAnsi="Lato"/>
                <w:sz w:val="22"/>
                <w:szCs w:val="22"/>
              </w:rPr>
              <w:t>2.21.1</w:t>
            </w:r>
          </w:p>
        </w:tc>
        <w:tc>
          <w:tcPr>
            <w:tcW w:w="5891" w:type="dxa"/>
            <w:vMerge w:val="restart"/>
            <w:tcBorders>
              <w:right w:val="single" w:sz="4" w:space="0" w:color="auto"/>
            </w:tcBorders>
          </w:tcPr>
          <w:p w14:paraId="2CA820C9" w14:textId="77777777" w:rsidR="006E3A3D" w:rsidRPr="00CB1714" w:rsidRDefault="006E3A3D" w:rsidP="006E3A3D">
            <w:pPr>
              <w:jc w:val="both"/>
              <w:rPr>
                <w:rFonts w:ascii="Lato" w:hAnsi="Lato"/>
                <w:sz w:val="22"/>
                <w:szCs w:val="22"/>
              </w:rPr>
            </w:pPr>
            <w:r w:rsidRPr="00CB1714">
              <w:rPr>
                <w:rFonts w:ascii="Lato" w:hAnsi="Lato"/>
                <w:sz w:val="22"/>
                <w:szCs w:val="22"/>
              </w:rPr>
              <w:t>Brief indication relevant to unitholders of the tax system applicable to the Qualifying Investor AIF</w:t>
            </w:r>
          </w:p>
        </w:tc>
        <w:tc>
          <w:tcPr>
            <w:tcW w:w="3188" w:type="dxa"/>
            <w:tcBorders>
              <w:top w:val="single" w:sz="4" w:space="0" w:color="auto"/>
              <w:left w:val="single" w:sz="4" w:space="0" w:color="auto"/>
              <w:bottom w:val="single" w:sz="4" w:space="0" w:color="auto"/>
              <w:right w:val="single" w:sz="4" w:space="0" w:color="auto"/>
            </w:tcBorders>
          </w:tcPr>
          <w:p w14:paraId="48FE9569" w14:textId="77777777" w:rsidR="006E3A3D" w:rsidRPr="00CB1714" w:rsidRDefault="006E3A3D" w:rsidP="006E3A3D">
            <w:pPr>
              <w:rPr>
                <w:rFonts w:ascii="Lato" w:hAnsi="Lato"/>
                <w:sz w:val="22"/>
                <w:szCs w:val="22"/>
              </w:rPr>
            </w:pPr>
          </w:p>
        </w:tc>
      </w:tr>
      <w:tr w:rsidR="006E3A3D" w:rsidRPr="00CB1714" w14:paraId="287902FB" w14:textId="77777777" w:rsidTr="00990D73">
        <w:trPr>
          <w:cantSplit/>
          <w:trHeight w:val="254"/>
        </w:trPr>
        <w:tc>
          <w:tcPr>
            <w:tcW w:w="1316" w:type="dxa"/>
            <w:vMerge/>
          </w:tcPr>
          <w:p w14:paraId="2411F6A4" w14:textId="77777777" w:rsidR="006E3A3D" w:rsidRPr="00CB1714" w:rsidRDefault="006E3A3D" w:rsidP="006E3A3D">
            <w:pPr>
              <w:rPr>
                <w:rFonts w:ascii="Lato" w:hAnsi="Lato"/>
                <w:sz w:val="22"/>
                <w:szCs w:val="22"/>
              </w:rPr>
            </w:pPr>
          </w:p>
        </w:tc>
        <w:tc>
          <w:tcPr>
            <w:tcW w:w="5891" w:type="dxa"/>
            <w:vMerge/>
          </w:tcPr>
          <w:p w14:paraId="602FAE91" w14:textId="77777777" w:rsidR="006E3A3D" w:rsidRPr="00CB1714" w:rsidRDefault="006E3A3D" w:rsidP="006E3A3D">
            <w:pPr>
              <w:jc w:val="both"/>
              <w:rPr>
                <w:rFonts w:ascii="Lato" w:hAnsi="Lato"/>
                <w:sz w:val="22"/>
                <w:szCs w:val="22"/>
              </w:rPr>
            </w:pPr>
          </w:p>
        </w:tc>
        <w:tc>
          <w:tcPr>
            <w:tcW w:w="3188" w:type="dxa"/>
            <w:tcBorders>
              <w:top w:val="single" w:sz="4" w:space="0" w:color="auto"/>
            </w:tcBorders>
          </w:tcPr>
          <w:p w14:paraId="2048EB56" w14:textId="77777777" w:rsidR="006E3A3D" w:rsidRPr="00CB1714" w:rsidRDefault="006E3A3D" w:rsidP="006E3A3D">
            <w:pPr>
              <w:rPr>
                <w:rFonts w:ascii="Lato" w:hAnsi="Lato"/>
                <w:sz w:val="22"/>
                <w:szCs w:val="22"/>
              </w:rPr>
            </w:pPr>
          </w:p>
        </w:tc>
      </w:tr>
      <w:tr w:rsidR="006E3A3D" w:rsidRPr="00CB1714" w14:paraId="3E26DA3B" w14:textId="77777777" w:rsidTr="00990D73">
        <w:tc>
          <w:tcPr>
            <w:tcW w:w="1316" w:type="dxa"/>
          </w:tcPr>
          <w:p w14:paraId="45742EA0" w14:textId="77777777" w:rsidR="006E3A3D" w:rsidRPr="00CB1714" w:rsidRDefault="006E3A3D" w:rsidP="006E3A3D">
            <w:pPr>
              <w:rPr>
                <w:rFonts w:ascii="Lato" w:hAnsi="Lato"/>
                <w:sz w:val="22"/>
                <w:szCs w:val="22"/>
              </w:rPr>
            </w:pPr>
          </w:p>
        </w:tc>
        <w:tc>
          <w:tcPr>
            <w:tcW w:w="5891" w:type="dxa"/>
          </w:tcPr>
          <w:p w14:paraId="152D88FE"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0EED3C16" w14:textId="77777777" w:rsidR="006E3A3D" w:rsidRPr="00CB1714" w:rsidRDefault="006E3A3D" w:rsidP="006E3A3D">
            <w:pPr>
              <w:rPr>
                <w:rFonts w:ascii="Lato" w:hAnsi="Lato"/>
                <w:sz w:val="22"/>
                <w:szCs w:val="22"/>
              </w:rPr>
            </w:pPr>
          </w:p>
        </w:tc>
      </w:tr>
      <w:tr w:rsidR="006E3A3D" w:rsidRPr="00CB1714" w14:paraId="7EA92F19" w14:textId="77777777" w:rsidTr="00990D73">
        <w:trPr>
          <w:cantSplit/>
          <w:trHeight w:val="255"/>
        </w:trPr>
        <w:tc>
          <w:tcPr>
            <w:tcW w:w="1316" w:type="dxa"/>
            <w:vMerge w:val="restart"/>
          </w:tcPr>
          <w:p w14:paraId="738ED2C9" w14:textId="77777777" w:rsidR="006E3A3D" w:rsidRPr="00CB1714" w:rsidRDefault="006E3A3D" w:rsidP="006E3A3D">
            <w:pPr>
              <w:rPr>
                <w:rFonts w:ascii="Lato" w:hAnsi="Lato"/>
                <w:sz w:val="22"/>
                <w:szCs w:val="22"/>
              </w:rPr>
            </w:pPr>
            <w:r w:rsidRPr="00CB1714">
              <w:rPr>
                <w:rFonts w:ascii="Lato" w:hAnsi="Lato"/>
                <w:sz w:val="22"/>
                <w:szCs w:val="22"/>
              </w:rPr>
              <w:t>2.21.2</w:t>
            </w:r>
          </w:p>
        </w:tc>
        <w:tc>
          <w:tcPr>
            <w:tcW w:w="5891" w:type="dxa"/>
            <w:vMerge w:val="restart"/>
            <w:tcBorders>
              <w:right w:val="single" w:sz="4" w:space="0" w:color="auto"/>
            </w:tcBorders>
          </w:tcPr>
          <w:p w14:paraId="4939628E" w14:textId="77777777" w:rsidR="006E3A3D" w:rsidRPr="00CB1714" w:rsidRDefault="006E3A3D" w:rsidP="006E3A3D">
            <w:pPr>
              <w:jc w:val="both"/>
              <w:rPr>
                <w:rFonts w:ascii="Lato" w:hAnsi="Lato"/>
                <w:sz w:val="22"/>
                <w:szCs w:val="22"/>
              </w:rPr>
            </w:pPr>
            <w:r w:rsidRPr="00CB1714">
              <w:rPr>
                <w:rFonts w:ascii="Lato" w:hAnsi="Lato"/>
                <w:sz w:val="22"/>
                <w:szCs w:val="22"/>
              </w:rPr>
              <w:t>Details of whether deductions are made at source from the income and capital gains paid by the Qualifying Investor AIF to unitholders</w:t>
            </w:r>
          </w:p>
        </w:tc>
        <w:tc>
          <w:tcPr>
            <w:tcW w:w="3188" w:type="dxa"/>
            <w:tcBorders>
              <w:top w:val="single" w:sz="4" w:space="0" w:color="auto"/>
              <w:left w:val="single" w:sz="4" w:space="0" w:color="auto"/>
              <w:bottom w:val="single" w:sz="4" w:space="0" w:color="auto"/>
              <w:right w:val="single" w:sz="4" w:space="0" w:color="auto"/>
            </w:tcBorders>
          </w:tcPr>
          <w:p w14:paraId="3986AD0A" w14:textId="77777777" w:rsidR="006E3A3D" w:rsidRPr="00CB1714" w:rsidRDefault="006E3A3D" w:rsidP="006E3A3D">
            <w:pPr>
              <w:rPr>
                <w:rFonts w:ascii="Lato" w:hAnsi="Lato"/>
                <w:sz w:val="22"/>
                <w:szCs w:val="22"/>
              </w:rPr>
            </w:pPr>
          </w:p>
        </w:tc>
      </w:tr>
      <w:tr w:rsidR="006E3A3D" w:rsidRPr="00CB1714" w14:paraId="4365C0C5" w14:textId="77777777" w:rsidTr="00990D73">
        <w:trPr>
          <w:cantSplit/>
          <w:trHeight w:val="254"/>
        </w:trPr>
        <w:tc>
          <w:tcPr>
            <w:tcW w:w="1316" w:type="dxa"/>
            <w:vMerge/>
          </w:tcPr>
          <w:p w14:paraId="3B80C373" w14:textId="77777777" w:rsidR="006E3A3D" w:rsidRPr="00CB1714" w:rsidRDefault="006E3A3D" w:rsidP="006E3A3D">
            <w:pPr>
              <w:rPr>
                <w:rFonts w:ascii="Lato" w:hAnsi="Lato"/>
                <w:sz w:val="22"/>
                <w:szCs w:val="22"/>
              </w:rPr>
            </w:pPr>
          </w:p>
        </w:tc>
        <w:tc>
          <w:tcPr>
            <w:tcW w:w="5891" w:type="dxa"/>
            <w:vMerge/>
          </w:tcPr>
          <w:p w14:paraId="55D6E5DF"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303D86B6" w14:textId="77777777" w:rsidR="006E3A3D" w:rsidRPr="00CB1714" w:rsidRDefault="006E3A3D" w:rsidP="006E3A3D">
            <w:pPr>
              <w:rPr>
                <w:rFonts w:ascii="Lato" w:hAnsi="Lato"/>
                <w:sz w:val="22"/>
                <w:szCs w:val="22"/>
              </w:rPr>
            </w:pPr>
          </w:p>
        </w:tc>
      </w:tr>
      <w:tr w:rsidR="006E3A3D" w:rsidRPr="00CB1714" w14:paraId="3EDAF5C6" w14:textId="77777777" w:rsidTr="00990D73">
        <w:tc>
          <w:tcPr>
            <w:tcW w:w="1316" w:type="dxa"/>
          </w:tcPr>
          <w:p w14:paraId="31A11870" w14:textId="77777777" w:rsidR="006E3A3D" w:rsidRPr="00CB1714" w:rsidRDefault="006E3A3D" w:rsidP="006E3A3D">
            <w:pPr>
              <w:rPr>
                <w:rFonts w:ascii="Lato" w:hAnsi="Lato"/>
                <w:sz w:val="22"/>
                <w:szCs w:val="22"/>
              </w:rPr>
            </w:pPr>
          </w:p>
        </w:tc>
        <w:tc>
          <w:tcPr>
            <w:tcW w:w="5891" w:type="dxa"/>
          </w:tcPr>
          <w:p w14:paraId="0C33567C" w14:textId="77777777" w:rsidR="006E3A3D" w:rsidRPr="00CB1714" w:rsidRDefault="006E3A3D" w:rsidP="006E3A3D">
            <w:pPr>
              <w:rPr>
                <w:rFonts w:ascii="Lato" w:hAnsi="Lato"/>
                <w:sz w:val="22"/>
                <w:szCs w:val="22"/>
              </w:rPr>
            </w:pPr>
          </w:p>
        </w:tc>
        <w:tc>
          <w:tcPr>
            <w:tcW w:w="3188" w:type="dxa"/>
          </w:tcPr>
          <w:p w14:paraId="288985B3" w14:textId="77777777" w:rsidR="006E3A3D" w:rsidRPr="00CB1714" w:rsidRDefault="006E3A3D" w:rsidP="006E3A3D">
            <w:pPr>
              <w:rPr>
                <w:rFonts w:ascii="Lato" w:hAnsi="Lato"/>
                <w:sz w:val="22"/>
                <w:szCs w:val="22"/>
              </w:rPr>
            </w:pPr>
          </w:p>
        </w:tc>
      </w:tr>
      <w:tr w:rsidR="006E3A3D" w:rsidRPr="00CB1714" w14:paraId="3C29E6F6" w14:textId="77777777" w:rsidTr="00990D73">
        <w:tc>
          <w:tcPr>
            <w:tcW w:w="1316" w:type="dxa"/>
          </w:tcPr>
          <w:p w14:paraId="71138D49" w14:textId="77777777" w:rsidR="006E3A3D" w:rsidRPr="00CB1714" w:rsidRDefault="006E3A3D" w:rsidP="006E3A3D">
            <w:pPr>
              <w:rPr>
                <w:rFonts w:ascii="Lato" w:hAnsi="Lato"/>
                <w:b/>
                <w:bCs/>
                <w:sz w:val="22"/>
                <w:szCs w:val="22"/>
              </w:rPr>
            </w:pPr>
            <w:r w:rsidRPr="00CB1714">
              <w:rPr>
                <w:rFonts w:ascii="Lato" w:hAnsi="Lato"/>
                <w:b/>
                <w:bCs/>
                <w:sz w:val="22"/>
                <w:szCs w:val="22"/>
              </w:rPr>
              <w:t>2.22</w:t>
            </w:r>
          </w:p>
        </w:tc>
        <w:tc>
          <w:tcPr>
            <w:tcW w:w="5891" w:type="dxa"/>
          </w:tcPr>
          <w:p w14:paraId="162019FD" w14:textId="77777777" w:rsidR="006E3A3D" w:rsidRPr="00CB1714" w:rsidRDefault="006E3A3D" w:rsidP="006E3A3D">
            <w:pPr>
              <w:pStyle w:val="Heading4"/>
              <w:rPr>
                <w:rFonts w:ascii="Lato" w:hAnsi="Lato"/>
                <w:sz w:val="22"/>
                <w:szCs w:val="22"/>
                <w:lang w:val="en-GB"/>
              </w:rPr>
            </w:pPr>
            <w:r w:rsidRPr="00CB1714">
              <w:rPr>
                <w:rFonts w:ascii="Lato" w:hAnsi="Lato"/>
                <w:sz w:val="22"/>
                <w:szCs w:val="22"/>
                <w:lang w:val="en-GB"/>
              </w:rPr>
              <w:t>Statutory Information</w:t>
            </w:r>
          </w:p>
        </w:tc>
        <w:tc>
          <w:tcPr>
            <w:tcW w:w="3188" w:type="dxa"/>
          </w:tcPr>
          <w:p w14:paraId="6891CB1C" w14:textId="77777777" w:rsidR="006E3A3D" w:rsidRPr="00CB1714" w:rsidRDefault="006E3A3D" w:rsidP="006E3A3D">
            <w:pPr>
              <w:rPr>
                <w:rFonts w:ascii="Lato" w:hAnsi="Lato"/>
                <w:sz w:val="22"/>
                <w:szCs w:val="22"/>
              </w:rPr>
            </w:pPr>
          </w:p>
        </w:tc>
      </w:tr>
      <w:tr w:rsidR="006E3A3D" w:rsidRPr="00CB1714" w14:paraId="615B0DC8" w14:textId="77777777" w:rsidTr="00990D73">
        <w:tc>
          <w:tcPr>
            <w:tcW w:w="1316" w:type="dxa"/>
          </w:tcPr>
          <w:p w14:paraId="2E8E3386" w14:textId="77777777" w:rsidR="006E3A3D" w:rsidRPr="00CB1714" w:rsidRDefault="006E3A3D" w:rsidP="006E3A3D">
            <w:pPr>
              <w:rPr>
                <w:rFonts w:ascii="Lato" w:hAnsi="Lato"/>
                <w:sz w:val="22"/>
                <w:szCs w:val="22"/>
              </w:rPr>
            </w:pPr>
          </w:p>
        </w:tc>
        <w:tc>
          <w:tcPr>
            <w:tcW w:w="5891" w:type="dxa"/>
          </w:tcPr>
          <w:p w14:paraId="205B7273" w14:textId="77777777" w:rsidR="006E3A3D" w:rsidRPr="00CB1714" w:rsidRDefault="006E3A3D" w:rsidP="006E3A3D">
            <w:pPr>
              <w:rPr>
                <w:rFonts w:ascii="Lato" w:hAnsi="Lato"/>
                <w:sz w:val="22"/>
                <w:szCs w:val="22"/>
              </w:rPr>
            </w:pPr>
          </w:p>
        </w:tc>
        <w:tc>
          <w:tcPr>
            <w:tcW w:w="3188" w:type="dxa"/>
          </w:tcPr>
          <w:p w14:paraId="6F42664A" w14:textId="77777777" w:rsidR="006E3A3D" w:rsidRPr="00CB1714" w:rsidRDefault="006E3A3D" w:rsidP="006E3A3D">
            <w:pPr>
              <w:rPr>
                <w:rFonts w:ascii="Lato" w:hAnsi="Lato"/>
                <w:sz w:val="22"/>
                <w:szCs w:val="22"/>
              </w:rPr>
            </w:pPr>
          </w:p>
        </w:tc>
      </w:tr>
      <w:tr w:rsidR="006E3A3D" w:rsidRPr="00CB1714" w14:paraId="78098BA4" w14:textId="77777777" w:rsidTr="00990D73">
        <w:tc>
          <w:tcPr>
            <w:tcW w:w="1316" w:type="dxa"/>
          </w:tcPr>
          <w:p w14:paraId="7D2C96E2" w14:textId="77777777" w:rsidR="006E3A3D" w:rsidRPr="00CB1714" w:rsidRDefault="006E3A3D" w:rsidP="006E3A3D">
            <w:pPr>
              <w:rPr>
                <w:rFonts w:ascii="Lato" w:hAnsi="Lato"/>
                <w:sz w:val="22"/>
                <w:szCs w:val="22"/>
              </w:rPr>
            </w:pPr>
            <w:r w:rsidRPr="00CB1714">
              <w:rPr>
                <w:rFonts w:ascii="Lato" w:hAnsi="Lato"/>
                <w:sz w:val="22"/>
                <w:szCs w:val="22"/>
              </w:rPr>
              <w:t>2.22.1</w:t>
            </w:r>
          </w:p>
        </w:tc>
        <w:tc>
          <w:tcPr>
            <w:tcW w:w="5891" w:type="dxa"/>
          </w:tcPr>
          <w:p w14:paraId="32A54527" w14:textId="77777777" w:rsidR="006E3A3D" w:rsidRPr="00CB1714" w:rsidRDefault="006E3A3D" w:rsidP="006E3A3D">
            <w:pPr>
              <w:pStyle w:val="Heading1"/>
              <w:spacing w:before="0" w:after="0" w:line="240" w:lineRule="auto"/>
              <w:rPr>
                <w:rFonts w:ascii="Lato" w:hAnsi="Lato"/>
                <w:color w:val="auto"/>
                <w:sz w:val="22"/>
                <w:szCs w:val="22"/>
              </w:rPr>
            </w:pPr>
            <w:r w:rsidRPr="00CB1714">
              <w:rPr>
                <w:rFonts w:ascii="Lato" w:hAnsi="Lato"/>
                <w:color w:val="auto"/>
                <w:sz w:val="22"/>
                <w:szCs w:val="22"/>
              </w:rPr>
              <w:t>Investment Company/ICAV</w:t>
            </w:r>
          </w:p>
        </w:tc>
        <w:tc>
          <w:tcPr>
            <w:tcW w:w="3188" w:type="dxa"/>
            <w:tcBorders>
              <w:bottom w:val="single" w:sz="4" w:space="0" w:color="auto"/>
            </w:tcBorders>
          </w:tcPr>
          <w:p w14:paraId="095AB61F" w14:textId="77777777" w:rsidR="006E3A3D" w:rsidRPr="00CB1714" w:rsidRDefault="006E3A3D" w:rsidP="006E3A3D">
            <w:pPr>
              <w:rPr>
                <w:rFonts w:ascii="Lato" w:hAnsi="Lato"/>
                <w:sz w:val="22"/>
                <w:szCs w:val="22"/>
              </w:rPr>
            </w:pPr>
          </w:p>
        </w:tc>
      </w:tr>
      <w:tr w:rsidR="006E3A3D" w:rsidRPr="00CB1714" w14:paraId="04856BD8" w14:textId="77777777" w:rsidTr="00990D73">
        <w:tc>
          <w:tcPr>
            <w:tcW w:w="1316" w:type="dxa"/>
          </w:tcPr>
          <w:p w14:paraId="213EFE41"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08ACB7D8" w14:textId="77777777" w:rsidR="006E3A3D" w:rsidRPr="00CB1714" w:rsidRDefault="006E3A3D" w:rsidP="006E3A3D">
            <w:pPr>
              <w:rPr>
                <w:rFonts w:ascii="Lato" w:hAnsi="Lato"/>
                <w:sz w:val="22"/>
                <w:szCs w:val="22"/>
              </w:rPr>
            </w:pPr>
            <w:r w:rsidRPr="00CB1714">
              <w:rPr>
                <w:rFonts w:ascii="Lato" w:hAnsi="Lato"/>
                <w:sz w:val="22"/>
                <w:szCs w:val="22"/>
              </w:rPr>
              <w:t>Authorised share capital of the investment company/ICAV</w:t>
            </w:r>
          </w:p>
        </w:tc>
        <w:tc>
          <w:tcPr>
            <w:tcW w:w="3188" w:type="dxa"/>
            <w:tcBorders>
              <w:top w:val="single" w:sz="4" w:space="0" w:color="auto"/>
              <w:left w:val="single" w:sz="4" w:space="0" w:color="auto"/>
              <w:bottom w:val="single" w:sz="4" w:space="0" w:color="auto"/>
              <w:right w:val="single" w:sz="4" w:space="0" w:color="auto"/>
            </w:tcBorders>
          </w:tcPr>
          <w:p w14:paraId="65157DBB" w14:textId="77777777" w:rsidR="006E3A3D" w:rsidRPr="00CB1714" w:rsidRDefault="006E3A3D" w:rsidP="006E3A3D">
            <w:pPr>
              <w:rPr>
                <w:rFonts w:ascii="Lato" w:hAnsi="Lato"/>
                <w:sz w:val="22"/>
                <w:szCs w:val="22"/>
              </w:rPr>
            </w:pPr>
          </w:p>
        </w:tc>
      </w:tr>
      <w:tr w:rsidR="006E3A3D" w:rsidRPr="00CB1714" w14:paraId="1B361B0A" w14:textId="77777777" w:rsidTr="004009A0">
        <w:trPr>
          <w:cantSplit/>
          <w:trHeight w:val="254"/>
        </w:trPr>
        <w:tc>
          <w:tcPr>
            <w:tcW w:w="1316" w:type="dxa"/>
          </w:tcPr>
          <w:p w14:paraId="0D86E915" w14:textId="77777777" w:rsidR="006E3A3D" w:rsidRPr="00CB1714" w:rsidRDefault="006E3A3D" w:rsidP="006E3A3D">
            <w:pPr>
              <w:rPr>
                <w:rFonts w:ascii="Lato" w:hAnsi="Lato"/>
                <w:sz w:val="22"/>
                <w:szCs w:val="22"/>
              </w:rPr>
            </w:pPr>
          </w:p>
        </w:tc>
        <w:tc>
          <w:tcPr>
            <w:tcW w:w="5891" w:type="dxa"/>
          </w:tcPr>
          <w:p w14:paraId="0BA8732B"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5856F65C" w14:textId="77777777" w:rsidR="006E3A3D" w:rsidRPr="00CB1714" w:rsidRDefault="006E3A3D" w:rsidP="006E3A3D">
            <w:pPr>
              <w:rPr>
                <w:rFonts w:ascii="Lato" w:hAnsi="Lato"/>
                <w:sz w:val="22"/>
                <w:szCs w:val="22"/>
              </w:rPr>
            </w:pPr>
          </w:p>
        </w:tc>
      </w:tr>
      <w:tr w:rsidR="006E3A3D" w:rsidRPr="00CB1714" w14:paraId="0BEEB256" w14:textId="77777777" w:rsidTr="004009A0">
        <w:tc>
          <w:tcPr>
            <w:tcW w:w="1316" w:type="dxa"/>
          </w:tcPr>
          <w:p w14:paraId="05B80C87" w14:textId="77777777" w:rsidR="006E3A3D" w:rsidRPr="00CB1714" w:rsidRDefault="006E3A3D" w:rsidP="006E3A3D">
            <w:pPr>
              <w:rPr>
                <w:rFonts w:ascii="Lato" w:hAnsi="Lato"/>
                <w:sz w:val="22"/>
                <w:szCs w:val="22"/>
              </w:rPr>
            </w:pPr>
            <w:r w:rsidRPr="00CB1714">
              <w:rPr>
                <w:rFonts w:ascii="Lato" w:hAnsi="Lato"/>
                <w:sz w:val="22"/>
                <w:szCs w:val="22"/>
              </w:rPr>
              <w:t>2.22.2</w:t>
            </w:r>
          </w:p>
        </w:tc>
        <w:tc>
          <w:tcPr>
            <w:tcW w:w="5891" w:type="dxa"/>
          </w:tcPr>
          <w:p w14:paraId="00C54BDF" w14:textId="77777777" w:rsidR="006E3A3D" w:rsidRPr="00CB1714" w:rsidRDefault="006E3A3D" w:rsidP="006E3A3D">
            <w:pPr>
              <w:pStyle w:val="Heading1"/>
              <w:spacing w:before="0" w:after="0" w:line="240" w:lineRule="auto"/>
              <w:rPr>
                <w:rFonts w:ascii="Lato" w:eastAsia="Arial Unicode MS" w:hAnsi="Lato"/>
                <w:color w:val="auto"/>
                <w:sz w:val="22"/>
                <w:szCs w:val="22"/>
              </w:rPr>
            </w:pPr>
            <w:r w:rsidRPr="00CB1714">
              <w:rPr>
                <w:rFonts w:ascii="Lato" w:hAnsi="Lato"/>
                <w:color w:val="auto"/>
                <w:sz w:val="22"/>
                <w:szCs w:val="22"/>
              </w:rPr>
              <w:t>Valuation Rules for the Qualifying Investor AIFs assets</w:t>
            </w:r>
          </w:p>
        </w:tc>
        <w:tc>
          <w:tcPr>
            <w:tcW w:w="3188" w:type="dxa"/>
          </w:tcPr>
          <w:p w14:paraId="2BFC5FA9" w14:textId="77777777" w:rsidR="006E3A3D" w:rsidRPr="00CB1714" w:rsidRDefault="006E3A3D" w:rsidP="006E3A3D">
            <w:pPr>
              <w:rPr>
                <w:rFonts w:ascii="Lato" w:hAnsi="Lato"/>
                <w:sz w:val="22"/>
                <w:szCs w:val="22"/>
              </w:rPr>
            </w:pPr>
          </w:p>
        </w:tc>
      </w:tr>
      <w:tr w:rsidR="006E3A3D" w:rsidRPr="00CB1714" w14:paraId="20756914" w14:textId="77777777" w:rsidTr="007E3170">
        <w:trPr>
          <w:cantSplit/>
          <w:trHeight w:val="255"/>
        </w:trPr>
        <w:tc>
          <w:tcPr>
            <w:tcW w:w="1316" w:type="dxa"/>
          </w:tcPr>
          <w:p w14:paraId="5F3C4759" w14:textId="77777777" w:rsidR="006E3A3D" w:rsidRPr="00CB1714" w:rsidRDefault="006E3A3D" w:rsidP="006E3A3D">
            <w:pPr>
              <w:jc w:val="right"/>
              <w:rPr>
                <w:rFonts w:ascii="Lato" w:hAnsi="Lato"/>
                <w:sz w:val="22"/>
                <w:szCs w:val="22"/>
              </w:rPr>
            </w:pPr>
          </w:p>
        </w:tc>
        <w:tc>
          <w:tcPr>
            <w:tcW w:w="5891" w:type="dxa"/>
          </w:tcPr>
          <w:p w14:paraId="268A0912" w14:textId="77777777" w:rsidR="006E3A3D" w:rsidRPr="00CB1714" w:rsidRDefault="006E3A3D" w:rsidP="006E3A3D">
            <w:pPr>
              <w:pStyle w:val="Heading1"/>
              <w:spacing w:before="0" w:after="0" w:line="240" w:lineRule="auto"/>
              <w:jc w:val="both"/>
              <w:rPr>
                <w:rFonts w:ascii="Lato" w:hAnsi="Lato"/>
                <w:color w:val="auto"/>
                <w:sz w:val="22"/>
                <w:szCs w:val="22"/>
              </w:rPr>
            </w:pPr>
          </w:p>
        </w:tc>
        <w:tc>
          <w:tcPr>
            <w:tcW w:w="3188" w:type="dxa"/>
            <w:tcBorders>
              <w:bottom w:val="single" w:sz="4" w:space="0" w:color="auto"/>
            </w:tcBorders>
          </w:tcPr>
          <w:p w14:paraId="188AD0B5" w14:textId="77777777" w:rsidR="006E3A3D" w:rsidRPr="00CB1714" w:rsidRDefault="006E3A3D" w:rsidP="006E3A3D">
            <w:pPr>
              <w:rPr>
                <w:rFonts w:ascii="Lato" w:hAnsi="Lato"/>
                <w:sz w:val="22"/>
                <w:szCs w:val="22"/>
              </w:rPr>
            </w:pPr>
          </w:p>
        </w:tc>
      </w:tr>
      <w:tr w:rsidR="006E3A3D" w:rsidRPr="00CB1714" w14:paraId="6CF8ADA5" w14:textId="77777777" w:rsidTr="007E3170">
        <w:trPr>
          <w:cantSplit/>
          <w:trHeight w:val="255"/>
        </w:trPr>
        <w:tc>
          <w:tcPr>
            <w:tcW w:w="1316" w:type="dxa"/>
          </w:tcPr>
          <w:p w14:paraId="534CD604" w14:textId="77777777" w:rsidR="006E3A3D" w:rsidRPr="00CB1714" w:rsidRDefault="006E3A3D" w:rsidP="006E3A3D">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45BB48AB" w14:textId="77777777" w:rsidR="006E3A3D" w:rsidRPr="00CB1714" w:rsidRDefault="006E3A3D" w:rsidP="006E3A3D">
            <w:pPr>
              <w:pStyle w:val="Heading1"/>
              <w:spacing w:before="0" w:after="0" w:line="240" w:lineRule="auto"/>
              <w:jc w:val="both"/>
              <w:rPr>
                <w:rFonts w:ascii="Lato" w:hAnsi="Lato"/>
                <w:color w:val="auto"/>
                <w:sz w:val="22"/>
                <w:szCs w:val="22"/>
              </w:rPr>
            </w:pPr>
            <w:r w:rsidRPr="00CB1714">
              <w:rPr>
                <w:rFonts w:ascii="Lato" w:hAnsi="Lato"/>
                <w:color w:val="auto"/>
                <w:sz w:val="22"/>
                <w:szCs w:val="22"/>
              </w:rPr>
              <w:t xml:space="preserve">Insert a description of the Qualifying Investor AIF’s </w:t>
            </w:r>
          </w:p>
        </w:tc>
        <w:tc>
          <w:tcPr>
            <w:tcW w:w="3188" w:type="dxa"/>
            <w:tcBorders>
              <w:top w:val="single" w:sz="4" w:space="0" w:color="auto"/>
              <w:left w:val="single" w:sz="4" w:space="0" w:color="auto"/>
              <w:bottom w:val="single" w:sz="4" w:space="0" w:color="auto"/>
              <w:right w:val="single" w:sz="4" w:space="0" w:color="auto"/>
            </w:tcBorders>
          </w:tcPr>
          <w:p w14:paraId="3CDFB392" w14:textId="77777777" w:rsidR="006E3A3D" w:rsidRPr="00CB1714" w:rsidRDefault="006E3A3D" w:rsidP="006E3A3D">
            <w:pPr>
              <w:rPr>
                <w:rFonts w:ascii="Lato" w:hAnsi="Lato"/>
                <w:sz w:val="22"/>
                <w:szCs w:val="22"/>
              </w:rPr>
            </w:pPr>
          </w:p>
        </w:tc>
      </w:tr>
      <w:tr w:rsidR="006E3A3D" w:rsidRPr="00CB1714" w14:paraId="7468F8C2" w14:textId="77777777" w:rsidTr="007E3170">
        <w:trPr>
          <w:cantSplit/>
          <w:trHeight w:val="255"/>
        </w:trPr>
        <w:tc>
          <w:tcPr>
            <w:tcW w:w="1316" w:type="dxa"/>
          </w:tcPr>
          <w:p w14:paraId="1B2A8955" w14:textId="77777777" w:rsidR="006E3A3D" w:rsidRPr="00CB1714" w:rsidRDefault="006E3A3D" w:rsidP="006E3A3D">
            <w:pPr>
              <w:jc w:val="right"/>
              <w:rPr>
                <w:rFonts w:ascii="Lato" w:hAnsi="Lato"/>
                <w:sz w:val="22"/>
                <w:szCs w:val="22"/>
              </w:rPr>
            </w:pPr>
          </w:p>
        </w:tc>
        <w:tc>
          <w:tcPr>
            <w:tcW w:w="5891" w:type="dxa"/>
          </w:tcPr>
          <w:p w14:paraId="49E3350E" w14:textId="77777777" w:rsidR="006E3A3D" w:rsidRPr="00CB1714" w:rsidRDefault="006E3A3D" w:rsidP="006E3A3D">
            <w:pPr>
              <w:pStyle w:val="Heading1"/>
              <w:spacing w:before="0" w:after="0" w:line="240" w:lineRule="auto"/>
              <w:jc w:val="both"/>
              <w:rPr>
                <w:rFonts w:ascii="Lato" w:hAnsi="Lato"/>
                <w:color w:val="auto"/>
                <w:sz w:val="22"/>
                <w:szCs w:val="22"/>
              </w:rPr>
            </w:pPr>
            <w:r w:rsidRPr="00F72ED7">
              <w:rPr>
                <w:rFonts w:ascii="Lato" w:hAnsi="Lato"/>
                <w:color w:val="auto"/>
                <w:sz w:val="22"/>
                <w:szCs w:val="22"/>
              </w:rPr>
              <w:t>valuation</w:t>
            </w:r>
            <w:r w:rsidRPr="00CB1714">
              <w:rPr>
                <w:rFonts w:ascii="Lato" w:hAnsi="Lato"/>
                <w:color w:val="auto"/>
                <w:sz w:val="22"/>
                <w:szCs w:val="22"/>
              </w:rPr>
              <w:t xml:space="preserve"> procedure:</w:t>
            </w:r>
          </w:p>
        </w:tc>
        <w:tc>
          <w:tcPr>
            <w:tcW w:w="3188" w:type="dxa"/>
            <w:tcBorders>
              <w:top w:val="single" w:sz="4" w:space="0" w:color="auto"/>
              <w:bottom w:val="single" w:sz="4" w:space="0" w:color="auto"/>
            </w:tcBorders>
          </w:tcPr>
          <w:p w14:paraId="2C773640" w14:textId="77777777" w:rsidR="006E3A3D" w:rsidRPr="00CB1714" w:rsidRDefault="006E3A3D" w:rsidP="006E3A3D">
            <w:pPr>
              <w:rPr>
                <w:rFonts w:ascii="Lato" w:hAnsi="Lato"/>
                <w:sz w:val="22"/>
                <w:szCs w:val="22"/>
              </w:rPr>
            </w:pPr>
          </w:p>
        </w:tc>
      </w:tr>
      <w:tr w:rsidR="006E3A3D" w:rsidRPr="00CB1714" w14:paraId="4E540D62" w14:textId="77777777" w:rsidTr="007E3170">
        <w:trPr>
          <w:cantSplit/>
          <w:trHeight w:val="255"/>
        </w:trPr>
        <w:tc>
          <w:tcPr>
            <w:tcW w:w="1316" w:type="dxa"/>
          </w:tcPr>
          <w:p w14:paraId="7A1C1D90" w14:textId="77777777" w:rsidR="006E3A3D" w:rsidRPr="00CB1714" w:rsidRDefault="006E3A3D" w:rsidP="006E3A3D">
            <w:pPr>
              <w:jc w:val="right"/>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23A71D84" w14:textId="77777777" w:rsidR="006E3A3D" w:rsidRPr="00CB1714" w:rsidRDefault="006E3A3D" w:rsidP="006E3A3D">
            <w:pPr>
              <w:pStyle w:val="Heading1"/>
              <w:spacing w:before="0" w:after="0" w:line="240" w:lineRule="auto"/>
              <w:jc w:val="both"/>
              <w:rPr>
                <w:rFonts w:ascii="Lato" w:hAnsi="Lato"/>
                <w:color w:val="auto"/>
                <w:sz w:val="22"/>
                <w:szCs w:val="22"/>
              </w:rPr>
            </w:pPr>
            <w:r w:rsidRPr="00CB1714">
              <w:rPr>
                <w:rFonts w:ascii="Lato" w:hAnsi="Lato"/>
                <w:color w:val="auto"/>
                <w:sz w:val="22"/>
                <w:szCs w:val="22"/>
              </w:rPr>
              <w:t xml:space="preserve">and pricing methodology for valuing assets (including </w:t>
            </w:r>
          </w:p>
        </w:tc>
        <w:tc>
          <w:tcPr>
            <w:tcW w:w="3188" w:type="dxa"/>
            <w:tcBorders>
              <w:top w:val="single" w:sz="4" w:space="0" w:color="auto"/>
              <w:left w:val="single" w:sz="4" w:space="0" w:color="auto"/>
              <w:bottom w:val="single" w:sz="4" w:space="0" w:color="auto"/>
              <w:right w:val="single" w:sz="4" w:space="0" w:color="auto"/>
            </w:tcBorders>
          </w:tcPr>
          <w:p w14:paraId="5D2422B3" w14:textId="77777777" w:rsidR="006E3A3D" w:rsidRPr="00CB1714" w:rsidRDefault="006E3A3D" w:rsidP="006E3A3D">
            <w:pPr>
              <w:rPr>
                <w:rFonts w:ascii="Lato" w:hAnsi="Lato"/>
                <w:sz w:val="22"/>
                <w:szCs w:val="22"/>
              </w:rPr>
            </w:pPr>
          </w:p>
        </w:tc>
      </w:tr>
      <w:tr w:rsidR="006E3A3D" w:rsidRPr="00CB1714" w14:paraId="3D1A6D0B" w14:textId="77777777" w:rsidTr="007E3170">
        <w:trPr>
          <w:cantSplit/>
          <w:trHeight w:val="255"/>
        </w:trPr>
        <w:tc>
          <w:tcPr>
            <w:tcW w:w="1316" w:type="dxa"/>
          </w:tcPr>
          <w:p w14:paraId="09925913" w14:textId="77777777" w:rsidR="006E3A3D" w:rsidRPr="00CB1714" w:rsidRDefault="006E3A3D" w:rsidP="006E3A3D">
            <w:pPr>
              <w:jc w:val="right"/>
              <w:rPr>
                <w:rFonts w:ascii="Lato" w:hAnsi="Lato"/>
                <w:sz w:val="22"/>
                <w:szCs w:val="22"/>
              </w:rPr>
            </w:pPr>
          </w:p>
        </w:tc>
        <w:tc>
          <w:tcPr>
            <w:tcW w:w="5891" w:type="dxa"/>
          </w:tcPr>
          <w:p w14:paraId="4E6FD3AA" w14:textId="77777777" w:rsidR="006E3A3D" w:rsidRPr="00CB1714" w:rsidRDefault="006E3A3D" w:rsidP="006E3A3D">
            <w:pPr>
              <w:pStyle w:val="Heading1"/>
              <w:spacing w:before="0" w:after="0" w:line="240" w:lineRule="auto"/>
              <w:jc w:val="both"/>
              <w:rPr>
                <w:rFonts w:ascii="Lato" w:hAnsi="Lato"/>
                <w:color w:val="auto"/>
                <w:sz w:val="22"/>
                <w:szCs w:val="22"/>
              </w:rPr>
            </w:pPr>
            <w:r w:rsidRPr="00F72ED7">
              <w:rPr>
                <w:rFonts w:ascii="Lato" w:hAnsi="Lato"/>
                <w:color w:val="auto"/>
                <w:sz w:val="22"/>
                <w:szCs w:val="22"/>
              </w:rPr>
              <w:t>methods</w:t>
            </w:r>
            <w:r w:rsidRPr="00CB1714">
              <w:rPr>
                <w:rFonts w:ascii="Lato" w:hAnsi="Lato"/>
                <w:color w:val="auto"/>
                <w:sz w:val="22"/>
                <w:szCs w:val="22"/>
              </w:rPr>
              <w:t xml:space="preserve"> used in valuing hard-to-value assets as per the </w:t>
            </w:r>
          </w:p>
        </w:tc>
        <w:tc>
          <w:tcPr>
            <w:tcW w:w="3188" w:type="dxa"/>
            <w:tcBorders>
              <w:top w:val="single" w:sz="4" w:space="0" w:color="auto"/>
            </w:tcBorders>
          </w:tcPr>
          <w:p w14:paraId="33180F94" w14:textId="77777777" w:rsidR="006E3A3D" w:rsidRPr="00CB1714" w:rsidRDefault="006E3A3D" w:rsidP="006E3A3D">
            <w:pPr>
              <w:rPr>
                <w:rFonts w:ascii="Lato" w:hAnsi="Lato"/>
                <w:sz w:val="22"/>
                <w:szCs w:val="22"/>
              </w:rPr>
            </w:pPr>
          </w:p>
        </w:tc>
      </w:tr>
      <w:tr w:rsidR="006E3A3D" w:rsidRPr="00CB1714" w14:paraId="236E7E74" w14:textId="77777777" w:rsidTr="004009A0">
        <w:trPr>
          <w:cantSplit/>
          <w:trHeight w:val="255"/>
        </w:trPr>
        <w:tc>
          <w:tcPr>
            <w:tcW w:w="1316" w:type="dxa"/>
          </w:tcPr>
          <w:p w14:paraId="39D61564" w14:textId="77777777" w:rsidR="006E3A3D" w:rsidRPr="00CB1714" w:rsidRDefault="006E3A3D" w:rsidP="006E3A3D">
            <w:pPr>
              <w:jc w:val="right"/>
              <w:rPr>
                <w:rFonts w:ascii="Lato" w:hAnsi="Lato"/>
                <w:sz w:val="22"/>
                <w:szCs w:val="22"/>
              </w:rPr>
            </w:pPr>
          </w:p>
        </w:tc>
        <w:tc>
          <w:tcPr>
            <w:tcW w:w="5891" w:type="dxa"/>
          </w:tcPr>
          <w:p w14:paraId="64FF615C" w14:textId="77777777" w:rsidR="006E3A3D" w:rsidRPr="00CB1714" w:rsidRDefault="006E3A3D" w:rsidP="006E3A3D">
            <w:pPr>
              <w:pStyle w:val="Heading1"/>
              <w:spacing w:before="0" w:after="0" w:line="240" w:lineRule="auto"/>
              <w:jc w:val="both"/>
              <w:rPr>
                <w:rFonts w:ascii="Lato" w:hAnsi="Lato"/>
                <w:color w:val="auto"/>
                <w:sz w:val="22"/>
                <w:szCs w:val="22"/>
              </w:rPr>
            </w:pPr>
            <w:r w:rsidRPr="00F72ED7">
              <w:rPr>
                <w:rFonts w:ascii="Lato" w:hAnsi="Lato"/>
                <w:color w:val="auto"/>
                <w:sz w:val="22"/>
                <w:szCs w:val="22"/>
              </w:rPr>
              <w:t xml:space="preserve">constitutional </w:t>
            </w:r>
            <w:r w:rsidRPr="00CB1714">
              <w:rPr>
                <w:rFonts w:ascii="Lato" w:hAnsi="Lato"/>
                <w:color w:val="auto"/>
                <w:sz w:val="22"/>
                <w:szCs w:val="22"/>
              </w:rPr>
              <w:t>document)</w:t>
            </w:r>
          </w:p>
        </w:tc>
        <w:tc>
          <w:tcPr>
            <w:tcW w:w="3188" w:type="dxa"/>
          </w:tcPr>
          <w:p w14:paraId="344703EE" w14:textId="77777777" w:rsidR="006E3A3D" w:rsidRPr="00CB1714" w:rsidRDefault="006E3A3D" w:rsidP="006E3A3D">
            <w:pPr>
              <w:rPr>
                <w:rFonts w:ascii="Lato" w:hAnsi="Lato"/>
                <w:sz w:val="22"/>
                <w:szCs w:val="22"/>
              </w:rPr>
            </w:pPr>
          </w:p>
        </w:tc>
      </w:tr>
      <w:tr w:rsidR="006E3A3D" w:rsidRPr="00CB1714" w14:paraId="5E592E7F" w14:textId="77777777" w:rsidTr="007E3170">
        <w:tc>
          <w:tcPr>
            <w:tcW w:w="1316" w:type="dxa"/>
          </w:tcPr>
          <w:p w14:paraId="60F5FC6F" w14:textId="77777777" w:rsidR="006E3A3D" w:rsidRPr="00CB1714" w:rsidRDefault="006E3A3D" w:rsidP="006E3A3D">
            <w:pPr>
              <w:jc w:val="right"/>
              <w:rPr>
                <w:rFonts w:ascii="Lato" w:hAnsi="Lato"/>
                <w:sz w:val="22"/>
                <w:szCs w:val="22"/>
              </w:rPr>
            </w:pPr>
          </w:p>
        </w:tc>
        <w:tc>
          <w:tcPr>
            <w:tcW w:w="5891" w:type="dxa"/>
          </w:tcPr>
          <w:p w14:paraId="57E2156D"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175CCE0B" w14:textId="77777777" w:rsidR="006E3A3D" w:rsidRPr="00CB1714" w:rsidRDefault="006E3A3D" w:rsidP="006E3A3D">
            <w:pPr>
              <w:rPr>
                <w:rFonts w:ascii="Lato" w:hAnsi="Lato"/>
                <w:sz w:val="22"/>
                <w:szCs w:val="22"/>
              </w:rPr>
            </w:pPr>
          </w:p>
        </w:tc>
      </w:tr>
      <w:tr w:rsidR="006E3A3D" w:rsidRPr="00CB1714" w14:paraId="36B2CFC3" w14:textId="77777777" w:rsidTr="007E3170">
        <w:tc>
          <w:tcPr>
            <w:tcW w:w="1316" w:type="dxa"/>
          </w:tcPr>
          <w:p w14:paraId="1E59A850" w14:textId="77777777" w:rsidR="006E3A3D" w:rsidRPr="00CB1714" w:rsidRDefault="006E3A3D" w:rsidP="006E3A3D">
            <w:pPr>
              <w:jc w:val="right"/>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709AC74C" w14:textId="77777777" w:rsidR="006E3A3D" w:rsidRPr="00CB1714" w:rsidRDefault="006E3A3D" w:rsidP="006E3A3D">
            <w:pPr>
              <w:rPr>
                <w:rFonts w:ascii="Lato" w:hAnsi="Lato"/>
                <w:sz w:val="22"/>
                <w:szCs w:val="22"/>
              </w:rPr>
            </w:pPr>
            <w:r w:rsidRPr="00CB1714">
              <w:rPr>
                <w:rFonts w:ascii="Lato" w:hAnsi="Lato"/>
                <w:sz w:val="22"/>
                <w:szCs w:val="22"/>
              </w:rPr>
              <w:t>Disclose details of the external valuer, where relevant</w:t>
            </w:r>
          </w:p>
        </w:tc>
        <w:tc>
          <w:tcPr>
            <w:tcW w:w="3188" w:type="dxa"/>
            <w:tcBorders>
              <w:top w:val="single" w:sz="4" w:space="0" w:color="auto"/>
              <w:left w:val="single" w:sz="4" w:space="0" w:color="auto"/>
              <w:bottom w:val="single" w:sz="4" w:space="0" w:color="auto"/>
              <w:right w:val="single" w:sz="4" w:space="0" w:color="auto"/>
            </w:tcBorders>
          </w:tcPr>
          <w:p w14:paraId="7CDC9E53" w14:textId="77777777" w:rsidR="006E3A3D" w:rsidRPr="00CB1714" w:rsidRDefault="006E3A3D" w:rsidP="006E3A3D">
            <w:pPr>
              <w:rPr>
                <w:rFonts w:ascii="Lato" w:hAnsi="Lato"/>
                <w:sz w:val="22"/>
                <w:szCs w:val="22"/>
              </w:rPr>
            </w:pPr>
          </w:p>
        </w:tc>
      </w:tr>
      <w:tr w:rsidR="006E3A3D" w:rsidRPr="00CB1714" w14:paraId="797633B8" w14:textId="77777777" w:rsidTr="00990D73">
        <w:tc>
          <w:tcPr>
            <w:tcW w:w="1316" w:type="dxa"/>
          </w:tcPr>
          <w:p w14:paraId="04D93E31" w14:textId="77777777" w:rsidR="006E3A3D" w:rsidRPr="00CB1714" w:rsidRDefault="006E3A3D" w:rsidP="006E3A3D">
            <w:pPr>
              <w:jc w:val="right"/>
              <w:rPr>
                <w:rFonts w:ascii="Lato" w:hAnsi="Lato"/>
                <w:sz w:val="22"/>
                <w:szCs w:val="22"/>
              </w:rPr>
            </w:pPr>
          </w:p>
        </w:tc>
        <w:tc>
          <w:tcPr>
            <w:tcW w:w="5891" w:type="dxa"/>
          </w:tcPr>
          <w:p w14:paraId="1D3382D1"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5C2E5B6C" w14:textId="77777777" w:rsidR="006E3A3D" w:rsidRPr="00CB1714" w:rsidRDefault="006E3A3D" w:rsidP="006E3A3D">
            <w:pPr>
              <w:rPr>
                <w:rFonts w:ascii="Lato" w:hAnsi="Lato"/>
                <w:sz w:val="22"/>
                <w:szCs w:val="22"/>
              </w:rPr>
            </w:pPr>
          </w:p>
        </w:tc>
      </w:tr>
      <w:tr w:rsidR="006E3A3D" w:rsidRPr="00CB1714" w14:paraId="1D6A7443" w14:textId="77777777" w:rsidTr="00990D73">
        <w:trPr>
          <w:cantSplit/>
          <w:trHeight w:val="255"/>
        </w:trPr>
        <w:tc>
          <w:tcPr>
            <w:tcW w:w="1316" w:type="dxa"/>
            <w:vMerge w:val="restart"/>
          </w:tcPr>
          <w:p w14:paraId="46AB12DA" w14:textId="77777777" w:rsidR="006E3A3D" w:rsidRPr="00CB1714" w:rsidRDefault="006E3A3D" w:rsidP="006E3A3D">
            <w:pPr>
              <w:jc w:val="right"/>
              <w:rPr>
                <w:rFonts w:ascii="Lato" w:hAnsi="Lato"/>
                <w:sz w:val="22"/>
                <w:szCs w:val="22"/>
              </w:rPr>
            </w:pPr>
            <w:r w:rsidRPr="00CB1714">
              <w:rPr>
                <w:rFonts w:ascii="Lato" w:hAnsi="Lato"/>
                <w:sz w:val="22"/>
                <w:szCs w:val="22"/>
              </w:rPr>
              <w:t xml:space="preserve">         d)</w:t>
            </w:r>
          </w:p>
        </w:tc>
        <w:tc>
          <w:tcPr>
            <w:tcW w:w="5891" w:type="dxa"/>
            <w:vMerge w:val="restart"/>
            <w:tcBorders>
              <w:right w:val="single" w:sz="4" w:space="0" w:color="auto"/>
            </w:tcBorders>
          </w:tcPr>
          <w:p w14:paraId="2BFF1C86" w14:textId="77777777" w:rsidR="006E3A3D" w:rsidRPr="00CB1714" w:rsidRDefault="006E3A3D" w:rsidP="006E3A3D">
            <w:pPr>
              <w:rPr>
                <w:rFonts w:ascii="Lato" w:hAnsi="Lato"/>
                <w:sz w:val="22"/>
                <w:szCs w:val="22"/>
              </w:rPr>
            </w:pPr>
            <w:r w:rsidRPr="00CB1714">
              <w:rPr>
                <w:rFonts w:ascii="Lato" w:hAnsi="Lato"/>
                <w:sz w:val="22"/>
                <w:szCs w:val="22"/>
              </w:rPr>
              <w:t>Disclose that valuation is carried out as often as the Qualifying Investor AIF deals</w:t>
            </w:r>
          </w:p>
        </w:tc>
        <w:tc>
          <w:tcPr>
            <w:tcW w:w="3188" w:type="dxa"/>
            <w:tcBorders>
              <w:top w:val="single" w:sz="4" w:space="0" w:color="auto"/>
              <w:left w:val="single" w:sz="4" w:space="0" w:color="auto"/>
              <w:bottom w:val="single" w:sz="4" w:space="0" w:color="auto"/>
              <w:right w:val="single" w:sz="4" w:space="0" w:color="auto"/>
            </w:tcBorders>
          </w:tcPr>
          <w:p w14:paraId="74F606A9" w14:textId="77777777" w:rsidR="006E3A3D" w:rsidRPr="00CB1714" w:rsidRDefault="006E3A3D" w:rsidP="006E3A3D">
            <w:pPr>
              <w:rPr>
                <w:rFonts w:ascii="Lato" w:hAnsi="Lato"/>
                <w:sz w:val="22"/>
                <w:szCs w:val="22"/>
              </w:rPr>
            </w:pPr>
          </w:p>
        </w:tc>
      </w:tr>
      <w:tr w:rsidR="006E3A3D" w:rsidRPr="00CB1714" w14:paraId="3D833C21" w14:textId="77777777" w:rsidTr="00990D73">
        <w:trPr>
          <w:cantSplit/>
          <w:trHeight w:val="254"/>
        </w:trPr>
        <w:tc>
          <w:tcPr>
            <w:tcW w:w="1316" w:type="dxa"/>
            <w:vMerge/>
          </w:tcPr>
          <w:p w14:paraId="17FAF35A" w14:textId="77777777" w:rsidR="006E3A3D" w:rsidRPr="00CB1714" w:rsidRDefault="006E3A3D" w:rsidP="006E3A3D">
            <w:pPr>
              <w:jc w:val="right"/>
              <w:rPr>
                <w:rFonts w:ascii="Lato" w:hAnsi="Lato"/>
                <w:sz w:val="22"/>
                <w:szCs w:val="22"/>
              </w:rPr>
            </w:pPr>
          </w:p>
        </w:tc>
        <w:tc>
          <w:tcPr>
            <w:tcW w:w="5891" w:type="dxa"/>
            <w:vMerge/>
          </w:tcPr>
          <w:p w14:paraId="11568257"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3ED2F163" w14:textId="77777777" w:rsidR="006E3A3D" w:rsidRPr="00CB1714" w:rsidRDefault="006E3A3D" w:rsidP="006E3A3D">
            <w:pPr>
              <w:rPr>
                <w:rFonts w:ascii="Lato" w:hAnsi="Lato"/>
                <w:sz w:val="22"/>
                <w:szCs w:val="22"/>
              </w:rPr>
            </w:pPr>
          </w:p>
        </w:tc>
      </w:tr>
      <w:tr w:rsidR="006E3A3D" w:rsidRPr="00CB1714" w14:paraId="3B08428F" w14:textId="77777777" w:rsidTr="00990D73">
        <w:trPr>
          <w:trHeight w:val="271"/>
        </w:trPr>
        <w:tc>
          <w:tcPr>
            <w:tcW w:w="1316" w:type="dxa"/>
          </w:tcPr>
          <w:p w14:paraId="6EA69DAB" w14:textId="77777777" w:rsidR="006E3A3D" w:rsidRPr="00CB1714" w:rsidRDefault="006E3A3D" w:rsidP="006E3A3D">
            <w:pPr>
              <w:jc w:val="right"/>
              <w:rPr>
                <w:rFonts w:ascii="Lato" w:hAnsi="Lato"/>
                <w:sz w:val="22"/>
                <w:szCs w:val="22"/>
              </w:rPr>
            </w:pPr>
          </w:p>
        </w:tc>
        <w:tc>
          <w:tcPr>
            <w:tcW w:w="5891" w:type="dxa"/>
          </w:tcPr>
          <w:p w14:paraId="08FBA79B"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395989CD" w14:textId="77777777" w:rsidR="006E3A3D" w:rsidRPr="00CB1714" w:rsidRDefault="006E3A3D" w:rsidP="006E3A3D">
            <w:pPr>
              <w:rPr>
                <w:rFonts w:ascii="Lato" w:hAnsi="Lato"/>
                <w:sz w:val="22"/>
                <w:szCs w:val="22"/>
              </w:rPr>
            </w:pPr>
          </w:p>
        </w:tc>
      </w:tr>
      <w:tr w:rsidR="006E3A3D" w:rsidRPr="00CB1714" w14:paraId="133BBDCD" w14:textId="77777777" w:rsidTr="00990D73">
        <w:trPr>
          <w:trHeight w:val="271"/>
        </w:trPr>
        <w:tc>
          <w:tcPr>
            <w:tcW w:w="1316" w:type="dxa"/>
          </w:tcPr>
          <w:p w14:paraId="46EE2D8F" w14:textId="77777777" w:rsidR="006E3A3D" w:rsidRPr="00CB1714" w:rsidRDefault="006E3A3D" w:rsidP="006E3A3D">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3A5696F9" w14:textId="77777777" w:rsidR="006E3A3D" w:rsidRPr="00CB1714" w:rsidRDefault="006E3A3D" w:rsidP="006E3A3D">
            <w:pPr>
              <w:rPr>
                <w:rFonts w:ascii="Lato" w:hAnsi="Lato"/>
                <w:sz w:val="22"/>
                <w:szCs w:val="22"/>
              </w:rPr>
            </w:pPr>
            <w:r w:rsidRPr="00CB1714">
              <w:rPr>
                <w:rFonts w:ascii="Lato" w:hAnsi="Lato"/>
                <w:sz w:val="22"/>
                <w:szCs w:val="22"/>
              </w:rPr>
              <w:t xml:space="preserve">Confirm that for closed ended, or open ended with limited </w:t>
            </w:r>
          </w:p>
        </w:tc>
        <w:tc>
          <w:tcPr>
            <w:tcW w:w="3188" w:type="dxa"/>
            <w:tcBorders>
              <w:top w:val="single" w:sz="4" w:space="0" w:color="auto"/>
              <w:left w:val="single" w:sz="4" w:space="0" w:color="auto"/>
              <w:bottom w:val="single" w:sz="4" w:space="0" w:color="auto"/>
              <w:right w:val="single" w:sz="4" w:space="0" w:color="auto"/>
            </w:tcBorders>
          </w:tcPr>
          <w:p w14:paraId="26EAA800" w14:textId="77777777" w:rsidR="006E3A3D" w:rsidRPr="00CB1714" w:rsidRDefault="006E3A3D" w:rsidP="006E3A3D">
            <w:pPr>
              <w:rPr>
                <w:rFonts w:ascii="Lato" w:hAnsi="Lato"/>
                <w:sz w:val="22"/>
                <w:szCs w:val="22"/>
              </w:rPr>
            </w:pPr>
          </w:p>
        </w:tc>
      </w:tr>
      <w:tr w:rsidR="006E3A3D" w:rsidRPr="00CB1714" w14:paraId="464087BD" w14:textId="77777777" w:rsidTr="00990D73">
        <w:trPr>
          <w:trHeight w:val="271"/>
        </w:trPr>
        <w:tc>
          <w:tcPr>
            <w:tcW w:w="1316" w:type="dxa"/>
          </w:tcPr>
          <w:p w14:paraId="75ED24FB" w14:textId="77777777" w:rsidR="006E3A3D" w:rsidRPr="00CB1714" w:rsidRDefault="006E3A3D" w:rsidP="006E3A3D">
            <w:pPr>
              <w:jc w:val="right"/>
              <w:rPr>
                <w:rFonts w:ascii="Lato" w:hAnsi="Lato"/>
                <w:sz w:val="22"/>
                <w:szCs w:val="22"/>
              </w:rPr>
            </w:pPr>
          </w:p>
        </w:tc>
        <w:tc>
          <w:tcPr>
            <w:tcW w:w="5891" w:type="dxa"/>
          </w:tcPr>
          <w:p w14:paraId="25B0A446" w14:textId="77777777" w:rsidR="006E3A3D" w:rsidRPr="00CB1714" w:rsidRDefault="006E3A3D" w:rsidP="006E3A3D">
            <w:pPr>
              <w:rPr>
                <w:rFonts w:ascii="Lato" w:hAnsi="Lato"/>
                <w:sz w:val="22"/>
                <w:szCs w:val="22"/>
              </w:rPr>
            </w:pPr>
            <w:r w:rsidRPr="00CB1714">
              <w:rPr>
                <w:rFonts w:ascii="Lato" w:hAnsi="Lato"/>
                <w:sz w:val="22"/>
                <w:szCs w:val="22"/>
              </w:rPr>
              <w:t xml:space="preserve">liquidity Qualifying Investor AIFs the valuation of assets </w:t>
            </w:r>
          </w:p>
        </w:tc>
        <w:tc>
          <w:tcPr>
            <w:tcW w:w="3188" w:type="dxa"/>
            <w:tcBorders>
              <w:top w:val="single" w:sz="4" w:space="0" w:color="auto"/>
            </w:tcBorders>
          </w:tcPr>
          <w:p w14:paraId="049AEB46" w14:textId="77777777" w:rsidR="006E3A3D" w:rsidRPr="00CB1714" w:rsidRDefault="006E3A3D" w:rsidP="006E3A3D">
            <w:pPr>
              <w:rPr>
                <w:rFonts w:ascii="Lato" w:hAnsi="Lato"/>
                <w:sz w:val="22"/>
                <w:szCs w:val="22"/>
              </w:rPr>
            </w:pPr>
          </w:p>
        </w:tc>
      </w:tr>
      <w:tr w:rsidR="006E3A3D" w:rsidRPr="00CB1714" w14:paraId="53746FE2" w14:textId="77777777" w:rsidTr="00990D73">
        <w:trPr>
          <w:trHeight w:val="271"/>
        </w:trPr>
        <w:tc>
          <w:tcPr>
            <w:tcW w:w="1316" w:type="dxa"/>
          </w:tcPr>
          <w:p w14:paraId="34A4370D" w14:textId="77777777" w:rsidR="006E3A3D" w:rsidRPr="00CB1714" w:rsidRDefault="006E3A3D" w:rsidP="006E3A3D">
            <w:pPr>
              <w:jc w:val="right"/>
              <w:rPr>
                <w:rFonts w:ascii="Lato" w:hAnsi="Lato"/>
                <w:sz w:val="22"/>
                <w:szCs w:val="22"/>
              </w:rPr>
            </w:pPr>
          </w:p>
        </w:tc>
        <w:tc>
          <w:tcPr>
            <w:tcW w:w="5891" w:type="dxa"/>
          </w:tcPr>
          <w:p w14:paraId="1AE0BBF3" w14:textId="77777777" w:rsidR="006E3A3D" w:rsidRPr="00CB1714" w:rsidRDefault="006E3A3D" w:rsidP="006E3A3D">
            <w:pPr>
              <w:rPr>
                <w:rFonts w:ascii="Lato" w:hAnsi="Lato"/>
                <w:sz w:val="22"/>
                <w:szCs w:val="22"/>
              </w:rPr>
            </w:pPr>
            <w:r w:rsidRPr="00F72ED7">
              <w:rPr>
                <w:rFonts w:ascii="Lato" w:hAnsi="Lato"/>
                <w:sz w:val="22"/>
                <w:szCs w:val="22"/>
              </w:rPr>
              <w:t>and</w:t>
            </w:r>
            <w:r w:rsidRPr="00CB1714">
              <w:rPr>
                <w:rFonts w:ascii="Lato" w:hAnsi="Lato"/>
                <w:sz w:val="22"/>
                <w:szCs w:val="22"/>
              </w:rPr>
              <w:t xml:space="preserve"> calculation of net asset value is calculated at least once a year</w:t>
            </w:r>
          </w:p>
        </w:tc>
        <w:tc>
          <w:tcPr>
            <w:tcW w:w="3188" w:type="dxa"/>
          </w:tcPr>
          <w:p w14:paraId="3A972508" w14:textId="77777777" w:rsidR="006E3A3D" w:rsidRPr="00CB1714" w:rsidRDefault="006E3A3D" w:rsidP="006E3A3D">
            <w:pPr>
              <w:rPr>
                <w:rFonts w:ascii="Lato" w:hAnsi="Lato"/>
                <w:sz w:val="22"/>
                <w:szCs w:val="22"/>
              </w:rPr>
            </w:pPr>
          </w:p>
        </w:tc>
      </w:tr>
      <w:tr w:rsidR="006E3A3D" w:rsidRPr="00CB1714" w14:paraId="562B2D5E" w14:textId="77777777" w:rsidTr="00990D73">
        <w:trPr>
          <w:trHeight w:val="271"/>
        </w:trPr>
        <w:tc>
          <w:tcPr>
            <w:tcW w:w="1316" w:type="dxa"/>
          </w:tcPr>
          <w:p w14:paraId="34F511FC" w14:textId="77777777" w:rsidR="006E3A3D" w:rsidRPr="00CB1714" w:rsidRDefault="006E3A3D" w:rsidP="006E3A3D">
            <w:pPr>
              <w:jc w:val="right"/>
              <w:rPr>
                <w:rFonts w:ascii="Lato" w:hAnsi="Lato"/>
                <w:sz w:val="22"/>
                <w:szCs w:val="22"/>
              </w:rPr>
            </w:pPr>
          </w:p>
        </w:tc>
        <w:tc>
          <w:tcPr>
            <w:tcW w:w="5891" w:type="dxa"/>
          </w:tcPr>
          <w:p w14:paraId="38BFC511" w14:textId="77777777" w:rsidR="006E3A3D" w:rsidRPr="00CB1714" w:rsidRDefault="006E3A3D" w:rsidP="006E3A3D">
            <w:pPr>
              <w:rPr>
                <w:rFonts w:ascii="Lato" w:hAnsi="Lato"/>
                <w:sz w:val="22"/>
                <w:szCs w:val="22"/>
              </w:rPr>
            </w:pPr>
          </w:p>
        </w:tc>
        <w:tc>
          <w:tcPr>
            <w:tcW w:w="3188" w:type="dxa"/>
          </w:tcPr>
          <w:p w14:paraId="2FF7F2D2" w14:textId="77777777" w:rsidR="006E3A3D" w:rsidRPr="00CB1714" w:rsidRDefault="006E3A3D" w:rsidP="006E3A3D">
            <w:pPr>
              <w:rPr>
                <w:rFonts w:ascii="Lato" w:hAnsi="Lato"/>
                <w:sz w:val="22"/>
                <w:szCs w:val="22"/>
              </w:rPr>
            </w:pPr>
          </w:p>
        </w:tc>
      </w:tr>
      <w:tr w:rsidR="006E3A3D" w:rsidRPr="00CB1714" w14:paraId="71ABF0F2" w14:textId="77777777" w:rsidTr="00990D73">
        <w:tc>
          <w:tcPr>
            <w:tcW w:w="1316" w:type="dxa"/>
          </w:tcPr>
          <w:p w14:paraId="51784923" w14:textId="77777777" w:rsidR="006E3A3D" w:rsidRPr="00CB1714" w:rsidRDefault="006E3A3D" w:rsidP="006E3A3D">
            <w:pPr>
              <w:rPr>
                <w:rFonts w:ascii="Lato" w:hAnsi="Lato"/>
                <w:b/>
                <w:bCs/>
                <w:sz w:val="22"/>
                <w:szCs w:val="22"/>
              </w:rPr>
            </w:pPr>
            <w:r w:rsidRPr="00CB1714">
              <w:rPr>
                <w:rFonts w:ascii="Lato" w:hAnsi="Lato"/>
                <w:b/>
                <w:bCs/>
                <w:sz w:val="22"/>
                <w:szCs w:val="22"/>
              </w:rPr>
              <w:t>2.23</w:t>
            </w:r>
          </w:p>
        </w:tc>
        <w:tc>
          <w:tcPr>
            <w:tcW w:w="5891" w:type="dxa"/>
          </w:tcPr>
          <w:p w14:paraId="0E9AA354" w14:textId="77777777" w:rsidR="006E3A3D" w:rsidRPr="00CB1714" w:rsidRDefault="006E3A3D" w:rsidP="006E3A3D">
            <w:pPr>
              <w:rPr>
                <w:rFonts w:ascii="Lato" w:hAnsi="Lato"/>
                <w:b/>
                <w:bCs/>
                <w:sz w:val="22"/>
                <w:szCs w:val="22"/>
              </w:rPr>
            </w:pPr>
            <w:r w:rsidRPr="00CB1714">
              <w:rPr>
                <w:rFonts w:ascii="Lato" w:hAnsi="Lato"/>
                <w:b/>
                <w:bCs/>
                <w:sz w:val="22"/>
                <w:szCs w:val="22"/>
              </w:rPr>
              <w:t>Umbrella Funds</w:t>
            </w:r>
          </w:p>
        </w:tc>
        <w:tc>
          <w:tcPr>
            <w:tcW w:w="3188" w:type="dxa"/>
          </w:tcPr>
          <w:p w14:paraId="5D78784C" w14:textId="77777777" w:rsidR="006E3A3D" w:rsidRPr="00CB1714" w:rsidRDefault="006E3A3D" w:rsidP="006E3A3D">
            <w:pPr>
              <w:rPr>
                <w:rFonts w:ascii="Lato" w:hAnsi="Lato"/>
                <w:sz w:val="22"/>
                <w:szCs w:val="22"/>
              </w:rPr>
            </w:pPr>
          </w:p>
        </w:tc>
      </w:tr>
      <w:tr w:rsidR="006E3A3D" w:rsidRPr="00CB1714" w14:paraId="2F3CE0C5" w14:textId="77777777" w:rsidTr="00990D73">
        <w:tc>
          <w:tcPr>
            <w:tcW w:w="1316" w:type="dxa"/>
          </w:tcPr>
          <w:p w14:paraId="6C475EFC" w14:textId="77777777" w:rsidR="006E3A3D" w:rsidRPr="00CB1714" w:rsidRDefault="006E3A3D" w:rsidP="006E3A3D">
            <w:pPr>
              <w:rPr>
                <w:rFonts w:ascii="Lato" w:hAnsi="Lato"/>
                <w:sz w:val="22"/>
                <w:szCs w:val="22"/>
              </w:rPr>
            </w:pPr>
          </w:p>
        </w:tc>
        <w:tc>
          <w:tcPr>
            <w:tcW w:w="5891" w:type="dxa"/>
          </w:tcPr>
          <w:p w14:paraId="0913D91E"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597D1935" w14:textId="77777777" w:rsidR="006E3A3D" w:rsidRPr="00CB1714" w:rsidRDefault="006E3A3D" w:rsidP="006E3A3D">
            <w:pPr>
              <w:rPr>
                <w:rFonts w:ascii="Lato" w:hAnsi="Lato"/>
                <w:sz w:val="22"/>
                <w:szCs w:val="22"/>
              </w:rPr>
            </w:pPr>
          </w:p>
        </w:tc>
      </w:tr>
      <w:tr w:rsidR="006E3A3D" w:rsidRPr="00CB1714" w14:paraId="39D87C9D" w14:textId="77777777" w:rsidTr="00990D73">
        <w:trPr>
          <w:cantSplit/>
          <w:trHeight w:val="253"/>
        </w:trPr>
        <w:tc>
          <w:tcPr>
            <w:tcW w:w="1316" w:type="dxa"/>
            <w:vMerge w:val="restart"/>
          </w:tcPr>
          <w:p w14:paraId="4D87A93A" w14:textId="77777777" w:rsidR="006E3A3D" w:rsidRPr="00CB1714" w:rsidRDefault="006E3A3D" w:rsidP="006E3A3D">
            <w:pPr>
              <w:rPr>
                <w:rFonts w:ascii="Lato" w:hAnsi="Lato"/>
                <w:sz w:val="22"/>
                <w:szCs w:val="22"/>
              </w:rPr>
            </w:pPr>
            <w:r w:rsidRPr="00CB1714">
              <w:rPr>
                <w:rFonts w:ascii="Lato" w:hAnsi="Lato"/>
                <w:sz w:val="22"/>
                <w:szCs w:val="22"/>
              </w:rPr>
              <w:t>2.23.1</w:t>
            </w:r>
          </w:p>
        </w:tc>
        <w:tc>
          <w:tcPr>
            <w:tcW w:w="5891" w:type="dxa"/>
            <w:vMerge w:val="restart"/>
            <w:tcBorders>
              <w:right w:val="single" w:sz="4" w:space="0" w:color="auto"/>
            </w:tcBorders>
          </w:tcPr>
          <w:p w14:paraId="6873F0BB" w14:textId="77777777" w:rsidR="006E3A3D" w:rsidRPr="00CB1714" w:rsidRDefault="006E3A3D" w:rsidP="006E3A3D">
            <w:pPr>
              <w:jc w:val="both"/>
              <w:rPr>
                <w:rFonts w:ascii="Lato" w:hAnsi="Lato"/>
                <w:sz w:val="22"/>
                <w:szCs w:val="22"/>
              </w:rPr>
            </w:pPr>
            <w:r w:rsidRPr="00CB1714">
              <w:rPr>
                <w:rFonts w:ascii="Lato" w:hAnsi="Lato"/>
                <w:sz w:val="22"/>
                <w:szCs w:val="22"/>
              </w:rPr>
              <w:t>In the case of investment companies/ICAVs, a statement on the cover of the prospectus that the Qualifying Investor AIF is ‘</w:t>
            </w:r>
            <w:r w:rsidRPr="00CB1714">
              <w:rPr>
                <w:rFonts w:ascii="Lato" w:hAnsi="Lato"/>
                <w:b/>
                <w:sz w:val="22"/>
                <w:szCs w:val="22"/>
              </w:rPr>
              <w:t>An umbrella fund with segregated liability between sub-funds</w:t>
            </w:r>
            <w:r w:rsidRPr="00CB1714">
              <w:rPr>
                <w:rFonts w:ascii="Lato" w:hAnsi="Lato"/>
                <w:sz w:val="22"/>
                <w:szCs w:val="22"/>
              </w:rPr>
              <w:t>’</w:t>
            </w:r>
          </w:p>
        </w:tc>
        <w:tc>
          <w:tcPr>
            <w:tcW w:w="3188" w:type="dxa"/>
            <w:tcBorders>
              <w:top w:val="single" w:sz="4" w:space="0" w:color="auto"/>
              <w:left w:val="single" w:sz="4" w:space="0" w:color="auto"/>
              <w:bottom w:val="single" w:sz="4" w:space="0" w:color="auto"/>
              <w:right w:val="single" w:sz="4" w:space="0" w:color="auto"/>
            </w:tcBorders>
          </w:tcPr>
          <w:p w14:paraId="42E72DE5" w14:textId="77777777" w:rsidR="006E3A3D" w:rsidRPr="00CB1714" w:rsidRDefault="006E3A3D" w:rsidP="006E3A3D">
            <w:pPr>
              <w:rPr>
                <w:rFonts w:ascii="Lato" w:hAnsi="Lato"/>
                <w:sz w:val="22"/>
                <w:szCs w:val="22"/>
              </w:rPr>
            </w:pPr>
          </w:p>
        </w:tc>
      </w:tr>
      <w:tr w:rsidR="006E3A3D" w:rsidRPr="00CB1714" w14:paraId="2C0407B3" w14:textId="77777777" w:rsidTr="00990D73">
        <w:trPr>
          <w:cantSplit/>
          <w:trHeight w:val="251"/>
        </w:trPr>
        <w:tc>
          <w:tcPr>
            <w:tcW w:w="1316" w:type="dxa"/>
            <w:vMerge/>
          </w:tcPr>
          <w:p w14:paraId="41316562" w14:textId="77777777" w:rsidR="006E3A3D" w:rsidRPr="00CB1714" w:rsidRDefault="006E3A3D" w:rsidP="006E3A3D">
            <w:pPr>
              <w:rPr>
                <w:rFonts w:ascii="Lato" w:hAnsi="Lato"/>
                <w:sz w:val="22"/>
                <w:szCs w:val="22"/>
              </w:rPr>
            </w:pPr>
          </w:p>
        </w:tc>
        <w:tc>
          <w:tcPr>
            <w:tcW w:w="5891" w:type="dxa"/>
            <w:vMerge/>
          </w:tcPr>
          <w:p w14:paraId="1F0B2BFB" w14:textId="77777777" w:rsidR="006E3A3D" w:rsidRPr="00CB1714" w:rsidRDefault="006E3A3D" w:rsidP="006E3A3D">
            <w:pPr>
              <w:jc w:val="both"/>
              <w:rPr>
                <w:rFonts w:ascii="Lato" w:hAnsi="Lato"/>
                <w:sz w:val="22"/>
                <w:szCs w:val="22"/>
              </w:rPr>
            </w:pPr>
          </w:p>
        </w:tc>
        <w:tc>
          <w:tcPr>
            <w:tcW w:w="3188" w:type="dxa"/>
            <w:tcBorders>
              <w:top w:val="single" w:sz="4" w:space="0" w:color="auto"/>
            </w:tcBorders>
          </w:tcPr>
          <w:p w14:paraId="0AA30BB0" w14:textId="77777777" w:rsidR="006E3A3D" w:rsidRPr="00CB1714" w:rsidRDefault="006E3A3D" w:rsidP="006E3A3D">
            <w:pPr>
              <w:rPr>
                <w:rFonts w:ascii="Lato" w:hAnsi="Lato"/>
                <w:sz w:val="22"/>
                <w:szCs w:val="22"/>
              </w:rPr>
            </w:pPr>
          </w:p>
        </w:tc>
      </w:tr>
      <w:tr w:rsidR="006E3A3D" w:rsidRPr="00CB1714" w14:paraId="7177AF78" w14:textId="77777777" w:rsidTr="00990D73">
        <w:trPr>
          <w:cantSplit/>
          <w:trHeight w:val="251"/>
        </w:trPr>
        <w:tc>
          <w:tcPr>
            <w:tcW w:w="1316" w:type="dxa"/>
            <w:vMerge/>
          </w:tcPr>
          <w:p w14:paraId="31A830AD" w14:textId="77777777" w:rsidR="006E3A3D" w:rsidRPr="00CB1714" w:rsidRDefault="006E3A3D" w:rsidP="006E3A3D">
            <w:pPr>
              <w:rPr>
                <w:rFonts w:ascii="Lato" w:hAnsi="Lato"/>
                <w:sz w:val="22"/>
                <w:szCs w:val="22"/>
              </w:rPr>
            </w:pPr>
          </w:p>
        </w:tc>
        <w:tc>
          <w:tcPr>
            <w:tcW w:w="5891" w:type="dxa"/>
            <w:vMerge/>
          </w:tcPr>
          <w:p w14:paraId="1C601DBD" w14:textId="77777777" w:rsidR="006E3A3D" w:rsidRPr="00CB1714" w:rsidRDefault="006E3A3D" w:rsidP="006E3A3D">
            <w:pPr>
              <w:jc w:val="both"/>
              <w:rPr>
                <w:rFonts w:ascii="Lato" w:hAnsi="Lato"/>
                <w:sz w:val="22"/>
                <w:szCs w:val="22"/>
              </w:rPr>
            </w:pPr>
          </w:p>
        </w:tc>
        <w:tc>
          <w:tcPr>
            <w:tcW w:w="3188" w:type="dxa"/>
          </w:tcPr>
          <w:p w14:paraId="2E619AAD" w14:textId="77777777" w:rsidR="006E3A3D" w:rsidRPr="00CB1714" w:rsidRDefault="006E3A3D" w:rsidP="006E3A3D">
            <w:pPr>
              <w:rPr>
                <w:rFonts w:ascii="Lato" w:hAnsi="Lato"/>
                <w:sz w:val="22"/>
                <w:szCs w:val="22"/>
              </w:rPr>
            </w:pPr>
          </w:p>
        </w:tc>
      </w:tr>
      <w:tr w:rsidR="006E3A3D" w:rsidRPr="00CB1714" w14:paraId="1B5FD5E4" w14:textId="77777777" w:rsidTr="00990D73">
        <w:trPr>
          <w:cantSplit/>
          <w:trHeight w:val="251"/>
        </w:trPr>
        <w:tc>
          <w:tcPr>
            <w:tcW w:w="1316" w:type="dxa"/>
          </w:tcPr>
          <w:p w14:paraId="17937985" w14:textId="77777777" w:rsidR="006E3A3D" w:rsidRPr="00CB1714" w:rsidRDefault="006E3A3D" w:rsidP="006E3A3D">
            <w:pPr>
              <w:rPr>
                <w:rFonts w:ascii="Lato" w:hAnsi="Lato"/>
                <w:sz w:val="22"/>
                <w:szCs w:val="22"/>
              </w:rPr>
            </w:pPr>
          </w:p>
        </w:tc>
        <w:tc>
          <w:tcPr>
            <w:tcW w:w="5891" w:type="dxa"/>
          </w:tcPr>
          <w:p w14:paraId="0FA99E97"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7935ADF7" w14:textId="77777777" w:rsidR="006E3A3D" w:rsidRPr="00CB1714" w:rsidRDefault="006E3A3D" w:rsidP="006E3A3D">
            <w:pPr>
              <w:rPr>
                <w:rFonts w:ascii="Lato" w:hAnsi="Lato"/>
                <w:sz w:val="22"/>
                <w:szCs w:val="22"/>
              </w:rPr>
            </w:pPr>
          </w:p>
        </w:tc>
      </w:tr>
      <w:tr w:rsidR="006E3A3D" w:rsidRPr="00CB1714" w14:paraId="1D191257" w14:textId="77777777" w:rsidTr="00990D73">
        <w:trPr>
          <w:cantSplit/>
          <w:trHeight w:val="251"/>
        </w:trPr>
        <w:tc>
          <w:tcPr>
            <w:tcW w:w="1316" w:type="dxa"/>
          </w:tcPr>
          <w:p w14:paraId="469D5ABA" w14:textId="77777777" w:rsidR="006E3A3D" w:rsidRPr="00CB1714" w:rsidRDefault="006E3A3D" w:rsidP="006E3A3D">
            <w:pPr>
              <w:rPr>
                <w:rFonts w:ascii="Lato" w:hAnsi="Lato"/>
                <w:sz w:val="22"/>
                <w:szCs w:val="22"/>
              </w:rPr>
            </w:pPr>
            <w:r w:rsidRPr="00CB1714">
              <w:rPr>
                <w:rFonts w:ascii="Lato" w:hAnsi="Lato"/>
                <w:sz w:val="22"/>
                <w:szCs w:val="22"/>
              </w:rPr>
              <w:t>2.23.2</w:t>
            </w:r>
          </w:p>
        </w:tc>
        <w:tc>
          <w:tcPr>
            <w:tcW w:w="5891" w:type="dxa"/>
            <w:tcBorders>
              <w:right w:val="single" w:sz="4" w:space="0" w:color="auto"/>
            </w:tcBorders>
          </w:tcPr>
          <w:p w14:paraId="1DAE75AD" w14:textId="77777777" w:rsidR="006E3A3D" w:rsidRPr="00CB1714" w:rsidRDefault="006E3A3D" w:rsidP="006E3A3D">
            <w:pPr>
              <w:jc w:val="both"/>
              <w:rPr>
                <w:rFonts w:ascii="Lato" w:hAnsi="Lato"/>
                <w:sz w:val="22"/>
                <w:szCs w:val="22"/>
              </w:rPr>
            </w:pPr>
            <w:r w:rsidRPr="00CB1714">
              <w:rPr>
                <w:rFonts w:ascii="Lato" w:hAnsi="Lato"/>
                <w:sz w:val="22"/>
                <w:szCs w:val="22"/>
              </w:rPr>
              <w:t xml:space="preserve">State in bold text that the supplement forms part of, and </w:t>
            </w:r>
          </w:p>
        </w:tc>
        <w:tc>
          <w:tcPr>
            <w:tcW w:w="3188" w:type="dxa"/>
            <w:tcBorders>
              <w:top w:val="single" w:sz="4" w:space="0" w:color="auto"/>
              <w:left w:val="single" w:sz="4" w:space="0" w:color="auto"/>
              <w:bottom w:val="single" w:sz="4" w:space="0" w:color="auto"/>
              <w:right w:val="single" w:sz="4" w:space="0" w:color="auto"/>
            </w:tcBorders>
          </w:tcPr>
          <w:p w14:paraId="48E53B19" w14:textId="77777777" w:rsidR="006E3A3D" w:rsidRPr="00CB1714" w:rsidRDefault="006E3A3D" w:rsidP="006E3A3D">
            <w:pPr>
              <w:rPr>
                <w:rFonts w:ascii="Lato" w:hAnsi="Lato"/>
                <w:sz w:val="22"/>
                <w:szCs w:val="22"/>
              </w:rPr>
            </w:pPr>
          </w:p>
        </w:tc>
      </w:tr>
      <w:tr w:rsidR="006E3A3D" w:rsidRPr="00CB1714" w14:paraId="20C8AAAA" w14:textId="77777777" w:rsidTr="00990D73">
        <w:trPr>
          <w:cantSplit/>
          <w:trHeight w:val="251"/>
        </w:trPr>
        <w:tc>
          <w:tcPr>
            <w:tcW w:w="1316" w:type="dxa"/>
          </w:tcPr>
          <w:p w14:paraId="65E1486E" w14:textId="77777777" w:rsidR="006E3A3D" w:rsidRPr="00CB1714" w:rsidRDefault="006E3A3D" w:rsidP="006E3A3D">
            <w:pPr>
              <w:rPr>
                <w:rFonts w:ascii="Lato" w:hAnsi="Lato"/>
                <w:sz w:val="22"/>
                <w:szCs w:val="22"/>
              </w:rPr>
            </w:pPr>
          </w:p>
        </w:tc>
        <w:tc>
          <w:tcPr>
            <w:tcW w:w="5891" w:type="dxa"/>
          </w:tcPr>
          <w:p w14:paraId="0EA47FFA" w14:textId="77777777" w:rsidR="006E3A3D" w:rsidRPr="00CB1714" w:rsidRDefault="006E3A3D" w:rsidP="006E3A3D">
            <w:pPr>
              <w:jc w:val="both"/>
              <w:rPr>
                <w:rFonts w:ascii="Lato" w:hAnsi="Lato"/>
                <w:sz w:val="22"/>
                <w:szCs w:val="22"/>
              </w:rPr>
            </w:pPr>
            <w:r w:rsidRPr="00F72ED7">
              <w:rPr>
                <w:rFonts w:ascii="Lato" w:hAnsi="Lato"/>
                <w:sz w:val="22"/>
                <w:szCs w:val="22"/>
              </w:rPr>
              <w:t>should</w:t>
            </w:r>
            <w:r w:rsidRPr="00CB1714">
              <w:rPr>
                <w:rFonts w:ascii="Lato" w:hAnsi="Lato"/>
                <w:sz w:val="22"/>
                <w:szCs w:val="22"/>
              </w:rPr>
              <w:t xml:space="preserve"> be read in conjunction with the prospectus</w:t>
            </w:r>
          </w:p>
        </w:tc>
        <w:tc>
          <w:tcPr>
            <w:tcW w:w="3188" w:type="dxa"/>
            <w:tcBorders>
              <w:top w:val="single" w:sz="4" w:space="0" w:color="auto"/>
            </w:tcBorders>
          </w:tcPr>
          <w:p w14:paraId="57CE4F65" w14:textId="77777777" w:rsidR="006E3A3D" w:rsidRPr="00CB1714" w:rsidRDefault="006E3A3D" w:rsidP="006E3A3D">
            <w:pPr>
              <w:rPr>
                <w:rFonts w:ascii="Lato" w:hAnsi="Lato"/>
                <w:sz w:val="22"/>
                <w:szCs w:val="22"/>
              </w:rPr>
            </w:pPr>
          </w:p>
        </w:tc>
      </w:tr>
      <w:tr w:rsidR="006E3A3D" w:rsidRPr="00CB1714" w14:paraId="68F4A5BE" w14:textId="77777777" w:rsidTr="00990D73">
        <w:trPr>
          <w:cantSplit/>
          <w:trHeight w:val="251"/>
        </w:trPr>
        <w:tc>
          <w:tcPr>
            <w:tcW w:w="1316" w:type="dxa"/>
          </w:tcPr>
          <w:p w14:paraId="4D47EE7C" w14:textId="77777777" w:rsidR="006E3A3D" w:rsidRPr="00CB1714" w:rsidRDefault="006E3A3D" w:rsidP="006E3A3D">
            <w:pPr>
              <w:rPr>
                <w:rFonts w:ascii="Lato" w:hAnsi="Lato"/>
                <w:sz w:val="22"/>
                <w:szCs w:val="22"/>
              </w:rPr>
            </w:pPr>
          </w:p>
        </w:tc>
        <w:tc>
          <w:tcPr>
            <w:tcW w:w="5891" w:type="dxa"/>
          </w:tcPr>
          <w:p w14:paraId="5B94E3C3" w14:textId="77777777" w:rsidR="006E3A3D" w:rsidRPr="00CB1714" w:rsidRDefault="006E3A3D" w:rsidP="006E3A3D">
            <w:pPr>
              <w:jc w:val="both"/>
              <w:rPr>
                <w:rFonts w:ascii="Lato" w:hAnsi="Lato"/>
                <w:sz w:val="22"/>
                <w:szCs w:val="22"/>
              </w:rPr>
            </w:pPr>
          </w:p>
        </w:tc>
        <w:tc>
          <w:tcPr>
            <w:tcW w:w="3188" w:type="dxa"/>
          </w:tcPr>
          <w:p w14:paraId="79F28C13" w14:textId="77777777" w:rsidR="006E3A3D" w:rsidRPr="00CB1714" w:rsidRDefault="006E3A3D" w:rsidP="006E3A3D">
            <w:pPr>
              <w:rPr>
                <w:rFonts w:ascii="Lato" w:hAnsi="Lato"/>
                <w:sz w:val="22"/>
                <w:szCs w:val="22"/>
              </w:rPr>
            </w:pPr>
          </w:p>
        </w:tc>
      </w:tr>
      <w:tr w:rsidR="006E3A3D" w:rsidRPr="00CB1714" w14:paraId="35A63081" w14:textId="77777777" w:rsidTr="00990D73">
        <w:tc>
          <w:tcPr>
            <w:tcW w:w="1316" w:type="dxa"/>
          </w:tcPr>
          <w:p w14:paraId="0C875925" w14:textId="77777777" w:rsidR="006E3A3D" w:rsidRPr="00CB1714" w:rsidRDefault="006E3A3D" w:rsidP="006E3A3D">
            <w:pPr>
              <w:rPr>
                <w:rFonts w:ascii="Lato" w:hAnsi="Lato"/>
                <w:sz w:val="22"/>
                <w:szCs w:val="22"/>
              </w:rPr>
            </w:pPr>
            <w:r w:rsidRPr="00CB1714">
              <w:rPr>
                <w:rFonts w:ascii="Lato" w:hAnsi="Lato"/>
                <w:sz w:val="22"/>
                <w:szCs w:val="22"/>
              </w:rPr>
              <w:t>2.23.3</w:t>
            </w:r>
          </w:p>
        </w:tc>
        <w:tc>
          <w:tcPr>
            <w:tcW w:w="5891" w:type="dxa"/>
            <w:tcBorders>
              <w:right w:val="single" w:sz="4" w:space="0" w:color="auto"/>
            </w:tcBorders>
          </w:tcPr>
          <w:p w14:paraId="3F73A23B" w14:textId="77777777" w:rsidR="006E3A3D" w:rsidRPr="00CB1714" w:rsidRDefault="006E3A3D" w:rsidP="006E3A3D">
            <w:pPr>
              <w:jc w:val="both"/>
              <w:rPr>
                <w:rFonts w:ascii="Lato" w:hAnsi="Lato"/>
                <w:sz w:val="22"/>
                <w:szCs w:val="22"/>
              </w:rPr>
            </w:pPr>
            <w:r w:rsidRPr="00CB1714">
              <w:rPr>
                <w:rFonts w:ascii="Lato" w:hAnsi="Lato"/>
                <w:sz w:val="22"/>
                <w:szCs w:val="22"/>
              </w:rPr>
              <w:t>List all existing sub funds approved by the Central Bank</w:t>
            </w:r>
          </w:p>
        </w:tc>
        <w:tc>
          <w:tcPr>
            <w:tcW w:w="3188" w:type="dxa"/>
            <w:tcBorders>
              <w:top w:val="single" w:sz="4" w:space="0" w:color="auto"/>
              <w:left w:val="single" w:sz="4" w:space="0" w:color="auto"/>
              <w:bottom w:val="single" w:sz="4" w:space="0" w:color="auto"/>
              <w:right w:val="single" w:sz="4" w:space="0" w:color="auto"/>
            </w:tcBorders>
          </w:tcPr>
          <w:p w14:paraId="52237757" w14:textId="77777777" w:rsidR="006E3A3D" w:rsidRPr="00CB1714" w:rsidRDefault="006E3A3D" w:rsidP="006E3A3D">
            <w:pPr>
              <w:rPr>
                <w:rFonts w:ascii="Lato" w:hAnsi="Lato"/>
                <w:sz w:val="22"/>
                <w:szCs w:val="22"/>
              </w:rPr>
            </w:pPr>
          </w:p>
        </w:tc>
      </w:tr>
      <w:tr w:rsidR="006E3A3D" w:rsidRPr="00CB1714" w14:paraId="37DDC7B2" w14:textId="77777777" w:rsidTr="00990D73">
        <w:tc>
          <w:tcPr>
            <w:tcW w:w="1316" w:type="dxa"/>
          </w:tcPr>
          <w:p w14:paraId="439F8DEB" w14:textId="77777777" w:rsidR="006E3A3D" w:rsidRPr="00CB1714" w:rsidRDefault="006E3A3D" w:rsidP="006E3A3D">
            <w:pPr>
              <w:rPr>
                <w:rFonts w:ascii="Lato" w:hAnsi="Lato"/>
                <w:sz w:val="22"/>
                <w:szCs w:val="22"/>
              </w:rPr>
            </w:pPr>
          </w:p>
        </w:tc>
        <w:tc>
          <w:tcPr>
            <w:tcW w:w="5891" w:type="dxa"/>
          </w:tcPr>
          <w:p w14:paraId="5B144E08" w14:textId="77777777" w:rsidR="006E3A3D" w:rsidRPr="00CB1714" w:rsidRDefault="006E3A3D" w:rsidP="006E3A3D">
            <w:pPr>
              <w:jc w:val="both"/>
              <w:rPr>
                <w:rFonts w:ascii="Lato" w:hAnsi="Lato"/>
                <w:sz w:val="22"/>
                <w:szCs w:val="22"/>
              </w:rPr>
            </w:pPr>
          </w:p>
        </w:tc>
        <w:tc>
          <w:tcPr>
            <w:tcW w:w="3188" w:type="dxa"/>
            <w:tcBorders>
              <w:top w:val="single" w:sz="4" w:space="0" w:color="auto"/>
            </w:tcBorders>
          </w:tcPr>
          <w:p w14:paraId="350264B2" w14:textId="77777777" w:rsidR="006E3A3D" w:rsidRPr="00CB1714" w:rsidRDefault="006E3A3D" w:rsidP="006E3A3D">
            <w:pPr>
              <w:rPr>
                <w:rFonts w:ascii="Lato" w:hAnsi="Lato"/>
                <w:sz w:val="22"/>
                <w:szCs w:val="22"/>
              </w:rPr>
            </w:pPr>
          </w:p>
        </w:tc>
      </w:tr>
      <w:tr w:rsidR="006E3A3D" w:rsidRPr="00CB1714" w14:paraId="284A6F66" w14:textId="77777777" w:rsidTr="00990D73">
        <w:tc>
          <w:tcPr>
            <w:tcW w:w="1316" w:type="dxa"/>
          </w:tcPr>
          <w:p w14:paraId="5242D8FF" w14:textId="77777777" w:rsidR="006E3A3D" w:rsidRPr="00CB1714" w:rsidRDefault="006E3A3D" w:rsidP="006E3A3D">
            <w:pPr>
              <w:rPr>
                <w:rFonts w:ascii="Lato" w:hAnsi="Lato"/>
                <w:sz w:val="22"/>
                <w:szCs w:val="22"/>
              </w:rPr>
            </w:pPr>
            <w:r w:rsidRPr="00CB1714">
              <w:rPr>
                <w:rFonts w:ascii="Lato" w:hAnsi="Lato"/>
                <w:sz w:val="22"/>
                <w:szCs w:val="22"/>
              </w:rPr>
              <w:t>2.23.4</w:t>
            </w:r>
          </w:p>
        </w:tc>
        <w:tc>
          <w:tcPr>
            <w:tcW w:w="5891" w:type="dxa"/>
          </w:tcPr>
          <w:p w14:paraId="698B869A" w14:textId="77777777" w:rsidR="006E3A3D" w:rsidRPr="00CB1714" w:rsidRDefault="006E3A3D" w:rsidP="006E3A3D">
            <w:pPr>
              <w:jc w:val="both"/>
              <w:rPr>
                <w:rFonts w:ascii="Lato" w:hAnsi="Lato"/>
                <w:sz w:val="22"/>
                <w:szCs w:val="22"/>
              </w:rPr>
            </w:pPr>
            <w:r w:rsidRPr="00CB1714">
              <w:rPr>
                <w:rFonts w:ascii="Lato" w:hAnsi="Lato"/>
                <w:sz w:val="22"/>
                <w:szCs w:val="22"/>
              </w:rPr>
              <w:t xml:space="preserve">New sub-funds of existing Qualifying Investor AIFs </w:t>
            </w:r>
          </w:p>
        </w:tc>
        <w:tc>
          <w:tcPr>
            <w:tcW w:w="3188" w:type="dxa"/>
            <w:tcBorders>
              <w:bottom w:val="single" w:sz="4" w:space="0" w:color="auto"/>
            </w:tcBorders>
          </w:tcPr>
          <w:p w14:paraId="28B7A53A" w14:textId="77777777" w:rsidR="006E3A3D" w:rsidRPr="00CB1714" w:rsidRDefault="006E3A3D" w:rsidP="006E3A3D">
            <w:pPr>
              <w:rPr>
                <w:rFonts w:ascii="Lato" w:hAnsi="Lato"/>
                <w:sz w:val="22"/>
                <w:szCs w:val="22"/>
              </w:rPr>
            </w:pPr>
          </w:p>
        </w:tc>
      </w:tr>
      <w:tr w:rsidR="006E3A3D" w:rsidRPr="00CB1714" w14:paraId="73B1B84C" w14:textId="77777777" w:rsidTr="00990D73">
        <w:tc>
          <w:tcPr>
            <w:tcW w:w="1316" w:type="dxa"/>
          </w:tcPr>
          <w:p w14:paraId="4AA060EA" w14:textId="77777777" w:rsidR="006E3A3D" w:rsidRPr="00CB1714" w:rsidRDefault="006E3A3D" w:rsidP="006E3A3D">
            <w:pPr>
              <w:rPr>
                <w:rFonts w:ascii="Lato" w:hAnsi="Lato"/>
                <w:sz w:val="22"/>
                <w:szCs w:val="22"/>
              </w:rPr>
            </w:pPr>
          </w:p>
        </w:tc>
        <w:tc>
          <w:tcPr>
            <w:tcW w:w="5891" w:type="dxa"/>
            <w:tcBorders>
              <w:right w:val="single" w:sz="4" w:space="0" w:color="auto"/>
            </w:tcBorders>
          </w:tcPr>
          <w:p w14:paraId="05B2C814" w14:textId="77777777" w:rsidR="006E3A3D" w:rsidRPr="00CB1714" w:rsidRDefault="006E3A3D" w:rsidP="006E3A3D">
            <w:pPr>
              <w:jc w:val="both"/>
              <w:rPr>
                <w:rFonts w:ascii="Lato" w:hAnsi="Lato"/>
                <w:sz w:val="22"/>
                <w:szCs w:val="22"/>
              </w:rPr>
            </w:pPr>
            <w:r w:rsidRPr="00CB1714">
              <w:rPr>
                <w:rFonts w:ascii="Lato" w:hAnsi="Lato"/>
                <w:sz w:val="22"/>
                <w:szCs w:val="22"/>
              </w:rPr>
              <w:t xml:space="preserve">Confirm that where a supplement to the prospectus or a </w:t>
            </w:r>
          </w:p>
        </w:tc>
        <w:tc>
          <w:tcPr>
            <w:tcW w:w="3188" w:type="dxa"/>
            <w:tcBorders>
              <w:top w:val="single" w:sz="4" w:space="0" w:color="auto"/>
              <w:left w:val="single" w:sz="4" w:space="0" w:color="auto"/>
              <w:bottom w:val="single" w:sz="4" w:space="0" w:color="auto"/>
              <w:right w:val="single" w:sz="4" w:space="0" w:color="auto"/>
            </w:tcBorders>
          </w:tcPr>
          <w:p w14:paraId="36B25D4A" w14:textId="77777777" w:rsidR="006E3A3D" w:rsidRPr="00CB1714" w:rsidRDefault="006E3A3D" w:rsidP="006E3A3D">
            <w:pPr>
              <w:rPr>
                <w:rFonts w:ascii="Lato" w:hAnsi="Lato"/>
                <w:sz w:val="22"/>
                <w:szCs w:val="22"/>
              </w:rPr>
            </w:pPr>
          </w:p>
        </w:tc>
      </w:tr>
      <w:tr w:rsidR="006E3A3D" w:rsidRPr="00CB1714" w14:paraId="721CCB9C" w14:textId="77777777" w:rsidTr="00990D73">
        <w:tc>
          <w:tcPr>
            <w:tcW w:w="1316" w:type="dxa"/>
          </w:tcPr>
          <w:p w14:paraId="03F82257" w14:textId="77777777" w:rsidR="006E3A3D" w:rsidRPr="00CB1714" w:rsidRDefault="006E3A3D" w:rsidP="006E3A3D">
            <w:pPr>
              <w:rPr>
                <w:rFonts w:ascii="Lato" w:hAnsi="Lato"/>
                <w:sz w:val="22"/>
                <w:szCs w:val="22"/>
              </w:rPr>
            </w:pPr>
          </w:p>
        </w:tc>
        <w:tc>
          <w:tcPr>
            <w:tcW w:w="5891" w:type="dxa"/>
          </w:tcPr>
          <w:p w14:paraId="614A1847" w14:textId="77777777" w:rsidR="006E3A3D" w:rsidRPr="00CB1714" w:rsidRDefault="006E3A3D" w:rsidP="006E3A3D">
            <w:pPr>
              <w:jc w:val="both"/>
              <w:rPr>
                <w:rFonts w:ascii="Lato" w:hAnsi="Lato"/>
                <w:sz w:val="22"/>
                <w:szCs w:val="22"/>
              </w:rPr>
            </w:pPr>
            <w:r w:rsidRPr="00F72ED7">
              <w:rPr>
                <w:rFonts w:ascii="Lato" w:hAnsi="Lato"/>
                <w:sz w:val="22"/>
                <w:szCs w:val="22"/>
              </w:rPr>
              <w:t>separate</w:t>
            </w:r>
            <w:r w:rsidRPr="00CB1714">
              <w:rPr>
                <w:rFonts w:ascii="Lato" w:hAnsi="Lato"/>
                <w:sz w:val="22"/>
                <w:szCs w:val="22"/>
              </w:rPr>
              <w:t xml:space="preserve"> prospectus is issued for a sub-fund/class, that supplement/prospectus states that the Qualifying investor AIF is constituted as an umbrella Qualifying Investor AIF and  names the other existing sub-funds or provide that these will be available upon request.</w:t>
            </w:r>
          </w:p>
        </w:tc>
        <w:tc>
          <w:tcPr>
            <w:tcW w:w="3188" w:type="dxa"/>
            <w:tcBorders>
              <w:top w:val="single" w:sz="4" w:space="0" w:color="auto"/>
            </w:tcBorders>
          </w:tcPr>
          <w:p w14:paraId="7292503B" w14:textId="77777777" w:rsidR="006E3A3D" w:rsidRPr="00CB1714" w:rsidRDefault="006E3A3D" w:rsidP="006E3A3D">
            <w:pPr>
              <w:rPr>
                <w:rFonts w:ascii="Lato" w:hAnsi="Lato"/>
                <w:sz w:val="22"/>
                <w:szCs w:val="22"/>
              </w:rPr>
            </w:pPr>
          </w:p>
        </w:tc>
      </w:tr>
      <w:tr w:rsidR="006E3A3D" w:rsidRPr="00CB1714" w14:paraId="3B9815DD" w14:textId="77777777" w:rsidTr="00990D73">
        <w:tc>
          <w:tcPr>
            <w:tcW w:w="1316" w:type="dxa"/>
          </w:tcPr>
          <w:p w14:paraId="55BC1A54" w14:textId="77777777" w:rsidR="006E3A3D" w:rsidRPr="00CB1714" w:rsidRDefault="006E3A3D" w:rsidP="006E3A3D">
            <w:pPr>
              <w:rPr>
                <w:rFonts w:ascii="Lato" w:hAnsi="Lato"/>
                <w:sz w:val="22"/>
                <w:szCs w:val="22"/>
              </w:rPr>
            </w:pPr>
          </w:p>
        </w:tc>
        <w:tc>
          <w:tcPr>
            <w:tcW w:w="5891" w:type="dxa"/>
          </w:tcPr>
          <w:p w14:paraId="2C4AEFB2"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51DA37B6" w14:textId="77777777" w:rsidR="006E3A3D" w:rsidRPr="00CB1714" w:rsidRDefault="006E3A3D" w:rsidP="006E3A3D">
            <w:pPr>
              <w:rPr>
                <w:rFonts w:ascii="Lato" w:hAnsi="Lato"/>
                <w:sz w:val="22"/>
                <w:szCs w:val="22"/>
              </w:rPr>
            </w:pPr>
          </w:p>
        </w:tc>
      </w:tr>
      <w:tr w:rsidR="006E3A3D" w:rsidRPr="00CB1714" w14:paraId="08C1AEA1" w14:textId="77777777" w:rsidTr="00990D73">
        <w:trPr>
          <w:cantSplit/>
          <w:trHeight w:val="255"/>
        </w:trPr>
        <w:tc>
          <w:tcPr>
            <w:tcW w:w="1316" w:type="dxa"/>
            <w:vMerge w:val="restart"/>
          </w:tcPr>
          <w:p w14:paraId="548B8378" w14:textId="77777777" w:rsidR="006E3A3D" w:rsidRPr="00CB1714" w:rsidRDefault="006E3A3D" w:rsidP="006E3A3D">
            <w:pPr>
              <w:rPr>
                <w:rFonts w:ascii="Lato" w:hAnsi="Lato"/>
                <w:sz w:val="22"/>
                <w:szCs w:val="22"/>
              </w:rPr>
            </w:pPr>
            <w:r w:rsidRPr="00CB1714">
              <w:rPr>
                <w:rFonts w:ascii="Lato" w:hAnsi="Lato"/>
                <w:sz w:val="22"/>
                <w:szCs w:val="22"/>
              </w:rPr>
              <w:t>2.23.5</w:t>
            </w:r>
          </w:p>
        </w:tc>
        <w:tc>
          <w:tcPr>
            <w:tcW w:w="5891" w:type="dxa"/>
            <w:vMerge w:val="restart"/>
            <w:tcBorders>
              <w:right w:val="single" w:sz="4" w:space="0" w:color="auto"/>
            </w:tcBorders>
          </w:tcPr>
          <w:p w14:paraId="073F77AD" w14:textId="77777777" w:rsidR="006E3A3D" w:rsidRPr="00CB1714" w:rsidRDefault="006E3A3D" w:rsidP="006E3A3D">
            <w:pPr>
              <w:jc w:val="both"/>
              <w:rPr>
                <w:rFonts w:ascii="Lato" w:hAnsi="Lato"/>
                <w:sz w:val="22"/>
                <w:szCs w:val="22"/>
              </w:rPr>
            </w:pPr>
            <w:r w:rsidRPr="00CB1714">
              <w:rPr>
                <w:rFonts w:ascii="Lato" w:hAnsi="Lato"/>
                <w:sz w:val="22"/>
                <w:szCs w:val="22"/>
              </w:rPr>
              <w:t>A statement that new sub-funds require the prior approval of the Central Bank.</w:t>
            </w:r>
          </w:p>
        </w:tc>
        <w:tc>
          <w:tcPr>
            <w:tcW w:w="3188" w:type="dxa"/>
            <w:tcBorders>
              <w:top w:val="single" w:sz="4" w:space="0" w:color="auto"/>
              <w:bottom w:val="single" w:sz="4" w:space="0" w:color="auto"/>
              <w:right w:val="single" w:sz="4" w:space="0" w:color="auto"/>
            </w:tcBorders>
          </w:tcPr>
          <w:p w14:paraId="28DEDC99" w14:textId="77777777" w:rsidR="006E3A3D" w:rsidRPr="00CB1714" w:rsidRDefault="006E3A3D" w:rsidP="006E3A3D">
            <w:pPr>
              <w:rPr>
                <w:rFonts w:ascii="Lato" w:hAnsi="Lato"/>
                <w:sz w:val="22"/>
                <w:szCs w:val="22"/>
              </w:rPr>
            </w:pPr>
          </w:p>
        </w:tc>
      </w:tr>
      <w:tr w:rsidR="006E3A3D" w:rsidRPr="00CB1714" w14:paraId="50F26641" w14:textId="77777777" w:rsidTr="00990D73">
        <w:trPr>
          <w:cantSplit/>
          <w:trHeight w:val="254"/>
        </w:trPr>
        <w:tc>
          <w:tcPr>
            <w:tcW w:w="1316" w:type="dxa"/>
            <w:vMerge/>
          </w:tcPr>
          <w:p w14:paraId="09551030" w14:textId="77777777" w:rsidR="006E3A3D" w:rsidRPr="00CB1714" w:rsidRDefault="006E3A3D" w:rsidP="006E3A3D">
            <w:pPr>
              <w:rPr>
                <w:rFonts w:ascii="Lato" w:hAnsi="Lato"/>
                <w:sz w:val="22"/>
                <w:szCs w:val="22"/>
              </w:rPr>
            </w:pPr>
          </w:p>
        </w:tc>
        <w:tc>
          <w:tcPr>
            <w:tcW w:w="5891" w:type="dxa"/>
            <w:vMerge/>
          </w:tcPr>
          <w:p w14:paraId="1F5AAFAC" w14:textId="77777777" w:rsidR="006E3A3D" w:rsidRPr="00CB1714" w:rsidRDefault="006E3A3D" w:rsidP="006E3A3D">
            <w:pPr>
              <w:jc w:val="both"/>
              <w:rPr>
                <w:rFonts w:ascii="Lato" w:hAnsi="Lato"/>
                <w:sz w:val="22"/>
                <w:szCs w:val="22"/>
              </w:rPr>
            </w:pPr>
          </w:p>
        </w:tc>
        <w:tc>
          <w:tcPr>
            <w:tcW w:w="3188" w:type="dxa"/>
            <w:tcBorders>
              <w:top w:val="single" w:sz="4" w:space="0" w:color="auto"/>
            </w:tcBorders>
          </w:tcPr>
          <w:p w14:paraId="75120FBB" w14:textId="77777777" w:rsidR="006E3A3D" w:rsidRPr="00CB1714" w:rsidRDefault="006E3A3D" w:rsidP="006E3A3D">
            <w:pPr>
              <w:rPr>
                <w:rFonts w:ascii="Lato" w:hAnsi="Lato"/>
                <w:sz w:val="22"/>
                <w:szCs w:val="22"/>
              </w:rPr>
            </w:pPr>
          </w:p>
        </w:tc>
      </w:tr>
      <w:tr w:rsidR="006E3A3D" w:rsidRPr="00CB1714" w14:paraId="3FE4583B" w14:textId="77777777" w:rsidTr="00990D73">
        <w:tc>
          <w:tcPr>
            <w:tcW w:w="1316" w:type="dxa"/>
          </w:tcPr>
          <w:p w14:paraId="7E49A60C" w14:textId="77777777" w:rsidR="006E3A3D" w:rsidRPr="00CB1714" w:rsidRDefault="006E3A3D" w:rsidP="006E3A3D">
            <w:pPr>
              <w:rPr>
                <w:rFonts w:ascii="Lato" w:hAnsi="Lato"/>
                <w:sz w:val="22"/>
                <w:szCs w:val="22"/>
              </w:rPr>
            </w:pPr>
          </w:p>
        </w:tc>
        <w:tc>
          <w:tcPr>
            <w:tcW w:w="5891" w:type="dxa"/>
          </w:tcPr>
          <w:p w14:paraId="6A7423C7" w14:textId="77777777" w:rsidR="006E3A3D" w:rsidRPr="00CB1714" w:rsidRDefault="006E3A3D" w:rsidP="006E3A3D">
            <w:pPr>
              <w:jc w:val="both"/>
              <w:rPr>
                <w:rFonts w:ascii="Lato" w:hAnsi="Lato"/>
                <w:sz w:val="22"/>
                <w:szCs w:val="22"/>
              </w:rPr>
            </w:pPr>
          </w:p>
        </w:tc>
        <w:tc>
          <w:tcPr>
            <w:tcW w:w="3188" w:type="dxa"/>
            <w:tcBorders>
              <w:bottom w:val="single" w:sz="4" w:space="0" w:color="auto"/>
            </w:tcBorders>
          </w:tcPr>
          <w:p w14:paraId="048D683B" w14:textId="77777777" w:rsidR="006E3A3D" w:rsidRPr="00CB1714" w:rsidRDefault="006E3A3D" w:rsidP="006E3A3D">
            <w:pPr>
              <w:rPr>
                <w:rFonts w:ascii="Lato" w:hAnsi="Lato"/>
                <w:sz w:val="22"/>
                <w:szCs w:val="22"/>
              </w:rPr>
            </w:pPr>
          </w:p>
        </w:tc>
      </w:tr>
      <w:tr w:rsidR="006E3A3D" w:rsidRPr="00CB1714" w14:paraId="2753791F" w14:textId="77777777" w:rsidTr="00990D73">
        <w:trPr>
          <w:cantSplit/>
          <w:trHeight w:val="255"/>
        </w:trPr>
        <w:tc>
          <w:tcPr>
            <w:tcW w:w="1316" w:type="dxa"/>
            <w:vMerge w:val="restart"/>
          </w:tcPr>
          <w:p w14:paraId="36199D23" w14:textId="77777777" w:rsidR="006E3A3D" w:rsidRPr="00CB1714" w:rsidRDefault="006E3A3D" w:rsidP="006E3A3D">
            <w:pPr>
              <w:rPr>
                <w:rFonts w:ascii="Lato" w:hAnsi="Lato"/>
                <w:sz w:val="22"/>
                <w:szCs w:val="22"/>
              </w:rPr>
            </w:pPr>
            <w:r w:rsidRPr="00CB1714">
              <w:rPr>
                <w:rFonts w:ascii="Lato" w:hAnsi="Lato"/>
                <w:sz w:val="22"/>
                <w:szCs w:val="22"/>
              </w:rPr>
              <w:t>2.23.6</w:t>
            </w:r>
          </w:p>
        </w:tc>
        <w:tc>
          <w:tcPr>
            <w:tcW w:w="5891" w:type="dxa"/>
            <w:vMerge w:val="restart"/>
            <w:tcBorders>
              <w:right w:val="single" w:sz="4" w:space="0" w:color="auto"/>
            </w:tcBorders>
          </w:tcPr>
          <w:p w14:paraId="0FAE090E" w14:textId="77777777" w:rsidR="006E3A3D" w:rsidRPr="00CB1714" w:rsidRDefault="006E3A3D" w:rsidP="006E3A3D">
            <w:pPr>
              <w:rPr>
                <w:rFonts w:ascii="Lato" w:eastAsia="Arial Unicode MS" w:hAnsi="Lato"/>
                <w:sz w:val="22"/>
                <w:szCs w:val="22"/>
              </w:rPr>
            </w:pPr>
            <w:r w:rsidRPr="00CB1714">
              <w:rPr>
                <w:rFonts w:ascii="Lato" w:hAnsi="Lato"/>
                <w:sz w:val="22"/>
                <w:szCs w:val="22"/>
              </w:rPr>
              <w:t>Investment companies constituted as umbrella Qualifying Investor AIFs which were authorised and commenced trading before 30 June 2005 and which do not have segregated liability between sub-funds clearly disclose the potential risks to unitholders arising from the absence of the segregation of liability between sub-funds</w:t>
            </w:r>
          </w:p>
        </w:tc>
        <w:tc>
          <w:tcPr>
            <w:tcW w:w="3188" w:type="dxa"/>
            <w:tcBorders>
              <w:top w:val="single" w:sz="4" w:space="0" w:color="auto"/>
              <w:bottom w:val="single" w:sz="4" w:space="0" w:color="auto"/>
              <w:right w:val="single" w:sz="4" w:space="0" w:color="auto"/>
            </w:tcBorders>
          </w:tcPr>
          <w:p w14:paraId="229E208D" w14:textId="77777777" w:rsidR="006E3A3D" w:rsidRPr="00CB1714" w:rsidRDefault="006E3A3D" w:rsidP="006E3A3D">
            <w:pPr>
              <w:rPr>
                <w:rFonts w:ascii="Lato" w:hAnsi="Lato"/>
                <w:sz w:val="22"/>
                <w:szCs w:val="22"/>
              </w:rPr>
            </w:pPr>
          </w:p>
        </w:tc>
      </w:tr>
      <w:tr w:rsidR="006E3A3D" w:rsidRPr="00CB1714" w14:paraId="0E5C3C9C" w14:textId="77777777" w:rsidTr="00990D73">
        <w:trPr>
          <w:cantSplit/>
          <w:trHeight w:val="254"/>
        </w:trPr>
        <w:tc>
          <w:tcPr>
            <w:tcW w:w="1316" w:type="dxa"/>
            <w:vMerge/>
          </w:tcPr>
          <w:p w14:paraId="485A6112" w14:textId="77777777" w:rsidR="006E3A3D" w:rsidRPr="00CB1714" w:rsidRDefault="006E3A3D" w:rsidP="006E3A3D">
            <w:pPr>
              <w:rPr>
                <w:rFonts w:ascii="Lato" w:hAnsi="Lato"/>
                <w:sz w:val="22"/>
                <w:szCs w:val="22"/>
              </w:rPr>
            </w:pPr>
          </w:p>
        </w:tc>
        <w:tc>
          <w:tcPr>
            <w:tcW w:w="5891" w:type="dxa"/>
            <w:vMerge/>
          </w:tcPr>
          <w:p w14:paraId="4E4ABBF7" w14:textId="77777777" w:rsidR="006E3A3D" w:rsidRPr="00CB1714" w:rsidRDefault="006E3A3D" w:rsidP="006E3A3D">
            <w:pPr>
              <w:pStyle w:val="Heading1"/>
              <w:spacing w:before="0" w:after="0" w:line="240" w:lineRule="auto"/>
              <w:rPr>
                <w:rFonts w:ascii="Lato" w:hAnsi="Lato"/>
                <w:color w:val="auto"/>
                <w:sz w:val="22"/>
                <w:szCs w:val="22"/>
              </w:rPr>
            </w:pPr>
          </w:p>
        </w:tc>
        <w:tc>
          <w:tcPr>
            <w:tcW w:w="3188" w:type="dxa"/>
            <w:tcBorders>
              <w:top w:val="single" w:sz="4" w:space="0" w:color="auto"/>
              <w:bottom w:val="single" w:sz="4" w:space="0" w:color="auto"/>
            </w:tcBorders>
          </w:tcPr>
          <w:p w14:paraId="2419D710" w14:textId="77777777" w:rsidR="006E3A3D" w:rsidRPr="00CB1714" w:rsidRDefault="006E3A3D" w:rsidP="006E3A3D">
            <w:pPr>
              <w:rPr>
                <w:rFonts w:ascii="Lato" w:hAnsi="Lato"/>
                <w:sz w:val="22"/>
                <w:szCs w:val="22"/>
              </w:rPr>
            </w:pPr>
          </w:p>
        </w:tc>
      </w:tr>
      <w:tr w:rsidR="006E3A3D" w:rsidRPr="00CB1714" w14:paraId="70A22725" w14:textId="77777777" w:rsidTr="00990D73">
        <w:trPr>
          <w:cantSplit/>
          <w:trHeight w:val="254"/>
        </w:trPr>
        <w:tc>
          <w:tcPr>
            <w:tcW w:w="1316" w:type="dxa"/>
          </w:tcPr>
          <w:p w14:paraId="038DDE34" w14:textId="77777777" w:rsidR="006E3A3D" w:rsidRPr="00CB1714" w:rsidRDefault="006E3A3D" w:rsidP="006E3A3D">
            <w:pPr>
              <w:rPr>
                <w:rFonts w:ascii="Lato" w:hAnsi="Lato"/>
                <w:sz w:val="22"/>
                <w:szCs w:val="22"/>
              </w:rPr>
            </w:pPr>
          </w:p>
        </w:tc>
        <w:tc>
          <w:tcPr>
            <w:tcW w:w="5891" w:type="dxa"/>
          </w:tcPr>
          <w:p w14:paraId="749226D6" w14:textId="77777777" w:rsidR="006E3A3D" w:rsidRPr="00CB1714" w:rsidRDefault="006E3A3D" w:rsidP="006E3A3D">
            <w:pPr>
              <w:pStyle w:val="Heading1"/>
              <w:spacing w:before="0" w:after="0" w:line="240" w:lineRule="auto"/>
              <w:rPr>
                <w:rFonts w:ascii="Lato" w:hAnsi="Lato"/>
                <w:color w:val="auto"/>
                <w:sz w:val="22"/>
                <w:szCs w:val="22"/>
              </w:rPr>
            </w:pPr>
          </w:p>
        </w:tc>
        <w:tc>
          <w:tcPr>
            <w:tcW w:w="3188" w:type="dxa"/>
          </w:tcPr>
          <w:p w14:paraId="25E8D78E" w14:textId="77777777" w:rsidR="006E3A3D" w:rsidRPr="00CB1714" w:rsidRDefault="006E3A3D" w:rsidP="006E3A3D">
            <w:pPr>
              <w:rPr>
                <w:rFonts w:ascii="Lato" w:hAnsi="Lato"/>
                <w:sz w:val="22"/>
                <w:szCs w:val="22"/>
              </w:rPr>
            </w:pPr>
          </w:p>
        </w:tc>
      </w:tr>
      <w:tr w:rsidR="006E3A3D" w:rsidRPr="00CB1714" w14:paraId="595565D2" w14:textId="77777777" w:rsidTr="00990D73">
        <w:tc>
          <w:tcPr>
            <w:tcW w:w="1316" w:type="dxa"/>
          </w:tcPr>
          <w:p w14:paraId="17C49800" w14:textId="77777777" w:rsidR="006E3A3D" w:rsidRPr="00CB1714" w:rsidRDefault="006E3A3D" w:rsidP="006E3A3D">
            <w:pPr>
              <w:rPr>
                <w:rFonts w:ascii="Lato" w:hAnsi="Lato"/>
                <w:sz w:val="22"/>
                <w:szCs w:val="22"/>
              </w:rPr>
            </w:pPr>
            <w:r w:rsidRPr="00CB1714">
              <w:rPr>
                <w:rFonts w:ascii="Lato" w:hAnsi="Lato"/>
                <w:sz w:val="22"/>
                <w:szCs w:val="22"/>
              </w:rPr>
              <w:t>2.23.6</w:t>
            </w:r>
          </w:p>
        </w:tc>
        <w:tc>
          <w:tcPr>
            <w:tcW w:w="5891" w:type="dxa"/>
          </w:tcPr>
          <w:p w14:paraId="6C07FEA8" w14:textId="77777777" w:rsidR="006E3A3D" w:rsidRPr="00CB1714" w:rsidRDefault="006E3A3D" w:rsidP="006E3A3D">
            <w:pPr>
              <w:rPr>
                <w:rFonts w:ascii="Lato" w:hAnsi="Lato"/>
                <w:sz w:val="22"/>
                <w:szCs w:val="22"/>
                <w:u w:val="single"/>
              </w:rPr>
            </w:pPr>
          </w:p>
        </w:tc>
        <w:tc>
          <w:tcPr>
            <w:tcW w:w="3188" w:type="dxa"/>
            <w:tcBorders>
              <w:bottom w:val="single" w:sz="4" w:space="0" w:color="auto"/>
            </w:tcBorders>
          </w:tcPr>
          <w:p w14:paraId="09C157E3" w14:textId="77777777" w:rsidR="006E3A3D" w:rsidRPr="00CB1714" w:rsidRDefault="006E3A3D" w:rsidP="006E3A3D">
            <w:pPr>
              <w:rPr>
                <w:rFonts w:ascii="Lato" w:hAnsi="Lato"/>
                <w:sz w:val="22"/>
                <w:szCs w:val="22"/>
              </w:rPr>
            </w:pPr>
          </w:p>
        </w:tc>
      </w:tr>
      <w:tr w:rsidR="006E3A3D" w:rsidRPr="00CB1714" w14:paraId="584FFD70" w14:textId="77777777" w:rsidTr="00990D73">
        <w:trPr>
          <w:cantSplit/>
          <w:trHeight w:val="255"/>
        </w:trPr>
        <w:tc>
          <w:tcPr>
            <w:tcW w:w="1316" w:type="dxa"/>
            <w:vMerge w:val="restart"/>
          </w:tcPr>
          <w:p w14:paraId="3C3018A2" w14:textId="77777777" w:rsidR="006E3A3D" w:rsidRPr="00CB1714" w:rsidRDefault="006E3A3D" w:rsidP="006E3A3D">
            <w:pPr>
              <w:jc w:val="right"/>
              <w:rPr>
                <w:rFonts w:ascii="Lato" w:hAnsi="Lato"/>
                <w:sz w:val="22"/>
                <w:szCs w:val="22"/>
              </w:rPr>
            </w:pPr>
            <w:r w:rsidRPr="00CB1714">
              <w:rPr>
                <w:rFonts w:ascii="Lato" w:hAnsi="Lato"/>
                <w:sz w:val="22"/>
                <w:szCs w:val="22"/>
              </w:rPr>
              <w:t>a)</w:t>
            </w:r>
          </w:p>
        </w:tc>
        <w:tc>
          <w:tcPr>
            <w:tcW w:w="5891" w:type="dxa"/>
            <w:vMerge w:val="restart"/>
            <w:tcBorders>
              <w:right w:val="single" w:sz="4" w:space="0" w:color="auto"/>
            </w:tcBorders>
          </w:tcPr>
          <w:p w14:paraId="1C2DD58C" w14:textId="77777777" w:rsidR="006E3A3D" w:rsidRPr="00CB1714" w:rsidRDefault="006E3A3D" w:rsidP="006E3A3D">
            <w:pPr>
              <w:rPr>
                <w:rFonts w:ascii="Lato" w:hAnsi="Lato"/>
                <w:sz w:val="22"/>
                <w:szCs w:val="22"/>
              </w:rPr>
            </w:pPr>
            <w:r w:rsidRPr="00CB1714">
              <w:rPr>
                <w:rFonts w:ascii="Lato" w:hAnsi="Lato"/>
                <w:sz w:val="22"/>
                <w:szCs w:val="22"/>
              </w:rPr>
              <w:t>Disclose the intention to and the extent to which one sub-fund can invest in another  sub-fund of the Qualifying Investor AIF and the conditions which apply to such investments</w:t>
            </w:r>
          </w:p>
        </w:tc>
        <w:tc>
          <w:tcPr>
            <w:tcW w:w="3188" w:type="dxa"/>
            <w:tcBorders>
              <w:top w:val="single" w:sz="4" w:space="0" w:color="auto"/>
              <w:left w:val="single" w:sz="4" w:space="0" w:color="auto"/>
              <w:bottom w:val="single" w:sz="4" w:space="0" w:color="auto"/>
              <w:right w:val="single" w:sz="4" w:space="0" w:color="auto"/>
            </w:tcBorders>
          </w:tcPr>
          <w:p w14:paraId="25661568" w14:textId="77777777" w:rsidR="006E3A3D" w:rsidRPr="00CB1714" w:rsidRDefault="006E3A3D" w:rsidP="006E3A3D">
            <w:pPr>
              <w:rPr>
                <w:rFonts w:ascii="Lato" w:hAnsi="Lato"/>
                <w:sz w:val="22"/>
                <w:szCs w:val="22"/>
              </w:rPr>
            </w:pPr>
          </w:p>
        </w:tc>
      </w:tr>
      <w:tr w:rsidR="006E3A3D" w:rsidRPr="00CB1714" w14:paraId="1AEA7B0C" w14:textId="77777777" w:rsidTr="00990D73">
        <w:trPr>
          <w:cantSplit/>
          <w:trHeight w:val="254"/>
        </w:trPr>
        <w:tc>
          <w:tcPr>
            <w:tcW w:w="1316" w:type="dxa"/>
            <w:vMerge/>
          </w:tcPr>
          <w:p w14:paraId="0FBA968B" w14:textId="77777777" w:rsidR="006E3A3D" w:rsidRPr="00CB1714" w:rsidRDefault="006E3A3D" w:rsidP="006E3A3D">
            <w:pPr>
              <w:jc w:val="right"/>
              <w:rPr>
                <w:rFonts w:ascii="Lato" w:hAnsi="Lato"/>
                <w:sz w:val="22"/>
                <w:szCs w:val="22"/>
              </w:rPr>
            </w:pPr>
          </w:p>
        </w:tc>
        <w:tc>
          <w:tcPr>
            <w:tcW w:w="5891" w:type="dxa"/>
            <w:vMerge/>
          </w:tcPr>
          <w:p w14:paraId="042E18B5"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777692CB" w14:textId="77777777" w:rsidR="006E3A3D" w:rsidRPr="00CB1714" w:rsidRDefault="006E3A3D" w:rsidP="006E3A3D">
            <w:pPr>
              <w:rPr>
                <w:rFonts w:ascii="Lato" w:hAnsi="Lato"/>
                <w:sz w:val="22"/>
                <w:szCs w:val="22"/>
              </w:rPr>
            </w:pPr>
          </w:p>
        </w:tc>
      </w:tr>
      <w:tr w:rsidR="006E3A3D" w:rsidRPr="00CB1714" w14:paraId="3518E461" w14:textId="77777777" w:rsidTr="00990D73">
        <w:tc>
          <w:tcPr>
            <w:tcW w:w="1316" w:type="dxa"/>
          </w:tcPr>
          <w:p w14:paraId="307F343B" w14:textId="77777777" w:rsidR="006E3A3D" w:rsidRPr="00CB1714" w:rsidRDefault="006E3A3D" w:rsidP="006E3A3D">
            <w:pPr>
              <w:jc w:val="right"/>
              <w:rPr>
                <w:rFonts w:ascii="Lato" w:hAnsi="Lato"/>
                <w:sz w:val="22"/>
                <w:szCs w:val="22"/>
              </w:rPr>
            </w:pPr>
          </w:p>
        </w:tc>
        <w:tc>
          <w:tcPr>
            <w:tcW w:w="5891" w:type="dxa"/>
          </w:tcPr>
          <w:p w14:paraId="1B03901B"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72BC1906" w14:textId="77777777" w:rsidR="006E3A3D" w:rsidRPr="00CB1714" w:rsidRDefault="006E3A3D" w:rsidP="006E3A3D">
            <w:pPr>
              <w:rPr>
                <w:rFonts w:ascii="Lato" w:hAnsi="Lato"/>
                <w:sz w:val="22"/>
                <w:szCs w:val="22"/>
              </w:rPr>
            </w:pPr>
          </w:p>
        </w:tc>
      </w:tr>
      <w:tr w:rsidR="006E3A3D" w:rsidRPr="00CB1714" w14:paraId="4A126A74" w14:textId="77777777" w:rsidTr="00990D73">
        <w:trPr>
          <w:cantSplit/>
          <w:trHeight w:val="255"/>
        </w:trPr>
        <w:tc>
          <w:tcPr>
            <w:tcW w:w="1316" w:type="dxa"/>
            <w:vMerge w:val="restart"/>
          </w:tcPr>
          <w:p w14:paraId="16FE37FB" w14:textId="77777777" w:rsidR="006E3A3D" w:rsidRPr="00CB1714" w:rsidRDefault="006E3A3D" w:rsidP="006E3A3D">
            <w:pPr>
              <w:jc w:val="right"/>
              <w:rPr>
                <w:rFonts w:ascii="Lato" w:hAnsi="Lato"/>
                <w:sz w:val="22"/>
                <w:szCs w:val="22"/>
              </w:rPr>
            </w:pPr>
            <w:r w:rsidRPr="00CB1714">
              <w:rPr>
                <w:rFonts w:ascii="Lato" w:hAnsi="Lato"/>
                <w:sz w:val="22"/>
                <w:szCs w:val="22"/>
              </w:rPr>
              <w:t>b)</w:t>
            </w:r>
          </w:p>
        </w:tc>
        <w:tc>
          <w:tcPr>
            <w:tcW w:w="5891" w:type="dxa"/>
            <w:vMerge w:val="restart"/>
            <w:tcBorders>
              <w:right w:val="single" w:sz="4" w:space="0" w:color="auto"/>
            </w:tcBorders>
          </w:tcPr>
          <w:p w14:paraId="31B64A63" w14:textId="77777777" w:rsidR="006E3A3D" w:rsidRPr="00CB1714" w:rsidRDefault="006E3A3D" w:rsidP="006E3A3D">
            <w:pPr>
              <w:jc w:val="both"/>
              <w:rPr>
                <w:rFonts w:ascii="Lato" w:hAnsi="Lato"/>
                <w:sz w:val="22"/>
                <w:szCs w:val="22"/>
              </w:rPr>
            </w:pPr>
            <w:r w:rsidRPr="00CB1714">
              <w:rPr>
                <w:rFonts w:ascii="Lato" w:hAnsi="Lato"/>
                <w:sz w:val="22"/>
                <w:szCs w:val="22"/>
              </w:rPr>
              <w:t xml:space="preserve">Where a sub-fund (the “Investing Fund”) of an umbrella Qualifying Investor AIF invests in the units of other sub-funds of the Qualifying Investor AIF (each a “Receiving Fund”), the rate of the annual management fee which investors in the Investing Fund are charged in respect of that </w:t>
            </w:r>
            <w:r w:rsidRPr="00CB1714">
              <w:rPr>
                <w:rFonts w:ascii="Lato" w:hAnsi="Lato"/>
                <w:sz w:val="22"/>
                <w:szCs w:val="22"/>
              </w:rPr>
              <w:lastRenderedPageBreak/>
              <w:t xml:space="preserve">portion of the Investing Fund’s assets invested in Receiving Funds(whether such fee is paid directly at the Investing Fund level, indirectly at the level of the Receiving Funds or a combination of both) may not exceed the rate of the maximum annual management fee which investors in the Investing Fund may be charged in respect of the balance of the Investing Fund’s assets, such that there shall be no double charging of annual management fee to the Investing Fund as a result of its investments in the Receiving Fund. </w:t>
            </w:r>
          </w:p>
          <w:p w14:paraId="39508644" w14:textId="77777777" w:rsidR="006E3A3D" w:rsidRPr="00CB1714" w:rsidRDefault="006E3A3D" w:rsidP="006E3A3D">
            <w:pPr>
              <w:jc w:val="both"/>
              <w:rPr>
                <w:rFonts w:ascii="Lato" w:hAnsi="Lato"/>
                <w:sz w:val="22"/>
                <w:szCs w:val="22"/>
              </w:rPr>
            </w:pPr>
          </w:p>
        </w:tc>
        <w:tc>
          <w:tcPr>
            <w:tcW w:w="3188" w:type="dxa"/>
            <w:tcBorders>
              <w:top w:val="single" w:sz="4" w:space="0" w:color="auto"/>
              <w:left w:val="single" w:sz="4" w:space="0" w:color="auto"/>
              <w:bottom w:val="single" w:sz="4" w:space="0" w:color="auto"/>
              <w:right w:val="single" w:sz="4" w:space="0" w:color="auto"/>
            </w:tcBorders>
          </w:tcPr>
          <w:p w14:paraId="613BB16C" w14:textId="77777777" w:rsidR="006E3A3D" w:rsidRPr="00CB1714" w:rsidRDefault="006E3A3D" w:rsidP="006E3A3D">
            <w:pPr>
              <w:rPr>
                <w:rFonts w:ascii="Lato" w:hAnsi="Lato"/>
                <w:sz w:val="22"/>
                <w:szCs w:val="22"/>
              </w:rPr>
            </w:pPr>
          </w:p>
        </w:tc>
      </w:tr>
      <w:tr w:rsidR="006E3A3D" w:rsidRPr="00CB1714" w14:paraId="18B30D94" w14:textId="77777777" w:rsidTr="00990D73">
        <w:trPr>
          <w:cantSplit/>
          <w:trHeight w:val="251"/>
        </w:trPr>
        <w:tc>
          <w:tcPr>
            <w:tcW w:w="1316" w:type="dxa"/>
            <w:vMerge/>
          </w:tcPr>
          <w:p w14:paraId="3F8AC566" w14:textId="77777777" w:rsidR="006E3A3D" w:rsidRPr="00CB1714" w:rsidRDefault="006E3A3D" w:rsidP="006E3A3D">
            <w:pPr>
              <w:jc w:val="right"/>
              <w:rPr>
                <w:rFonts w:ascii="Lato" w:hAnsi="Lato"/>
                <w:sz w:val="22"/>
                <w:szCs w:val="22"/>
              </w:rPr>
            </w:pPr>
          </w:p>
        </w:tc>
        <w:tc>
          <w:tcPr>
            <w:tcW w:w="5891" w:type="dxa"/>
            <w:vMerge/>
          </w:tcPr>
          <w:p w14:paraId="49C3AB0D"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7285F91F" w14:textId="77777777" w:rsidR="006E3A3D" w:rsidRPr="00CB1714" w:rsidRDefault="006E3A3D" w:rsidP="006E3A3D">
            <w:pPr>
              <w:rPr>
                <w:rFonts w:ascii="Lato" w:hAnsi="Lato"/>
                <w:sz w:val="22"/>
                <w:szCs w:val="22"/>
              </w:rPr>
            </w:pPr>
          </w:p>
        </w:tc>
      </w:tr>
      <w:tr w:rsidR="006E3A3D" w:rsidRPr="00CB1714" w14:paraId="1BCE67AA" w14:textId="77777777" w:rsidTr="00990D73">
        <w:trPr>
          <w:cantSplit/>
          <w:trHeight w:val="251"/>
        </w:trPr>
        <w:tc>
          <w:tcPr>
            <w:tcW w:w="1316" w:type="dxa"/>
            <w:vMerge/>
          </w:tcPr>
          <w:p w14:paraId="281CAF39" w14:textId="77777777" w:rsidR="006E3A3D" w:rsidRPr="00CB1714" w:rsidRDefault="006E3A3D" w:rsidP="006E3A3D">
            <w:pPr>
              <w:jc w:val="right"/>
              <w:rPr>
                <w:rFonts w:ascii="Lato" w:hAnsi="Lato"/>
                <w:sz w:val="22"/>
                <w:szCs w:val="22"/>
              </w:rPr>
            </w:pPr>
          </w:p>
        </w:tc>
        <w:tc>
          <w:tcPr>
            <w:tcW w:w="5891" w:type="dxa"/>
            <w:vMerge/>
          </w:tcPr>
          <w:p w14:paraId="6F7AE9FB" w14:textId="77777777" w:rsidR="006E3A3D" w:rsidRPr="00CB1714" w:rsidRDefault="006E3A3D" w:rsidP="006E3A3D">
            <w:pPr>
              <w:rPr>
                <w:rFonts w:ascii="Lato" w:hAnsi="Lato"/>
                <w:sz w:val="22"/>
                <w:szCs w:val="22"/>
              </w:rPr>
            </w:pPr>
          </w:p>
        </w:tc>
        <w:tc>
          <w:tcPr>
            <w:tcW w:w="3188" w:type="dxa"/>
          </w:tcPr>
          <w:p w14:paraId="596F3EF0" w14:textId="77777777" w:rsidR="006E3A3D" w:rsidRPr="00CB1714" w:rsidRDefault="006E3A3D" w:rsidP="006E3A3D">
            <w:pPr>
              <w:rPr>
                <w:rFonts w:ascii="Lato" w:hAnsi="Lato"/>
                <w:sz w:val="22"/>
                <w:szCs w:val="22"/>
              </w:rPr>
            </w:pPr>
          </w:p>
        </w:tc>
      </w:tr>
      <w:tr w:rsidR="006E3A3D" w:rsidRPr="00CB1714" w14:paraId="24A7F055" w14:textId="77777777" w:rsidTr="00990D73">
        <w:trPr>
          <w:cantSplit/>
          <w:trHeight w:val="251"/>
        </w:trPr>
        <w:tc>
          <w:tcPr>
            <w:tcW w:w="1316" w:type="dxa"/>
            <w:vMerge/>
          </w:tcPr>
          <w:p w14:paraId="586B9C81" w14:textId="77777777" w:rsidR="006E3A3D" w:rsidRPr="00CB1714" w:rsidRDefault="006E3A3D" w:rsidP="006E3A3D">
            <w:pPr>
              <w:jc w:val="right"/>
              <w:rPr>
                <w:rFonts w:ascii="Lato" w:hAnsi="Lato"/>
                <w:sz w:val="22"/>
                <w:szCs w:val="22"/>
              </w:rPr>
            </w:pPr>
          </w:p>
        </w:tc>
        <w:tc>
          <w:tcPr>
            <w:tcW w:w="5891" w:type="dxa"/>
            <w:vMerge/>
          </w:tcPr>
          <w:p w14:paraId="335FE019" w14:textId="77777777" w:rsidR="006E3A3D" w:rsidRPr="00CB1714" w:rsidRDefault="006E3A3D" w:rsidP="006E3A3D">
            <w:pPr>
              <w:rPr>
                <w:rFonts w:ascii="Lato" w:hAnsi="Lato"/>
                <w:sz w:val="22"/>
                <w:szCs w:val="22"/>
              </w:rPr>
            </w:pPr>
          </w:p>
        </w:tc>
        <w:tc>
          <w:tcPr>
            <w:tcW w:w="3188" w:type="dxa"/>
          </w:tcPr>
          <w:p w14:paraId="0024F3C1" w14:textId="77777777" w:rsidR="006E3A3D" w:rsidRPr="00CB1714" w:rsidRDefault="006E3A3D" w:rsidP="006E3A3D">
            <w:pPr>
              <w:rPr>
                <w:rFonts w:ascii="Lato" w:hAnsi="Lato"/>
                <w:sz w:val="22"/>
                <w:szCs w:val="22"/>
              </w:rPr>
            </w:pPr>
          </w:p>
        </w:tc>
      </w:tr>
      <w:tr w:rsidR="006E3A3D" w:rsidRPr="00CB1714" w14:paraId="740B19F3" w14:textId="77777777" w:rsidTr="00990D73">
        <w:trPr>
          <w:cantSplit/>
          <w:trHeight w:val="251"/>
        </w:trPr>
        <w:tc>
          <w:tcPr>
            <w:tcW w:w="1316" w:type="dxa"/>
            <w:vMerge/>
          </w:tcPr>
          <w:p w14:paraId="59BBAFB7" w14:textId="77777777" w:rsidR="006E3A3D" w:rsidRPr="00CB1714" w:rsidRDefault="006E3A3D" w:rsidP="006E3A3D">
            <w:pPr>
              <w:jc w:val="right"/>
              <w:rPr>
                <w:rFonts w:ascii="Lato" w:hAnsi="Lato"/>
                <w:sz w:val="22"/>
                <w:szCs w:val="22"/>
              </w:rPr>
            </w:pPr>
          </w:p>
        </w:tc>
        <w:tc>
          <w:tcPr>
            <w:tcW w:w="5891" w:type="dxa"/>
            <w:vMerge/>
          </w:tcPr>
          <w:p w14:paraId="1050E89C" w14:textId="77777777" w:rsidR="006E3A3D" w:rsidRPr="00CB1714" w:rsidRDefault="006E3A3D" w:rsidP="006E3A3D">
            <w:pPr>
              <w:rPr>
                <w:rFonts w:ascii="Lato" w:hAnsi="Lato"/>
                <w:sz w:val="22"/>
                <w:szCs w:val="22"/>
              </w:rPr>
            </w:pPr>
          </w:p>
        </w:tc>
        <w:tc>
          <w:tcPr>
            <w:tcW w:w="3188" w:type="dxa"/>
          </w:tcPr>
          <w:p w14:paraId="0AF85615" w14:textId="77777777" w:rsidR="006E3A3D" w:rsidRPr="00CB1714" w:rsidRDefault="006E3A3D" w:rsidP="006E3A3D">
            <w:pPr>
              <w:rPr>
                <w:rFonts w:ascii="Lato" w:hAnsi="Lato"/>
                <w:sz w:val="22"/>
                <w:szCs w:val="22"/>
              </w:rPr>
            </w:pPr>
          </w:p>
        </w:tc>
      </w:tr>
      <w:tr w:rsidR="006E3A3D" w:rsidRPr="00CB1714" w14:paraId="486E00C3" w14:textId="77777777" w:rsidTr="00990D73">
        <w:trPr>
          <w:cantSplit/>
          <w:trHeight w:val="251"/>
        </w:trPr>
        <w:tc>
          <w:tcPr>
            <w:tcW w:w="1316" w:type="dxa"/>
            <w:vMerge/>
          </w:tcPr>
          <w:p w14:paraId="68EF7390" w14:textId="77777777" w:rsidR="006E3A3D" w:rsidRPr="00CB1714" w:rsidRDefault="006E3A3D" w:rsidP="006E3A3D">
            <w:pPr>
              <w:jc w:val="right"/>
              <w:rPr>
                <w:rFonts w:ascii="Lato" w:hAnsi="Lato"/>
                <w:sz w:val="22"/>
                <w:szCs w:val="22"/>
              </w:rPr>
            </w:pPr>
          </w:p>
        </w:tc>
        <w:tc>
          <w:tcPr>
            <w:tcW w:w="5891" w:type="dxa"/>
            <w:vMerge/>
          </w:tcPr>
          <w:p w14:paraId="453157EB" w14:textId="77777777" w:rsidR="006E3A3D" w:rsidRPr="00CB1714" w:rsidRDefault="006E3A3D" w:rsidP="006E3A3D">
            <w:pPr>
              <w:rPr>
                <w:rFonts w:ascii="Lato" w:hAnsi="Lato"/>
                <w:sz w:val="22"/>
                <w:szCs w:val="22"/>
              </w:rPr>
            </w:pPr>
          </w:p>
        </w:tc>
        <w:tc>
          <w:tcPr>
            <w:tcW w:w="3188" w:type="dxa"/>
          </w:tcPr>
          <w:p w14:paraId="1106AED6" w14:textId="77777777" w:rsidR="006E3A3D" w:rsidRPr="00CB1714" w:rsidRDefault="006E3A3D" w:rsidP="006E3A3D">
            <w:pPr>
              <w:rPr>
                <w:rFonts w:ascii="Lato" w:hAnsi="Lato"/>
                <w:sz w:val="22"/>
                <w:szCs w:val="22"/>
              </w:rPr>
            </w:pPr>
          </w:p>
        </w:tc>
      </w:tr>
      <w:tr w:rsidR="006E3A3D" w:rsidRPr="00CB1714" w14:paraId="2FB030B9" w14:textId="77777777" w:rsidTr="00990D73">
        <w:trPr>
          <w:cantSplit/>
          <w:trHeight w:val="714"/>
        </w:trPr>
        <w:tc>
          <w:tcPr>
            <w:tcW w:w="1316" w:type="dxa"/>
          </w:tcPr>
          <w:p w14:paraId="3F201B72" w14:textId="77777777" w:rsidR="006E3A3D" w:rsidRPr="00CB1714" w:rsidRDefault="006E3A3D" w:rsidP="006E3A3D">
            <w:pPr>
              <w:jc w:val="right"/>
              <w:rPr>
                <w:rFonts w:ascii="Lato" w:hAnsi="Lato"/>
                <w:sz w:val="22"/>
                <w:szCs w:val="22"/>
              </w:rPr>
            </w:pPr>
          </w:p>
        </w:tc>
        <w:tc>
          <w:tcPr>
            <w:tcW w:w="5891" w:type="dxa"/>
          </w:tcPr>
          <w:p w14:paraId="4DC9BFC0" w14:textId="77777777" w:rsidR="006E3A3D" w:rsidRPr="00CB1714" w:rsidRDefault="006E3A3D" w:rsidP="006E3A3D">
            <w:pPr>
              <w:rPr>
                <w:rFonts w:ascii="Lato" w:hAnsi="Lato"/>
                <w:sz w:val="22"/>
                <w:szCs w:val="22"/>
              </w:rPr>
            </w:pPr>
            <w:r w:rsidRPr="00CB1714">
              <w:rPr>
                <w:rFonts w:ascii="Lato" w:hAnsi="Lato"/>
                <w:sz w:val="22"/>
                <w:szCs w:val="22"/>
              </w:rPr>
              <w:t>This provision is also applicable to the annual fee charged by an investment manager where this fee is paid directly out of the assets of the Qualifying Investor AIF.</w:t>
            </w:r>
          </w:p>
        </w:tc>
        <w:tc>
          <w:tcPr>
            <w:tcW w:w="3188" w:type="dxa"/>
          </w:tcPr>
          <w:p w14:paraId="4FCE12B3" w14:textId="77777777" w:rsidR="006E3A3D" w:rsidRPr="00CB1714" w:rsidRDefault="006E3A3D" w:rsidP="006E3A3D">
            <w:pPr>
              <w:rPr>
                <w:rFonts w:ascii="Lato" w:hAnsi="Lato"/>
                <w:sz w:val="22"/>
                <w:szCs w:val="22"/>
              </w:rPr>
            </w:pPr>
          </w:p>
        </w:tc>
      </w:tr>
      <w:tr w:rsidR="006E3A3D" w:rsidRPr="00CB1714" w14:paraId="707F6FAE" w14:textId="77777777" w:rsidTr="00990D73">
        <w:tc>
          <w:tcPr>
            <w:tcW w:w="1316" w:type="dxa"/>
          </w:tcPr>
          <w:p w14:paraId="1549FEEE" w14:textId="77777777" w:rsidR="006E3A3D" w:rsidRPr="00CB1714" w:rsidRDefault="006E3A3D" w:rsidP="006E3A3D">
            <w:pPr>
              <w:rPr>
                <w:rFonts w:ascii="Lato" w:hAnsi="Lato"/>
                <w:sz w:val="22"/>
                <w:szCs w:val="22"/>
              </w:rPr>
            </w:pPr>
          </w:p>
        </w:tc>
        <w:tc>
          <w:tcPr>
            <w:tcW w:w="5891" w:type="dxa"/>
          </w:tcPr>
          <w:p w14:paraId="52C59C25" w14:textId="77777777" w:rsidR="006E3A3D" w:rsidRPr="00CB1714" w:rsidRDefault="006E3A3D" w:rsidP="006E3A3D">
            <w:pPr>
              <w:rPr>
                <w:rFonts w:ascii="Lato" w:hAnsi="Lato"/>
                <w:sz w:val="22"/>
                <w:szCs w:val="22"/>
              </w:rPr>
            </w:pPr>
          </w:p>
        </w:tc>
        <w:tc>
          <w:tcPr>
            <w:tcW w:w="3188" w:type="dxa"/>
          </w:tcPr>
          <w:p w14:paraId="02040D50" w14:textId="77777777" w:rsidR="006E3A3D" w:rsidRPr="00CB1714" w:rsidRDefault="006E3A3D" w:rsidP="006E3A3D">
            <w:pPr>
              <w:rPr>
                <w:rFonts w:ascii="Lato" w:hAnsi="Lato"/>
                <w:sz w:val="22"/>
                <w:szCs w:val="22"/>
              </w:rPr>
            </w:pPr>
          </w:p>
        </w:tc>
      </w:tr>
      <w:tr w:rsidR="006E3A3D" w:rsidRPr="00CB1714" w14:paraId="6E4C6117" w14:textId="77777777" w:rsidTr="00990D73">
        <w:tc>
          <w:tcPr>
            <w:tcW w:w="1316" w:type="dxa"/>
          </w:tcPr>
          <w:p w14:paraId="63EC5A33" w14:textId="77777777" w:rsidR="006E3A3D" w:rsidRPr="00CB1714" w:rsidRDefault="006E3A3D" w:rsidP="006E3A3D">
            <w:pPr>
              <w:rPr>
                <w:rFonts w:ascii="Lato" w:hAnsi="Lato"/>
                <w:sz w:val="22"/>
                <w:szCs w:val="22"/>
              </w:rPr>
            </w:pPr>
            <w:r w:rsidRPr="00CB1714">
              <w:rPr>
                <w:rFonts w:ascii="Lato" w:hAnsi="Lato"/>
                <w:sz w:val="22"/>
                <w:szCs w:val="22"/>
              </w:rPr>
              <w:t>2.23.7 (i)</w:t>
            </w:r>
          </w:p>
        </w:tc>
        <w:tc>
          <w:tcPr>
            <w:tcW w:w="5891" w:type="dxa"/>
            <w:tcBorders>
              <w:right w:val="single" w:sz="4" w:space="0" w:color="auto"/>
            </w:tcBorders>
          </w:tcPr>
          <w:p w14:paraId="7D4D4E56" w14:textId="77777777" w:rsidR="006E3A3D" w:rsidRPr="00CB1714" w:rsidRDefault="006E3A3D" w:rsidP="006E3A3D">
            <w:pPr>
              <w:rPr>
                <w:rFonts w:ascii="Lato" w:hAnsi="Lato"/>
                <w:sz w:val="22"/>
                <w:szCs w:val="22"/>
              </w:rPr>
            </w:pPr>
            <w:r w:rsidRPr="00CB1714">
              <w:rPr>
                <w:rFonts w:ascii="Lato" w:hAnsi="Lato"/>
                <w:sz w:val="22"/>
                <w:szCs w:val="22"/>
              </w:rPr>
              <w:t xml:space="preserve">Disclose details of procedures for the exchange of shares  </w:t>
            </w:r>
          </w:p>
        </w:tc>
        <w:tc>
          <w:tcPr>
            <w:tcW w:w="3188" w:type="dxa"/>
            <w:tcBorders>
              <w:top w:val="single" w:sz="4" w:space="0" w:color="auto"/>
              <w:left w:val="single" w:sz="4" w:space="0" w:color="auto"/>
              <w:bottom w:val="single" w:sz="4" w:space="0" w:color="auto"/>
              <w:right w:val="single" w:sz="4" w:space="0" w:color="auto"/>
            </w:tcBorders>
          </w:tcPr>
          <w:p w14:paraId="19C32418" w14:textId="77777777" w:rsidR="006E3A3D" w:rsidRPr="00CB1714" w:rsidRDefault="006E3A3D" w:rsidP="006E3A3D">
            <w:pPr>
              <w:rPr>
                <w:rFonts w:ascii="Lato" w:hAnsi="Lato"/>
                <w:sz w:val="22"/>
                <w:szCs w:val="22"/>
              </w:rPr>
            </w:pPr>
          </w:p>
        </w:tc>
      </w:tr>
      <w:tr w:rsidR="006E3A3D" w:rsidRPr="00CB1714" w14:paraId="62B9F8BB" w14:textId="77777777" w:rsidTr="00990D73">
        <w:tc>
          <w:tcPr>
            <w:tcW w:w="1316" w:type="dxa"/>
          </w:tcPr>
          <w:p w14:paraId="0335AE4A" w14:textId="77777777" w:rsidR="006E3A3D" w:rsidRPr="00CB1714" w:rsidRDefault="006E3A3D" w:rsidP="006E3A3D">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3D6BF4F8" w14:textId="77777777" w:rsidR="006E3A3D" w:rsidRPr="00CB1714" w:rsidRDefault="006E3A3D" w:rsidP="006E3A3D">
            <w:pPr>
              <w:rPr>
                <w:rFonts w:ascii="Lato" w:hAnsi="Lato"/>
                <w:sz w:val="22"/>
                <w:szCs w:val="22"/>
              </w:rPr>
            </w:pPr>
            <w:r w:rsidRPr="00CB1714">
              <w:rPr>
                <w:rFonts w:ascii="Lato" w:hAnsi="Lato"/>
                <w:sz w:val="22"/>
                <w:szCs w:val="22"/>
              </w:rPr>
              <w:t xml:space="preserve">Disclose any charges applicable to the exchange of units in </w:t>
            </w:r>
          </w:p>
        </w:tc>
        <w:tc>
          <w:tcPr>
            <w:tcW w:w="3188" w:type="dxa"/>
            <w:tcBorders>
              <w:top w:val="single" w:sz="4" w:space="0" w:color="auto"/>
              <w:left w:val="single" w:sz="4" w:space="0" w:color="auto"/>
              <w:bottom w:val="single" w:sz="4" w:space="0" w:color="auto"/>
              <w:right w:val="single" w:sz="4" w:space="0" w:color="auto"/>
            </w:tcBorders>
          </w:tcPr>
          <w:p w14:paraId="71A1AEC0" w14:textId="77777777" w:rsidR="006E3A3D" w:rsidRPr="00CB1714" w:rsidRDefault="006E3A3D" w:rsidP="006E3A3D">
            <w:pPr>
              <w:rPr>
                <w:rFonts w:ascii="Lato" w:hAnsi="Lato"/>
                <w:sz w:val="22"/>
                <w:szCs w:val="22"/>
              </w:rPr>
            </w:pPr>
          </w:p>
        </w:tc>
      </w:tr>
      <w:tr w:rsidR="006E3A3D" w:rsidRPr="00CB1714" w14:paraId="4A060009" w14:textId="77777777" w:rsidTr="00990D73">
        <w:tc>
          <w:tcPr>
            <w:tcW w:w="1316" w:type="dxa"/>
          </w:tcPr>
          <w:p w14:paraId="1387F6E0" w14:textId="77777777" w:rsidR="006E3A3D" w:rsidRPr="00CB1714" w:rsidRDefault="006E3A3D" w:rsidP="006E3A3D">
            <w:pPr>
              <w:rPr>
                <w:rFonts w:ascii="Lato" w:hAnsi="Lato"/>
                <w:sz w:val="22"/>
                <w:szCs w:val="22"/>
              </w:rPr>
            </w:pPr>
          </w:p>
        </w:tc>
        <w:tc>
          <w:tcPr>
            <w:tcW w:w="5891" w:type="dxa"/>
          </w:tcPr>
          <w:p w14:paraId="6216BA27" w14:textId="77777777" w:rsidR="006E3A3D" w:rsidRPr="00CB1714" w:rsidRDefault="006E3A3D" w:rsidP="006E3A3D">
            <w:pPr>
              <w:rPr>
                <w:rFonts w:ascii="Lato" w:hAnsi="Lato"/>
                <w:sz w:val="22"/>
                <w:szCs w:val="22"/>
              </w:rPr>
            </w:pPr>
            <w:r w:rsidRPr="00F72ED7">
              <w:rPr>
                <w:rFonts w:ascii="Lato" w:hAnsi="Lato"/>
                <w:sz w:val="22"/>
                <w:szCs w:val="22"/>
              </w:rPr>
              <w:t>one</w:t>
            </w:r>
            <w:r w:rsidRPr="00CB1714">
              <w:rPr>
                <w:rFonts w:ascii="Lato" w:hAnsi="Lato"/>
                <w:sz w:val="22"/>
                <w:szCs w:val="22"/>
              </w:rPr>
              <w:t xml:space="preserve"> sub-fund for units in another</w:t>
            </w:r>
          </w:p>
        </w:tc>
        <w:tc>
          <w:tcPr>
            <w:tcW w:w="3188" w:type="dxa"/>
            <w:tcBorders>
              <w:top w:val="single" w:sz="4" w:space="0" w:color="auto"/>
            </w:tcBorders>
          </w:tcPr>
          <w:p w14:paraId="1CF04EA6" w14:textId="77777777" w:rsidR="006E3A3D" w:rsidRPr="00CB1714" w:rsidRDefault="006E3A3D" w:rsidP="006E3A3D">
            <w:pPr>
              <w:rPr>
                <w:rFonts w:ascii="Lato" w:hAnsi="Lato"/>
                <w:sz w:val="22"/>
                <w:szCs w:val="22"/>
              </w:rPr>
            </w:pPr>
          </w:p>
        </w:tc>
      </w:tr>
      <w:tr w:rsidR="006E3A3D" w:rsidRPr="00CB1714" w14:paraId="7DD17F91" w14:textId="77777777" w:rsidTr="00990D73">
        <w:tc>
          <w:tcPr>
            <w:tcW w:w="1316" w:type="dxa"/>
          </w:tcPr>
          <w:p w14:paraId="633C28EB" w14:textId="77777777" w:rsidR="006E3A3D" w:rsidRPr="00CB1714" w:rsidRDefault="006E3A3D" w:rsidP="006E3A3D">
            <w:pPr>
              <w:rPr>
                <w:rFonts w:ascii="Lato" w:hAnsi="Lato"/>
                <w:sz w:val="22"/>
                <w:szCs w:val="22"/>
              </w:rPr>
            </w:pPr>
          </w:p>
        </w:tc>
        <w:tc>
          <w:tcPr>
            <w:tcW w:w="5891" w:type="dxa"/>
          </w:tcPr>
          <w:p w14:paraId="15FA9C6F" w14:textId="77777777" w:rsidR="006E3A3D" w:rsidRPr="00CB1714" w:rsidRDefault="006E3A3D" w:rsidP="006E3A3D">
            <w:pPr>
              <w:rPr>
                <w:rFonts w:ascii="Lato" w:hAnsi="Lato"/>
                <w:sz w:val="22"/>
                <w:szCs w:val="22"/>
              </w:rPr>
            </w:pPr>
          </w:p>
        </w:tc>
        <w:tc>
          <w:tcPr>
            <w:tcW w:w="3188" w:type="dxa"/>
          </w:tcPr>
          <w:p w14:paraId="4A5018BA" w14:textId="77777777" w:rsidR="006E3A3D" w:rsidRPr="00CB1714" w:rsidRDefault="006E3A3D" w:rsidP="006E3A3D">
            <w:pPr>
              <w:rPr>
                <w:rFonts w:ascii="Lato" w:hAnsi="Lato"/>
                <w:sz w:val="22"/>
                <w:szCs w:val="22"/>
              </w:rPr>
            </w:pPr>
          </w:p>
        </w:tc>
      </w:tr>
      <w:tr w:rsidR="006E3A3D" w:rsidRPr="00CB1714" w14:paraId="29988F0E" w14:textId="77777777" w:rsidTr="00990D73">
        <w:tc>
          <w:tcPr>
            <w:tcW w:w="1316" w:type="dxa"/>
          </w:tcPr>
          <w:p w14:paraId="6917E25F" w14:textId="77777777" w:rsidR="006E3A3D" w:rsidRPr="00CB1714" w:rsidRDefault="006E3A3D" w:rsidP="006E3A3D">
            <w:pPr>
              <w:rPr>
                <w:rFonts w:ascii="Lato" w:hAnsi="Lato"/>
                <w:b/>
                <w:sz w:val="22"/>
                <w:szCs w:val="22"/>
              </w:rPr>
            </w:pPr>
            <w:r w:rsidRPr="00CB1714">
              <w:rPr>
                <w:rFonts w:ascii="Lato" w:hAnsi="Lato"/>
                <w:b/>
                <w:sz w:val="22"/>
                <w:szCs w:val="22"/>
              </w:rPr>
              <w:t>2.24</w:t>
            </w:r>
          </w:p>
        </w:tc>
        <w:tc>
          <w:tcPr>
            <w:tcW w:w="5891" w:type="dxa"/>
          </w:tcPr>
          <w:p w14:paraId="54544AB9" w14:textId="77777777" w:rsidR="006E3A3D" w:rsidRPr="00CB1714" w:rsidRDefault="006E3A3D" w:rsidP="006E3A3D">
            <w:pPr>
              <w:rPr>
                <w:rFonts w:ascii="Lato" w:hAnsi="Lato"/>
                <w:b/>
                <w:sz w:val="22"/>
                <w:szCs w:val="22"/>
              </w:rPr>
            </w:pPr>
            <w:r w:rsidRPr="00CB1714">
              <w:rPr>
                <w:rFonts w:ascii="Lato" w:hAnsi="Lato"/>
                <w:b/>
                <w:sz w:val="22"/>
                <w:szCs w:val="22"/>
              </w:rPr>
              <w:t>Classes of Funds</w:t>
            </w:r>
          </w:p>
        </w:tc>
        <w:tc>
          <w:tcPr>
            <w:tcW w:w="3188" w:type="dxa"/>
            <w:tcBorders>
              <w:bottom w:val="single" w:sz="4" w:space="0" w:color="auto"/>
            </w:tcBorders>
          </w:tcPr>
          <w:p w14:paraId="40C390D8" w14:textId="77777777" w:rsidR="006E3A3D" w:rsidRPr="00CB1714" w:rsidRDefault="006E3A3D" w:rsidP="006E3A3D">
            <w:pPr>
              <w:rPr>
                <w:rFonts w:ascii="Lato" w:hAnsi="Lato"/>
                <w:sz w:val="22"/>
                <w:szCs w:val="22"/>
              </w:rPr>
            </w:pPr>
          </w:p>
        </w:tc>
      </w:tr>
      <w:tr w:rsidR="006E3A3D" w:rsidRPr="00CB1714" w14:paraId="629F1767" w14:textId="77777777" w:rsidTr="00990D73">
        <w:tc>
          <w:tcPr>
            <w:tcW w:w="1316" w:type="dxa"/>
          </w:tcPr>
          <w:p w14:paraId="5CB4C4BB" w14:textId="77777777" w:rsidR="006E3A3D" w:rsidRPr="00CB1714" w:rsidRDefault="006E3A3D" w:rsidP="006E3A3D">
            <w:pPr>
              <w:rPr>
                <w:rFonts w:ascii="Lato" w:hAnsi="Lato"/>
                <w:sz w:val="22"/>
                <w:szCs w:val="22"/>
              </w:rPr>
            </w:pPr>
            <w:r w:rsidRPr="00CB1714">
              <w:rPr>
                <w:rFonts w:ascii="Lato" w:hAnsi="Lato"/>
                <w:sz w:val="22"/>
                <w:szCs w:val="22"/>
              </w:rPr>
              <w:t>2.24.1a)</w:t>
            </w:r>
          </w:p>
        </w:tc>
        <w:tc>
          <w:tcPr>
            <w:tcW w:w="5891" w:type="dxa"/>
            <w:tcBorders>
              <w:right w:val="single" w:sz="4" w:space="0" w:color="auto"/>
            </w:tcBorders>
          </w:tcPr>
          <w:p w14:paraId="1DEC2010" w14:textId="77777777" w:rsidR="006E3A3D" w:rsidRPr="00CB1714" w:rsidRDefault="006E3A3D" w:rsidP="006E3A3D">
            <w:pPr>
              <w:rPr>
                <w:rFonts w:ascii="Lato" w:hAnsi="Lato"/>
                <w:sz w:val="22"/>
                <w:szCs w:val="22"/>
              </w:rPr>
            </w:pPr>
            <w:r w:rsidRPr="00CB1714">
              <w:rPr>
                <w:rFonts w:ascii="Lato" w:hAnsi="Lato"/>
                <w:sz w:val="22"/>
                <w:szCs w:val="22"/>
              </w:rPr>
              <w:t xml:space="preserve">Disclose if the Qualifying Investor AIF may establish share </w:t>
            </w:r>
          </w:p>
        </w:tc>
        <w:tc>
          <w:tcPr>
            <w:tcW w:w="3188" w:type="dxa"/>
            <w:tcBorders>
              <w:top w:val="single" w:sz="4" w:space="0" w:color="auto"/>
              <w:left w:val="single" w:sz="4" w:space="0" w:color="auto"/>
              <w:bottom w:val="single" w:sz="4" w:space="0" w:color="auto"/>
              <w:right w:val="single" w:sz="4" w:space="0" w:color="auto"/>
            </w:tcBorders>
          </w:tcPr>
          <w:p w14:paraId="0696CF65" w14:textId="77777777" w:rsidR="006E3A3D" w:rsidRPr="00CB1714" w:rsidRDefault="006E3A3D" w:rsidP="006E3A3D">
            <w:pPr>
              <w:rPr>
                <w:rFonts w:ascii="Lato" w:hAnsi="Lato"/>
                <w:sz w:val="22"/>
                <w:szCs w:val="22"/>
              </w:rPr>
            </w:pPr>
          </w:p>
        </w:tc>
      </w:tr>
      <w:tr w:rsidR="006E3A3D" w:rsidRPr="00CB1714" w14:paraId="5772AE09" w14:textId="77777777" w:rsidTr="00990D73">
        <w:tc>
          <w:tcPr>
            <w:tcW w:w="1316" w:type="dxa"/>
          </w:tcPr>
          <w:p w14:paraId="0C51AFB9" w14:textId="77777777" w:rsidR="006E3A3D" w:rsidRPr="00CB1714" w:rsidRDefault="006E3A3D" w:rsidP="006E3A3D">
            <w:pPr>
              <w:rPr>
                <w:rFonts w:ascii="Lato" w:hAnsi="Lato"/>
                <w:sz w:val="22"/>
                <w:szCs w:val="22"/>
              </w:rPr>
            </w:pPr>
          </w:p>
        </w:tc>
        <w:tc>
          <w:tcPr>
            <w:tcW w:w="5891" w:type="dxa"/>
          </w:tcPr>
          <w:p w14:paraId="34CF15DD" w14:textId="77777777" w:rsidR="006E3A3D" w:rsidRPr="00CB1714" w:rsidRDefault="006E3A3D" w:rsidP="006E3A3D">
            <w:pPr>
              <w:rPr>
                <w:rFonts w:ascii="Lato" w:hAnsi="Lato"/>
                <w:sz w:val="22"/>
                <w:szCs w:val="22"/>
              </w:rPr>
            </w:pPr>
            <w:r w:rsidRPr="00CB1714">
              <w:rPr>
                <w:rFonts w:ascii="Lato" w:hAnsi="Lato"/>
                <w:sz w:val="22"/>
                <w:szCs w:val="22"/>
              </w:rPr>
              <w:t>classes and if so disclose the differentiating factors (i.e. subscription/redemption procedures, distribution policies or charging structure, hedging policies or other criteria) between share classes</w:t>
            </w:r>
          </w:p>
          <w:p w14:paraId="078687F8"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4F1AEFE9" w14:textId="77777777" w:rsidR="006E3A3D" w:rsidRPr="00CB1714" w:rsidRDefault="006E3A3D" w:rsidP="006E3A3D">
            <w:pPr>
              <w:rPr>
                <w:rFonts w:ascii="Lato" w:hAnsi="Lato"/>
                <w:sz w:val="22"/>
                <w:szCs w:val="22"/>
              </w:rPr>
            </w:pPr>
          </w:p>
        </w:tc>
      </w:tr>
      <w:tr w:rsidR="006E3A3D" w:rsidRPr="00CB1714" w14:paraId="38721900" w14:textId="77777777" w:rsidTr="00990D73">
        <w:tc>
          <w:tcPr>
            <w:tcW w:w="1316" w:type="dxa"/>
          </w:tcPr>
          <w:p w14:paraId="658B7ACA" w14:textId="77777777" w:rsidR="006E3A3D" w:rsidRPr="00CB1714" w:rsidRDefault="006E3A3D" w:rsidP="006E3A3D">
            <w:pPr>
              <w:rPr>
                <w:rFonts w:ascii="Lato" w:hAnsi="Lato"/>
                <w:sz w:val="22"/>
                <w:szCs w:val="22"/>
              </w:rPr>
            </w:pPr>
            <w:r w:rsidRPr="00CB1714">
              <w:rPr>
                <w:rFonts w:ascii="Lato" w:hAnsi="Lato"/>
                <w:sz w:val="22"/>
                <w:szCs w:val="22"/>
              </w:rPr>
              <w:t>b)</w:t>
            </w:r>
          </w:p>
        </w:tc>
        <w:tc>
          <w:tcPr>
            <w:tcW w:w="5891" w:type="dxa"/>
            <w:tcBorders>
              <w:right w:val="single" w:sz="4" w:space="0" w:color="auto"/>
            </w:tcBorders>
          </w:tcPr>
          <w:p w14:paraId="32F28A53" w14:textId="77777777" w:rsidR="006E3A3D" w:rsidRPr="00CB1714" w:rsidRDefault="006E3A3D" w:rsidP="006E3A3D">
            <w:pPr>
              <w:rPr>
                <w:rFonts w:ascii="Lato" w:hAnsi="Lato"/>
                <w:sz w:val="22"/>
                <w:szCs w:val="22"/>
              </w:rPr>
            </w:pPr>
            <w:r w:rsidRPr="00CB1714">
              <w:rPr>
                <w:rFonts w:ascii="Lato" w:hAnsi="Lato"/>
                <w:sz w:val="22"/>
                <w:szCs w:val="22"/>
              </w:rPr>
              <w:t>Subject to the provisions of the AIF Rulebook</w:t>
            </w:r>
          </w:p>
        </w:tc>
        <w:tc>
          <w:tcPr>
            <w:tcW w:w="3188" w:type="dxa"/>
            <w:tcBorders>
              <w:top w:val="single" w:sz="4" w:space="0" w:color="auto"/>
              <w:left w:val="single" w:sz="4" w:space="0" w:color="auto"/>
              <w:bottom w:val="single" w:sz="4" w:space="0" w:color="auto"/>
              <w:right w:val="single" w:sz="4" w:space="0" w:color="auto"/>
            </w:tcBorders>
          </w:tcPr>
          <w:p w14:paraId="1DB15E0F" w14:textId="77777777" w:rsidR="006E3A3D" w:rsidRPr="00CB1714" w:rsidRDefault="006E3A3D" w:rsidP="006E3A3D">
            <w:pPr>
              <w:rPr>
                <w:rFonts w:ascii="Lato" w:hAnsi="Lato"/>
                <w:sz w:val="22"/>
                <w:szCs w:val="22"/>
              </w:rPr>
            </w:pPr>
          </w:p>
        </w:tc>
      </w:tr>
      <w:tr w:rsidR="006E3A3D" w:rsidRPr="00CB1714" w14:paraId="7042DA8D" w14:textId="77777777" w:rsidTr="00990D73">
        <w:tc>
          <w:tcPr>
            <w:tcW w:w="1316" w:type="dxa"/>
          </w:tcPr>
          <w:p w14:paraId="0C35EDA5" w14:textId="77777777" w:rsidR="006E3A3D" w:rsidRPr="00CB1714" w:rsidRDefault="006E3A3D" w:rsidP="006E3A3D">
            <w:pPr>
              <w:rPr>
                <w:rFonts w:ascii="Lato" w:hAnsi="Lato"/>
                <w:sz w:val="22"/>
                <w:szCs w:val="22"/>
              </w:rPr>
            </w:pPr>
          </w:p>
        </w:tc>
        <w:tc>
          <w:tcPr>
            <w:tcW w:w="5891" w:type="dxa"/>
          </w:tcPr>
          <w:p w14:paraId="0BEA81DA" w14:textId="77777777" w:rsidR="006E3A3D" w:rsidRPr="00CB1714" w:rsidRDefault="006E3A3D" w:rsidP="006E3A3D">
            <w:pPr>
              <w:rPr>
                <w:rFonts w:ascii="Lato" w:hAnsi="Lato"/>
                <w:sz w:val="22"/>
                <w:szCs w:val="22"/>
              </w:rPr>
            </w:pPr>
            <w:r w:rsidRPr="00CB1714">
              <w:rPr>
                <w:rFonts w:ascii="Lato" w:hAnsi="Lato"/>
                <w:sz w:val="22"/>
                <w:szCs w:val="22"/>
              </w:rPr>
              <w:t xml:space="preserve">Provide that the Qualifying Investor AIFshall distributeand/or </w:t>
            </w:r>
          </w:p>
        </w:tc>
        <w:tc>
          <w:tcPr>
            <w:tcW w:w="3188" w:type="dxa"/>
            <w:tcBorders>
              <w:top w:val="single" w:sz="4" w:space="0" w:color="auto"/>
            </w:tcBorders>
          </w:tcPr>
          <w:p w14:paraId="3E84306F" w14:textId="77777777" w:rsidR="006E3A3D" w:rsidRPr="00CB1714" w:rsidRDefault="006E3A3D" w:rsidP="006E3A3D">
            <w:pPr>
              <w:rPr>
                <w:rFonts w:ascii="Lato" w:hAnsi="Lato"/>
                <w:sz w:val="22"/>
                <w:szCs w:val="22"/>
              </w:rPr>
            </w:pPr>
          </w:p>
        </w:tc>
      </w:tr>
      <w:tr w:rsidR="006E3A3D" w:rsidRPr="00CB1714" w14:paraId="16DCB92B" w14:textId="77777777" w:rsidTr="00990D73">
        <w:tc>
          <w:tcPr>
            <w:tcW w:w="1316" w:type="dxa"/>
          </w:tcPr>
          <w:p w14:paraId="4FC75752" w14:textId="77777777" w:rsidR="006E3A3D" w:rsidRPr="00CB1714" w:rsidRDefault="006E3A3D" w:rsidP="006E3A3D">
            <w:pPr>
              <w:rPr>
                <w:rFonts w:ascii="Lato" w:hAnsi="Lato"/>
                <w:sz w:val="22"/>
                <w:szCs w:val="22"/>
              </w:rPr>
            </w:pPr>
          </w:p>
        </w:tc>
        <w:tc>
          <w:tcPr>
            <w:tcW w:w="5891" w:type="dxa"/>
          </w:tcPr>
          <w:p w14:paraId="2D6DC79F" w14:textId="77777777" w:rsidR="006E3A3D" w:rsidRPr="00CB1714" w:rsidRDefault="006E3A3D" w:rsidP="006E3A3D">
            <w:pPr>
              <w:rPr>
                <w:rFonts w:ascii="Lato" w:hAnsi="Lato"/>
                <w:sz w:val="22"/>
                <w:szCs w:val="22"/>
              </w:rPr>
            </w:pPr>
            <w:r w:rsidRPr="00CB1714">
              <w:rPr>
                <w:rFonts w:ascii="Lato" w:hAnsi="Lato"/>
                <w:sz w:val="22"/>
                <w:szCs w:val="22"/>
              </w:rPr>
              <w:t>accrue capital gains/losses and income to each unitholder</w:t>
            </w:r>
          </w:p>
        </w:tc>
        <w:tc>
          <w:tcPr>
            <w:tcW w:w="3188" w:type="dxa"/>
          </w:tcPr>
          <w:p w14:paraId="678FE8A4" w14:textId="77777777" w:rsidR="006E3A3D" w:rsidRPr="00CB1714" w:rsidRDefault="006E3A3D" w:rsidP="006E3A3D">
            <w:pPr>
              <w:rPr>
                <w:rFonts w:ascii="Lato" w:hAnsi="Lato"/>
                <w:sz w:val="22"/>
                <w:szCs w:val="22"/>
              </w:rPr>
            </w:pPr>
          </w:p>
        </w:tc>
      </w:tr>
      <w:tr w:rsidR="006E3A3D" w:rsidRPr="00CB1714" w14:paraId="4DCC8881" w14:textId="77777777" w:rsidTr="00990D73">
        <w:tc>
          <w:tcPr>
            <w:tcW w:w="1316" w:type="dxa"/>
          </w:tcPr>
          <w:p w14:paraId="2CB85514" w14:textId="77777777" w:rsidR="006E3A3D" w:rsidRPr="00CB1714" w:rsidRDefault="006E3A3D" w:rsidP="006E3A3D">
            <w:pPr>
              <w:rPr>
                <w:rFonts w:ascii="Lato" w:hAnsi="Lato"/>
                <w:sz w:val="22"/>
                <w:szCs w:val="22"/>
              </w:rPr>
            </w:pPr>
          </w:p>
        </w:tc>
        <w:tc>
          <w:tcPr>
            <w:tcW w:w="5891" w:type="dxa"/>
          </w:tcPr>
          <w:p w14:paraId="36A4AB6B" w14:textId="77777777" w:rsidR="006E3A3D" w:rsidRPr="00CB1714" w:rsidRDefault="006E3A3D" w:rsidP="006E3A3D">
            <w:pPr>
              <w:rPr>
                <w:rFonts w:ascii="Lato" w:hAnsi="Lato"/>
                <w:sz w:val="22"/>
                <w:szCs w:val="22"/>
              </w:rPr>
            </w:pPr>
            <w:r w:rsidRPr="00CB1714">
              <w:rPr>
                <w:rFonts w:ascii="Lato" w:hAnsi="Lato"/>
                <w:sz w:val="22"/>
                <w:szCs w:val="22"/>
              </w:rPr>
              <w:t>relative to their participation in the relevant share class</w:t>
            </w:r>
          </w:p>
        </w:tc>
        <w:tc>
          <w:tcPr>
            <w:tcW w:w="3188" w:type="dxa"/>
          </w:tcPr>
          <w:p w14:paraId="665108D4" w14:textId="77777777" w:rsidR="006E3A3D" w:rsidRPr="00CB1714" w:rsidRDefault="006E3A3D" w:rsidP="006E3A3D">
            <w:pPr>
              <w:rPr>
                <w:rFonts w:ascii="Lato" w:hAnsi="Lato"/>
                <w:sz w:val="22"/>
                <w:szCs w:val="22"/>
              </w:rPr>
            </w:pPr>
          </w:p>
        </w:tc>
      </w:tr>
      <w:tr w:rsidR="006E3A3D" w:rsidRPr="00CB1714" w14:paraId="5143069C" w14:textId="77777777" w:rsidTr="004009A0">
        <w:tc>
          <w:tcPr>
            <w:tcW w:w="1316" w:type="dxa"/>
          </w:tcPr>
          <w:p w14:paraId="3A9D8E63" w14:textId="77777777" w:rsidR="006E3A3D" w:rsidRPr="00CB1714" w:rsidRDefault="006E3A3D" w:rsidP="006E3A3D">
            <w:pPr>
              <w:rPr>
                <w:rFonts w:ascii="Lato" w:hAnsi="Lato"/>
                <w:sz w:val="22"/>
                <w:szCs w:val="22"/>
              </w:rPr>
            </w:pPr>
            <w:r w:rsidRPr="00CB1714">
              <w:rPr>
                <w:rFonts w:ascii="Lato" w:hAnsi="Lato"/>
                <w:sz w:val="22"/>
                <w:szCs w:val="22"/>
              </w:rPr>
              <w:t>c)</w:t>
            </w:r>
          </w:p>
        </w:tc>
        <w:tc>
          <w:tcPr>
            <w:tcW w:w="5891" w:type="dxa"/>
            <w:tcBorders>
              <w:right w:val="single" w:sz="4" w:space="0" w:color="auto"/>
            </w:tcBorders>
          </w:tcPr>
          <w:p w14:paraId="496C376B" w14:textId="77777777" w:rsidR="006E3A3D" w:rsidRPr="00CB1714" w:rsidRDefault="006E3A3D" w:rsidP="006E3A3D">
            <w:pPr>
              <w:rPr>
                <w:rFonts w:ascii="Lato" w:hAnsi="Lato"/>
                <w:sz w:val="22"/>
                <w:szCs w:val="22"/>
              </w:rPr>
            </w:pPr>
            <w:r w:rsidRPr="00CB1714">
              <w:rPr>
                <w:rFonts w:ascii="Lato" w:hAnsi="Lato"/>
                <w:sz w:val="22"/>
                <w:szCs w:val="22"/>
              </w:rPr>
              <w:t xml:space="preserve">Disclose prominently the attendant risks </w:t>
            </w:r>
          </w:p>
        </w:tc>
        <w:tc>
          <w:tcPr>
            <w:tcW w:w="3188" w:type="dxa"/>
            <w:tcBorders>
              <w:top w:val="single" w:sz="4" w:space="0" w:color="auto"/>
              <w:left w:val="single" w:sz="4" w:space="0" w:color="auto"/>
              <w:bottom w:val="single" w:sz="4" w:space="0" w:color="auto"/>
              <w:right w:val="single" w:sz="4" w:space="0" w:color="auto"/>
            </w:tcBorders>
          </w:tcPr>
          <w:p w14:paraId="5796DA56" w14:textId="77777777" w:rsidR="006E3A3D" w:rsidRPr="00CB1714" w:rsidRDefault="006E3A3D" w:rsidP="006E3A3D">
            <w:pPr>
              <w:rPr>
                <w:rFonts w:ascii="Lato" w:hAnsi="Lato"/>
                <w:sz w:val="22"/>
                <w:szCs w:val="22"/>
              </w:rPr>
            </w:pPr>
          </w:p>
        </w:tc>
      </w:tr>
      <w:tr w:rsidR="006E3A3D" w:rsidRPr="00CB1714" w14:paraId="6C931BB4" w14:textId="77777777" w:rsidTr="004009A0">
        <w:tc>
          <w:tcPr>
            <w:tcW w:w="1316" w:type="dxa"/>
          </w:tcPr>
          <w:p w14:paraId="136161B2" w14:textId="77777777" w:rsidR="006E3A3D" w:rsidRPr="00CB1714" w:rsidRDefault="006E3A3D" w:rsidP="006E3A3D">
            <w:pPr>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19EDA708" w14:textId="77777777" w:rsidR="006E3A3D" w:rsidRPr="00CB1714" w:rsidRDefault="006E3A3D" w:rsidP="006E3A3D">
            <w:pPr>
              <w:rPr>
                <w:rFonts w:ascii="Lato" w:hAnsi="Lato"/>
                <w:sz w:val="22"/>
                <w:szCs w:val="22"/>
              </w:rPr>
            </w:pPr>
            <w:r w:rsidRPr="00CB1714">
              <w:rPr>
                <w:rFonts w:ascii="Lato" w:hAnsi="Lato"/>
                <w:sz w:val="22"/>
                <w:szCs w:val="22"/>
              </w:rPr>
              <w:t xml:space="preserve">Disclose clause in constitutional document that permits the </w:t>
            </w:r>
          </w:p>
        </w:tc>
        <w:tc>
          <w:tcPr>
            <w:tcW w:w="3188" w:type="dxa"/>
            <w:tcBorders>
              <w:top w:val="single" w:sz="4" w:space="0" w:color="auto"/>
              <w:left w:val="single" w:sz="4" w:space="0" w:color="auto"/>
              <w:bottom w:val="single" w:sz="4" w:space="0" w:color="auto"/>
              <w:right w:val="single" w:sz="4" w:space="0" w:color="auto"/>
            </w:tcBorders>
          </w:tcPr>
          <w:p w14:paraId="4D2DAEAE" w14:textId="77777777" w:rsidR="006E3A3D" w:rsidRPr="00CB1714" w:rsidRDefault="006E3A3D" w:rsidP="006E3A3D">
            <w:pPr>
              <w:rPr>
                <w:rFonts w:ascii="Lato" w:hAnsi="Lato"/>
                <w:sz w:val="22"/>
                <w:szCs w:val="22"/>
              </w:rPr>
            </w:pPr>
          </w:p>
        </w:tc>
      </w:tr>
      <w:tr w:rsidR="006E3A3D" w:rsidRPr="00CB1714" w14:paraId="0E1BB527" w14:textId="77777777" w:rsidTr="007E3170">
        <w:tc>
          <w:tcPr>
            <w:tcW w:w="1316" w:type="dxa"/>
          </w:tcPr>
          <w:p w14:paraId="629AC811" w14:textId="77777777" w:rsidR="006E3A3D" w:rsidRPr="00CB1714" w:rsidRDefault="006E3A3D" w:rsidP="006E3A3D">
            <w:pPr>
              <w:rPr>
                <w:rFonts w:ascii="Lato" w:hAnsi="Lato"/>
                <w:sz w:val="22"/>
                <w:szCs w:val="22"/>
              </w:rPr>
            </w:pPr>
          </w:p>
        </w:tc>
        <w:tc>
          <w:tcPr>
            <w:tcW w:w="5891" w:type="dxa"/>
          </w:tcPr>
          <w:p w14:paraId="66FA21CB" w14:textId="77777777" w:rsidR="006E3A3D" w:rsidRPr="00CB1714" w:rsidRDefault="006E3A3D" w:rsidP="006E3A3D">
            <w:pPr>
              <w:rPr>
                <w:rFonts w:ascii="Lato" w:hAnsi="Lato"/>
                <w:sz w:val="22"/>
                <w:szCs w:val="22"/>
              </w:rPr>
            </w:pPr>
            <w:r w:rsidRPr="00CB1714">
              <w:rPr>
                <w:rFonts w:ascii="Lato" w:hAnsi="Lato"/>
                <w:sz w:val="22"/>
                <w:szCs w:val="22"/>
              </w:rPr>
              <w:t>creation of share classes</w:t>
            </w:r>
          </w:p>
        </w:tc>
        <w:tc>
          <w:tcPr>
            <w:tcW w:w="3188" w:type="dxa"/>
            <w:tcBorders>
              <w:top w:val="single" w:sz="4" w:space="0" w:color="auto"/>
              <w:bottom w:val="single" w:sz="4" w:space="0" w:color="auto"/>
            </w:tcBorders>
          </w:tcPr>
          <w:p w14:paraId="24EF5EFC" w14:textId="77777777" w:rsidR="006E3A3D" w:rsidRPr="00CB1714" w:rsidRDefault="006E3A3D" w:rsidP="006E3A3D">
            <w:pPr>
              <w:rPr>
                <w:rFonts w:ascii="Lato" w:hAnsi="Lato"/>
                <w:sz w:val="22"/>
                <w:szCs w:val="22"/>
              </w:rPr>
            </w:pPr>
          </w:p>
        </w:tc>
      </w:tr>
      <w:tr w:rsidR="006E3A3D" w:rsidRPr="00CB1714" w14:paraId="4B1BCF6A" w14:textId="77777777" w:rsidTr="007E3170">
        <w:tc>
          <w:tcPr>
            <w:tcW w:w="1316" w:type="dxa"/>
          </w:tcPr>
          <w:p w14:paraId="58015735" w14:textId="77777777" w:rsidR="006E3A3D" w:rsidRPr="00CB1714" w:rsidRDefault="006E3A3D" w:rsidP="006E3A3D">
            <w:pPr>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467B7561" w14:textId="77777777" w:rsidR="006E3A3D" w:rsidRPr="00CB1714" w:rsidRDefault="006E3A3D" w:rsidP="006E3A3D">
            <w:pPr>
              <w:rPr>
                <w:rFonts w:ascii="Lato" w:hAnsi="Lato"/>
                <w:sz w:val="22"/>
                <w:szCs w:val="22"/>
              </w:rPr>
            </w:pPr>
            <w:r w:rsidRPr="00CB1714">
              <w:rPr>
                <w:rFonts w:ascii="Lato" w:hAnsi="Lato"/>
                <w:sz w:val="22"/>
                <w:szCs w:val="22"/>
              </w:rPr>
              <w:t xml:space="preserve">To the extent possible under the investment fund </w:t>
            </w:r>
          </w:p>
        </w:tc>
        <w:tc>
          <w:tcPr>
            <w:tcW w:w="3188" w:type="dxa"/>
            <w:tcBorders>
              <w:top w:val="single" w:sz="4" w:space="0" w:color="auto"/>
              <w:left w:val="single" w:sz="4" w:space="0" w:color="auto"/>
              <w:bottom w:val="single" w:sz="4" w:space="0" w:color="auto"/>
              <w:right w:val="single" w:sz="4" w:space="0" w:color="auto"/>
            </w:tcBorders>
          </w:tcPr>
          <w:p w14:paraId="0952DE03" w14:textId="77777777" w:rsidR="006E3A3D" w:rsidRPr="00CB1714" w:rsidRDefault="006E3A3D" w:rsidP="006E3A3D">
            <w:pPr>
              <w:rPr>
                <w:rFonts w:ascii="Lato" w:hAnsi="Lato"/>
                <w:sz w:val="22"/>
                <w:szCs w:val="22"/>
              </w:rPr>
            </w:pPr>
          </w:p>
        </w:tc>
      </w:tr>
      <w:tr w:rsidR="006E3A3D" w:rsidRPr="00CB1714" w14:paraId="0FD4A01A" w14:textId="77777777" w:rsidTr="007E3170">
        <w:tc>
          <w:tcPr>
            <w:tcW w:w="1316" w:type="dxa"/>
          </w:tcPr>
          <w:p w14:paraId="04F0E370" w14:textId="77777777" w:rsidR="006E3A3D" w:rsidRPr="00CB1714" w:rsidRDefault="006E3A3D" w:rsidP="006E3A3D">
            <w:pPr>
              <w:rPr>
                <w:rFonts w:ascii="Lato" w:hAnsi="Lato"/>
                <w:sz w:val="22"/>
                <w:szCs w:val="22"/>
              </w:rPr>
            </w:pPr>
          </w:p>
        </w:tc>
        <w:tc>
          <w:tcPr>
            <w:tcW w:w="5891" w:type="dxa"/>
          </w:tcPr>
          <w:p w14:paraId="2851EF92" w14:textId="77777777" w:rsidR="006E3A3D" w:rsidRPr="00CB1714" w:rsidRDefault="006E3A3D" w:rsidP="006E3A3D">
            <w:pPr>
              <w:rPr>
                <w:rFonts w:ascii="Lato" w:hAnsi="Lato"/>
                <w:sz w:val="22"/>
                <w:szCs w:val="22"/>
              </w:rPr>
            </w:pPr>
            <w:r w:rsidRPr="00F72ED7">
              <w:rPr>
                <w:rFonts w:ascii="Lato" w:hAnsi="Lato"/>
                <w:sz w:val="22"/>
                <w:szCs w:val="22"/>
              </w:rPr>
              <w:t xml:space="preserve">legislation and </w:t>
            </w:r>
            <w:r w:rsidRPr="00CB1714">
              <w:rPr>
                <w:rFonts w:ascii="Lato" w:hAnsi="Lato"/>
                <w:sz w:val="22"/>
                <w:szCs w:val="22"/>
              </w:rPr>
              <w:t xml:space="preserve">applicable law the constitutional document sould contain provisions aimed at achieving segregation of liability between such shares classes and the share classes participating in the common pool of assets of the Qualifying Investor AIF.  Disclose prominently where this is not possible. </w:t>
            </w:r>
          </w:p>
        </w:tc>
        <w:tc>
          <w:tcPr>
            <w:tcW w:w="3188" w:type="dxa"/>
            <w:tcBorders>
              <w:top w:val="single" w:sz="4" w:space="0" w:color="auto"/>
            </w:tcBorders>
          </w:tcPr>
          <w:p w14:paraId="6A606A23" w14:textId="77777777" w:rsidR="006E3A3D" w:rsidRPr="00CB1714" w:rsidRDefault="006E3A3D" w:rsidP="006E3A3D">
            <w:pPr>
              <w:rPr>
                <w:rFonts w:ascii="Lato" w:hAnsi="Lato"/>
                <w:sz w:val="22"/>
                <w:szCs w:val="22"/>
              </w:rPr>
            </w:pPr>
          </w:p>
        </w:tc>
      </w:tr>
      <w:tr w:rsidR="006E3A3D" w:rsidRPr="00CB1714" w14:paraId="6A56BFCD" w14:textId="77777777" w:rsidTr="00990D73">
        <w:tc>
          <w:tcPr>
            <w:tcW w:w="1316" w:type="dxa"/>
          </w:tcPr>
          <w:p w14:paraId="6B0EC1AF" w14:textId="77777777" w:rsidR="006E3A3D" w:rsidRPr="00CB1714" w:rsidRDefault="006E3A3D" w:rsidP="006E3A3D">
            <w:pPr>
              <w:rPr>
                <w:rFonts w:ascii="Lato" w:hAnsi="Lato"/>
                <w:sz w:val="22"/>
                <w:szCs w:val="22"/>
              </w:rPr>
            </w:pPr>
          </w:p>
        </w:tc>
        <w:tc>
          <w:tcPr>
            <w:tcW w:w="5891" w:type="dxa"/>
          </w:tcPr>
          <w:p w14:paraId="30295847" w14:textId="77777777" w:rsidR="006E3A3D" w:rsidRPr="00CB1714" w:rsidRDefault="006E3A3D" w:rsidP="006E3A3D">
            <w:pPr>
              <w:rPr>
                <w:rFonts w:ascii="Lato" w:hAnsi="Lato"/>
                <w:sz w:val="22"/>
                <w:szCs w:val="22"/>
              </w:rPr>
            </w:pPr>
          </w:p>
        </w:tc>
        <w:tc>
          <w:tcPr>
            <w:tcW w:w="3188" w:type="dxa"/>
          </w:tcPr>
          <w:p w14:paraId="3D2C5F74" w14:textId="77777777" w:rsidR="006E3A3D" w:rsidRPr="00CB1714" w:rsidRDefault="006E3A3D" w:rsidP="006E3A3D">
            <w:pPr>
              <w:rPr>
                <w:rFonts w:ascii="Lato" w:hAnsi="Lato"/>
                <w:sz w:val="22"/>
                <w:szCs w:val="22"/>
              </w:rPr>
            </w:pPr>
          </w:p>
        </w:tc>
      </w:tr>
      <w:tr w:rsidR="006E3A3D" w:rsidRPr="00CB1714" w14:paraId="05C677AE" w14:textId="77777777" w:rsidTr="00990D73">
        <w:tc>
          <w:tcPr>
            <w:tcW w:w="1316" w:type="dxa"/>
          </w:tcPr>
          <w:p w14:paraId="1D09136F" w14:textId="77777777" w:rsidR="006E3A3D" w:rsidRPr="00CB1714" w:rsidRDefault="006E3A3D" w:rsidP="006E3A3D">
            <w:pPr>
              <w:rPr>
                <w:rFonts w:ascii="Lato" w:hAnsi="Lato"/>
                <w:b/>
                <w:bCs/>
                <w:sz w:val="22"/>
                <w:szCs w:val="22"/>
              </w:rPr>
            </w:pPr>
            <w:r w:rsidRPr="00CB1714">
              <w:rPr>
                <w:rFonts w:ascii="Lato" w:hAnsi="Lato"/>
                <w:b/>
                <w:bCs/>
                <w:sz w:val="22"/>
                <w:szCs w:val="22"/>
              </w:rPr>
              <w:t>2.25</w:t>
            </w:r>
          </w:p>
        </w:tc>
        <w:tc>
          <w:tcPr>
            <w:tcW w:w="5891" w:type="dxa"/>
          </w:tcPr>
          <w:p w14:paraId="003B5BC0" w14:textId="77777777" w:rsidR="006E3A3D" w:rsidRPr="00CB1714" w:rsidRDefault="006E3A3D" w:rsidP="006E3A3D">
            <w:pPr>
              <w:pStyle w:val="Heading4"/>
              <w:rPr>
                <w:rFonts w:ascii="Lato" w:hAnsi="Lato"/>
                <w:sz w:val="22"/>
                <w:szCs w:val="22"/>
                <w:lang w:val="en-GB"/>
              </w:rPr>
            </w:pPr>
            <w:r w:rsidRPr="00CB1714">
              <w:rPr>
                <w:rFonts w:ascii="Lato" w:hAnsi="Lato"/>
                <w:sz w:val="22"/>
                <w:szCs w:val="22"/>
                <w:lang w:val="en-GB"/>
              </w:rPr>
              <w:t xml:space="preserve">Side Pockets Share Classes </w:t>
            </w:r>
          </w:p>
        </w:tc>
        <w:tc>
          <w:tcPr>
            <w:tcW w:w="3188" w:type="dxa"/>
          </w:tcPr>
          <w:p w14:paraId="003B80BD" w14:textId="77777777" w:rsidR="006E3A3D" w:rsidRPr="00CB1714" w:rsidRDefault="006E3A3D" w:rsidP="006E3A3D">
            <w:pPr>
              <w:rPr>
                <w:rFonts w:ascii="Lato" w:hAnsi="Lato"/>
                <w:sz w:val="22"/>
                <w:szCs w:val="22"/>
              </w:rPr>
            </w:pPr>
          </w:p>
        </w:tc>
      </w:tr>
      <w:tr w:rsidR="006E3A3D" w:rsidRPr="00CB1714" w14:paraId="3E8C6EA0" w14:textId="77777777" w:rsidTr="00990D73">
        <w:tc>
          <w:tcPr>
            <w:tcW w:w="1316" w:type="dxa"/>
          </w:tcPr>
          <w:p w14:paraId="29EA05B9" w14:textId="77777777" w:rsidR="006E3A3D" w:rsidRPr="00CB1714" w:rsidRDefault="006E3A3D" w:rsidP="006E3A3D">
            <w:pPr>
              <w:rPr>
                <w:rFonts w:ascii="Lato" w:hAnsi="Lato"/>
                <w:b/>
                <w:bCs/>
                <w:sz w:val="22"/>
                <w:szCs w:val="22"/>
              </w:rPr>
            </w:pPr>
          </w:p>
        </w:tc>
        <w:tc>
          <w:tcPr>
            <w:tcW w:w="5891" w:type="dxa"/>
          </w:tcPr>
          <w:p w14:paraId="11EA4EE7" w14:textId="77777777" w:rsidR="006E3A3D" w:rsidRPr="00CB1714" w:rsidRDefault="006E3A3D" w:rsidP="006E3A3D">
            <w:pPr>
              <w:pStyle w:val="Heading4"/>
              <w:rPr>
                <w:rFonts w:ascii="Lato" w:hAnsi="Lato"/>
                <w:sz w:val="22"/>
                <w:szCs w:val="22"/>
                <w:lang w:val="en-GB"/>
              </w:rPr>
            </w:pPr>
          </w:p>
        </w:tc>
        <w:tc>
          <w:tcPr>
            <w:tcW w:w="3188" w:type="dxa"/>
            <w:tcBorders>
              <w:bottom w:val="single" w:sz="4" w:space="0" w:color="auto"/>
            </w:tcBorders>
          </w:tcPr>
          <w:p w14:paraId="64E19E8D" w14:textId="77777777" w:rsidR="006E3A3D" w:rsidRPr="00CB1714" w:rsidRDefault="006E3A3D" w:rsidP="006E3A3D">
            <w:pPr>
              <w:rPr>
                <w:rFonts w:ascii="Lato" w:hAnsi="Lato"/>
                <w:sz w:val="22"/>
                <w:szCs w:val="22"/>
              </w:rPr>
            </w:pPr>
          </w:p>
        </w:tc>
      </w:tr>
      <w:tr w:rsidR="006E3A3D" w:rsidRPr="00CB1714" w14:paraId="05B5428D" w14:textId="77777777" w:rsidTr="00990D73">
        <w:tc>
          <w:tcPr>
            <w:tcW w:w="1316" w:type="dxa"/>
          </w:tcPr>
          <w:p w14:paraId="2C7CBD14" w14:textId="77777777" w:rsidR="006E3A3D" w:rsidRPr="00CB1714" w:rsidRDefault="006E3A3D" w:rsidP="006E3A3D">
            <w:pPr>
              <w:jc w:val="right"/>
              <w:rPr>
                <w:rFonts w:ascii="Lato" w:hAnsi="Lato"/>
                <w:bCs/>
                <w:sz w:val="22"/>
                <w:szCs w:val="22"/>
              </w:rPr>
            </w:pPr>
            <w:r w:rsidRPr="00CB1714">
              <w:rPr>
                <w:rFonts w:ascii="Lato" w:hAnsi="Lato"/>
                <w:bCs/>
                <w:sz w:val="22"/>
                <w:szCs w:val="22"/>
              </w:rPr>
              <w:t>a)</w:t>
            </w:r>
          </w:p>
        </w:tc>
        <w:tc>
          <w:tcPr>
            <w:tcW w:w="5891" w:type="dxa"/>
            <w:tcBorders>
              <w:right w:val="single" w:sz="4" w:space="0" w:color="auto"/>
            </w:tcBorders>
          </w:tcPr>
          <w:p w14:paraId="486E70A5" w14:textId="77777777" w:rsidR="006E3A3D" w:rsidRPr="00CB1714" w:rsidRDefault="006E3A3D" w:rsidP="006E3A3D">
            <w:pPr>
              <w:pStyle w:val="Heading4"/>
              <w:rPr>
                <w:rFonts w:ascii="Lato" w:hAnsi="Lato"/>
                <w:sz w:val="22"/>
                <w:szCs w:val="22"/>
                <w:lang w:val="en-GB"/>
              </w:rPr>
            </w:pPr>
            <w:r w:rsidRPr="00CB1714">
              <w:rPr>
                <w:rFonts w:ascii="Lato" w:hAnsi="Lato"/>
                <w:b w:val="0"/>
                <w:sz w:val="22"/>
                <w:szCs w:val="22"/>
              </w:rPr>
              <w:t xml:space="preserve">Provide a clear and umambiguous description of any </w:t>
            </w:r>
          </w:p>
        </w:tc>
        <w:tc>
          <w:tcPr>
            <w:tcW w:w="3188" w:type="dxa"/>
            <w:tcBorders>
              <w:top w:val="single" w:sz="4" w:space="0" w:color="auto"/>
              <w:left w:val="single" w:sz="4" w:space="0" w:color="auto"/>
              <w:bottom w:val="single" w:sz="4" w:space="0" w:color="auto"/>
              <w:right w:val="single" w:sz="4" w:space="0" w:color="auto"/>
            </w:tcBorders>
          </w:tcPr>
          <w:p w14:paraId="4FE4559D" w14:textId="77777777" w:rsidR="006E3A3D" w:rsidRPr="00CB1714" w:rsidRDefault="006E3A3D" w:rsidP="006E3A3D">
            <w:pPr>
              <w:rPr>
                <w:rFonts w:ascii="Lato" w:hAnsi="Lato"/>
                <w:sz w:val="22"/>
                <w:szCs w:val="22"/>
              </w:rPr>
            </w:pPr>
          </w:p>
        </w:tc>
      </w:tr>
      <w:tr w:rsidR="006E3A3D" w:rsidRPr="00CB1714" w14:paraId="1E77C8E5" w14:textId="77777777" w:rsidTr="00990D73">
        <w:tc>
          <w:tcPr>
            <w:tcW w:w="1316" w:type="dxa"/>
          </w:tcPr>
          <w:p w14:paraId="15C6DEE3" w14:textId="77777777" w:rsidR="006E3A3D" w:rsidRPr="00CB1714" w:rsidRDefault="006E3A3D" w:rsidP="006E3A3D">
            <w:pPr>
              <w:rPr>
                <w:rFonts w:ascii="Lato" w:hAnsi="Lato"/>
                <w:b/>
                <w:bCs/>
                <w:sz w:val="22"/>
                <w:szCs w:val="22"/>
              </w:rPr>
            </w:pPr>
          </w:p>
        </w:tc>
        <w:tc>
          <w:tcPr>
            <w:tcW w:w="5891" w:type="dxa"/>
          </w:tcPr>
          <w:p w14:paraId="09615EC5" w14:textId="77777777" w:rsidR="006E3A3D" w:rsidRPr="00CB1714" w:rsidRDefault="006E3A3D" w:rsidP="006E3A3D">
            <w:pPr>
              <w:pStyle w:val="Heading4"/>
              <w:rPr>
                <w:rFonts w:ascii="Lato" w:hAnsi="Lato"/>
                <w:sz w:val="22"/>
                <w:szCs w:val="22"/>
                <w:lang w:val="en-GB"/>
              </w:rPr>
            </w:pPr>
            <w:r w:rsidRPr="00F72ED7">
              <w:rPr>
                <w:rFonts w:ascii="Lato" w:hAnsi="Lato"/>
                <w:b w:val="0"/>
                <w:sz w:val="22"/>
                <w:szCs w:val="22"/>
              </w:rPr>
              <w:t>proposed</w:t>
            </w:r>
            <w:r w:rsidRPr="00CB1714">
              <w:rPr>
                <w:rFonts w:ascii="Lato" w:hAnsi="Lato"/>
                <w:b w:val="0"/>
                <w:sz w:val="22"/>
                <w:szCs w:val="22"/>
              </w:rPr>
              <w:t xml:space="preserve"> side pocket arrangements and information on the </w:t>
            </w:r>
          </w:p>
        </w:tc>
        <w:tc>
          <w:tcPr>
            <w:tcW w:w="3188" w:type="dxa"/>
            <w:tcBorders>
              <w:top w:val="single" w:sz="4" w:space="0" w:color="auto"/>
            </w:tcBorders>
          </w:tcPr>
          <w:p w14:paraId="777D56CC" w14:textId="77777777" w:rsidR="006E3A3D" w:rsidRPr="00CB1714" w:rsidRDefault="006E3A3D" w:rsidP="006E3A3D">
            <w:pPr>
              <w:rPr>
                <w:rFonts w:ascii="Lato" w:hAnsi="Lato"/>
                <w:sz w:val="22"/>
                <w:szCs w:val="22"/>
              </w:rPr>
            </w:pPr>
          </w:p>
        </w:tc>
      </w:tr>
      <w:tr w:rsidR="006E3A3D" w:rsidRPr="00CB1714" w14:paraId="56C80638" w14:textId="77777777" w:rsidTr="00990D73">
        <w:tc>
          <w:tcPr>
            <w:tcW w:w="1316" w:type="dxa"/>
          </w:tcPr>
          <w:p w14:paraId="7462CB89" w14:textId="77777777" w:rsidR="006E3A3D" w:rsidRPr="00CB1714" w:rsidRDefault="006E3A3D" w:rsidP="006E3A3D">
            <w:pPr>
              <w:rPr>
                <w:rFonts w:ascii="Lato" w:hAnsi="Lato"/>
                <w:b/>
                <w:bCs/>
                <w:sz w:val="22"/>
                <w:szCs w:val="22"/>
              </w:rPr>
            </w:pPr>
          </w:p>
        </w:tc>
        <w:tc>
          <w:tcPr>
            <w:tcW w:w="5891" w:type="dxa"/>
          </w:tcPr>
          <w:p w14:paraId="0D273884" w14:textId="77777777" w:rsidR="006E3A3D" w:rsidRPr="00CB1714" w:rsidRDefault="006E3A3D" w:rsidP="006E3A3D">
            <w:pPr>
              <w:pStyle w:val="Heading4"/>
              <w:rPr>
                <w:rFonts w:ascii="Lato" w:hAnsi="Lato"/>
                <w:sz w:val="22"/>
                <w:szCs w:val="22"/>
                <w:lang w:val="en-GB"/>
              </w:rPr>
            </w:pPr>
            <w:r w:rsidRPr="00F72ED7">
              <w:rPr>
                <w:rFonts w:ascii="Lato" w:hAnsi="Lato"/>
                <w:b w:val="0"/>
                <w:sz w:val="22"/>
                <w:szCs w:val="22"/>
              </w:rPr>
              <w:t>action which will be taken</w:t>
            </w:r>
            <w:r w:rsidRPr="00CB1714">
              <w:rPr>
                <w:rFonts w:ascii="Lato" w:hAnsi="Lato"/>
                <w:b w:val="0"/>
                <w:sz w:val="22"/>
                <w:szCs w:val="22"/>
              </w:rPr>
              <w:t xml:space="preserve"> in the event that the assets </w:t>
            </w:r>
          </w:p>
        </w:tc>
        <w:tc>
          <w:tcPr>
            <w:tcW w:w="3188" w:type="dxa"/>
          </w:tcPr>
          <w:p w14:paraId="34AFC93D" w14:textId="77777777" w:rsidR="006E3A3D" w:rsidRPr="00CB1714" w:rsidRDefault="006E3A3D" w:rsidP="006E3A3D">
            <w:pPr>
              <w:rPr>
                <w:rFonts w:ascii="Lato" w:hAnsi="Lato"/>
                <w:sz w:val="22"/>
                <w:szCs w:val="22"/>
              </w:rPr>
            </w:pPr>
          </w:p>
        </w:tc>
      </w:tr>
      <w:tr w:rsidR="006E3A3D" w:rsidRPr="00CB1714" w14:paraId="6FD7EE90" w14:textId="77777777" w:rsidTr="00990D73">
        <w:tc>
          <w:tcPr>
            <w:tcW w:w="1316" w:type="dxa"/>
          </w:tcPr>
          <w:p w14:paraId="52A3831C" w14:textId="77777777" w:rsidR="006E3A3D" w:rsidRPr="00CB1714" w:rsidRDefault="006E3A3D" w:rsidP="006E3A3D">
            <w:pPr>
              <w:rPr>
                <w:rFonts w:ascii="Lato" w:hAnsi="Lato"/>
                <w:b/>
                <w:bCs/>
                <w:sz w:val="22"/>
                <w:szCs w:val="22"/>
              </w:rPr>
            </w:pPr>
          </w:p>
        </w:tc>
        <w:tc>
          <w:tcPr>
            <w:tcW w:w="5891" w:type="dxa"/>
          </w:tcPr>
          <w:p w14:paraId="65E9B12C" w14:textId="77777777" w:rsidR="006E3A3D" w:rsidRPr="00CB1714" w:rsidRDefault="006E3A3D" w:rsidP="006E3A3D">
            <w:pPr>
              <w:pStyle w:val="Heading4"/>
              <w:rPr>
                <w:rFonts w:ascii="Lato" w:hAnsi="Lato"/>
                <w:sz w:val="22"/>
                <w:szCs w:val="22"/>
                <w:lang w:val="en-GB"/>
              </w:rPr>
            </w:pPr>
            <w:r w:rsidRPr="00F72ED7">
              <w:rPr>
                <w:rFonts w:ascii="Lato" w:hAnsi="Lato"/>
                <w:b w:val="0"/>
                <w:sz w:val="22"/>
                <w:szCs w:val="22"/>
              </w:rPr>
              <w:t>within the side pockets are not re-</w:t>
            </w:r>
            <w:r w:rsidRPr="00CB1714">
              <w:rPr>
                <w:rFonts w:ascii="Lato" w:hAnsi="Lato"/>
                <w:b w:val="0"/>
                <w:sz w:val="22"/>
                <w:szCs w:val="22"/>
              </w:rPr>
              <w:t xml:space="preserve">admitted to trading or </w:t>
            </w:r>
          </w:p>
        </w:tc>
        <w:tc>
          <w:tcPr>
            <w:tcW w:w="3188" w:type="dxa"/>
          </w:tcPr>
          <w:p w14:paraId="513EC352" w14:textId="77777777" w:rsidR="006E3A3D" w:rsidRPr="00CB1714" w:rsidRDefault="006E3A3D" w:rsidP="006E3A3D">
            <w:pPr>
              <w:rPr>
                <w:rFonts w:ascii="Lato" w:hAnsi="Lato"/>
                <w:sz w:val="22"/>
                <w:szCs w:val="22"/>
              </w:rPr>
            </w:pPr>
          </w:p>
        </w:tc>
      </w:tr>
      <w:tr w:rsidR="006E3A3D" w:rsidRPr="00CB1714" w14:paraId="553DAA9F" w14:textId="77777777" w:rsidTr="00990D73">
        <w:tc>
          <w:tcPr>
            <w:tcW w:w="1316" w:type="dxa"/>
          </w:tcPr>
          <w:p w14:paraId="49E7F8FB" w14:textId="77777777" w:rsidR="006E3A3D" w:rsidRPr="00CB1714" w:rsidRDefault="006E3A3D" w:rsidP="006E3A3D">
            <w:pPr>
              <w:rPr>
                <w:rFonts w:ascii="Lato" w:hAnsi="Lato"/>
                <w:b/>
                <w:bCs/>
                <w:sz w:val="22"/>
                <w:szCs w:val="22"/>
              </w:rPr>
            </w:pPr>
          </w:p>
        </w:tc>
        <w:tc>
          <w:tcPr>
            <w:tcW w:w="5891" w:type="dxa"/>
          </w:tcPr>
          <w:p w14:paraId="634799F6" w14:textId="77777777" w:rsidR="006E3A3D" w:rsidRPr="00CB1714" w:rsidRDefault="006E3A3D" w:rsidP="006E3A3D">
            <w:pPr>
              <w:pStyle w:val="Heading4"/>
              <w:rPr>
                <w:rFonts w:ascii="Lato" w:hAnsi="Lato"/>
                <w:sz w:val="22"/>
                <w:szCs w:val="22"/>
                <w:lang w:val="en-GB"/>
              </w:rPr>
            </w:pPr>
            <w:r w:rsidRPr="00F72ED7">
              <w:rPr>
                <w:rFonts w:ascii="Lato" w:hAnsi="Lato"/>
                <w:b w:val="0"/>
                <w:sz w:val="22"/>
                <w:szCs w:val="22"/>
              </w:rPr>
              <w:t>otherwise increase in value and/or</w:t>
            </w:r>
            <w:r w:rsidRPr="00CB1714">
              <w:rPr>
                <w:rFonts w:ascii="Lato" w:hAnsi="Lato"/>
                <w:b w:val="0"/>
                <w:sz w:val="22"/>
                <w:szCs w:val="22"/>
              </w:rPr>
              <w:t xml:space="preserve"> liquidity as anticipated.</w:t>
            </w:r>
          </w:p>
        </w:tc>
        <w:tc>
          <w:tcPr>
            <w:tcW w:w="3188" w:type="dxa"/>
          </w:tcPr>
          <w:p w14:paraId="4CEA57F8" w14:textId="77777777" w:rsidR="006E3A3D" w:rsidRPr="00CB1714" w:rsidRDefault="006E3A3D" w:rsidP="006E3A3D">
            <w:pPr>
              <w:rPr>
                <w:rFonts w:ascii="Lato" w:hAnsi="Lato"/>
                <w:sz w:val="22"/>
                <w:szCs w:val="22"/>
              </w:rPr>
            </w:pPr>
          </w:p>
        </w:tc>
      </w:tr>
      <w:tr w:rsidR="006E3A3D" w:rsidRPr="00CB1714" w14:paraId="49F87662" w14:textId="77777777" w:rsidTr="00990D73">
        <w:tc>
          <w:tcPr>
            <w:tcW w:w="1316" w:type="dxa"/>
          </w:tcPr>
          <w:p w14:paraId="39C77452" w14:textId="77777777" w:rsidR="006E3A3D" w:rsidRPr="00CB1714" w:rsidRDefault="006E3A3D" w:rsidP="006E3A3D">
            <w:pPr>
              <w:rPr>
                <w:rFonts w:ascii="Lato" w:hAnsi="Lato"/>
                <w:b/>
                <w:bCs/>
                <w:sz w:val="22"/>
                <w:szCs w:val="22"/>
              </w:rPr>
            </w:pPr>
          </w:p>
        </w:tc>
        <w:tc>
          <w:tcPr>
            <w:tcW w:w="5891" w:type="dxa"/>
          </w:tcPr>
          <w:p w14:paraId="33C65078" w14:textId="77777777" w:rsidR="006E3A3D" w:rsidRPr="00CB1714" w:rsidRDefault="006E3A3D" w:rsidP="006E3A3D">
            <w:pPr>
              <w:pStyle w:val="Heading4"/>
              <w:rPr>
                <w:rFonts w:ascii="Lato" w:hAnsi="Lato"/>
                <w:sz w:val="22"/>
                <w:szCs w:val="22"/>
                <w:lang w:val="en-GB"/>
              </w:rPr>
            </w:pPr>
          </w:p>
        </w:tc>
        <w:tc>
          <w:tcPr>
            <w:tcW w:w="3188" w:type="dxa"/>
            <w:tcBorders>
              <w:bottom w:val="single" w:sz="4" w:space="0" w:color="auto"/>
            </w:tcBorders>
          </w:tcPr>
          <w:p w14:paraId="5A09EDE6" w14:textId="77777777" w:rsidR="006E3A3D" w:rsidRPr="00CB1714" w:rsidRDefault="006E3A3D" w:rsidP="006E3A3D">
            <w:pPr>
              <w:rPr>
                <w:rFonts w:ascii="Lato" w:hAnsi="Lato"/>
                <w:sz w:val="22"/>
                <w:szCs w:val="22"/>
              </w:rPr>
            </w:pPr>
          </w:p>
        </w:tc>
      </w:tr>
      <w:tr w:rsidR="006E3A3D" w:rsidRPr="00CB1714" w14:paraId="12986932" w14:textId="77777777" w:rsidTr="00990D73">
        <w:tc>
          <w:tcPr>
            <w:tcW w:w="1316" w:type="dxa"/>
          </w:tcPr>
          <w:p w14:paraId="5BE261AB" w14:textId="77777777" w:rsidR="006E3A3D" w:rsidRPr="00CB1714" w:rsidRDefault="006E3A3D" w:rsidP="006E3A3D">
            <w:pPr>
              <w:jc w:val="right"/>
              <w:rPr>
                <w:rFonts w:ascii="Lato" w:hAnsi="Lato"/>
                <w:bCs/>
                <w:sz w:val="22"/>
                <w:szCs w:val="22"/>
              </w:rPr>
            </w:pPr>
            <w:r w:rsidRPr="00CB1714">
              <w:rPr>
                <w:rFonts w:ascii="Lato" w:hAnsi="Lato"/>
                <w:bCs/>
                <w:sz w:val="22"/>
                <w:szCs w:val="22"/>
              </w:rPr>
              <w:t>b)</w:t>
            </w:r>
          </w:p>
        </w:tc>
        <w:tc>
          <w:tcPr>
            <w:tcW w:w="5891" w:type="dxa"/>
            <w:tcBorders>
              <w:right w:val="single" w:sz="4" w:space="0" w:color="auto"/>
            </w:tcBorders>
          </w:tcPr>
          <w:p w14:paraId="16C9D5AF" w14:textId="77777777" w:rsidR="006E3A3D" w:rsidRPr="00CB1714" w:rsidRDefault="006E3A3D" w:rsidP="006E3A3D">
            <w:pPr>
              <w:pStyle w:val="Heading4"/>
              <w:rPr>
                <w:rFonts w:ascii="Lato" w:hAnsi="Lato"/>
                <w:b w:val="0"/>
                <w:sz w:val="22"/>
                <w:szCs w:val="22"/>
                <w:lang w:val="en-GB"/>
              </w:rPr>
            </w:pPr>
            <w:r w:rsidRPr="00CB1714">
              <w:rPr>
                <w:rFonts w:ascii="Lato" w:hAnsi="Lato"/>
                <w:b w:val="0"/>
                <w:sz w:val="22"/>
                <w:szCs w:val="22"/>
              </w:rPr>
              <w:t xml:space="preserve">Disclose if the Qualifying Investor AIF may establish side </w:t>
            </w:r>
          </w:p>
        </w:tc>
        <w:tc>
          <w:tcPr>
            <w:tcW w:w="3188" w:type="dxa"/>
            <w:tcBorders>
              <w:top w:val="single" w:sz="4" w:space="0" w:color="auto"/>
              <w:left w:val="single" w:sz="4" w:space="0" w:color="auto"/>
              <w:bottom w:val="single" w:sz="4" w:space="0" w:color="auto"/>
              <w:right w:val="single" w:sz="4" w:space="0" w:color="auto"/>
            </w:tcBorders>
          </w:tcPr>
          <w:p w14:paraId="58175804" w14:textId="77777777" w:rsidR="006E3A3D" w:rsidRPr="00CB1714" w:rsidRDefault="006E3A3D" w:rsidP="006E3A3D">
            <w:pPr>
              <w:rPr>
                <w:rFonts w:ascii="Lato" w:hAnsi="Lato"/>
                <w:sz w:val="22"/>
                <w:szCs w:val="22"/>
              </w:rPr>
            </w:pPr>
          </w:p>
        </w:tc>
      </w:tr>
      <w:tr w:rsidR="006E3A3D" w:rsidRPr="00CB1714" w14:paraId="7F3A658A" w14:textId="77777777" w:rsidTr="00990D73">
        <w:tc>
          <w:tcPr>
            <w:tcW w:w="1316" w:type="dxa"/>
          </w:tcPr>
          <w:p w14:paraId="7C087189" w14:textId="77777777" w:rsidR="006E3A3D" w:rsidRPr="00CB1714" w:rsidRDefault="006E3A3D" w:rsidP="006E3A3D">
            <w:pPr>
              <w:jc w:val="right"/>
              <w:rPr>
                <w:rFonts w:ascii="Lato" w:hAnsi="Lato"/>
                <w:bCs/>
                <w:sz w:val="22"/>
                <w:szCs w:val="22"/>
              </w:rPr>
            </w:pPr>
          </w:p>
        </w:tc>
        <w:tc>
          <w:tcPr>
            <w:tcW w:w="5891" w:type="dxa"/>
          </w:tcPr>
          <w:p w14:paraId="6AF894D2" w14:textId="77777777" w:rsidR="006E3A3D" w:rsidRPr="00CB1714" w:rsidRDefault="006E3A3D" w:rsidP="006E3A3D">
            <w:pPr>
              <w:pStyle w:val="Heading4"/>
              <w:rPr>
                <w:rFonts w:ascii="Lato" w:hAnsi="Lato"/>
                <w:b w:val="0"/>
                <w:sz w:val="22"/>
                <w:szCs w:val="22"/>
                <w:lang w:val="en-GB"/>
              </w:rPr>
            </w:pPr>
            <w:r w:rsidRPr="00CB1714">
              <w:rPr>
                <w:rFonts w:ascii="Lato" w:hAnsi="Lato"/>
                <w:b w:val="0"/>
                <w:sz w:val="22"/>
                <w:szCs w:val="22"/>
              </w:rPr>
              <w:t xml:space="preserve">pocket share classes into which assets which are  illiquid </w:t>
            </w:r>
          </w:p>
        </w:tc>
        <w:tc>
          <w:tcPr>
            <w:tcW w:w="3188" w:type="dxa"/>
            <w:tcBorders>
              <w:top w:val="single" w:sz="4" w:space="0" w:color="auto"/>
            </w:tcBorders>
          </w:tcPr>
          <w:p w14:paraId="5D722676" w14:textId="77777777" w:rsidR="006E3A3D" w:rsidRPr="00CB1714" w:rsidRDefault="006E3A3D" w:rsidP="006E3A3D">
            <w:pPr>
              <w:rPr>
                <w:rFonts w:ascii="Lato" w:hAnsi="Lato"/>
                <w:sz w:val="22"/>
                <w:szCs w:val="22"/>
              </w:rPr>
            </w:pPr>
          </w:p>
        </w:tc>
      </w:tr>
      <w:tr w:rsidR="006E3A3D" w:rsidRPr="00CB1714" w14:paraId="41615E66" w14:textId="77777777" w:rsidTr="00990D73">
        <w:tc>
          <w:tcPr>
            <w:tcW w:w="1316" w:type="dxa"/>
          </w:tcPr>
          <w:p w14:paraId="7E5655D1" w14:textId="77777777" w:rsidR="006E3A3D" w:rsidRPr="00CB1714" w:rsidRDefault="006E3A3D" w:rsidP="006E3A3D">
            <w:pPr>
              <w:jc w:val="right"/>
              <w:rPr>
                <w:rFonts w:ascii="Lato" w:hAnsi="Lato"/>
                <w:bCs/>
                <w:sz w:val="22"/>
                <w:szCs w:val="22"/>
              </w:rPr>
            </w:pPr>
          </w:p>
        </w:tc>
        <w:tc>
          <w:tcPr>
            <w:tcW w:w="5891" w:type="dxa"/>
          </w:tcPr>
          <w:p w14:paraId="51272856" w14:textId="77777777" w:rsidR="006E3A3D" w:rsidRPr="00CB1714" w:rsidRDefault="006E3A3D" w:rsidP="006E3A3D">
            <w:pPr>
              <w:pStyle w:val="Heading4"/>
              <w:rPr>
                <w:rFonts w:ascii="Lato" w:hAnsi="Lato"/>
                <w:b w:val="0"/>
                <w:sz w:val="22"/>
                <w:szCs w:val="22"/>
                <w:lang w:val="en-GB"/>
              </w:rPr>
            </w:pPr>
            <w:r w:rsidRPr="00F72ED7">
              <w:rPr>
                <w:rFonts w:ascii="Lato" w:hAnsi="Lato"/>
                <w:b w:val="0"/>
                <w:sz w:val="22"/>
                <w:szCs w:val="22"/>
              </w:rPr>
              <w:t>when purchased may be placed</w:t>
            </w:r>
            <w:r>
              <w:rPr>
                <w:rFonts w:ascii="Lato" w:hAnsi="Lato"/>
                <w:b w:val="0"/>
                <w:sz w:val="22"/>
                <w:szCs w:val="22"/>
              </w:rPr>
              <w:t xml:space="preserve"> </w:t>
            </w:r>
            <w:r w:rsidRPr="00CB1714">
              <w:rPr>
                <w:rFonts w:ascii="Lato" w:hAnsi="Lato"/>
                <w:b w:val="0"/>
                <w:sz w:val="22"/>
                <w:szCs w:val="22"/>
              </w:rPr>
              <w:t>(permissible only for open-ended with limited liquidity or closed ended)</w:t>
            </w:r>
          </w:p>
        </w:tc>
        <w:tc>
          <w:tcPr>
            <w:tcW w:w="3188" w:type="dxa"/>
          </w:tcPr>
          <w:p w14:paraId="66435D5B" w14:textId="77777777" w:rsidR="006E3A3D" w:rsidRPr="00CB1714" w:rsidRDefault="006E3A3D" w:rsidP="006E3A3D">
            <w:pPr>
              <w:rPr>
                <w:rFonts w:ascii="Lato" w:hAnsi="Lato"/>
                <w:sz w:val="22"/>
                <w:szCs w:val="22"/>
              </w:rPr>
            </w:pPr>
          </w:p>
        </w:tc>
      </w:tr>
      <w:tr w:rsidR="006E3A3D" w:rsidRPr="00CB1714" w14:paraId="5B110335" w14:textId="77777777" w:rsidTr="00990D73">
        <w:trPr>
          <w:trHeight w:val="190"/>
        </w:trPr>
        <w:tc>
          <w:tcPr>
            <w:tcW w:w="1316" w:type="dxa"/>
          </w:tcPr>
          <w:p w14:paraId="4F6F4FF0" w14:textId="77777777" w:rsidR="006E3A3D" w:rsidRPr="00CB1714" w:rsidRDefault="006E3A3D" w:rsidP="006E3A3D">
            <w:pPr>
              <w:jc w:val="right"/>
              <w:rPr>
                <w:rFonts w:ascii="Lato" w:hAnsi="Lato"/>
                <w:bCs/>
                <w:sz w:val="22"/>
                <w:szCs w:val="22"/>
              </w:rPr>
            </w:pPr>
          </w:p>
        </w:tc>
        <w:tc>
          <w:tcPr>
            <w:tcW w:w="5891" w:type="dxa"/>
          </w:tcPr>
          <w:p w14:paraId="7C5A7EB4" w14:textId="77777777" w:rsidR="006E3A3D" w:rsidRPr="00CB1714" w:rsidRDefault="006E3A3D" w:rsidP="006E3A3D">
            <w:pPr>
              <w:pStyle w:val="Heading4"/>
              <w:rPr>
                <w:rFonts w:ascii="Lato" w:hAnsi="Lato"/>
                <w:sz w:val="22"/>
                <w:szCs w:val="22"/>
                <w:lang w:val="en-GB"/>
              </w:rPr>
            </w:pPr>
          </w:p>
        </w:tc>
        <w:tc>
          <w:tcPr>
            <w:tcW w:w="3188" w:type="dxa"/>
            <w:tcBorders>
              <w:bottom w:val="single" w:sz="4" w:space="0" w:color="auto"/>
            </w:tcBorders>
          </w:tcPr>
          <w:p w14:paraId="36BBBB66" w14:textId="77777777" w:rsidR="006E3A3D" w:rsidRPr="00CB1714" w:rsidRDefault="006E3A3D" w:rsidP="006E3A3D">
            <w:pPr>
              <w:rPr>
                <w:rFonts w:ascii="Lato" w:hAnsi="Lato"/>
                <w:sz w:val="22"/>
                <w:szCs w:val="22"/>
              </w:rPr>
            </w:pPr>
          </w:p>
        </w:tc>
      </w:tr>
      <w:tr w:rsidR="006E3A3D" w:rsidRPr="00CB1714" w14:paraId="6B722954" w14:textId="77777777" w:rsidTr="00990D73">
        <w:tc>
          <w:tcPr>
            <w:tcW w:w="1316" w:type="dxa"/>
          </w:tcPr>
          <w:p w14:paraId="36B4E936" w14:textId="77777777" w:rsidR="006E3A3D" w:rsidRPr="00CB1714" w:rsidRDefault="006E3A3D" w:rsidP="006E3A3D">
            <w:pPr>
              <w:jc w:val="right"/>
              <w:rPr>
                <w:rFonts w:ascii="Lato" w:hAnsi="Lato"/>
                <w:bCs/>
                <w:sz w:val="22"/>
                <w:szCs w:val="22"/>
              </w:rPr>
            </w:pPr>
            <w:r w:rsidRPr="00CB1714">
              <w:rPr>
                <w:rFonts w:ascii="Lato" w:hAnsi="Lato"/>
                <w:bCs/>
                <w:sz w:val="22"/>
                <w:szCs w:val="22"/>
              </w:rPr>
              <w:t>c)</w:t>
            </w:r>
          </w:p>
        </w:tc>
        <w:tc>
          <w:tcPr>
            <w:tcW w:w="5891" w:type="dxa"/>
            <w:tcBorders>
              <w:right w:val="single" w:sz="4" w:space="0" w:color="auto"/>
            </w:tcBorders>
          </w:tcPr>
          <w:p w14:paraId="5563981B" w14:textId="77777777" w:rsidR="006E3A3D" w:rsidRPr="00CB1714" w:rsidDel="00932080" w:rsidRDefault="006E3A3D" w:rsidP="006E3A3D">
            <w:pPr>
              <w:pStyle w:val="Heading4"/>
              <w:rPr>
                <w:rFonts w:ascii="Lato" w:hAnsi="Lato"/>
                <w:b w:val="0"/>
                <w:sz w:val="22"/>
                <w:szCs w:val="22"/>
                <w:lang w:val="en-GB"/>
              </w:rPr>
            </w:pPr>
            <w:r w:rsidRPr="00CB1714">
              <w:rPr>
                <w:rFonts w:ascii="Lato" w:hAnsi="Lato"/>
                <w:b w:val="0"/>
                <w:sz w:val="22"/>
                <w:szCs w:val="22"/>
                <w:lang w:val="en-GB"/>
              </w:rPr>
              <w:t xml:space="preserve">Disclose the clause in the constitutional document which </w:t>
            </w:r>
          </w:p>
        </w:tc>
        <w:tc>
          <w:tcPr>
            <w:tcW w:w="3188" w:type="dxa"/>
            <w:tcBorders>
              <w:top w:val="single" w:sz="4" w:space="0" w:color="auto"/>
              <w:left w:val="single" w:sz="4" w:space="0" w:color="auto"/>
              <w:bottom w:val="single" w:sz="4" w:space="0" w:color="auto"/>
              <w:right w:val="single" w:sz="4" w:space="0" w:color="auto"/>
            </w:tcBorders>
          </w:tcPr>
          <w:p w14:paraId="68CF1554" w14:textId="77777777" w:rsidR="006E3A3D" w:rsidRPr="00CB1714" w:rsidRDefault="006E3A3D" w:rsidP="006E3A3D">
            <w:pPr>
              <w:rPr>
                <w:rFonts w:ascii="Lato" w:hAnsi="Lato"/>
                <w:sz w:val="22"/>
                <w:szCs w:val="22"/>
              </w:rPr>
            </w:pPr>
          </w:p>
        </w:tc>
      </w:tr>
      <w:tr w:rsidR="006E3A3D" w:rsidRPr="00CB1714" w14:paraId="43EA2100" w14:textId="77777777" w:rsidTr="00990D73">
        <w:tc>
          <w:tcPr>
            <w:tcW w:w="1316" w:type="dxa"/>
          </w:tcPr>
          <w:p w14:paraId="15A87859" w14:textId="77777777" w:rsidR="006E3A3D" w:rsidRPr="00CB1714" w:rsidRDefault="006E3A3D" w:rsidP="006E3A3D">
            <w:pPr>
              <w:jc w:val="right"/>
              <w:rPr>
                <w:rFonts w:ascii="Lato" w:hAnsi="Lato"/>
                <w:bCs/>
                <w:sz w:val="22"/>
                <w:szCs w:val="22"/>
              </w:rPr>
            </w:pPr>
          </w:p>
        </w:tc>
        <w:tc>
          <w:tcPr>
            <w:tcW w:w="5891" w:type="dxa"/>
          </w:tcPr>
          <w:p w14:paraId="7B1DB97B" w14:textId="77777777" w:rsidR="006E3A3D" w:rsidRPr="00CB1714" w:rsidRDefault="006E3A3D" w:rsidP="006E3A3D">
            <w:pPr>
              <w:pStyle w:val="Heading4"/>
              <w:rPr>
                <w:rFonts w:ascii="Lato" w:hAnsi="Lato"/>
                <w:b w:val="0"/>
                <w:sz w:val="22"/>
                <w:szCs w:val="22"/>
                <w:lang w:val="en-GB"/>
              </w:rPr>
            </w:pPr>
            <w:r w:rsidRPr="00CB1714">
              <w:rPr>
                <w:rFonts w:ascii="Lato" w:hAnsi="Lato"/>
                <w:b w:val="0"/>
                <w:sz w:val="22"/>
                <w:szCs w:val="22"/>
                <w:lang w:val="en-GB"/>
              </w:rPr>
              <w:t>permits the creation of side pockets, including where relevant purchasing illiquid assets to  place into side pockets.</w:t>
            </w:r>
          </w:p>
        </w:tc>
        <w:tc>
          <w:tcPr>
            <w:tcW w:w="3188" w:type="dxa"/>
            <w:tcBorders>
              <w:top w:val="single" w:sz="4" w:space="0" w:color="auto"/>
            </w:tcBorders>
          </w:tcPr>
          <w:p w14:paraId="3E61AB01" w14:textId="77777777" w:rsidR="006E3A3D" w:rsidRPr="00CB1714" w:rsidRDefault="006E3A3D" w:rsidP="006E3A3D">
            <w:pPr>
              <w:rPr>
                <w:rFonts w:ascii="Lato" w:hAnsi="Lato"/>
                <w:sz w:val="22"/>
                <w:szCs w:val="22"/>
              </w:rPr>
            </w:pPr>
          </w:p>
        </w:tc>
      </w:tr>
      <w:tr w:rsidR="006E3A3D" w:rsidRPr="00CB1714" w14:paraId="4499E502" w14:textId="77777777" w:rsidTr="00990D73">
        <w:trPr>
          <w:trHeight w:val="90"/>
        </w:trPr>
        <w:tc>
          <w:tcPr>
            <w:tcW w:w="1316" w:type="dxa"/>
          </w:tcPr>
          <w:p w14:paraId="0800DC76" w14:textId="77777777" w:rsidR="006E3A3D" w:rsidRPr="00CB1714" w:rsidRDefault="006E3A3D" w:rsidP="006E3A3D">
            <w:pPr>
              <w:rPr>
                <w:rFonts w:ascii="Lato" w:hAnsi="Lato"/>
                <w:b/>
                <w:bCs/>
                <w:sz w:val="22"/>
                <w:szCs w:val="22"/>
              </w:rPr>
            </w:pPr>
          </w:p>
        </w:tc>
        <w:tc>
          <w:tcPr>
            <w:tcW w:w="5891" w:type="dxa"/>
          </w:tcPr>
          <w:p w14:paraId="24165E14" w14:textId="77777777" w:rsidR="006E3A3D" w:rsidRPr="00CB1714" w:rsidRDefault="006E3A3D" w:rsidP="006E3A3D">
            <w:pPr>
              <w:pStyle w:val="BodyTextIndent"/>
              <w:ind w:left="-5"/>
              <w:rPr>
                <w:rFonts w:ascii="Lato" w:hAnsi="Lato"/>
                <w:b/>
                <w:bCs/>
                <w:szCs w:val="22"/>
              </w:rPr>
            </w:pPr>
          </w:p>
        </w:tc>
        <w:tc>
          <w:tcPr>
            <w:tcW w:w="3188" w:type="dxa"/>
          </w:tcPr>
          <w:p w14:paraId="0923FC7C" w14:textId="77777777" w:rsidR="006E3A3D" w:rsidRPr="00CB1714" w:rsidRDefault="006E3A3D" w:rsidP="006E3A3D">
            <w:pPr>
              <w:rPr>
                <w:rFonts w:ascii="Lato" w:hAnsi="Lato"/>
                <w:sz w:val="22"/>
                <w:szCs w:val="22"/>
              </w:rPr>
            </w:pPr>
          </w:p>
        </w:tc>
      </w:tr>
      <w:tr w:rsidR="006E3A3D" w:rsidRPr="00CB1714" w14:paraId="1C65CF47" w14:textId="77777777" w:rsidTr="00990D73">
        <w:trPr>
          <w:trHeight w:val="90"/>
        </w:trPr>
        <w:tc>
          <w:tcPr>
            <w:tcW w:w="1316" w:type="dxa"/>
          </w:tcPr>
          <w:p w14:paraId="5EF34DE6" w14:textId="77777777" w:rsidR="006E3A3D" w:rsidRPr="00CB1714" w:rsidRDefault="006E3A3D" w:rsidP="006E3A3D">
            <w:pPr>
              <w:rPr>
                <w:rFonts w:ascii="Lato" w:hAnsi="Lato"/>
                <w:b/>
                <w:bCs/>
                <w:sz w:val="22"/>
                <w:szCs w:val="22"/>
              </w:rPr>
            </w:pPr>
            <w:r w:rsidRPr="00CB1714">
              <w:rPr>
                <w:rFonts w:ascii="Lato" w:hAnsi="Lato"/>
                <w:b/>
                <w:bCs/>
                <w:sz w:val="22"/>
                <w:szCs w:val="22"/>
              </w:rPr>
              <w:t>2.26</w:t>
            </w:r>
          </w:p>
        </w:tc>
        <w:tc>
          <w:tcPr>
            <w:tcW w:w="5891" w:type="dxa"/>
          </w:tcPr>
          <w:p w14:paraId="37005808" w14:textId="77777777" w:rsidR="006E3A3D" w:rsidRPr="00CB1714" w:rsidRDefault="006E3A3D" w:rsidP="006E3A3D">
            <w:pPr>
              <w:pStyle w:val="BodyTextIndent"/>
              <w:ind w:left="-5"/>
              <w:rPr>
                <w:rFonts w:ascii="Lato" w:hAnsi="Lato"/>
                <w:b/>
                <w:bCs/>
                <w:szCs w:val="22"/>
              </w:rPr>
            </w:pPr>
            <w:r w:rsidRPr="00CB1714">
              <w:rPr>
                <w:rFonts w:ascii="Lato" w:hAnsi="Lato"/>
                <w:b/>
                <w:bCs/>
                <w:szCs w:val="22"/>
              </w:rPr>
              <w:t>Authorisation status</w:t>
            </w:r>
          </w:p>
        </w:tc>
        <w:tc>
          <w:tcPr>
            <w:tcW w:w="3188" w:type="dxa"/>
            <w:tcBorders>
              <w:bottom w:val="single" w:sz="4" w:space="0" w:color="auto"/>
            </w:tcBorders>
          </w:tcPr>
          <w:p w14:paraId="233DFED4" w14:textId="77777777" w:rsidR="006E3A3D" w:rsidRPr="00CB1714" w:rsidRDefault="006E3A3D" w:rsidP="006E3A3D">
            <w:pPr>
              <w:rPr>
                <w:rFonts w:ascii="Lato" w:hAnsi="Lato"/>
                <w:sz w:val="22"/>
                <w:szCs w:val="22"/>
              </w:rPr>
            </w:pPr>
          </w:p>
        </w:tc>
      </w:tr>
      <w:tr w:rsidR="006E3A3D" w:rsidRPr="00CB1714" w14:paraId="6A85F838" w14:textId="77777777" w:rsidTr="007E3170">
        <w:trPr>
          <w:cantSplit/>
          <w:trHeight w:val="255"/>
        </w:trPr>
        <w:tc>
          <w:tcPr>
            <w:tcW w:w="1316" w:type="dxa"/>
            <w:vMerge w:val="restart"/>
          </w:tcPr>
          <w:p w14:paraId="08CD9C7B" w14:textId="77777777" w:rsidR="006E3A3D" w:rsidRPr="00CB1714" w:rsidRDefault="006E3A3D" w:rsidP="006E3A3D">
            <w:pPr>
              <w:rPr>
                <w:rFonts w:ascii="Lato" w:hAnsi="Lato"/>
                <w:sz w:val="22"/>
                <w:szCs w:val="22"/>
              </w:rPr>
            </w:pPr>
            <w:r w:rsidRPr="00CB1714">
              <w:rPr>
                <w:rFonts w:ascii="Lato" w:hAnsi="Lato"/>
                <w:sz w:val="22"/>
                <w:szCs w:val="22"/>
              </w:rPr>
              <w:t>2.26.1</w:t>
            </w:r>
          </w:p>
        </w:tc>
        <w:tc>
          <w:tcPr>
            <w:tcW w:w="5891" w:type="dxa"/>
            <w:vMerge w:val="restart"/>
            <w:tcBorders>
              <w:right w:val="single" w:sz="4" w:space="0" w:color="auto"/>
            </w:tcBorders>
          </w:tcPr>
          <w:p w14:paraId="52F8CB50" w14:textId="77777777" w:rsidR="006E3A3D" w:rsidRPr="00CB1714" w:rsidRDefault="006E3A3D" w:rsidP="006E3A3D">
            <w:pPr>
              <w:rPr>
                <w:rFonts w:ascii="Lato" w:hAnsi="Lato"/>
                <w:sz w:val="22"/>
                <w:szCs w:val="22"/>
              </w:rPr>
            </w:pPr>
            <w:r w:rsidRPr="00CB1714">
              <w:rPr>
                <w:rFonts w:ascii="Lato" w:hAnsi="Lato"/>
                <w:sz w:val="22"/>
                <w:szCs w:val="22"/>
              </w:rPr>
              <w:t>A minimum subscription requirement of at least €100,000 (or its equivalent in other currencies)</w:t>
            </w:r>
          </w:p>
        </w:tc>
        <w:tc>
          <w:tcPr>
            <w:tcW w:w="3188" w:type="dxa"/>
            <w:tcBorders>
              <w:top w:val="single" w:sz="4" w:space="0" w:color="auto"/>
              <w:left w:val="single" w:sz="4" w:space="0" w:color="auto"/>
              <w:bottom w:val="single" w:sz="4" w:space="0" w:color="auto"/>
              <w:right w:val="single" w:sz="4" w:space="0" w:color="auto"/>
            </w:tcBorders>
          </w:tcPr>
          <w:p w14:paraId="2D9C917B" w14:textId="77777777" w:rsidR="006E3A3D" w:rsidRPr="00CB1714" w:rsidRDefault="006E3A3D" w:rsidP="006E3A3D">
            <w:pPr>
              <w:rPr>
                <w:rFonts w:ascii="Lato" w:hAnsi="Lato"/>
                <w:sz w:val="22"/>
                <w:szCs w:val="22"/>
              </w:rPr>
            </w:pPr>
          </w:p>
        </w:tc>
      </w:tr>
      <w:tr w:rsidR="006E3A3D" w:rsidRPr="00CB1714" w14:paraId="6FD8F461" w14:textId="77777777" w:rsidTr="004009A0">
        <w:trPr>
          <w:cantSplit/>
          <w:trHeight w:val="254"/>
        </w:trPr>
        <w:tc>
          <w:tcPr>
            <w:tcW w:w="1316" w:type="dxa"/>
            <w:vMerge/>
          </w:tcPr>
          <w:p w14:paraId="309062B2" w14:textId="77777777" w:rsidR="006E3A3D" w:rsidRPr="00CB1714" w:rsidRDefault="006E3A3D" w:rsidP="006E3A3D">
            <w:pPr>
              <w:rPr>
                <w:rFonts w:ascii="Lato" w:hAnsi="Lato"/>
                <w:sz w:val="22"/>
                <w:szCs w:val="22"/>
              </w:rPr>
            </w:pPr>
          </w:p>
        </w:tc>
        <w:tc>
          <w:tcPr>
            <w:tcW w:w="5891" w:type="dxa"/>
            <w:vMerge/>
          </w:tcPr>
          <w:p w14:paraId="2E272526"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2EC8FE85" w14:textId="77777777" w:rsidR="006E3A3D" w:rsidRPr="00CB1714" w:rsidRDefault="006E3A3D" w:rsidP="006E3A3D">
            <w:pPr>
              <w:rPr>
                <w:rFonts w:ascii="Lato" w:hAnsi="Lato"/>
                <w:sz w:val="22"/>
                <w:szCs w:val="22"/>
              </w:rPr>
            </w:pPr>
          </w:p>
        </w:tc>
      </w:tr>
      <w:tr w:rsidR="006E3A3D" w:rsidRPr="00CB1714" w14:paraId="52A94212" w14:textId="77777777" w:rsidTr="007E3170">
        <w:trPr>
          <w:cantSplit/>
          <w:trHeight w:val="254"/>
        </w:trPr>
        <w:tc>
          <w:tcPr>
            <w:tcW w:w="1316" w:type="dxa"/>
            <w:vMerge/>
          </w:tcPr>
          <w:p w14:paraId="712412B0" w14:textId="77777777" w:rsidR="006E3A3D" w:rsidRPr="00CB1714" w:rsidRDefault="006E3A3D" w:rsidP="006E3A3D">
            <w:pPr>
              <w:jc w:val="right"/>
              <w:rPr>
                <w:rFonts w:ascii="Lato" w:hAnsi="Lato"/>
                <w:sz w:val="22"/>
                <w:szCs w:val="22"/>
              </w:rPr>
            </w:pPr>
          </w:p>
        </w:tc>
        <w:tc>
          <w:tcPr>
            <w:tcW w:w="5891" w:type="dxa"/>
            <w:vMerge/>
          </w:tcPr>
          <w:p w14:paraId="0FEDE80C" w14:textId="77777777" w:rsidR="006E3A3D" w:rsidRPr="00CB1714" w:rsidRDefault="006E3A3D" w:rsidP="006E3A3D">
            <w:pPr>
              <w:rPr>
                <w:rFonts w:ascii="Lato" w:hAnsi="Lato"/>
                <w:sz w:val="22"/>
                <w:szCs w:val="22"/>
              </w:rPr>
            </w:pPr>
          </w:p>
        </w:tc>
        <w:tc>
          <w:tcPr>
            <w:tcW w:w="3188" w:type="dxa"/>
          </w:tcPr>
          <w:p w14:paraId="34EBBC72" w14:textId="77777777" w:rsidR="006E3A3D" w:rsidRPr="00CB1714" w:rsidRDefault="006E3A3D" w:rsidP="006E3A3D">
            <w:pPr>
              <w:rPr>
                <w:rFonts w:ascii="Lato" w:hAnsi="Lato"/>
                <w:sz w:val="22"/>
                <w:szCs w:val="22"/>
              </w:rPr>
            </w:pPr>
          </w:p>
        </w:tc>
      </w:tr>
      <w:tr w:rsidR="006E3A3D" w:rsidRPr="00CB1714" w14:paraId="2F216458" w14:textId="77777777" w:rsidTr="007E3170">
        <w:trPr>
          <w:cantSplit/>
          <w:trHeight w:val="254"/>
        </w:trPr>
        <w:tc>
          <w:tcPr>
            <w:tcW w:w="1316" w:type="dxa"/>
          </w:tcPr>
          <w:p w14:paraId="42589284" w14:textId="77777777" w:rsidR="006E3A3D" w:rsidRPr="00CB1714" w:rsidRDefault="006E3A3D" w:rsidP="006E3A3D">
            <w:pPr>
              <w:rPr>
                <w:rFonts w:ascii="Lato" w:hAnsi="Lato"/>
                <w:sz w:val="22"/>
                <w:szCs w:val="22"/>
              </w:rPr>
            </w:pPr>
            <w:r w:rsidRPr="00CB1714">
              <w:rPr>
                <w:rFonts w:ascii="Lato" w:hAnsi="Lato"/>
                <w:sz w:val="22"/>
                <w:szCs w:val="22"/>
              </w:rPr>
              <w:t>2.26.2</w:t>
            </w:r>
          </w:p>
        </w:tc>
        <w:tc>
          <w:tcPr>
            <w:tcW w:w="5891" w:type="dxa"/>
          </w:tcPr>
          <w:p w14:paraId="5AF9B3F5" w14:textId="77777777" w:rsidR="006E3A3D" w:rsidRPr="00CB1714" w:rsidRDefault="006E3A3D" w:rsidP="006E3A3D">
            <w:pPr>
              <w:rPr>
                <w:rFonts w:ascii="Lato" w:hAnsi="Lato"/>
                <w:sz w:val="22"/>
                <w:szCs w:val="22"/>
              </w:rPr>
            </w:pPr>
            <w:r w:rsidRPr="00CB1714">
              <w:rPr>
                <w:rFonts w:ascii="Lato" w:hAnsi="Lato"/>
                <w:sz w:val="22"/>
                <w:szCs w:val="22"/>
              </w:rPr>
              <w:t>Define Qualifying Investor as follows:</w:t>
            </w:r>
          </w:p>
        </w:tc>
        <w:tc>
          <w:tcPr>
            <w:tcW w:w="3188" w:type="dxa"/>
            <w:tcBorders>
              <w:bottom w:val="single" w:sz="4" w:space="0" w:color="auto"/>
            </w:tcBorders>
          </w:tcPr>
          <w:p w14:paraId="3879AE52" w14:textId="77777777" w:rsidR="006E3A3D" w:rsidRPr="00CB1714" w:rsidRDefault="006E3A3D" w:rsidP="006E3A3D">
            <w:pPr>
              <w:rPr>
                <w:rFonts w:ascii="Lato" w:hAnsi="Lato"/>
                <w:sz w:val="22"/>
                <w:szCs w:val="22"/>
              </w:rPr>
            </w:pPr>
          </w:p>
        </w:tc>
      </w:tr>
      <w:tr w:rsidR="006E3A3D" w:rsidRPr="00CB1714" w14:paraId="56168FE8" w14:textId="77777777" w:rsidTr="007E3170">
        <w:trPr>
          <w:cantSplit/>
          <w:trHeight w:val="254"/>
        </w:trPr>
        <w:tc>
          <w:tcPr>
            <w:tcW w:w="1316" w:type="dxa"/>
          </w:tcPr>
          <w:p w14:paraId="2F1354AB" w14:textId="77777777" w:rsidR="006E3A3D" w:rsidRPr="00CB1714" w:rsidRDefault="006E3A3D" w:rsidP="006E3A3D">
            <w:pPr>
              <w:jc w:val="right"/>
              <w:rPr>
                <w:rFonts w:ascii="Lato" w:hAnsi="Lato"/>
                <w:sz w:val="22"/>
                <w:szCs w:val="22"/>
              </w:rPr>
            </w:pPr>
            <w:r w:rsidRPr="00CB1714">
              <w:rPr>
                <w:rFonts w:ascii="Lato" w:hAnsi="Lato"/>
                <w:sz w:val="22"/>
                <w:szCs w:val="22"/>
              </w:rPr>
              <w:t>(a)</w:t>
            </w:r>
          </w:p>
        </w:tc>
        <w:tc>
          <w:tcPr>
            <w:tcW w:w="5891" w:type="dxa"/>
            <w:tcBorders>
              <w:right w:val="single" w:sz="4" w:space="0" w:color="auto"/>
            </w:tcBorders>
          </w:tcPr>
          <w:p w14:paraId="13A3EFA7" w14:textId="77777777" w:rsidR="006E3A3D" w:rsidRPr="00CB1714" w:rsidRDefault="006E3A3D" w:rsidP="006E3A3D">
            <w:pPr>
              <w:rPr>
                <w:rFonts w:ascii="Lato" w:hAnsi="Lato"/>
                <w:sz w:val="22"/>
                <w:szCs w:val="22"/>
              </w:rPr>
            </w:pPr>
            <w:r w:rsidRPr="00CB1714">
              <w:rPr>
                <w:rFonts w:ascii="Lato" w:hAnsi="Lato"/>
                <w:sz w:val="22"/>
                <w:szCs w:val="22"/>
              </w:rPr>
              <w:t xml:space="preserve">(i)an investor who is a professional client within the </w:t>
            </w:r>
          </w:p>
        </w:tc>
        <w:tc>
          <w:tcPr>
            <w:tcW w:w="3188" w:type="dxa"/>
            <w:tcBorders>
              <w:top w:val="single" w:sz="4" w:space="0" w:color="auto"/>
              <w:left w:val="single" w:sz="4" w:space="0" w:color="auto"/>
              <w:bottom w:val="single" w:sz="4" w:space="0" w:color="auto"/>
              <w:right w:val="single" w:sz="4" w:space="0" w:color="auto"/>
            </w:tcBorders>
          </w:tcPr>
          <w:p w14:paraId="132D90BE" w14:textId="77777777" w:rsidR="006E3A3D" w:rsidRPr="00CB1714" w:rsidRDefault="006E3A3D" w:rsidP="006E3A3D">
            <w:pPr>
              <w:rPr>
                <w:rFonts w:ascii="Lato" w:hAnsi="Lato"/>
                <w:sz w:val="22"/>
                <w:szCs w:val="22"/>
              </w:rPr>
            </w:pPr>
          </w:p>
        </w:tc>
      </w:tr>
      <w:tr w:rsidR="006E3A3D" w:rsidRPr="00CB1714" w14:paraId="798157D7" w14:textId="77777777" w:rsidTr="007E3170">
        <w:trPr>
          <w:cantSplit/>
          <w:trHeight w:val="254"/>
        </w:trPr>
        <w:tc>
          <w:tcPr>
            <w:tcW w:w="1316" w:type="dxa"/>
          </w:tcPr>
          <w:p w14:paraId="3A9B8AAD" w14:textId="77777777" w:rsidR="006E3A3D" w:rsidRPr="00CB1714" w:rsidRDefault="006E3A3D" w:rsidP="006E3A3D">
            <w:pPr>
              <w:jc w:val="right"/>
              <w:rPr>
                <w:rFonts w:ascii="Lato" w:hAnsi="Lato"/>
                <w:sz w:val="22"/>
                <w:szCs w:val="22"/>
              </w:rPr>
            </w:pPr>
          </w:p>
        </w:tc>
        <w:tc>
          <w:tcPr>
            <w:tcW w:w="5891" w:type="dxa"/>
          </w:tcPr>
          <w:p w14:paraId="7C23EF0D" w14:textId="77777777" w:rsidR="006E3A3D" w:rsidRPr="00CB1714" w:rsidRDefault="006E3A3D" w:rsidP="006E3A3D">
            <w:pPr>
              <w:rPr>
                <w:rFonts w:ascii="Lato" w:hAnsi="Lato"/>
                <w:sz w:val="22"/>
                <w:szCs w:val="22"/>
              </w:rPr>
            </w:pPr>
            <w:r w:rsidRPr="00CB1714">
              <w:rPr>
                <w:rFonts w:ascii="Lato" w:hAnsi="Lato"/>
                <w:sz w:val="22"/>
                <w:szCs w:val="22"/>
              </w:rPr>
              <w:t xml:space="preserve">meaning of Annex II of Directive 2004/39/EC(Markets in </w:t>
            </w:r>
          </w:p>
        </w:tc>
        <w:tc>
          <w:tcPr>
            <w:tcW w:w="3188" w:type="dxa"/>
            <w:tcBorders>
              <w:top w:val="single" w:sz="4" w:space="0" w:color="auto"/>
            </w:tcBorders>
          </w:tcPr>
          <w:p w14:paraId="0996CE9F" w14:textId="77777777" w:rsidR="006E3A3D" w:rsidRPr="00CB1714" w:rsidRDefault="006E3A3D" w:rsidP="006E3A3D">
            <w:pPr>
              <w:rPr>
                <w:rFonts w:ascii="Lato" w:hAnsi="Lato"/>
                <w:sz w:val="22"/>
                <w:szCs w:val="22"/>
              </w:rPr>
            </w:pPr>
          </w:p>
        </w:tc>
      </w:tr>
      <w:tr w:rsidR="006E3A3D" w:rsidRPr="00CB1714" w14:paraId="5CE819A8" w14:textId="77777777" w:rsidTr="007E3170">
        <w:trPr>
          <w:cantSplit/>
          <w:trHeight w:val="254"/>
        </w:trPr>
        <w:tc>
          <w:tcPr>
            <w:tcW w:w="1316" w:type="dxa"/>
          </w:tcPr>
          <w:p w14:paraId="7213C824" w14:textId="77777777" w:rsidR="006E3A3D" w:rsidRPr="00CB1714" w:rsidRDefault="006E3A3D" w:rsidP="006E3A3D">
            <w:pPr>
              <w:jc w:val="right"/>
              <w:rPr>
                <w:rFonts w:ascii="Lato" w:hAnsi="Lato"/>
                <w:sz w:val="22"/>
                <w:szCs w:val="22"/>
              </w:rPr>
            </w:pPr>
          </w:p>
        </w:tc>
        <w:tc>
          <w:tcPr>
            <w:tcW w:w="5891" w:type="dxa"/>
          </w:tcPr>
          <w:p w14:paraId="7BF202CA" w14:textId="77777777" w:rsidR="006E3A3D" w:rsidRPr="00CB1714" w:rsidRDefault="006E3A3D" w:rsidP="006E3A3D">
            <w:pPr>
              <w:rPr>
                <w:rFonts w:ascii="Lato" w:hAnsi="Lato"/>
                <w:sz w:val="22"/>
                <w:szCs w:val="22"/>
              </w:rPr>
            </w:pPr>
            <w:r w:rsidRPr="00CB1714">
              <w:rPr>
                <w:rFonts w:ascii="Lato" w:hAnsi="Lato"/>
                <w:sz w:val="22"/>
                <w:szCs w:val="22"/>
              </w:rPr>
              <w:t xml:space="preserve">Financial Instruments Directive)(‘MiFID’); or </w:t>
            </w:r>
          </w:p>
        </w:tc>
        <w:tc>
          <w:tcPr>
            <w:tcW w:w="3188" w:type="dxa"/>
            <w:tcBorders>
              <w:bottom w:val="single" w:sz="4" w:space="0" w:color="auto"/>
            </w:tcBorders>
          </w:tcPr>
          <w:p w14:paraId="0E61E703" w14:textId="77777777" w:rsidR="006E3A3D" w:rsidRPr="00CB1714" w:rsidRDefault="006E3A3D" w:rsidP="006E3A3D">
            <w:pPr>
              <w:rPr>
                <w:rFonts w:ascii="Lato" w:hAnsi="Lato"/>
                <w:sz w:val="22"/>
                <w:szCs w:val="22"/>
              </w:rPr>
            </w:pPr>
          </w:p>
        </w:tc>
      </w:tr>
      <w:tr w:rsidR="006E3A3D" w:rsidRPr="00CB1714" w14:paraId="3756D8EE" w14:textId="77777777" w:rsidTr="007E3170">
        <w:trPr>
          <w:cantSplit/>
          <w:trHeight w:val="254"/>
        </w:trPr>
        <w:tc>
          <w:tcPr>
            <w:tcW w:w="1316" w:type="dxa"/>
          </w:tcPr>
          <w:p w14:paraId="4F2D2B61"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12E610EB" w14:textId="77777777" w:rsidR="006E3A3D" w:rsidRPr="00CB1714" w:rsidRDefault="006E3A3D" w:rsidP="006E3A3D">
            <w:pPr>
              <w:rPr>
                <w:rFonts w:ascii="Lato" w:hAnsi="Lato"/>
                <w:sz w:val="22"/>
                <w:szCs w:val="22"/>
              </w:rPr>
            </w:pPr>
            <w:r w:rsidRPr="00CB1714">
              <w:rPr>
                <w:rFonts w:ascii="Lato" w:hAnsi="Lato"/>
                <w:sz w:val="22"/>
                <w:szCs w:val="22"/>
              </w:rPr>
              <w:t>(ii)an investor who receives appraisal from an EU credit</w:t>
            </w:r>
          </w:p>
        </w:tc>
        <w:tc>
          <w:tcPr>
            <w:tcW w:w="3188" w:type="dxa"/>
            <w:tcBorders>
              <w:top w:val="single" w:sz="4" w:space="0" w:color="auto"/>
              <w:left w:val="single" w:sz="4" w:space="0" w:color="auto"/>
              <w:bottom w:val="single" w:sz="4" w:space="0" w:color="auto"/>
              <w:right w:val="single" w:sz="4" w:space="0" w:color="auto"/>
            </w:tcBorders>
          </w:tcPr>
          <w:p w14:paraId="1F23B155" w14:textId="77777777" w:rsidR="006E3A3D" w:rsidRPr="00CB1714" w:rsidRDefault="006E3A3D" w:rsidP="006E3A3D">
            <w:pPr>
              <w:rPr>
                <w:rFonts w:ascii="Lato" w:hAnsi="Lato"/>
                <w:sz w:val="22"/>
                <w:szCs w:val="22"/>
              </w:rPr>
            </w:pPr>
          </w:p>
        </w:tc>
      </w:tr>
      <w:tr w:rsidR="006E3A3D" w:rsidRPr="00CB1714" w14:paraId="1C6A1AC9" w14:textId="77777777" w:rsidTr="007E3170">
        <w:trPr>
          <w:cantSplit/>
          <w:trHeight w:val="254"/>
        </w:trPr>
        <w:tc>
          <w:tcPr>
            <w:tcW w:w="1316" w:type="dxa"/>
          </w:tcPr>
          <w:p w14:paraId="19CCEE24" w14:textId="77777777" w:rsidR="006E3A3D" w:rsidRPr="00CB1714" w:rsidRDefault="006E3A3D" w:rsidP="006E3A3D">
            <w:pPr>
              <w:jc w:val="right"/>
              <w:rPr>
                <w:rFonts w:ascii="Lato" w:hAnsi="Lato"/>
                <w:sz w:val="22"/>
                <w:szCs w:val="22"/>
              </w:rPr>
            </w:pPr>
          </w:p>
        </w:tc>
        <w:tc>
          <w:tcPr>
            <w:tcW w:w="5891" w:type="dxa"/>
          </w:tcPr>
          <w:p w14:paraId="65D8A016" w14:textId="77777777" w:rsidR="006E3A3D" w:rsidRPr="00CB1714" w:rsidRDefault="006E3A3D" w:rsidP="006E3A3D">
            <w:pPr>
              <w:rPr>
                <w:rFonts w:ascii="Lato" w:hAnsi="Lato"/>
                <w:sz w:val="22"/>
                <w:szCs w:val="22"/>
              </w:rPr>
            </w:pPr>
            <w:r w:rsidRPr="00CB1714">
              <w:rPr>
                <w:rFonts w:ascii="Lato" w:hAnsi="Lato"/>
                <w:sz w:val="22"/>
                <w:szCs w:val="22"/>
              </w:rPr>
              <w:t>institution, a MiFID firm or a UCITS management company</w:t>
            </w:r>
          </w:p>
        </w:tc>
        <w:tc>
          <w:tcPr>
            <w:tcW w:w="3188" w:type="dxa"/>
            <w:tcBorders>
              <w:top w:val="single" w:sz="4" w:space="0" w:color="auto"/>
            </w:tcBorders>
          </w:tcPr>
          <w:p w14:paraId="428250FF" w14:textId="77777777" w:rsidR="006E3A3D" w:rsidRPr="00CB1714" w:rsidRDefault="006E3A3D" w:rsidP="006E3A3D">
            <w:pPr>
              <w:rPr>
                <w:rFonts w:ascii="Lato" w:hAnsi="Lato"/>
                <w:sz w:val="22"/>
                <w:szCs w:val="22"/>
              </w:rPr>
            </w:pPr>
          </w:p>
        </w:tc>
      </w:tr>
      <w:tr w:rsidR="006E3A3D" w:rsidRPr="00CB1714" w14:paraId="4A89F841" w14:textId="77777777" w:rsidTr="007E3170">
        <w:trPr>
          <w:cantSplit/>
          <w:trHeight w:val="254"/>
        </w:trPr>
        <w:tc>
          <w:tcPr>
            <w:tcW w:w="1316" w:type="dxa"/>
          </w:tcPr>
          <w:p w14:paraId="2D9243D3" w14:textId="77777777" w:rsidR="006E3A3D" w:rsidRPr="00CB1714" w:rsidRDefault="006E3A3D" w:rsidP="006E3A3D">
            <w:pPr>
              <w:jc w:val="right"/>
              <w:rPr>
                <w:rFonts w:ascii="Lato" w:hAnsi="Lato"/>
                <w:sz w:val="22"/>
                <w:szCs w:val="22"/>
              </w:rPr>
            </w:pPr>
          </w:p>
        </w:tc>
        <w:tc>
          <w:tcPr>
            <w:tcW w:w="5891" w:type="dxa"/>
          </w:tcPr>
          <w:p w14:paraId="5F40AEF9" w14:textId="77777777" w:rsidR="006E3A3D" w:rsidRPr="00CB1714" w:rsidRDefault="006E3A3D" w:rsidP="006E3A3D">
            <w:pPr>
              <w:rPr>
                <w:rFonts w:ascii="Lato" w:hAnsi="Lato"/>
                <w:sz w:val="22"/>
                <w:szCs w:val="22"/>
              </w:rPr>
            </w:pPr>
            <w:r w:rsidRPr="00CB1714">
              <w:rPr>
                <w:rFonts w:ascii="Lato" w:hAnsi="Lato"/>
                <w:sz w:val="22"/>
                <w:szCs w:val="22"/>
              </w:rPr>
              <w:t xml:space="preserve">that the investor has the appropriate expertise, experience and </w:t>
            </w:r>
          </w:p>
        </w:tc>
        <w:tc>
          <w:tcPr>
            <w:tcW w:w="3188" w:type="dxa"/>
          </w:tcPr>
          <w:p w14:paraId="4F855E92" w14:textId="77777777" w:rsidR="006E3A3D" w:rsidRPr="00CB1714" w:rsidRDefault="006E3A3D" w:rsidP="006E3A3D">
            <w:pPr>
              <w:rPr>
                <w:rFonts w:ascii="Lato" w:hAnsi="Lato"/>
                <w:sz w:val="22"/>
                <w:szCs w:val="22"/>
              </w:rPr>
            </w:pPr>
          </w:p>
        </w:tc>
      </w:tr>
      <w:tr w:rsidR="006E3A3D" w:rsidRPr="00CB1714" w14:paraId="2D05E884" w14:textId="77777777" w:rsidTr="007E3170">
        <w:trPr>
          <w:cantSplit/>
          <w:trHeight w:val="254"/>
        </w:trPr>
        <w:tc>
          <w:tcPr>
            <w:tcW w:w="1316" w:type="dxa"/>
          </w:tcPr>
          <w:p w14:paraId="2A05C110" w14:textId="77777777" w:rsidR="006E3A3D" w:rsidRPr="00CB1714" w:rsidRDefault="006E3A3D" w:rsidP="006E3A3D">
            <w:pPr>
              <w:jc w:val="right"/>
              <w:rPr>
                <w:rFonts w:ascii="Lato" w:hAnsi="Lato"/>
                <w:sz w:val="22"/>
                <w:szCs w:val="22"/>
              </w:rPr>
            </w:pPr>
          </w:p>
        </w:tc>
        <w:tc>
          <w:tcPr>
            <w:tcW w:w="5891" w:type="dxa"/>
          </w:tcPr>
          <w:p w14:paraId="39CC486C" w14:textId="77777777" w:rsidR="006E3A3D" w:rsidRPr="00CB1714" w:rsidRDefault="006E3A3D" w:rsidP="006E3A3D">
            <w:pPr>
              <w:rPr>
                <w:rFonts w:ascii="Lato" w:hAnsi="Lato"/>
                <w:sz w:val="22"/>
                <w:szCs w:val="22"/>
              </w:rPr>
            </w:pPr>
            <w:r w:rsidRPr="00CB1714">
              <w:rPr>
                <w:rFonts w:ascii="Lato" w:hAnsi="Lato"/>
                <w:sz w:val="22"/>
                <w:szCs w:val="22"/>
              </w:rPr>
              <w:t xml:space="preserve">knowledge to adequately understand the investment in the </w:t>
            </w:r>
          </w:p>
        </w:tc>
        <w:tc>
          <w:tcPr>
            <w:tcW w:w="3188" w:type="dxa"/>
          </w:tcPr>
          <w:p w14:paraId="6D032741" w14:textId="77777777" w:rsidR="006E3A3D" w:rsidRPr="00CB1714" w:rsidRDefault="006E3A3D" w:rsidP="006E3A3D">
            <w:pPr>
              <w:rPr>
                <w:rFonts w:ascii="Lato" w:hAnsi="Lato"/>
                <w:sz w:val="22"/>
                <w:szCs w:val="22"/>
              </w:rPr>
            </w:pPr>
          </w:p>
        </w:tc>
      </w:tr>
      <w:tr w:rsidR="006E3A3D" w:rsidRPr="00CB1714" w14:paraId="463C6B0E" w14:textId="77777777" w:rsidTr="007E3170">
        <w:trPr>
          <w:cantSplit/>
          <w:trHeight w:val="254"/>
        </w:trPr>
        <w:tc>
          <w:tcPr>
            <w:tcW w:w="1316" w:type="dxa"/>
          </w:tcPr>
          <w:p w14:paraId="56B5EC30" w14:textId="77777777" w:rsidR="006E3A3D" w:rsidRPr="00CB1714" w:rsidRDefault="006E3A3D" w:rsidP="006E3A3D">
            <w:pPr>
              <w:jc w:val="right"/>
              <w:rPr>
                <w:rFonts w:ascii="Lato" w:hAnsi="Lato"/>
                <w:sz w:val="22"/>
                <w:szCs w:val="22"/>
              </w:rPr>
            </w:pPr>
          </w:p>
        </w:tc>
        <w:tc>
          <w:tcPr>
            <w:tcW w:w="5891" w:type="dxa"/>
          </w:tcPr>
          <w:p w14:paraId="1C32DE48" w14:textId="77777777" w:rsidR="006E3A3D" w:rsidRPr="00CB1714" w:rsidRDefault="006E3A3D" w:rsidP="006E3A3D">
            <w:pPr>
              <w:rPr>
                <w:rFonts w:ascii="Lato" w:hAnsi="Lato"/>
                <w:sz w:val="22"/>
                <w:szCs w:val="22"/>
              </w:rPr>
            </w:pPr>
            <w:r w:rsidRPr="00CB1714">
              <w:rPr>
                <w:rFonts w:ascii="Lato" w:hAnsi="Lato"/>
                <w:sz w:val="22"/>
                <w:szCs w:val="22"/>
              </w:rPr>
              <w:t>Qualifying Investor AIF; or</w:t>
            </w:r>
          </w:p>
        </w:tc>
        <w:tc>
          <w:tcPr>
            <w:tcW w:w="3188" w:type="dxa"/>
          </w:tcPr>
          <w:p w14:paraId="668638C2" w14:textId="77777777" w:rsidR="006E3A3D" w:rsidRPr="00CB1714" w:rsidRDefault="006E3A3D" w:rsidP="006E3A3D">
            <w:pPr>
              <w:rPr>
                <w:rFonts w:ascii="Lato" w:hAnsi="Lato"/>
                <w:sz w:val="22"/>
                <w:szCs w:val="22"/>
              </w:rPr>
            </w:pPr>
          </w:p>
        </w:tc>
      </w:tr>
      <w:tr w:rsidR="006E3A3D" w:rsidRPr="00CB1714" w14:paraId="64779D98" w14:textId="77777777" w:rsidTr="007E3170">
        <w:trPr>
          <w:cantSplit/>
          <w:trHeight w:val="254"/>
        </w:trPr>
        <w:tc>
          <w:tcPr>
            <w:tcW w:w="1316" w:type="dxa"/>
          </w:tcPr>
          <w:p w14:paraId="16E3C63D" w14:textId="77777777" w:rsidR="006E3A3D" w:rsidRPr="00CB1714" w:rsidRDefault="006E3A3D" w:rsidP="006E3A3D">
            <w:pPr>
              <w:jc w:val="right"/>
              <w:rPr>
                <w:rFonts w:ascii="Lato" w:hAnsi="Lato"/>
                <w:sz w:val="22"/>
                <w:szCs w:val="22"/>
              </w:rPr>
            </w:pPr>
          </w:p>
        </w:tc>
        <w:tc>
          <w:tcPr>
            <w:tcW w:w="5891" w:type="dxa"/>
          </w:tcPr>
          <w:p w14:paraId="3B38D6F2" w14:textId="77777777" w:rsidR="006E3A3D" w:rsidRPr="00CB1714" w:rsidRDefault="006E3A3D" w:rsidP="006E3A3D">
            <w:pPr>
              <w:rPr>
                <w:rFonts w:ascii="Lato" w:hAnsi="Lato"/>
                <w:sz w:val="22"/>
                <w:szCs w:val="22"/>
              </w:rPr>
            </w:pPr>
            <w:r w:rsidRPr="00CB1714">
              <w:rPr>
                <w:rFonts w:ascii="Lato" w:hAnsi="Lato"/>
                <w:sz w:val="22"/>
                <w:szCs w:val="22"/>
              </w:rPr>
              <w:t xml:space="preserve">(iii)an investor who certifies that they are an informed </w:t>
            </w:r>
          </w:p>
        </w:tc>
        <w:tc>
          <w:tcPr>
            <w:tcW w:w="3188" w:type="dxa"/>
          </w:tcPr>
          <w:p w14:paraId="0E9AD204" w14:textId="77777777" w:rsidR="006E3A3D" w:rsidRPr="00CB1714" w:rsidRDefault="006E3A3D" w:rsidP="006E3A3D">
            <w:pPr>
              <w:rPr>
                <w:rFonts w:ascii="Lato" w:hAnsi="Lato"/>
                <w:sz w:val="22"/>
                <w:szCs w:val="22"/>
              </w:rPr>
            </w:pPr>
          </w:p>
        </w:tc>
      </w:tr>
      <w:tr w:rsidR="006E3A3D" w:rsidRPr="00CB1714" w14:paraId="365B28D8" w14:textId="77777777" w:rsidTr="007E3170">
        <w:trPr>
          <w:cantSplit/>
          <w:trHeight w:val="254"/>
        </w:trPr>
        <w:tc>
          <w:tcPr>
            <w:tcW w:w="1316" w:type="dxa"/>
          </w:tcPr>
          <w:p w14:paraId="5BE5CE9F" w14:textId="77777777" w:rsidR="006E3A3D" w:rsidRPr="00CB1714" w:rsidRDefault="006E3A3D" w:rsidP="006E3A3D">
            <w:pPr>
              <w:jc w:val="right"/>
              <w:rPr>
                <w:rFonts w:ascii="Lato" w:hAnsi="Lato"/>
                <w:sz w:val="22"/>
                <w:szCs w:val="22"/>
              </w:rPr>
            </w:pPr>
          </w:p>
        </w:tc>
        <w:tc>
          <w:tcPr>
            <w:tcW w:w="5891" w:type="dxa"/>
          </w:tcPr>
          <w:p w14:paraId="1A349403" w14:textId="77777777" w:rsidR="006E3A3D" w:rsidRPr="00CB1714" w:rsidRDefault="006E3A3D" w:rsidP="006E3A3D">
            <w:pPr>
              <w:rPr>
                <w:rFonts w:ascii="Lato" w:hAnsi="Lato"/>
                <w:sz w:val="22"/>
                <w:szCs w:val="22"/>
              </w:rPr>
            </w:pPr>
            <w:r w:rsidRPr="00F72ED7">
              <w:rPr>
                <w:rFonts w:ascii="Lato" w:hAnsi="Lato"/>
                <w:sz w:val="22"/>
                <w:szCs w:val="22"/>
              </w:rPr>
              <w:t xml:space="preserve">investor </w:t>
            </w:r>
            <w:r w:rsidRPr="00CB1714">
              <w:rPr>
                <w:rFonts w:ascii="Lato" w:hAnsi="Lato"/>
                <w:sz w:val="22"/>
                <w:szCs w:val="22"/>
              </w:rPr>
              <w:t xml:space="preserve">by providing the following: </w:t>
            </w:r>
          </w:p>
        </w:tc>
        <w:tc>
          <w:tcPr>
            <w:tcW w:w="3188" w:type="dxa"/>
            <w:tcBorders>
              <w:bottom w:val="single" w:sz="4" w:space="0" w:color="auto"/>
            </w:tcBorders>
          </w:tcPr>
          <w:p w14:paraId="6E1F004B" w14:textId="77777777" w:rsidR="006E3A3D" w:rsidRPr="00CB1714" w:rsidRDefault="006E3A3D" w:rsidP="006E3A3D">
            <w:pPr>
              <w:rPr>
                <w:rFonts w:ascii="Lato" w:hAnsi="Lato"/>
                <w:sz w:val="22"/>
                <w:szCs w:val="22"/>
              </w:rPr>
            </w:pPr>
          </w:p>
        </w:tc>
      </w:tr>
      <w:tr w:rsidR="006E3A3D" w:rsidRPr="00CB1714" w14:paraId="47A3641D" w14:textId="77777777" w:rsidTr="007E3170">
        <w:trPr>
          <w:cantSplit/>
          <w:trHeight w:val="254"/>
        </w:trPr>
        <w:tc>
          <w:tcPr>
            <w:tcW w:w="1316" w:type="dxa"/>
          </w:tcPr>
          <w:p w14:paraId="623ABA03"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01FEF33D" w14:textId="77777777" w:rsidR="006E3A3D" w:rsidRPr="00CB1714" w:rsidRDefault="006E3A3D" w:rsidP="006E3A3D">
            <w:pPr>
              <w:numPr>
                <w:ilvl w:val="0"/>
                <w:numId w:val="34"/>
              </w:numPr>
              <w:rPr>
                <w:rFonts w:ascii="Lato" w:hAnsi="Lato"/>
                <w:sz w:val="22"/>
                <w:szCs w:val="22"/>
              </w:rPr>
            </w:pPr>
            <w:r w:rsidRPr="00CB1714">
              <w:rPr>
                <w:rFonts w:ascii="Lato" w:hAnsi="Lato"/>
                <w:sz w:val="22"/>
                <w:szCs w:val="22"/>
              </w:rPr>
              <w:t xml:space="preserve">confirmation (in wrting) that the investor has such </w:t>
            </w:r>
          </w:p>
        </w:tc>
        <w:tc>
          <w:tcPr>
            <w:tcW w:w="3188" w:type="dxa"/>
            <w:tcBorders>
              <w:top w:val="single" w:sz="4" w:space="0" w:color="auto"/>
              <w:left w:val="single" w:sz="4" w:space="0" w:color="auto"/>
              <w:bottom w:val="single" w:sz="4" w:space="0" w:color="auto"/>
              <w:right w:val="single" w:sz="4" w:space="0" w:color="auto"/>
            </w:tcBorders>
          </w:tcPr>
          <w:p w14:paraId="2CC61F16" w14:textId="77777777" w:rsidR="006E3A3D" w:rsidRPr="00CB1714" w:rsidRDefault="006E3A3D" w:rsidP="006E3A3D">
            <w:pPr>
              <w:rPr>
                <w:rFonts w:ascii="Lato" w:hAnsi="Lato"/>
                <w:sz w:val="22"/>
                <w:szCs w:val="22"/>
              </w:rPr>
            </w:pPr>
          </w:p>
        </w:tc>
      </w:tr>
      <w:tr w:rsidR="006E3A3D" w:rsidRPr="00CB1714" w14:paraId="2BF9C599" w14:textId="77777777" w:rsidTr="007E3170">
        <w:trPr>
          <w:cantSplit/>
          <w:trHeight w:val="254"/>
        </w:trPr>
        <w:tc>
          <w:tcPr>
            <w:tcW w:w="1316" w:type="dxa"/>
          </w:tcPr>
          <w:p w14:paraId="62448433" w14:textId="77777777" w:rsidR="006E3A3D" w:rsidRPr="00CB1714" w:rsidRDefault="006E3A3D" w:rsidP="006E3A3D">
            <w:pPr>
              <w:jc w:val="right"/>
              <w:rPr>
                <w:rFonts w:ascii="Lato" w:hAnsi="Lato"/>
                <w:sz w:val="22"/>
                <w:szCs w:val="22"/>
              </w:rPr>
            </w:pPr>
          </w:p>
        </w:tc>
        <w:tc>
          <w:tcPr>
            <w:tcW w:w="5891" w:type="dxa"/>
          </w:tcPr>
          <w:p w14:paraId="7990864B" w14:textId="77777777" w:rsidR="006E3A3D" w:rsidRPr="00CB1714" w:rsidRDefault="006E3A3D" w:rsidP="006E3A3D">
            <w:pPr>
              <w:rPr>
                <w:rFonts w:ascii="Lato" w:hAnsi="Lato"/>
                <w:sz w:val="22"/>
                <w:szCs w:val="22"/>
              </w:rPr>
            </w:pPr>
            <w:r w:rsidRPr="00CB1714">
              <w:rPr>
                <w:rFonts w:ascii="Lato" w:hAnsi="Lato"/>
                <w:sz w:val="22"/>
                <w:szCs w:val="22"/>
              </w:rPr>
              <w:t xml:space="preserve">knowledge of and experience in financial and business </w:t>
            </w:r>
          </w:p>
        </w:tc>
        <w:tc>
          <w:tcPr>
            <w:tcW w:w="3188" w:type="dxa"/>
            <w:tcBorders>
              <w:top w:val="single" w:sz="4" w:space="0" w:color="auto"/>
            </w:tcBorders>
          </w:tcPr>
          <w:p w14:paraId="387CEF6C" w14:textId="77777777" w:rsidR="006E3A3D" w:rsidRPr="00CB1714" w:rsidRDefault="006E3A3D" w:rsidP="006E3A3D">
            <w:pPr>
              <w:rPr>
                <w:rFonts w:ascii="Lato" w:hAnsi="Lato"/>
                <w:sz w:val="22"/>
                <w:szCs w:val="22"/>
              </w:rPr>
            </w:pPr>
          </w:p>
        </w:tc>
      </w:tr>
      <w:tr w:rsidR="006E3A3D" w:rsidRPr="00CB1714" w14:paraId="1E403C83" w14:textId="77777777" w:rsidTr="007E3170">
        <w:trPr>
          <w:cantSplit/>
          <w:trHeight w:val="254"/>
        </w:trPr>
        <w:tc>
          <w:tcPr>
            <w:tcW w:w="1316" w:type="dxa"/>
          </w:tcPr>
          <w:p w14:paraId="281E3D60" w14:textId="77777777" w:rsidR="006E3A3D" w:rsidRPr="00CB1714" w:rsidRDefault="006E3A3D" w:rsidP="006E3A3D">
            <w:pPr>
              <w:jc w:val="right"/>
              <w:rPr>
                <w:rFonts w:ascii="Lato" w:hAnsi="Lato"/>
                <w:sz w:val="22"/>
                <w:szCs w:val="22"/>
              </w:rPr>
            </w:pPr>
          </w:p>
        </w:tc>
        <w:tc>
          <w:tcPr>
            <w:tcW w:w="5891" w:type="dxa"/>
          </w:tcPr>
          <w:p w14:paraId="2B254798" w14:textId="77777777" w:rsidR="006E3A3D" w:rsidRPr="00CB1714" w:rsidRDefault="006E3A3D" w:rsidP="006E3A3D">
            <w:pPr>
              <w:rPr>
                <w:rFonts w:ascii="Lato" w:hAnsi="Lato"/>
                <w:sz w:val="22"/>
                <w:szCs w:val="22"/>
              </w:rPr>
            </w:pPr>
            <w:r w:rsidRPr="00F72ED7">
              <w:rPr>
                <w:rFonts w:ascii="Lato" w:hAnsi="Lato"/>
                <w:sz w:val="22"/>
                <w:szCs w:val="22"/>
              </w:rPr>
              <w:t xml:space="preserve">matters </w:t>
            </w:r>
            <w:r w:rsidRPr="00CB1714">
              <w:rPr>
                <w:rFonts w:ascii="Lato" w:hAnsi="Lato"/>
                <w:sz w:val="22"/>
                <w:szCs w:val="22"/>
              </w:rPr>
              <w:t xml:space="preserve">as would enable the investor to properly evaluate </w:t>
            </w:r>
          </w:p>
        </w:tc>
        <w:tc>
          <w:tcPr>
            <w:tcW w:w="3188" w:type="dxa"/>
          </w:tcPr>
          <w:p w14:paraId="50386324" w14:textId="77777777" w:rsidR="006E3A3D" w:rsidRPr="00CB1714" w:rsidRDefault="006E3A3D" w:rsidP="006E3A3D">
            <w:pPr>
              <w:rPr>
                <w:rFonts w:ascii="Lato" w:hAnsi="Lato"/>
                <w:sz w:val="22"/>
                <w:szCs w:val="22"/>
              </w:rPr>
            </w:pPr>
          </w:p>
        </w:tc>
      </w:tr>
      <w:tr w:rsidR="006E3A3D" w:rsidRPr="00CB1714" w14:paraId="2A9BE907" w14:textId="77777777" w:rsidTr="007E3170">
        <w:trPr>
          <w:cantSplit/>
          <w:trHeight w:val="254"/>
        </w:trPr>
        <w:tc>
          <w:tcPr>
            <w:tcW w:w="1316" w:type="dxa"/>
          </w:tcPr>
          <w:p w14:paraId="215E3EAA" w14:textId="77777777" w:rsidR="006E3A3D" w:rsidRPr="00CB1714" w:rsidRDefault="006E3A3D" w:rsidP="006E3A3D">
            <w:pPr>
              <w:jc w:val="right"/>
              <w:rPr>
                <w:rFonts w:ascii="Lato" w:hAnsi="Lato"/>
                <w:sz w:val="22"/>
                <w:szCs w:val="22"/>
              </w:rPr>
            </w:pPr>
          </w:p>
        </w:tc>
        <w:tc>
          <w:tcPr>
            <w:tcW w:w="5891" w:type="dxa"/>
          </w:tcPr>
          <w:p w14:paraId="3796C7C4" w14:textId="77777777" w:rsidR="006E3A3D" w:rsidRPr="00CB1714" w:rsidRDefault="006E3A3D" w:rsidP="006E3A3D">
            <w:pPr>
              <w:rPr>
                <w:rFonts w:ascii="Lato" w:hAnsi="Lato"/>
                <w:sz w:val="22"/>
                <w:szCs w:val="22"/>
              </w:rPr>
            </w:pPr>
            <w:r w:rsidRPr="00F72ED7">
              <w:rPr>
                <w:rFonts w:ascii="Lato" w:hAnsi="Lato"/>
                <w:sz w:val="22"/>
                <w:szCs w:val="22"/>
              </w:rPr>
              <w:t>the merits and</w:t>
            </w:r>
            <w:r w:rsidRPr="00CB1714">
              <w:rPr>
                <w:rFonts w:ascii="Lato" w:hAnsi="Lato"/>
                <w:sz w:val="22"/>
                <w:szCs w:val="22"/>
              </w:rPr>
              <w:t xml:space="preserve"> risks of the prospective investment; or</w:t>
            </w:r>
          </w:p>
        </w:tc>
        <w:tc>
          <w:tcPr>
            <w:tcW w:w="3188" w:type="dxa"/>
            <w:tcBorders>
              <w:bottom w:val="single" w:sz="4" w:space="0" w:color="auto"/>
            </w:tcBorders>
          </w:tcPr>
          <w:p w14:paraId="2E7A7309" w14:textId="77777777" w:rsidR="006E3A3D" w:rsidRPr="00CB1714" w:rsidRDefault="006E3A3D" w:rsidP="006E3A3D">
            <w:pPr>
              <w:rPr>
                <w:rFonts w:ascii="Lato" w:hAnsi="Lato"/>
                <w:sz w:val="22"/>
                <w:szCs w:val="22"/>
              </w:rPr>
            </w:pPr>
          </w:p>
        </w:tc>
      </w:tr>
      <w:tr w:rsidR="006E3A3D" w:rsidRPr="00CB1714" w14:paraId="358CF36D" w14:textId="77777777" w:rsidTr="007E3170">
        <w:trPr>
          <w:cantSplit/>
          <w:trHeight w:val="254"/>
        </w:trPr>
        <w:tc>
          <w:tcPr>
            <w:tcW w:w="1316" w:type="dxa"/>
          </w:tcPr>
          <w:p w14:paraId="3A477355"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622049C9" w14:textId="77777777" w:rsidR="006E3A3D" w:rsidRPr="00CB1714" w:rsidRDefault="006E3A3D" w:rsidP="006E3A3D">
            <w:pPr>
              <w:numPr>
                <w:ilvl w:val="0"/>
                <w:numId w:val="34"/>
              </w:numPr>
              <w:rPr>
                <w:rFonts w:ascii="Lato" w:hAnsi="Lato"/>
                <w:sz w:val="22"/>
                <w:szCs w:val="22"/>
              </w:rPr>
            </w:pPr>
            <w:r w:rsidRPr="00CB1714">
              <w:rPr>
                <w:rFonts w:ascii="Lato" w:hAnsi="Lato"/>
                <w:sz w:val="22"/>
                <w:szCs w:val="22"/>
              </w:rPr>
              <w:t>confirmation in writing that the investor’s business</w:t>
            </w:r>
          </w:p>
        </w:tc>
        <w:tc>
          <w:tcPr>
            <w:tcW w:w="3188" w:type="dxa"/>
            <w:tcBorders>
              <w:top w:val="single" w:sz="4" w:space="0" w:color="auto"/>
              <w:left w:val="single" w:sz="4" w:space="0" w:color="auto"/>
              <w:bottom w:val="single" w:sz="4" w:space="0" w:color="auto"/>
              <w:right w:val="single" w:sz="4" w:space="0" w:color="auto"/>
            </w:tcBorders>
          </w:tcPr>
          <w:p w14:paraId="0BBB8FEB" w14:textId="77777777" w:rsidR="006E3A3D" w:rsidRPr="00CB1714" w:rsidRDefault="006E3A3D" w:rsidP="006E3A3D">
            <w:pPr>
              <w:rPr>
                <w:rFonts w:ascii="Lato" w:hAnsi="Lato"/>
                <w:sz w:val="22"/>
                <w:szCs w:val="22"/>
              </w:rPr>
            </w:pPr>
          </w:p>
        </w:tc>
      </w:tr>
      <w:tr w:rsidR="006E3A3D" w:rsidRPr="00CB1714" w14:paraId="7A2CE5FF" w14:textId="77777777" w:rsidTr="007E3170">
        <w:trPr>
          <w:cantSplit/>
          <w:trHeight w:val="254"/>
        </w:trPr>
        <w:tc>
          <w:tcPr>
            <w:tcW w:w="1316" w:type="dxa"/>
          </w:tcPr>
          <w:p w14:paraId="7B637A41" w14:textId="77777777" w:rsidR="006E3A3D" w:rsidRPr="00CB1714" w:rsidRDefault="006E3A3D" w:rsidP="006E3A3D">
            <w:pPr>
              <w:jc w:val="right"/>
              <w:rPr>
                <w:rFonts w:ascii="Lato" w:hAnsi="Lato"/>
                <w:sz w:val="22"/>
                <w:szCs w:val="22"/>
              </w:rPr>
            </w:pPr>
          </w:p>
        </w:tc>
        <w:tc>
          <w:tcPr>
            <w:tcW w:w="5891" w:type="dxa"/>
          </w:tcPr>
          <w:p w14:paraId="325611C4" w14:textId="77777777" w:rsidR="006E3A3D" w:rsidRPr="00CB1714" w:rsidRDefault="006E3A3D" w:rsidP="006E3A3D">
            <w:pPr>
              <w:rPr>
                <w:rFonts w:ascii="Lato" w:hAnsi="Lato"/>
                <w:sz w:val="22"/>
                <w:szCs w:val="22"/>
              </w:rPr>
            </w:pPr>
            <w:r w:rsidRPr="00CB1714">
              <w:rPr>
                <w:rFonts w:ascii="Lato" w:hAnsi="Lato"/>
                <w:sz w:val="22"/>
                <w:szCs w:val="22"/>
              </w:rPr>
              <w:t xml:space="preserve">involves, whether for its own account or the account of </w:t>
            </w:r>
          </w:p>
        </w:tc>
        <w:tc>
          <w:tcPr>
            <w:tcW w:w="3188" w:type="dxa"/>
            <w:tcBorders>
              <w:top w:val="single" w:sz="4" w:space="0" w:color="auto"/>
            </w:tcBorders>
          </w:tcPr>
          <w:p w14:paraId="2AF45350" w14:textId="77777777" w:rsidR="006E3A3D" w:rsidRPr="00CB1714" w:rsidRDefault="006E3A3D" w:rsidP="006E3A3D">
            <w:pPr>
              <w:rPr>
                <w:rFonts w:ascii="Lato" w:hAnsi="Lato"/>
                <w:sz w:val="22"/>
                <w:szCs w:val="22"/>
              </w:rPr>
            </w:pPr>
          </w:p>
        </w:tc>
      </w:tr>
      <w:tr w:rsidR="006E3A3D" w:rsidRPr="00CB1714" w14:paraId="7D719478" w14:textId="77777777" w:rsidTr="007E3170">
        <w:trPr>
          <w:cantSplit/>
          <w:trHeight w:val="254"/>
        </w:trPr>
        <w:tc>
          <w:tcPr>
            <w:tcW w:w="1316" w:type="dxa"/>
          </w:tcPr>
          <w:p w14:paraId="278061D9" w14:textId="77777777" w:rsidR="006E3A3D" w:rsidRPr="00CB1714" w:rsidRDefault="006E3A3D" w:rsidP="006E3A3D">
            <w:pPr>
              <w:jc w:val="right"/>
              <w:rPr>
                <w:rFonts w:ascii="Lato" w:hAnsi="Lato"/>
                <w:sz w:val="22"/>
                <w:szCs w:val="22"/>
              </w:rPr>
            </w:pPr>
          </w:p>
        </w:tc>
        <w:tc>
          <w:tcPr>
            <w:tcW w:w="5891" w:type="dxa"/>
          </w:tcPr>
          <w:p w14:paraId="03367F34" w14:textId="77777777" w:rsidR="006E3A3D" w:rsidRPr="00CB1714" w:rsidRDefault="006E3A3D" w:rsidP="006E3A3D">
            <w:pPr>
              <w:rPr>
                <w:rFonts w:ascii="Lato" w:hAnsi="Lato"/>
                <w:sz w:val="22"/>
                <w:szCs w:val="22"/>
              </w:rPr>
            </w:pPr>
            <w:r w:rsidRPr="00F72ED7">
              <w:rPr>
                <w:rFonts w:ascii="Lato" w:hAnsi="Lato"/>
                <w:sz w:val="22"/>
                <w:szCs w:val="22"/>
              </w:rPr>
              <w:t xml:space="preserve">others, </w:t>
            </w:r>
            <w:r w:rsidRPr="00CB1714">
              <w:rPr>
                <w:rFonts w:ascii="Lato" w:hAnsi="Lato"/>
                <w:sz w:val="22"/>
                <w:szCs w:val="22"/>
              </w:rPr>
              <w:t xml:space="preserve">the management,acquisition or disposal of property </w:t>
            </w:r>
          </w:p>
        </w:tc>
        <w:tc>
          <w:tcPr>
            <w:tcW w:w="3188" w:type="dxa"/>
          </w:tcPr>
          <w:p w14:paraId="5CBA984C" w14:textId="77777777" w:rsidR="006E3A3D" w:rsidRPr="00CB1714" w:rsidRDefault="006E3A3D" w:rsidP="006E3A3D">
            <w:pPr>
              <w:rPr>
                <w:rFonts w:ascii="Lato" w:hAnsi="Lato"/>
                <w:sz w:val="22"/>
                <w:szCs w:val="22"/>
              </w:rPr>
            </w:pPr>
          </w:p>
        </w:tc>
      </w:tr>
      <w:tr w:rsidR="006E3A3D" w:rsidRPr="00CB1714" w14:paraId="645EEE38" w14:textId="77777777" w:rsidTr="007E3170">
        <w:trPr>
          <w:cantSplit/>
          <w:trHeight w:val="254"/>
        </w:trPr>
        <w:tc>
          <w:tcPr>
            <w:tcW w:w="1316" w:type="dxa"/>
          </w:tcPr>
          <w:p w14:paraId="0959AFEA" w14:textId="77777777" w:rsidR="006E3A3D" w:rsidRPr="00CB1714" w:rsidRDefault="006E3A3D" w:rsidP="006E3A3D">
            <w:pPr>
              <w:jc w:val="right"/>
              <w:rPr>
                <w:rFonts w:ascii="Lato" w:hAnsi="Lato"/>
                <w:sz w:val="22"/>
                <w:szCs w:val="22"/>
              </w:rPr>
            </w:pPr>
          </w:p>
        </w:tc>
        <w:tc>
          <w:tcPr>
            <w:tcW w:w="5891" w:type="dxa"/>
          </w:tcPr>
          <w:p w14:paraId="50BE6246" w14:textId="77777777" w:rsidR="006E3A3D" w:rsidRPr="00CB1714" w:rsidRDefault="006E3A3D" w:rsidP="006E3A3D">
            <w:pPr>
              <w:rPr>
                <w:rFonts w:ascii="Lato" w:hAnsi="Lato"/>
                <w:sz w:val="22"/>
                <w:szCs w:val="22"/>
              </w:rPr>
            </w:pPr>
            <w:r w:rsidRPr="00F72ED7">
              <w:rPr>
                <w:rFonts w:ascii="Lato" w:hAnsi="Lato"/>
                <w:sz w:val="22"/>
                <w:szCs w:val="22"/>
              </w:rPr>
              <w:t>of the same</w:t>
            </w:r>
            <w:r w:rsidRPr="00CB1714">
              <w:rPr>
                <w:rFonts w:ascii="Lato" w:hAnsi="Lato"/>
                <w:sz w:val="22"/>
                <w:szCs w:val="22"/>
              </w:rPr>
              <w:t xml:space="preserve"> kind as the property of the Qualifying Investor AIF</w:t>
            </w:r>
          </w:p>
          <w:p w14:paraId="32CCEF19" w14:textId="77777777" w:rsidR="006E3A3D" w:rsidRPr="00CB1714" w:rsidRDefault="006E3A3D" w:rsidP="006E3A3D">
            <w:pPr>
              <w:rPr>
                <w:rFonts w:ascii="Lato" w:hAnsi="Lato"/>
                <w:sz w:val="22"/>
                <w:szCs w:val="22"/>
              </w:rPr>
            </w:pPr>
          </w:p>
        </w:tc>
        <w:tc>
          <w:tcPr>
            <w:tcW w:w="3188" w:type="dxa"/>
          </w:tcPr>
          <w:p w14:paraId="7AFD597C" w14:textId="77777777" w:rsidR="006E3A3D" w:rsidRPr="00CB1714" w:rsidRDefault="006E3A3D" w:rsidP="006E3A3D">
            <w:pPr>
              <w:rPr>
                <w:rFonts w:ascii="Lato" w:hAnsi="Lato"/>
                <w:sz w:val="22"/>
                <w:szCs w:val="22"/>
              </w:rPr>
            </w:pPr>
          </w:p>
        </w:tc>
      </w:tr>
      <w:tr w:rsidR="006E3A3D" w:rsidRPr="00CB1714" w14:paraId="095DE382" w14:textId="77777777" w:rsidTr="007E3170">
        <w:trPr>
          <w:cantSplit/>
          <w:trHeight w:val="254"/>
        </w:trPr>
        <w:tc>
          <w:tcPr>
            <w:tcW w:w="1316" w:type="dxa"/>
          </w:tcPr>
          <w:p w14:paraId="28E5C412" w14:textId="77777777" w:rsidR="006E3A3D" w:rsidRPr="00CB1714" w:rsidRDefault="006E3A3D" w:rsidP="006E3A3D">
            <w:pPr>
              <w:jc w:val="right"/>
              <w:rPr>
                <w:rFonts w:ascii="Lato" w:hAnsi="Lato"/>
                <w:sz w:val="22"/>
                <w:szCs w:val="22"/>
              </w:rPr>
            </w:pPr>
            <w:r w:rsidRPr="00CB1714">
              <w:rPr>
                <w:rFonts w:ascii="Lato" w:hAnsi="Lato"/>
                <w:sz w:val="22"/>
                <w:szCs w:val="22"/>
              </w:rPr>
              <w:t>(b)</w:t>
            </w:r>
          </w:p>
        </w:tc>
        <w:tc>
          <w:tcPr>
            <w:tcW w:w="5891" w:type="dxa"/>
          </w:tcPr>
          <w:p w14:paraId="119FA555" w14:textId="77777777" w:rsidR="006E3A3D" w:rsidRPr="00CB1714" w:rsidRDefault="006E3A3D" w:rsidP="006E3A3D">
            <w:pPr>
              <w:rPr>
                <w:rFonts w:ascii="Lato" w:hAnsi="Lato"/>
                <w:sz w:val="22"/>
                <w:szCs w:val="22"/>
              </w:rPr>
            </w:pPr>
            <w:r w:rsidRPr="00CB1714">
              <w:rPr>
                <w:rFonts w:ascii="Lato" w:hAnsi="Lato"/>
                <w:sz w:val="22"/>
                <w:szCs w:val="22"/>
              </w:rPr>
              <w:t>Within the EU, Qualifying Investor AIF  may only be</w:t>
            </w:r>
          </w:p>
        </w:tc>
        <w:tc>
          <w:tcPr>
            <w:tcW w:w="3188" w:type="dxa"/>
            <w:tcBorders>
              <w:bottom w:val="single" w:sz="4" w:space="0" w:color="auto"/>
            </w:tcBorders>
          </w:tcPr>
          <w:p w14:paraId="34966999" w14:textId="77777777" w:rsidR="006E3A3D" w:rsidRPr="00CB1714" w:rsidRDefault="006E3A3D" w:rsidP="006E3A3D">
            <w:pPr>
              <w:rPr>
                <w:rFonts w:ascii="Lato" w:hAnsi="Lato"/>
                <w:sz w:val="22"/>
                <w:szCs w:val="22"/>
              </w:rPr>
            </w:pPr>
          </w:p>
        </w:tc>
      </w:tr>
      <w:tr w:rsidR="006E3A3D" w:rsidRPr="00CB1714" w14:paraId="5EE369B3" w14:textId="77777777" w:rsidTr="007E3170">
        <w:trPr>
          <w:cantSplit/>
          <w:trHeight w:val="254"/>
        </w:trPr>
        <w:tc>
          <w:tcPr>
            <w:tcW w:w="1316" w:type="dxa"/>
          </w:tcPr>
          <w:p w14:paraId="71EDAC4B"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45F7B0AF" w14:textId="77777777" w:rsidR="006E3A3D" w:rsidRPr="00CB1714" w:rsidRDefault="006E3A3D" w:rsidP="006E3A3D">
            <w:pPr>
              <w:rPr>
                <w:rFonts w:ascii="Lato" w:hAnsi="Lato"/>
                <w:sz w:val="22"/>
                <w:szCs w:val="22"/>
              </w:rPr>
            </w:pPr>
            <w:r w:rsidRPr="00CB1714">
              <w:rPr>
                <w:rFonts w:ascii="Lato" w:hAnsi="Lato"/>
                <w:sz w:val="22"/>
                <w:szCs w:val="22"/>
              </w:rPr>
              <w:t xml:space="preserve">marketed to professional investors as defined in the </w:t>
            </w:r>
          </w:p>
        </w:tc>
        <w:tc>
          <w:tcPr>
            <w:tcW w:w="3188" w:type="dxa"/>
            <w:tcBorders>
              <w:top w:val="single" w:sz="4" w:space="0" w:color="auto"/>
              <w:left w:val="single" w:sz="4" w:space="0" w:color="auto"/>
              <w:bottom w:val="single" w:sz="4" w:space="0" w:color="auto"/>
              <w:right w:val="single" w:sz="4" w:space="0" w:color="auto"/>
            </w:tcBorders>
          </w:tcPr>
          <w:p w14:paraId="4A41F1BB" w14:textId="77777777" w:rsidR="006E3A3D" w:rsidRPr="00CB1714" w:rsidRDefault="006E3A3D" w:rsidP="006E3A3D">
            <w:pPr>
              <w:rPr>
                <w:rFonts w:ascii="Lato" w:hAnsi="Lato"/>
                <w:sz w:val="22"/>
                <w:szCs w:val="22"/>
              </w:rPr>
            </w:pPr>
          </w:p>
        </w:tc>
      </w:tr>
      <w:tr w:rsidR="006E3A3D" w:rsidRPr="00CB1714" w14:paraId="14C14838" w14:textId="77777777" w:rsidTr="00990D73">
        <w:trPr>
          <w:cantSplit/>
          <w:trHeight w:val="254"/>
        </w:trPr>
        <w:tc>
          <w:tcPr>
            <w:tcW w:w="1316" w:type="dxa"/>
          </w:tcPr>
          <w:p w14:paraId="555ADEE7" w14:textId="77777777" w:rsidR="006E3A3D" w:rsidRPr="00CB1714" w:rsidRDefault="006E3A3D" w:rsidP="006E3A3D">
            <w:pPr>
              <w:jc w:val="right"/>
              <w:rPr>
                <w:rFonts w:ascii="Lato" w:hAnsi="Lato"/>
                <w:sz w:val="22"/>
                <w:szCs w:val="22"/>
              </w:rPr>
            </w:pPr>
          </w:p>
        </w:tc>
        <w:tc>
          <w:tcPr>
            <w:tcW w:w="5891" w:type="dxa"/>
          </w:tcPr>
          <w:p w14:paraId="1A262CD2" w14:textId="77777777" w:rsidR="006E3A3D" w:rsidRPr="00CB1714" w:rsidRDefault="006E3A3D" w:rsidP="006E3A3D">
            <w:pPr>
              <w:rPr>
                <w:rFonts w:ascii="Lato" w:hAnsi="Lato"/>
                <w:sz w:val="22"/>
                <w:szCs w:val="22"/>
              </w:rPr>
            </w:pPr>
            <w:r w:rsidRPr="00F72ED7">
              <w:rPr>
                <w:rFonts w:ascii="Lato" w:hAnsi="Lato"/>
                <w:sz w:val="22"/>
                <w:szCs w:val="22"/>
              </w:rPr>
              <w:t xml:space="preserve">AIFMD </w:t>
            </w:r>
            <w:r w:rsidRPr="00CB1714">
              <w:rPr>
                <w:rFonts w:ascii="Lato" w:hAnsi="Lato"/>
                <w:sz w:val="22"/>
                <w:szCs w:val="22"/>
              </w:rPr>
              <w:t xml:space="preserve">unless the Member State in question permits, </w:t>
            </w:r>
          </w:p>
        </w:tc>
        <w:tc>
          <w:tcPr>
            <w:tcW w:w="3188" w:type="dxa"/>
            <w:tcBorders>
              <w:top w:val="single" w:sz="4" w:space="0" w:color="auto"/>
            </w:tcBorders>
          </w:tcPr>
          <w:p w14:paraId="45923327" w14:textId="77777777" w:rsidR="006E3A3D" w:rsidRPr="00CB1714" w:rsidRDefault="006E3A3D" w:rsidP="006E3A3D">
            <w:pPr>
              <w:rPr>
                <w:rFonts w:ascii="Lato" w:hAnsi="Lato"/>
                <w:sz w:val="22"/>
                <w:szCs w:val="22"/>
              </w:rPr>
            </w:pPr>
          </w:p>
        </w:tc>
      </w:tr>
      <w:tr w:rsidR="006E3A3D" w:rsidRPr="00CB1714" w14:paraId="62CE6F3C" w14:textId="77777777" w:rsidTr="00990D73">
        <w:trPr>
          <w:cantSplit/>
          <w:trHeight w:val="254"/>
        </w:trPr>
        <w:tc>
          <w:tcPr>
            <w:tcW w:w="1316" w:type="dxa"/>
          </w:tcPr>
          <w:p w14:paraId="55FC5925" w14:textId="77777777" w:rsidR="006E3A3D" w:rsidRPr="00CB1714" w:rsidRDefault="006E3A3D" w:rsidP="006E3A3D">
            <w:pPr>
              <w:jc w:val="right"/>
              <w:rPr>
                <w:rFonts w:ascii="Lato" w:hAnsi="Lato"/>
                <w:sz w:val="22"/>
                <w:szCs w:val="22"/>
              </w:rPr>
            </w:pPr>
          </w:p>
        </w:tc>
        <w:tc>
          <w:tcPr>
            <w:tcW w:w="5891" w:type="dxa"/>
          </w:tcPr>
          <w:p w14:paraId="4CF4C140" w14:textId="77777777" w:rsidR="006E3A3D" w:rsidRPr="00CB1714" w:rsidRDefault="006E3A3D" w:rsidP="006E3A3D">
            <w:pPr>
              <w:rPr>
                <w:rFonts w:ascii="Lato" w:hAnsi="Lato"/>
                <w:sz w:val="22"/>
                <w:szCs w:val="22"/>
              </w:rPr>
            </w:pPr>
            <w:r w:rsidRPr="00F72ED7">
              <w:rPr>
                <w:rFonts w:ascii="Lato" w:hAnsi="Lato"/>
                <w:sz w:val="22"/>
                <w:szCs w:val="22"/>
              </w:rPr>
              <w:t>under the laws</w:t>
            </w:r>
            <w:r w:rsidRPr="00CB1714">
              <w:rPr>
                <w:rFonts w:ascii="Lato" w:hAnsi="Lato"/>
                <w:sz w:val="22"/>
                <w:szCs w:val="22"/>
              </w:rPr>
              <w:t xml:space="preserve"> of that Member State, the Qualifying </w:t>
            </w:r>
          </w:p>
        </w:tc>
        <w:tc>
          <w:tcPr>
            <w:tcW w:w="3188" w:type="dxa"/>
          </w:tcPr>
          <w:p w14:paraId="64A681CD" w14:textId="77777777" w:rsidR="006E3A3D" w:rsidRPr="00CB1714" w:rsidRDefault="006E3A3D" w:rsidP="006E3A3D">
            <w:pPr>
              <w:rPr>
                <w:rFonts w:ascii="Lato" w:hAnsi="Lato"/>
                <w:sz w:val="22"/>
                <w:szCs w:val="22"/>
              </w:rPr>
            </w:pPr>
          </w:p>
        </w:tc>
      </w:tr>
      <w:tr w:rsidR="006E3A3D" w:rsidRPr="00CB1714" w14:paraId="650587A4" w14:textId="77777777" w:rsidTr="00990D73">
        <w:trPr>
          <w:cantSplit/>
          <w:trHeight w:val="254"/>
        </w:trPr>
        <w:tc>
          <w:tcPr>
            <w:tcW w:w="1316" w:type="dxa"/>
          </w:tcPr>
          <w:p w14:paraId="248E41DE" w14:textId="77777777" w:rsidR="006E3A3D" w:rsidRPr="00CB1714" w:rsidRDefault="006E3A3D" w:rsidP="006E3A3D">
            <w:pPr>
              <w:jc w:val="right"/>
              <w:rPr>
                <w:rFonts w:ascii="Lato" w:hAnsi="Lato"/>
                <w:sz w:val="22"/>
                <w:szCs w:val="22"/>
              </w:rPr>
            </w:pPr>
          </w:p>
        </w:tc>
        <w:tc>
          <w:tcPr>
            <w:tcW w:w="5891" w:type="dxa"/>
          </w:tcPr>
          <w:p w14:paraId="008198CD" w14:textId="77777777" w:rsidR="006E3A3D" w:rsidRPr="00CB1714" w:rsidRDefault="006E3A3D" w:rsidP="006E3A3D">
            <w:pPr>
              <w:rPr>
                <w:rFonts w:ascii="Lato" w:hAnsi="Lato"/>
                <w:sz w:val="22"/>
                <w:szCs w:val="22"/>
              </w:rPr>
            </w:pPr>
            <w:r w:rsidRPr="00F72ED7">
              <w:rPr>
                <w:rFonts w:ascii="Lato" w:hAnsi="Lato"/>
                <w:sz w:val="22"/>
                <w:szCs w:val="22"/>
              </w:rPr>
              <w:t xml:space="preserve">Investor AIF to be sold to </w:t>
            </w:r>
            <w:r w:rsidRPr="00CB1714">
              <w:rPr>
                <w:rFonts w:ascii="Lato" w:hAnsi="Lato"/>
                <w:sz w:val="22"/>
                <w:szCs w:val="22"/>
              </w:rPr>
              <w:t>other categories of investors and this permission encompasses</w:t>
            </w:r>
          </w:p>
        </w:tc>
        <w:tc>
          <w:tcPr>
            <w:tcW w:w="3188" w:type="dxa"/>
          </w:tcPr>
          <w:p w14:paraId="06CF97F7" w14:textId="77777777" w:rsidR="006E3A3D" w:rsidRPr="00CB1714" w:rsidRDefault="006E3A3D" w:rsidP="006E3A3D">
            <w:pPr>
              <w:rPr>
                <w:rFonts w:ascii="Lato" w:hAnsi="Lato"/>
                <w:sz w:val="22"/>
                <w:szCs w:val="22"/>
              </w:rPr>
            </w:pPr>
          </w:p>
        </w:tc>
      </w:tr>
      <w:tr w:rsidR="006E3A3D" w:rsidRPr="00CB1714" w14:paraId="7BA2AC01" w14:textId="77777777" w:rsidTr="00990D73">
        <w:trPr>
          <w:cantSplit/>
          <w:trHeight w:val="254"/>
        </w:trPr>
        <w:tc>
          <w:tcPr>
            <w:tcW w:w="1316" w:type="dxa"/>
          </w:tcPr>
          <w:p w14:paraId="20318AAA" w14:textId="77777777" w:rsidR="006E3A3D" w:rsidRPr="00CB1714" w:rsidRDefault="006E3A3D" w:rsidP="006E3A3D">
            <w:pPr>
              <w:jc w:val="right"/>
              <w:rPr>
                <w:rFonts w:ascii="Lato" w:hAnsi="Lato"/>
                <w:sz w:val="22"/>
                <w:szCs w:val="22"/>
              </w:rPr>
            </w:pPr>
          </w:p>
        </w:tc>
        <w:tc>
          <w:tcPr>
            <w:tcW w:w="5891" w:type="dxa"/>
          </w:tcPr>
          <w:p w14:paraId="27A16317" w14:textId="77777777" w:rsidR="006E3A3D" w:rsidRPr="00CB1714" w:rsidRDefault="006E3A3D" w:rsidP="006E3A3D">
            <w:pPr>
              <w:rPr>
                <w:rFonts w:ascii="Lato" w:hAnsi="Lato"/>
                <w:sz w:val="22"/>
                <w:szCs w:val="22"/>
              </w:rPr>
            </w:pPr>
            <w:r w:rsidRPr="00CB1714">
              <w:rPr>
                <w:rFonts w:ascii="Lato" w:hAnsi="Lato"/>
                <w:sz w:val="22"/>
                <w:szCs w:val="22"/>
              </w:rPr>
              <w:t>Investors set out in categories (ii) and (iii) above</w:t>
            </w:r>
          </w:p>
        </w:tc>
        <w:tc>
          <w:tcPr>
            <w:tcW w:w="3188" w:type="dxa"/>
          </w:tcPr>
          <w:p w14:paraId="75634032" w14:textId="77777777" w:rsidR="006E3A3D" w:rsidRPr="00CB1714" w:rsidRDefault="006E3A3D" w:rsidP="006E3A3D">
            <w:pPr>
              <w:rPr>
                <w:rFonts w:ascii="Lato" w:hAnsi="Lato"/>
                <w:sz w:val="22"/>
                <w:szCs w:val="22"/>
              </w:rPr>
            </w:pPr>
          </w:p>
        </w:tc>
      </w:tr>
      <w:tr w:rsidR="006E3A3D" w:rsidRPr="00CB1714" w14:paraId="727A7854" w14:textId="77777777" w:rsidTr="00990D73">
        <w:trPr>
          <w:cantSplit/>
          <w:trHeight w:val="254"/>
        </w:trPr>
        <w:tc>
          <w:tcPr>
            <w:tcW w:w="1316" w:type="dxa"/>
          </w:tcPr>
          <w:p w14:paraId="2AADADA8" w14:textId="77777777" w:rsidR="006E3A3D" w:rsidRPr="00CB1714" w:rsidRDefault="006E3A3D" w:rsidP="006E3A3D">
            <w:pPr>
              <w:jc w:val="right"/>
              <w:rPr>
                <w:rFonts w:ascii="Lato" w:hAnsi="Lato"/>
                <w:sz w:val="22"/>
                <w:szCs w:val="22"/>
              </w:rPr>
            </w:pPr>
          </w:p>
        </w:tc>
        <w:tc>
          <w:tcPr>
            <w:tcW w:w="5891" w:type="dxa"/>
          </w:tcPr>
          <w:p w14:paraId="63EBD348" w14:textId="77777777" w:rsidR="006E3A3D" w:rsidRPr="00CB1714" w:rsidRDefault="006E3A3D" w:rsidP="006E3A3D">
            <w:pPr>
              <w:rPr>
                <w:rFonts w:ascii="Lato" w:hAnsi="Lato"/>
                <w:sz w:val="22"/>
                <w:szCs w:val="22"/>
              </w:rPr>
            </w:pPr>
          </w:p>
        </w:tc>
        <w:tc>
          <w:tcPr>
            <w:tcW w:w="3188" w:type="dxa"/>
          </w:tcPr>
          <w:p w14:paraId="69155568" w14:textId="77777777" w:rsidR="006E3A3D" w:rsidRPr="00CB1714" w:rsidRDefault="006E3A3D" w:rsidP="006E3A3D">
            <w:pPr>
              <w:rPr>
                <w:rFonts w:ascii="Lato" w:hAnsi="Lato"/>
                <w:sz w:val="22"/>
                <w:szCs w:val="22"/>
              </w:rPr>
            </w:pPr>
          </w:p>
        </w:tc>
      </w:tr>
      <w:tr w:rsidR="006E3A3D" w:rsidRPr="00CB1714" w14:paraId="50FDFB13" w14:textId="77777777" w:rsidTr="00990D73">
        <w:trPr>
          <w:cantSplit/>
          <w:trHeight w:val="254"/>
        </w:trPr>
        <w:tc>
          <w:tcPr>
            <w:tcW w:w="1316" w:type="dxa"/>
          </w:tcPr>
          <w:p w14:paraId="5F6730E4" w14:textId="77777777" w:rsidR="006E3A3D" w:rsidRPr="00CB1714" w:rsidRDefault="006E3A3D" w:rsidP="006E3A3D">
            <w:pPr>
              <w:jc w:val="right"/>
              <w:rPr>
                <w:rFonts w:ascii="Lato" w:hAnsi="Lato"/>
                <w:sz w:val="22"/>
                <w:szCs w:val="22"/>
              </w:rPr>
            </w:pPr>
            <w:r w:rsidRPr="00CB1714">
              <w:rPr>
                <w:rFonts w:ascii="Lato" w:hAnsi="Lato"/>
                <w:sz w:val="22"/>
                <w:szCs w:val="22"/>
              </w:rPr>
              <w:t>(c)</w:t>
            </w:r>
          </w:p>
        </w:tc>
        <w:tc>
          <w:tcPr>
            <w:tcW w:w="5891" w:type="dxa"/>
          </w:tcPr>
          <w:p w14:paraId="14CB76C5" w14:textId="77777777" w:rsidR="006E3A3D" w:rsidRPr="00CB1714" w:rsidRDefault="006E3A3D" w:rsidP="006E3A3D">
            <w:pPr>
              <w:rPr>
                <w:rFonts w:ascii="Lato" w:hAnsi="Lato"/>
                <w:sz w:val="22"/>
                <w:szCs w:val="22"/>
              </w:rPr>
            </w:pPr>
            <w:r w:rsidRPr="00CB1714">
              <w:rPr>
                <w:rFonts w:ascii="Lato" w:hAnsi="Lato"/>
                <w:sz w:val="22"/>
                <w:szCs w:val="22"/>
              </w:rPr>
              <w:t xml:space="preserve">The Qualifying Investor AIF may grant an exemption from </w:t>
            </w:r>
          </w:p>
        </w:tc>
        <w:tc>
          <w:tcPr>
            <w:tcW w:w="3188" w:type="dxa"/>
          </w:tcPr>
          <w:p w14:paraId="5C98122C" w14:textId="77777777" w:rsidR="006E3A3D" w:rsidRPr="00CB1714" w:rsidRDefault="006E3A3D" w:rsidP="006E3A3D">
            <w:pPr>
              <w:rPr>
                <w:rFonts w:ascii="Lato" w:hAnsi="Lato"/>
                <w:sz w:val="22"/>
                <w:szCs w:val="22"/>
              </w:rPr>
            </w:pPr>
          </w:p>
        </w:tc>
      </w:tr>
      <w:tr w:rsidR="006E3A3D" w:rsidRPr="00CB1714" w14:paraId="59986145" w14:textId="77777777" w:rsidTr="00990D73">
        <w:trPr>
          <w:cantSplit/>
          <w:trHeight w:val="254"/>
        </w:trPr>
        <w:tc>
          <w:tcPr>
            <w:tcW w:w="1316" w:type="dxa"/>
          </w:tcPr>
          <w:p w14:paraId="3A95E09E" w14:textId="77777777" w:rsidR="006E3A3D" w:rsidRPr="00CB1714" w:rsidRDefault="006E3A3D" w:rsidP="006E3A3D">
            <w:pPr>
              <w:jc w:val="right"/>
              <w:rPr>
                <w:rFonts w:ascii="Lato" w:hAnsi="Lato"/>
                <w:sz w:val="22"/>
                <w:szCs w:val="22"/>
              </w:rPr>
            </w:pPr>
          </w:p>
        </w:tc>
        <w:tc>
          <w:tcPr>
            <w:tcW w:w="5891" w:type="dxa"/>
          </w:tcPr>
          <w:p w14:paraId="22D6E9A3" w14:textId="77777777" w:rsidR="006E3A3D" w:rsidRPr="00CB1714" w:rsidRDefault="006E3A3D" w:rsidP="006E3A3D">
            <w:pPr>
              <w:rPr>
                <w:rFonts w:ascii="Lato" w:hAnsi="Lato"/>
                <w:sz w:val="22"/>
                <w:szCs w:val="22"/>
              </w:rPr>
            </w:pPr>
            <w:r w:rsidRPr="00F72ED7">
              <w:rPr>
                <w:rFonts w:ascii="Lato" w:hAnsi="Lato"/>
                <w:sz w:val="22"/>
                <w:szCs w:val="22"/>
              </w:rPr>
              <w:t xml:space="preserve">the </w:t>
            </w:r>
            <w:r w:rsidRPr="00CB1714">
              <w:rPr>
                <w:rFonts w:ascii="Lato" w:hAnsi="Lato"/>
                <w:sz w:val="22"/>
                <w:szCs w:val="22"/>
              </w:rPr>
              <w:t>minimum subscription requirement subject to the following:</w:t>
            </w:r>
          </w:p>
        </w:tc>
        <w:tc>
          <w:tcPr>
            <w:tcW w:w="3188" w:type="dxa"/>
          </w:tcPr>
          <w:p w14:paraId="29CDDCB2" w14:textId="77777777" w:rsidR="006E3A3D" w:rsidRPr="00CB1714" w:rsidRDefault="006E3A3D" w:rsidP="006E3A3D">
            <w:pPr>
              <w:rPr>
                <w:rFonts w:ascii="Lato" w:hAnsi="Lato"/>
                <w:sz w:val="22"/>
                <w:szCs w:val="22"/>
              </w:rPr>
            </w:pPr>
          </w:p>
        </w:tc>
      </w:tr>
      <w:tr w:rsidR="006E3A3D" w:rsidRPr="00CB1714" w14:paraId="4FFA3225" w14:textId="77777777" w:rsidTr="00990D73">
        <w:trPr>
          <w:cantSplit/>
          <w:trHeight w:val="254"/>
        </w:trPr>
        <w:tc>
          <w:tcPr>
            <w:tcW w:w="1316" w:type="dxa"/>
          </w:tcPr>
          <w:p w14:paraId="45D86E48" w14:textId="77777777" w:rsidR="006E3A3D" w:rsidRPr="00CB1714" w:rsidRDefault="006E3A3D" w:rsidP="006E3A3D">
            <w:pPr>
              <w:jc w:val="right"/>
              <w:rPr>
                <w:rFonts w:ascii="Lato" w:hAnsi="Lato"/>
                <w:sz w:val="22"/>
                <w:szCs w:val="22"/>
              </w:rPr>
            </w:pPr>
          </w:p>
        </w:tc>
        <w:tc>
          <w:tcPr>
            <w:tcW w:w="5891" w:type="dxa"/>
          </w:tcPr>
          <w:p w14:paraId="1B0B8E4F"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255F317C" w14:textId="77777777" w:rsidR="006E3A3D" w:rsidRPr="00CB1714" w:rsidRDefault="006E3A3D" w:rsidP="006E3A3D">
            <w:pPr>
              <w:rPr>
                <w:rFonts w:ascii="Lato" w:hAnsi="Lato"/>
                <w:sz w:val="22"/>
                <w:szCs w:val="22"/>
              </w:rPr>
            </w:pPr>
          </w:p>
        </w:tc>
      </w:tr>
      <w:tr w:rsidR="006E3A3D" w:rsidRPr="00CB1714" w14:paraId="71EA2A33" w14:textId="77777777" w:rsidTr="00990D73">
        <w:trPr>
          <w:cantSplit/>
          <w:trHeight w:val="254"/>
        </w:trPr>
        <w:tc>
          <w:tcPr>
            <w:tcW w:w="1316" w:type="dxa"/>
          </w:tcPr>
          <w:p w14:paraId="4C6295F3" w14:textId="77777777" w:rsidR="006E3A3D" w:rsidRPr="00CB1714" w:rsidRDefault="006E3A3D" w:rsidP="006E3A3D">
            <w:pPr>
              <w:jc w:val="right"/>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7D1F6351" w14:textId="77777777" w:rsidR="006E3A3D" w:rsidRPr="00CB1714" w:rsidRDefault="006E3A3D" w:rsidP="006E3A3D">
            <w:pPr>
              <w:rPr>
                <w:rFonts w:ascii="Lato" w:hAnsi="Lato"/>
                <w:sz w:val="22"/>
                <w:szCs w:val="22"/>
              </w:rPr>
            </w:pPr>
            <w:r w:rsidRPr="00CB1714">
              <w:rPr>
                <w:rFonts w:ascii="Lato" w:hAnsi="Lato"/>
                <w:sz w:val="22"/>
                <w:szCs w:val="22"/>
              </w:rPr>
              <w:t>the management company or general partner;</w:t>
            </w:r>
          </w:p>
        </w:tc>
        <w:tc>
          <w:tcPr>
            <w:tcW w:w="3188" w:type="dxa"/>
            <w:tcBorders>
              <w:top w:val="single" w:sz="4" w:space="0" w:color="auto"/>
              <w:left w:val="single" w:sz="4" w:space="0" w:color="auto"/>
              <w:bottom w:val="single" w:sz="4" w:space="0" w:color="auto"/>
              <w:right w:val="single" w:sz="4" w:space="0" w:color="auto"/>
            </w:tcBorders>
          </w:tcPr>
          <w:p w14:paraId="383204AD" w14:textId="77777777" w:rsidR="006E3A3D" w:rsidRPr="00CB1714" w:rsidRDefault="006E3A3D" w:rsidP="006E3A3D">
            <w:pPr>
              <w:rPr>
                <w:rFonts w:ascii="Lato" w:hAnsi="Lato"/>
                <w:sz w:val="22"/>
                <w:szCs w:val="22"/>
              </w:rPr>
            </w:pPr>
          </w:p>
        </w:tc>
      </w:tr>
      <w:tr w:rsidR="006E3A3D" w:rsidRPr="00CB1714" w14:paraId="367EC6FD" w14:textId="77777777" w:rsidTr="00990D73">
        <w:trPr>
          <w:cantSplit/>
          <w:trHeight w:val="254"/>
        </w:trPr>
        <w:tc>
          <w:tcPr>
            <w:tcW w:w="1316" w:type="dxa"/>
          </w:tcPr>
          <w:p w14:paraId="3F61E010" w14:textId="77777777" w:rsidR="006E3A3D" w:rsidRPr="00CB1714" w:rsidRDefault="006E3A3D" w:rsidP="006E3A3D">
            <w:pPr>
              <w:jc w:val="right"/>
              <w:rPr>
                <w:rFonts w:ascii="Lato" w:hAnsi="Lato"/>
                <w:sz w:val="22"/>
                <w:szCs w:val="22"/>
              </w:rPr>
            </w:pPr>
          </w:p>
        </w:tc>
        <w:tc>
          <w:tcPr>
            <w:tcW w:w="5891" w:type="dxa"/>
          </w:tcPr>
          <w:p w14:paraId="28DD9144" w14:textId="77777777" w:rsidR="006E3A3D" w:rsidRPr="00CB1714" w:rsidRDefault="006E3A3D" w:rsidP="006E3A3D">
            <w:pPr>
              <w:rPr>
                <w:rFonts w:ascii="Lato" w:hAnsi="Lato"/>
                <w:sz w:val="22"/>
                <w:szCs w:val="22"/>
              </w:rPr>
            </w:pPr>
          </w:p>
        </w:tc>
        <w:tc>
          <w:tcPr>
            <w:tcW w:w="3188" w:type="dxa"/>
            <w:tcBorders>
              <w:top w:val="single" w:sz="4" w:space="0" w:color="auto"/>
              <w:bottom w:val="single" w:sz="4" w:space="0" w:color="auto"/>
            </w:tcBorders>
          </w:tcPr>
          <w:p w14:paraId="571AB42B" w14:textId="77777777" w:rsidR="006E3A3D" w:rsidRPr="00CB1714" w:rsidRDefault="006E3A3D" w:rsidP="006E3A3D">
            <w:pPr>
              <w:rPr>
                <w:rFonts w:ascii="Lato" w:hAnsi="Lato"/>
                <w:sz w:val="22"/>
                <w:szCs w:val="22"/>
              </w:rPr>
            </w:pPr>
          </w:p>
        </w:tc>
      </w:tr>
      <w:tr w:rsidR="006E3A3D" w:rsidRPr="00CB1714" w14:paraId="716231E5" w14:textId="77777777" w:rsidTr="00990D73">
        <w:trPr>
          <w:cantSplit/>
          <w:trHeight w:val="254"/>
        </w:trPr>
        <w:tc>
          <w:tcPr>
            <w:tcW w:w="1316" w:type="dxa"/>
          </w:tcPr>
          <w:p w14:paraId="38A4AAEE" w14:textId="77777777" w:rsidR="006E3A3D" w:rsidRPr="00CB1714" w:rsidRDefault="006E3A3D" w:rsidP="006E3A3D">
            <w:pPr>
              <w:jc w:val="right"/>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203E5031" w14:textId="77777777" w:rsidR="006E3A3D" w:rsidRPr="00CB1714" w:rsidRDefault="006E3A3D" w:rsidP="006E3A3D">
            <w:pPr>
              <w:rPr>
                <w:rFonts w:ascii="Lato" w:hAnsi="Lato"/>
                <w:sz w:val="22"/>
                <w:szCs w:val="22"/>
              </w:rPr>
            </w:pPr>
            <w:r w:rsidRPr="00CB1714">
              <w:rPr>
                <w:rFonts w:ascii="Lato" w:hAnsi="Lato"/>
                <w:sz w:val="22"/>
                <w:szCs w:val="22"/>
              </w:rPr>
              <w:t xml:space="preserve">a company appointed to provide investment management </w:t>
            </w:r>
          </w:p>
        </w:tc>
        <w:tc>
          <w:tcPr>
            <w:tcW w:w="3188" w:type="dxa"/>
            <w:tcBorders>
              <w:top w:val="single" w:sz="4" w:space="0" w:color="auto"/>
              <w:left w:val="single" w:sz="4" w:space="0" w:color="auto"/>
              <w:bottom w:val="single" w:sz="4" w:space="0" w:color="auto"/>
              <w:right w:val="single" w:sz="4" w:space="0" w:color="auto"/>
            </w:tcBorders>
          </w:tcPr>
          <w:p w14:paraId="11973894" w14:textId="77777777" w:rsidR="006E3A3D" w:rsidRPr="00CB1714" w:rsidRDefault="006E3A3D" w:rsidP="006E3A3D">
            <w:pPr>
              <w:rPr>
                <w:rFonts w:ascii="Lato" w:hAnsi="Lato"/>
                <w:sz w:val="22"/>
                <w:szCs w:val="22"/>
              </w:rPr>
            </w:pPr>
          </w:p>
        </w:tc>
      </w:tr>
      <w:tr w:rsidR="006E3A3D" w:rsidRPr="00CB1714" w14:paraId="43BA8A27" w14:textId="77777777" w:rsidTr="00990D73">
        <w:trPr>
          <w:cantSplit/>
          <w:trHeight w:val="254"/>
        </w:trPr>
        <w:tc>
          <w:tcPr>
            <w:tcW w:w="1316" w:type="dxa"/>
          </w:tcPr>
          <w:p w14:paraId="5F211DDE" w14:textId="77777777" w:rsidR="006E3A3D" w:rsidRPr="00CB1714" w:rsidRDefault="006E3A3D" w:rsidP="006E3A3D">
            <w:pPr>
              <w:jc w:val="right"/>
              <w:rPr>
                <w:rFonts w:ascii="Lato" w:hAnsi="Lato"/>
                <w:sz w:val="22"/>
                <w:szCs w:val="22"/>
              </w:rPr>
            </w:pPr>
          </w:p>
        </w:tc>
        <w:tc>
          <w:tcPr>
            <w:tcW w:w="5891" w:type="dxa"/>
          </w:tcPr>
          <w:p w14:paraId="1483BB46" w14:textId="77777777" w:rsidR="006E3A3D" w:rsidRPr="00CB1714" w:rsidRDefault="006E3A3D" w:rsidP="006E3A3D">
            <w:pPr>
              <w:rPr>
                <w:rFonts w:ascii="Lato" w:hAnsi="Lato"/>
                <w:sz w:val="22"/>
                <w:szCs w:val="22"/>
              </w:rPr>
            </w:pPr>
            <w:r w:rsidRPr="00F72ED7">
              <w:rPr>
                <w:rFonts w:ascii="Lato" w:hAnsi="Lato"/>
                <w:sz w:val="22"/>
                <w:szCs w:val="22"/>
              </w:rPr>
              <w:t>or</w:t>
            </w:r>
            <w:r w:rsidRPr="00CB1714">
              <w:rPr>
                <w:rFonts w:ascii="Lato" w:hAnsi="Lato"/>
                <w:sz w:val="22"/>
                <w:szCs w:val="22"/>
              </w:rPr>
              <w:t xml:space="preserve"> advisory services to the Qualifying Investor AIF</w:t>
            </w:r>
          </w:p>
        </w:tc>
        <w:tc>
          <w:tcPr>
            <w:tcW w:w="3188" w:type="dxa"/>
            <w:tcBorders>
              <w:top w:val="single" w:sz="4" w:space="0" w:color="auto"/>
            </w:tcBorders>
          </w:tcPr>
          <w:p w14:paraId="1CB415F1" w14:textId="77777777" w:rsidR="006E3A3D" w:rsidRPr="00CB1714" w:rsidRDefault="006E3A3D" w:rsidP="006E3A3D">
            <w:pPr>
              <w:rPr>
                <w:rFonts w:ascii="Lato" w:hAnsi="Lato"/>
                <w:sz w:val="22"/>
                <w:szCs w:val="22"/>
              </w:rPr>
            </w:pPr>
          </w:p>
        </w:tc>
      </w:tr>
      <w:tr w:rsidR="006E3A3D" w:rsidRPr="00CB1714" w14:paraId="321B1C3B" w14:textId="77777777" w:rsidTr="00990D73">
        <w:trPr>
          <w:cantSplit/>
          <w:trHeight w:val="254"/>
        </w:trPr>
        <w:tc>
          <w:tcPr>
            <w:tcW w:w="1316" w:type="dxa"/>
          </w:tcPr>
          <w:p w14:paraId="6652DE92" w14:textId="77777777" w:rsidR="006E3A3D" w:rsidRPr="00CB1714" w:rsidRDefault="006E3A3D" w:rsidP="006E3A3D">
            <w:pPr>
              <w:jc w:val="right"/>
              <w:rPr>
                <w:rFonts w:ascii="Lato" w:hAnsi="Lato"/>
                <w:sz w:val="22"/>
                <w:szCs w:val="22"/>
              </w:rPr>
            </w:pPr>
          </w:p>
        </w:tc>
        <w:tc>
          <w:tcPr>
            <w:tcW w:w="5891" w:type="dxa"/>
          </w:tcPr>
          <w:p w14:paraId="1431702B"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47A8CF07" w14:textId="77777777" w:rsidR="006E3A3D" w:rsidRPr="00CB1714" w:rsidRDefault="006E3A3D" w:rsidP="006E3A3D">
            <w:pPr>
              <w:rPr>
                <w:rFonts w:ascii="Lato" w:hAnsi="Lato"/>
                <w:sz w:val="22"/>
                <w:szCs w:val="22"/>
              </w:rPr>
            </w:pPr>
          </w:p>
        </w:tc>
      </w:tr>
      <w:tr w:rsidR="006E3A3D" w:rsidRPr="00CB1714" w14:paraId="78CA6DB9" w14:textId="77777777" w:rsidTr="00990D73">
        <w:trPr>
          <w:cantSplit/>
          <w:trHeight w:val="254"/>
        </w:trPr>
        <w:tc>
          <w:tcPr>
            <w:tcW w:w="1316" w:type="dxa"/>
          </w:tcPr>
          <w:p w14:paraId="5516D15C" w14:textId="77777777" w:rsidR="006E3A3D" w:rsidRPr="00CB1714" w:rsidRDefault="006E3A3D" w:rsidP="006E3A3D">
            <w:pPr>
              <w:jc w:val="right"/>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676A8CAA" w14:textId="77777777" w:rsidR="006E3A3D" w:rsidRPr="00CB1714" w:rsidRDefault="006E3A3D" w:rsidP="006E3A3D">
            <w:pPr>
              <w:rPr>
                <w:rFonts w:ascii="Lato" w:hAnsi="Lato"/>
                <w:sz w:val="22"/>
                <w:szCs w:val="22"/>
              </w:rPr>
            </w:pPr>
            <w:r w:rsidRPr="00CB1714">
              <w:rPr>
                <w:rFonts w:ascii="Lato" w:hAnsi="Lato"/>
                <w:sz w:val="22"/>
                <w:szCs w:val="22"/>
              </w:rPr>
              <w:t xml:space="preserve">a director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7DA33237" w14:textId="77777777" w:rsidR="006E3A3D" w:rsidRPr="00CB1714" w:rsidRDefault="006E3A3D" w:rsidP="006E3A3D">
            <w:pPr>
              <w:rPr>
                <w:rFonts w:ascii="Lato" w:hAnsi="Lato"/>
                <w:sz w:val="22"/>
                <w:szCs w:val="22"/>
              </w:rPr>
            </w:pPr>
          </w:p>
        </w:tc>
      </w:tr>
      <w:tr w:rsidR="006E3A3D" w:rsidRPr="00CB1714" w14:paraId="0EEF4179" w14:textId="77777777" w:rsidTr="00990D73">
        <w:trPr>
          <w:cantSplit/>
          <w:trHeight w:val="254"/>
        </w:trPr>
        <w:tc>
          <w:tcPr>
            <w:tcW w:w="1316" w:type="dxa"/>
          </w:tcPr>
          <w:p w14:paraId="08E05B41" w14:textId="77777777" w:rsidR="006E3A3D" w:rsidRPr="00CB1714" w:rsidRDefault="006E3A3D" w:rsidP="006E3A3D">
            <w:pPr>
              <w:jc w:val="right"/>
              <w:rPr>
                <w:rFonts w:ascii="Lato" w:hAnsi="Lato"/>
                <w:sz w:val="22"/>
                <w:szCs w:val="22"/>
              </w:rPr>
            </w:pPr>
          </w:p>
        </w:tc>
        <w:tc>
          <w:tcPr>
            <w:tcW w:w="5891" w:type="dxa"/>
          </w:tcPr>
          <w:p w14:paraId="221988A2" w14:textId="77777777" w:rsidR="006E3A3D" w:rsidRPr="00CB1714" w:rsidRDefault="006E3A3D" w:rsidP="006E3A3D">
            <w:pPr>
              <w:rPr>
                <w:rFonts w:ascii="Lato" w:hAnsi="Lato"/>
                <w:sz w:val="22"/>
                <w:szCs w:val="22"/>
              </w:rPr>
            </w:pPr>
            <w:r w:rsidRPr="00CB1714">
              <w:rPr>
                <w:rFonts w:ascii="Lato" w:hAnsi="Lato"/>
                <w:sz w:val="22"/>
                <w:szCs w:val="22"/>
              </w:rPr>
              <w:t>Company, ICAV or general partner or a director of a company appointed to provide investment management or advisory services to the Qualifying Investor AIF</w:t>
            </w:r>
          </w:p>
        </w:tc>
        <w:tc>
          <w:tcPr>
            <w:tcW w:w="3188" w:type="dxa"/>
            <w:tcBorders>
              <w:top w:val="single" w:sz="4" w:space="0" w:color="auto"/>
            </w:tcBorders>
          </w:tcPr>
          <w:p w14:paraId="489B7549" w14:textId="77777777" w:rsidR="006E3A3D" w:rsidRPr="00CB1714" w:rsidRDefault="006E3A3D" w:rsidP="006E3A3D">
            <w:pPr>
              <w:rPr>
                <w:rFonts w:ascii="Lato" w:hAnsi="Lato"/>
                <w:sz w:val="22"/>
                <w:szCs w:val="22"/>
              </w:rPr>
            </w:pPr>
          </w:p>
        </w:tc>
      </w:tr>
      <w:tr w:rsidR="006E3A3D" w:rsidRPr="00CB1714" w14:paraId="6793CC19" w14:textId="77777777" w:rsidTr="00990D73">
        <w:trPr>
          <w:cantSplit/>
          <w:trHeight w:val="254"/>
        </w:trPr>
        <w:tc>
          <w:tcPr>
            <w:tcW w:w="1316" w:type="dxa"/>
          </w:tcPr>
          <w:p w14:paraId="0BAF6B2B" w14:textId="77777777" w:rsidR="006E3A3D" w:rsidRPr="00CB1714" w:rsidRDefault="006E3A3D" w:rsidP="006E3A3D">
            <w:pPr>
              <w:jc w:val="right"/>
              <w:rPr>
                <w:rFonts w:ascii="Lato" w:hAnsi="Lato"/>
                <w:sz w:val="22"/>
                <w:szCs w:val="22"/>
              </w:rPr>
            </w:pPr>
          </w:p>
        </w:tc>
        <w:tc>
          <w:tcPr>
            <w:tcW w:w="5891" w:type="dxa"/>
          </w:tcPr>
          <w:p w14:paraId="63AF0A8A"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4D3439A2" w14:textId="77777777" w:rsidR="006E3A3D" w:rsidRPr="00CB1714" w:rsidRDefault="006E3A3D" w:rsidP="006E3A3D">
            <w:pPr>
              <w:rPr>
                <w:rFonts w:ascii="Lato" w:hAnsi="Lato"/>
                <w:sz w:val="22"/>
                <w:szCs w:val="22"/>
              </w:rPr>
            </w:pPr>
          </w:p>
        </w:tc>
      </w:tr>
      <w:tr w:rsidR="006E3A3D" w:rsidRPr="00CB1714" w14:paraId="01344BF9" w14:textId="77777777" w:rsidTr="00990D73">
        <w:trPr>
          <w:cantSplit/>
          <w:trHeight w:val="254"/>
        </w:trPr>
        <w:tc>
          <w:tcPr>
            <w:tcW w:w="1316" w:type="dxa"/>
          </w:tcPr>
          <w:p w14:paraId="2C09C987" w14:textId="77777777" w:rsidR="006E3A3D" w:rsidRPr="00CB1714" w:rsidRDefault="006E3A3D" w:rsidP="006E3A3D">
            <w:pPr>
              <w:jc w:val="right"/>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0E850FD8" w14:textId="77777777" w:rsidR="006E3A3D" w:rsidRPr="00CB1714" w:rsidRDefault="006E3A3D" w:rsidP="006E3A3D">
            <w:pPr>
              <w:rPr>
                <w:rFonts w:ascii="Lato" w:hAnsi="Lato"/>
                <w:sz w:val="22"/>
                <w:szCs w:val="22"/>
              </w:rPr>
            </w:pPr>
            <w:r w:rsidRPr="00CB1714">
              <w:rPr>
                <w:rFonts w:ascii="Lato" w:hAnsi="Lato"/>
                <w:sz w:val="22"/>
                <w:szCs w:val="22"/>
              </w:rPr>
              <w:t xml:space="preserve">an employee of the management company, investment </w:t>
            </w:r>
          </w:p>
        </w:tc>
        <w:tc>
          <w:tcPr>
            <w:tcW w:w="3188" w:type="dxa"/>
            <w:tcBorders>
              <w:top w:val="single" w:sz="4" w:space="0" w:color="auto"/>
              <w:left w:val="single" w:sz="4" w:space="0" w:color="auto"/>
              <w:bottom w:val="single" w:sz="4" w:space="0" w:color="auto"/>
              <w:right w:val="single" w:sz="4" w:space="0" w:color="auto"/>
            </w:tcBorders>
          </w:tcPr>
          <w:p w14:paraId="21BD961B" w14:textId="77777777" w:rsidR="006E3A3D" w:rsidRPr="00CB1714" w:rsidRDefault="006E3A3D" w:rsidP="006E3A3D">
            <w:pPr>
              <w:rPr>
                <w:rFonts w:ascii="Lato" w:hAnsi="Lato"/>
                <w:sz w:val="22"/>
                <w:szCs w:val="22"/>
              </w:rPr>
            </w:pPr>
          </w:p>
        </w:tc>
      </w:tr>
      <w:tr w:rsidR="006E3A3D" w:rsidRPr="00CB1714" w14:paraId="5B1F66E8" w14:textId="77777777" w:rsidTr="00990D73">
        <w:trPr>
          <w:cantSplit/>
          <w:trHeight w:val="254"/>
        </w:trPr>
        <w:tc>
          <w:tcPr>
            <w:tcW w:w="1316" w:type="dxa"/>
          </w:tcPr>
          <w:p w14:paraId="4E5351D8" w14:textId="77777777" w:rsidR="006E3A3D" w:rsidRPr="00CB1714" w:rsidRDefault="006E3A3D" w:rsidP="006E3A3D">
            <w:pPr>
              <w:jc w:val="right"/>
              <w:rPr>
                <w:rFonts w:ascii="Lato" w:hAnsi="Lato"/>
                <w:sz w:val="22"/>
                <w:szCs w:val="22"/>
              </w:rPr>
            </w:pPr>
          </w:p>
        </w:tc>
        <w:tc>
          <w:tcPr>
            <w:tcW w:w="5891" w:type="dxa"/>
          </w:tcPr>
          <w:p w14:paraId="6D77A2C2" w14:textId="77777777" w:rsidR="006E3A3D" w:rsidRPr="00CB1714" w:rsidRDefault="006E3A3D" w:rsidP="006E3A3D">
            <w:pPr>
              <w:rPr>
                <w:rFonts w:ascii="Lato" w:hAnsi="Lato"/>
                <w:sz w:val="22"/>
                <w:szCs w:val="22"/>
              </w:rPr>
            </w:pPr>
            <w:r w:rsidRPr="00CB1714">
              <w:rPr>
                <w:rFonts w:ascii="Lato" w:hAnsi="Lato"/>
                <w:sz w:val="22"/>
                <w:szCs w:val="22"/>
              </w:rPr>
              <w:t>Company, ICAV or general partner, or an employee of a company appointed to provide investment management or advisory services to the Qualifying Investor AIF, where the employee;</w:t>
            </w:r>
          </w:p>
        </w:tc>
        <w:tc>
          <w:tcPr>
            <w:tcW w:w="3188" w:type="dxa"/>
            <w:tcBorders>
              <w:top w:val="single" w:sz="4" w:space="0" w:color="auto"/>
              <w:bottom w:val="single" w:sz="4" w:space="0" w:color="auto"/>
            </w:tcBorders>
          </w:tcPr>
          <w:p w14:paraId="21ABE93C" w14:textId="77777777" w:rsidR="006E3A3D" w:rsidRPr="00CB1714" w:rsidRDefault="006E3A3D" w:rsidP="006E3A3D">
            <w:pPr>
              <w:rPr>
                <w:rFonts w:ascii="Lato" w:hAnsi="Lato"/>
                <w:sz w:val="22"/>
                <w:szCs w:val="22"/>
              </w:rPr>
            </w:pPr>
          </w:p>
        </w:tc>
      </w:tr>
      <w:tr w:rsidR="006E3A3D" w:rsidRPr="00CB1714" w14:paraId="5BDAABC3" w14:textId="77777777" w:rsidTr="00990D73">
        <w:trPr>
          <w:cantSplit/>
          <w:trHeight w:val="254"/>
        </w:trPr>
        <w:tc>
          <w:tcPr>
            <w:tcW w:w="1316" w:type="dxa"/>
          </w:tcPr>
          <w:p w14:paraId="5EBBB064"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616ACB8F" w14:textId="77777777" w:rsidR="006E3A3D" w:rsidRPr="00CB1714" w:rsidRDefault="006E3A3D" w:rsidP="006E3A3D">
            <w:pPr>
              <w:numPr>
                <w:ilvl w:val="0"/>
                <w:numId w:val="16"/>
              </w:numPr>
              <w:rPr>
                <w:rFonts w:ascii="Lato" w:hAnsi="Lato"/>
                <w:sz w:val="22"/>
                <w:szCs w:val="22"/>
              </w:rPr>
            </w:pPr>
            <w:r w:rsidRPr="00CB1714">
              <w:rPr>
                <w:rFonts w:ascii="Lato" w:hAnsi="Lato"/>
                <w:sz w:val="22"/>
                <w:szCs w:val="22"/>
              </w:rPr>
              <w:t xml:space="preserve">is directly involved in the investment activities of </w:t>
            </w:r>
          </w:p>
        </w:tc>
        <w:tc>
          <w:tcPr>
            <w:tcW w:w="3188" w:type="dxa"/>
            <w:tcBorders>
              <w:top w:val="single" w:sz="4" w:space="0" w:color="auto"/>
              <w:left w:val="single" w:sz="4" w:space="0" w:color="auto"/>
              <w:bottom w:val="single" w:sz="4" w:space="0" w:color="auto"/>
              <w:right w:val="single" w:sz="4" w:space="0" w:color="auto"/>
            </w:tcBorders>
          </w:tcPr>
          <w:p w14:paraId="591027FB" w14:textId="77777777" w:rsidR="006E3A3D" w:rsidRPr="00CB1714" w:rsidRDefault="006E3A3D" w:rsidP="006E3A3D">
            <w:pPr>
              <w:rPr>
                <w:rFonts w:ascii="Lato" w:hAnsi="Lato"/>
                <w:sz w:val="22"/>
                <w:szCs w:val="22"/>
              </w:rPr>
            </w:pPr>
          </w:p>
        </w:tc>
      </w:tr>
      <w:tr w:rsidR="006E3A3D" w:rsidRPr="00CB1714" w14:paraId="46733D70" w14:textId="77777777" w:rsidTr="00990D73">
        <w:trPr>
          <w:cantSplit/>
          <w:trHeight w:val="254"/>
        </w:trPr>
        <w:tc>
          <w:tcPr>
            <w:tcW w:w="1316" w:type="dxa"/>
          </w:tcPr>
          <w:p w14:paraId="6EFC4109" w14:textId="77777777" w:rsidR="006E3A3D" w:rsidRPr="00CB1714" w:rsidRDefault="006E3A3D" w:rsidP="006E3A3D">
            <w:pPr>
              <w:jc w:val="right"/>
              <w:rPr>
                <w:rFonts w:ascii="Lato" w:hAnsi="Lato"/>
                <w:sz w:val="22"/>
                <w:szCs w:val="22"/>
              </w:rPr>
            </w:pPr>
          </w:p>
        </w:tc>
        <w:tc>
          <w:tcPr>
            <w:tcW w:w="5891" w:type="dxa"/>
          </w:tcPr>
          <w:p w14:paraId="5E57F75F" w14:textId="77777777" w:rsidR="006E3A3D" w:rsidRPr="00CB1714" w:rsidRDefault="006E3A3D" w:rsidP="006E3A3D">
            <w:pPr>
              <w:ind w:left="719"/>
              <w:rPr>
                <w:rFonts w:ascii="Lato" w:hAnsi="Lato"/>
                <w:sz w:val="22"/>
                <w:szCs w:val="22"/>
              </w:rPr>
            </w:pPr>
            <w:r w:rsidRPr="00CB1714">
              <w:rPr>
                <w:rFonts w:ascii="Lato" w:hAnsi="Lato"/>
                <w:sz w:val="22"/>
                <w:szCs w:val="22"/>
              </w:rPr>
              <w:t>the Qualifying Investor AIF, or</w:t>
            </w:r>
          </w:p>
        </w:tc>
        <w:tc>
          <w:tcPr>
            <w:tcW w:w="3188" w:type="dxa"/>
            <w:tcBorders>
              <w:top w:val="single" w:sz="4" w:space="0" w:color="auto"/>
              <w:bottom w:val="single" w:sz="4" w:space="0" w:color="auto"/>
            </w:tcBorders>
          </w:tcPr>
          <w:p w14:paraId="6FB9D026" w14:textId="77777777" w:rsidR="006E3A3D" w:rsidRPr="00CB1714" w:rsidRDefault="006E3A3D" w:rsidP="006E3A3D">
            <w:pPr>
              <w:rPr>
                <w:rFonts w:ascii="Lato" w:hAnsi="Lato"/>
                <w:sz w:val="22"/>
                <w:szCs w:val="22"/>
              </w:rPr>
            </w:pPr>
          </w:p>
        </w:tc>
      </w:tr>
      <w:tr w:rsidR="006E3A3D" w:rsidRPr="00CB1714" w14:paraId="67814F3A" w14:textId="77777777" w:rsidTr="00FB541F">
        <w:trPr>
          <w:cantSplit/>
          <w:trHeight w:val="254"/>
        </w:trPr>
        <w:tc>
          <w:tcPr>
            <w:tcW w:w="1316" w:type="dxa"/>
          </w:tcPr>
          <w:p w14:paraId="4E08C070" w14:textId="77777777" w:rsidR="006E3A3D" w:rsidRPr="00CB1714" w:rsidRDefault="006E3A3D" w:rsidP="006E3A3D">
            <w:pPr>
              <w:jc w:val="right"/>
              <w:rPr>
                <w:rFonts w:ascii="Lato" w:hAnsi="Lato"/>
                <w:sz w:val="22"/>
                <w:szCs w:val="22"/>
              </w:rPr>
            </w:pPr>
          </w:p>
        </w:tc>
        <w:tc>
          <w:tcPr>
            <w:tcW w:w="5891" w:type="dxa"/>
            <w:tcBorders>
              <w:right w:val="single" w:sz="4" w:space="0" w:color="auto"/>
            </w:tcBorders>
          </w:tcPr>
          <w:p w14:paraId="40CB5EDB" w14:textId="77777777" w:rsidR="006E3A3D" w:rsidRPr="00CB1714" w:rsidRDefault="006E3A3D" w:rsidP="006E3A3D">
            <w:pPr>
              <w:pStyle w:val="BodyTextIndent"/>
              <w:numPr>
                <w:ilvl w:val="0"/>
                <w:numId w:val="16"/>
              </w:numPr>
              <w:tabs>
                <w:tab w:val="left" w:pos="-2520"/>
              </w:tabs>
              <w:jc w:val="both"/>
              <w:rPr>
                <w:rFonts w:ascii="Lato" w:hAnsi="Lato"/>
                <w:szCs w:val="22"/>
              </w:rPr>
            </w:pPr>
            <w:r w:rsidRPr="00CB1714">
              <w:rPr>
                <w:rFonts w:ascii="Lato" w:hAnsi="Lato"/>
                <w:szCs w:val="22"/>
              </w:rPr>
              <w:t xml:space="preserve">is a senior employee of the company and has experience </w:t>
            </w:r>
          </w:p>
        </w:tc>
        <w:tc>
          <w:tcPr>
            <w:tcW w:w="3188" w:type="dxa"/>
            <w:tcBorders>
              <w:top w:val="single" w:sz="4" w:space="0" w:color="auto"/>
              <w:left w:val="single" w:sz="4" w:space="0" w:color="auto"/>
              <w:bottom w:val="single" w:sz="4" w:space="0" w:color="auto"/>
              <w:right w:val="single" w:sz="4" w:space="0" w:color="auto"/>
            </w:tcBorders>
          </w:tcPr>
          <w:p w14:paraId="5502CD0D" w14:textId="77777777" w:rsidR="006E3A3D" w:rsidRPr="00CB1714" w:rsidRDefault="006E3A3D" w:rsidP="006E3A3D">
            <w:pPr>
              <w:rPr>
                <w:rFonts w:ascii="Lato" w:hAnsi="Lato"/>
                <w:sz w:val="22"/>
                <w:szCs w:val="22"/>
              </w:rPr>
            </w:pPr>
          </w:p>
        </w:tc>
      </w:tr>
      <w:tr w:rsidR="006E3A3D" w:rsidRPr="00CB1714" w14:paraId="74E78FDC" w14:textId="77777777" w:rsidTr="00FB541F">
        <w:trPr>
          <w:cantSplit/>
          <w:trHeight w:val="254"/>
        </w:trPr>
        <w:tc>
          <w:tcPr>
            <w:tcW w:w="1316" w:type="dxa"/>
          </w:tcPr>
          <w:p w14:paraId="66C9464D" w14:textId="77777777" w:rsidR="006E3A3D" w:rsidRPr="00CB1714" w:rsidRDefault="006E3A3D" w:rsidP="006E3A3D">
            <w:pPr>
              <w:jc w:val="right"/>
              <w:rPr>
                <w:rFonts w:ascii="Lato" w:hAnsi="Lato"/>
                <w:sz w:val="22"/>
                <w:szCs w:val="22"/>
              </w:rPr>
            </w:pPr>
          </w:p>
        </w:tc>
        <w:tc>
          <w:tcPr>
            <w:tcW w:w="5891" w:type="dxa"/>
          </w:tcPr>
          <w:p w14:paraId="529AD6D5" w14:textId="77777777" w:rsidR="006E3A3D" w:rsidRPr="00CB1714" w:rsidRDefault="006E3A3D" w:rsidP="006E3A3D">
            <w:pPr>
              <w:pStyle w:val="BodyTextIndent"/>
              <w:tabs>
                <w:tab w:val="left" w:pos="-2520"/>
              </w:tabs>
              <w:ind w:left="719"/>
              <w:jc w:val="both"/>
              <w:rPr>
                <w:rFonts w:ascii="Lato" w:hAnsi="Lato"/>
                <w:szCs w:val="22"/>
              </w:rPr>
            </w:pPr>
            <w:r w:rsidRPr="00CB1714">
              <w:rPr>
                <w:rFonts w:ascii="Lato" w:hAnsi="Lato"/>
                <w:szCs w:val="22"/>
              </w:rPr>
              <w:t>in the provision of investment management services.</w:t>
            </w:r>
          </w:p>
        </w:tc>
        <w:tc>
          <w:tcPr>
            <w:tcW w:w="3188" w:type="dxa"/>
            <w:tcBorders>
              <w:top w:val="single" w:sz="4" w:space="0" w:color="auto"/>
            </w:tcBorders>
          </w:tcPr>
          <w:p w14:paraId="19308192" w14:textId="77777777" w:rsidR="006E3A3D" w:rsidRPr="00CB1714" w:rsidRDefault="006E3A3D" w:rsidP="006E3A3D">
            <w:pPr>
              <w:rPr>
                <w:rFonts w:ascii="Lato" w:hAnsi="Lato"/>
                <w:sz w:val="22"/>
                <w:szCs w:val="22"/>
              </w:rPr>
            </w:pPr>
          </w:p>
        </w:tc>
      </w:tr>
      <w:tr w:rsidR="006E3A3D" w:rsidRPr="00CB1714" w14:paraId="6D3219AA" w14:textId="77777777" w:rsidTr="00FB541F">
        <w:trPr>
          <w:cantSplit/>
          <w:trHeight w:val="254"/>
        </w:trPr>
        <w:tc>
          <w:tcPr>
            <w:tcW w:w="1316" w:type="dxa"/>
          </w:tcPr>
          <w:p w14:paraId="7286D23F" w14:textId="77777777" w:rsidR="006E3A3D" w:rsidRPr="00CB1714" w:rsidRDefault="006E3A3D" w:rsidP="006E3A3D">
            <w:pPr>
              <w:jc w:val="right"/>
              <w:rPr>
                <w:rFonts w:ascii="Lato" w:hAnsi="Lato"/>
                <w:sz w:val="22"/>
                <w:szCs w:val="22"/>
              </w:rPr>
            </w:pPr>
          </w:p>
        </w:tc>
        <w:tc>
          <w:tcPr>
            <w:tcW w:w="5891" w:type="dxa"/>
          </w:tcPr>
          <w:p w14:paraId="393CA74F" w14:textId="77777777" w:rsidR="006E3A3D" w:rsidRPr="00CB1714" w:rsidRDefault="006E3A3D" w:rsidP="006E3A3D">
            <w:pPr>
              <w:pStyle w:val="BodyTextIndent"/>
              <w:tabs>
                <w:tab w:val="left" w:pos="-2520"/>
              </w:tabs>
              <w:ind w:left="719"/>
              <w:jc w:val="both"/>
              <w:rPr>
                <w:rFonts w:ascii="Lato" w:hAnsi="Lato"/>
                <w:szCs w:val="22"/>
              </w:rPr>
            </w:pPr>
          </w:p>
        </w:tc>
        <w:tc>
          <w:tcPr>
            <w:tcW w:w="3188" w:type="dxa"/>
          </w:tcPr>
          <w:p w14:paraId="66EB553E" w14:textId="77777777" w:rsidR="006E3A3D" w:rsidRPr="00CB1714" w:rsidRDefault="006E3A3D" w:rsidP="006E3A3D">
            <w:pPr>
              <w:rPr>
                <w:rFonts w:ascii="Lato" w:hAnsi="Lato"/>
                <w:sz w:val="22"/>
                <w:szCs w:val="22"/>
              </w:rPr>
            </w:pPr>
          </w:p>
        </w:tc>
      </w:tr>
      <w:tr w:rsidR="006E3A3D" w:rsidRPr="00CB1714" w14:paraId="6AFD8183" w14:textId="77777777" w:rsidTr="00990D73">
        <w:trPr>
          <w:cantSplit/>
          <w:trHeight w:val="254"/>
        </w:trPr>
        <w:tc>
          <w:tcPr>
            <w:tcW w:w="1316" w:type="dxa"/>
          </w:tcPr>
          <w:p w14:paraId="360F8F69" w14:textId="77777777" w:rsidR="006E3A3D" w:rsidRPr="00CB1714" w:rsidRDefault="006E3A3D" w:rsidP="006E3A3D">
            <w:pPr>
              <w:jc w:val="right"/>
              <w:rPr>
                <w:rFonts w:ascii="Lato" w:hAnsi="Lato"/>
                <w:sz w:val="22"/>
                <w:szCs w:val="22"/>
              </w:rPr>
            </w:pPr>
          </w:p>
        </w:tc>
        <w:tc>
          <w:tcPr>
            <w:tcW w:w="5891" w:type="dxa"/>
          </w:tcPr>
          <w:p w14:paraId="0DFD8457" w14:textId="77777777" w:rsidR="006E3A3D" w:rsidRPr="00CB1714" w:rsidRDefault="006E3A3D" w:rsidP="006E3A3D">
            <w:pPr>
              <w:rPr>
                <w:rFonts w:ascii="Lato" w:hAnsi="Lato"/>
                <w:sz w:val="22"/>
                <w:szCs w:val="22"/>
              </w:rPr>
            </w:pPr>
            <w:r w:rsidRPr="00CB1714">
              <w:rPr>
                <w:rFonts w:ascii="Lato" w:hAnsi="Lato"/>
                <w:sz w:val="22"/>
                <w:szCs w:val="22"/>
              </w:rPr>
              <w:t>Provide that:</w:t>
            </w:r>
          </w:p>
        </w:tc>
        <w:tc>
          <w:tcPr>
            <w:tcW w:w="3188" w:type="dxa"/>
            <w:tcBorders>
              <w:bottom w:val="single" w:sz="4" w:space="0" w:color="auto"/>
            </w:tcBorders>
          </w:tcPr>
          <w:p w14:paraId="51CAC53C" w14:textId="77777777" w:rsidR="006E3A3D" w:rsidRPr="00CB1714" w:rsidRDefault="006E3A3D" w:rsidP="006E3A3D">
            <w:pPr>
              <w:rPr>
                <w:rFonts w:ascii="Lato" w:hAnsi="Lato"/>
                <w:sz w:val="22"/>
                <w:szCs w:val="22"/>
              </w:rPr>
            </w:pPr>
          </w:p>
        </w:tc>
      </w:tr>
      <w:tr w:rsidR="006E3A3D" w:rsidRPr="00CB1714" w14:paraId="11547310" w14:textId="77777777" w:rsidTr="00990D73">
        <w:trPr>
          <w:cantSplit/>
          <w:trHeight w:val="254"/>
        </w:trPr>
        <w:tc>
          <w:tcPr>
            <w:tcW w:w="1316" w:type="dxa"/>
          </w:tcPr>
          <w:p w14:paraId="1A5E5BF4" w14:textId="77777777" w:rsidR="006E3A3D" w:rsidRPr="00CB1714" w:rsidRDefault="006E3A3D" w:rsidP="006E3A3D">
            <w:pPr>
              <w:jc w:val="right"/>
              <w:rPr>
                <w:rFonts w:ascii="Lato" w:hAnsi="Lato"/>
                <w:sz w:val="22"/>
                <w:szCs w:val="22"/>
              </w:rPr>
            </w:pPr>
            <w:r w:rsidRPr="00CB1714">
              <w:rPr>
                <w:rFonts w:ascii="Lato" w:hAnsi="Lato"/>
                <w:sz w:val="22"/>
                <w:szCs w:val="22"/>
              </w:rPr>
              <w:t>d)</w:t>
            </w:r>
          </w:p>
        </w:tc>
        <w:tc>
          <w:tcPr>
            <w:tcW w:w="5891" w:type="dxa"/>
            <w:tcBorders>
              <w:right w:val="single" w:sz="4" w:space="0" w:color="auto"/>
            </w:tcBorders>
          </w:tcPr>
          <w:p w14:paraId="30FA5FB5" w14:textId="77777777" w:rsidR="006E3A3D" w:rsidRPr="00CB1714" w:rsidRDefault="006E3A3D" w:rsidP="006E3A3D">
            <w:pPr>
              <w:rPr>
                <w:rFonts w:ascii="Lato" w:hAnsi="Lato"/>
                <w:sz w:val="22"/>
                <w:szCs w:val="22"/>
              </w:rPr>
            </w:pPr>
            <w:r w:rsidRPr="00CB1714">
              <w:rPr>
                <w:rFonts w:ascii="Lato" w:hAnsi="Lato"/>
                <w:sz w:val="22"/>
                <w:szCs w:val="22"/>
              </w:rPr>
              <w:t xml:space="preserve">In the case of investment by employees, the Qualifying </w:t>
            </w:r>
          </w:p>
        </w:tc>
        <w:tc>
          <w:tcPr>
            <w:tcW w:w="3188" w:type="dxa"/>
            <w:tcBorders>
              <w:top w:val="single" w:sz="4" w:space="0" w:color="auto"/>
              <w:left w:val="single" w:sz="4" w:space="0" w:color="auto"/>
              <w:bottom w:val="single" w:sz="4" w:space="0" w:color="auto"/>
              <w:right w:val="single" w:sz="4" w:space="0" w:color="auto"/>
            </w:tcBorders>
          </w:tcPr>
          <w:p w14:paraId="103661D9" w14:textId="77777777" w:rsidR="006E3A3D" w:rsidRPr="00CB1714" w:rsidRDefault="006E3A3D" w:rsidP="006E3A3D">
            <w:pPr>
              <w:rPr>
                <w:rFonts w:ascii="Lato" w:hAnsi="Lato"/>
                <w:sz w:val="22"/>
                <w:szCs w:val="22"/>
              </w:rPr>
            </w:pPr>
          </w:p>
        </w:tc>
      </w:tr>
      <w:tr w:rsidR="006E3A3D" w:rsidRPr="00CB1714" w14:paraId="34048012" w14:textId="77777777" w:rsidTr="00990D73">
        <w:trPr>
          <w:cantSplit/>
          <w:trHeight w:val="254"/>
        </w:trPr>
        <w:tc>
          <w:tcPr>
            <w:tcW w:w="1316" w:type="dxa"/>
          </w:tcPr>
          <w:p w14:paraId="6FCEED40" w14:textId="77777777" w:rsidR="006E3A3D" w:rsidRPr="00CB1714" w:rsidRDefault="006E3A3D" w:rsidP="006E3A3D">
            <w:pPr>
              <w:jc w:val="right"/>
              <w:rPr>
                <w:rFonts w:ascii="Lato" w:hAnsi="Lato"/>
                <w:sz w:val="22"/>
                <w:szCs w:val="22"/>
              </w:rPr>
            </w:pPr>
          </w:p>
        </w:tc>
        <w:tc>
          <w:tcPr>
            <w:tcW w:w="5891" w:type="dxa"/>
          </w:tcPr>
          <w:p w14:paraId="7070922E" w14:textId="77777777" w:rsidR="006E3A3D" w:rsidRPr="00CB1714" w:rsidRDefault="006E3A3D" w:rsidP="006E3A3D">
            <w:pPr>
              <w:rPr>
                <w:rFonts w:ascii="Lato" w:hAnsi="Lato"/>
                <w:sz w:val="22"/>
                <w:szCs w:val="22"/>
              </w:rPr>
            </w:pPr>
            <w:r w:rsidRPr="00F72ED7">
              <w:rPr>
                <w:rFonts w:ascii="Lato" w:hAnsi="Lato"/>
                <w:sz w:val="22"/>
                <w:szCs w:val="22"/>
              </w:rPr>
              <w:t>Investor</w:t>
            </w:r>
            <w:r w:rsidRPr="00CB1714">
              <w:rPr>
                <w:rFonts w:ascii="Lato" w:hAnsi="Lato"/>
                <w:sz w:val="22"/>
                <w:szCs w:val="22"/>
              </w:rPr>
              <w:t xml:space="preserve"> AIF must ensure that the management company, ICAV, investment company or general partner, as appropriate, is satisfied that prospective investors fall within the criteria outlined at (c)(iv) above.</w:t>
            </w:r>
          </w:p>
        </w:tc>
        <w:tc>
          <w:tcPr>
            <w:tcW w:w="3188" w:type="dxa"/>
            <w:tcBorders>
              <w:top w:val="single" w:sz="4" w:space="0" w:color="auto"/>
            </w:tcBorders>
          </w:tcPr>
          <w:p w14:paraId="29A4D823" w14:textId="77777777" w:rsidR="006E3A3D" w:rsidRPr="00CB1714" w:rsidRDefault="006E3A3D" w:rsidP="006E3A3D">
            <w:pPr>
              <w:rPr>
                <w:rFonts w:ascii="Lato" w:hAnsi="Lato"/>
                <w:sz w:val="22"/>
                <w:szCs w:val="22"/>
              </w:rPr>
            </w:pPr>
          </w:p>
        </w:tc>
      </w:tr>
      <w:tr w:rsidR="006E3A3D" w:rsidRPr="00CB1714" w14:paraId="64BE5F72" w14:textId="77777777" w:rsidTr="00990D73">
        <w:trPr>
          <w:cantSplit/>
          <w:trHeight w:val="254"/>
        </w:trPr>
        <w:tc>
          <w:tcPr>
            <w:tcW w:w="1316" w:type="dxa"/>
          </w:tcPr>
          <w:p w14:paraId="2BB205B6" w14:textId="77777777" w:rsidR="006E3A3D" w:rsidRPr="00CB1714" w:rsidRDefault="006E3A3D" w:rsidP="006E3A3D">
            <w:pPr>
              <w:jc w:val="right"/>
              <w:rPr>
                <w:rFonts w:ascii="Lato" w:hAnsi="Lato"/>
                <w:sz w:val="22"/>
                <w:szCs w:val="22"/>
              </w:rPr>
            </w:pPr>
          </w:p>
        </w:tc>
        <w:tc>
          <w:tcPr>
            <w:tcW w:w="5891" w:type="dxa"/>
          </w:tcPr>
          <w:p w14:paraId="6791E26B" w14:textId="77777777" w:rsidR="006E3A3D" w:rsidRPr="00CB1714" w:rsidRDefault="006E3A3D" w:rsidP="006E3A3D">
            <w:pPr>
              <w:rPr>
                <w:rFonts w:ascii="Lato" w:hAnsi="Lato"/>
                <w:sz w:val="22"/>
                <w:szCs w:val="22"/>
              </w:rPr>
            </w:pPr>
          </w:p>
        </w:tc>
        <w:tc>
          <w:tcPr>
            <w:tcW w:w="3188" w:type="dxa"/>
            <w:tcBorders>
              <w:bottom w:val="single" w:sz="4" w:space="0" w:color="auto"/>
            </w:tcBorders>
          </w:tcPr>
          <w:p w14:paraId="62A811C3" w14:textId="77777777" w:rsidR="006E3A3D" w:rsidRPr="00CB1714" w:rsidRDefault="006E3A3D" w:rsidP="006E3A3D">
            <w:pPr>
              <w:rPr>
                <w:rFonts w:ascii="Lato" w:hAnsi="Lato"/>
                <w:sz w:val="22"/>
                <w:szCs w:val="22"/>
              </w:rPr>
            </w:pPr>
          </w:p>
        </w:tc>
      </w:tr>
      <w:tr w:rsidR="006E3A3D" w:rsidRPr="00CB1714" w14:paraId="026CE228" w14:textId="77777777" w:rsidTr="00990D73">
        <w:trPr>
          <w:cantSplit/>
          <w:trHeight w:val="254"/>
        </w:trPr>
        <w:tc>
          <w:tcPr>
            <w:tcW w:w="1316" w:type="dxa"/>
          </w:tcPr>
          <w:p w14:paraId="7660910C" w14:textId="77777777" w:rsidR="006E3A3D" w:rsidRPr="00CB1714" w:rsidRDefault="006E3A3D" w:rsidP="006E3A3D">
            <w:pPr>
              <w:jc w:val="right"/>
              <w:rPr>
                <w:rFonts w:ascii="Lato" w:hAnsi="Lato"/>
                <w:sz w:val="22"/>
                <w:szCs w:val="22"/>
              </w:rPr>
            </w:pPr>
            <w:r w:rsidRPr="00CB1714">
              <w:rPr>
                <w:rFonts w:ascii="Lato" w:hAnsi="Lato"/>
                <w:sz w:val="22"/>
                <w:szCs w:val="22"/>
              </w:rPr>
              <w:t>e)</w:t>
            </w:r>
          </w:p>
        </w:tc>
        <w:tc>
          <w:tcPr>
            <w:tcW w:w="5891" w:type="dxa"/>
            <w:tcBorders>
              <w:right w:val="single" w:sz="4" w:space="0" w:color="auto"/>
            </w:tcBorders>
          </w:tcPr>
          <w:p w14:paraId="71A96421" w14:textId="77777777" w:rsidR="006E3A3D" w:rsidRPr="00CB1714" w:rsidRDefault="006E3A3D" w:rsidP="006E3A3D">
            <w:pPr>
              <w:rPr>
                <w:rFonts w:ascii="Lato" w:hAnsi="Lato"/>
                <w:sz w:val="22"/>
                <w:szCs w:val="22"/>
              </w:rPr>
            </w:pPr>
            <w:r w:rsidRPr="00CB1714">
              <w:rPr>
                <w:rFonts w:ascii="Lato" w:hAnsi="Lato"/>
                <w:sz w:val="22"/>
                <w:szCs w:val="22"/>
              </w:rPr>
              <w:t xml:space="preserve">The Qualifying Investor AIF must ensure that investing </w:t>
            </w:r>
          </w:p>
        </w:tc>
        <w:tc>
          <w:tcPr>
            <w:tcW w:w="3188" w:type="dxa"/>
            <w:tcBorders>
              <w:top w:val="single" w:sz="4" w:space="0" w:color="auto"/>
              <w:left w:val="single" w:sz="4" w:space="0" w:color="auto"/>
              <w:bottom w:val="single" w:sz="4" w:space="0" w:color="auto"/>
              <w:right w:val="single" w:sz="4" w:space="0" w:color="auto"/>
            </w:tcBorders>
          </w:tcPr>
          <w:p w14:paraId="0A73400D" w14:textId="77777777" w:rsidR="006E3A3D" w:rsidRPr="00CB1714" w:rsidRDefault="006E3A3D" w:rsidP="006E3A3D">
            <w:pPr>
              <w:rPr>
                <w:rFonts w:ascii="Lato" w:hAnsi="Lato"/>
                <w:sz w:val="22"/>
                <w:szCs w:val="22"/>
              </w:rPr>
            </w:pPr>
          </w:p>
        </w:tc>
      </w:tr>
      <w:tr w:rsidR="006E3A3D" w:rsidRPr="00CB1714" w14:paraId="313FCDB5" w14:textId="77777777" w:rsidTr="007E3170">
        <w:trPr>
          <w:cantSplit/>
          <w:trHeight w:val="254"/>
        </w:trPr>
        <w:tc>
          <w:tcPr>
            <w:tcW w:w="1316" w:type="dxa"/>
          </w:tcPr>
          <w:p w14:paraId="262CCB2F" w14:textId="77777777" w:rsidR="006E3A3D" w:rsidRPr="00CB1714" w:rsidRDefault="006E3A3D" w:rsidP="006E3A3D">
            <w:pPr>
              <w:jc w:val="right"/>
              <w:rPr>
                <w:rFonts w:ascii="Lato" w:hAnsi="Lato"/>
                <w:sz w:val="22"/>
                <w:szCs w:val="22"/>
              </w:rPr>
            </w:pPr>
          </w:p>
        </w:tc>
        <w:tc>
          <w:tcPr>
            <w:tcW w:w="5891" w:type="dxa"/>
          </w:tcPr>
          <w:p w14:paraId="1F7B9BD3" w14:textId="77777777" w:rsidR="006E3A3D" w:rsidRPr="00CB1714" w:rsidRDefault="006E3A3D" w:rsidP="006E3A3D">
            <w:pPr>
              <w:rPr>
                <w:rFonts w:ascii="Lato" w:hAnsi="Lato"/>
                <w:sz w:val="22"/>
                <w:szCs w:val="22"/>
              </w:rPr>
            </w:pPr>
            <w:r w:rsidRPr="00CB1714">
              <w:rPr>
                <w:rFonts w:ascii="Lato" w:hAnsi="Lato"/>
                <w:sz w:val="22"/>
                <w:szCs w:val="22"/>
              </w:rPr>
              <w:t>employees must certify to it that they are availing of the exemption provided for in this paragraph and that they are aware that the Qualifying Investor AIF is normally marketed solely to qualifying investors who are subject to a minimum subscription of €100,000.</w:t>
            </w:r>
          </w:p>
        </w:tc>
        <w:tc>
          <w:tcPr>
            <w:tcW w:w="3188" w:type="dxa"/>
            <w:tcBorders>
              <w:top w:val="single" w:sz="4" w:space="0" w:color="auto"/>
            </w:tcBorders>
          </w:tcPr>
          <w:p w14:paraId="6415BEA6" w14:textId="77777777" w:rsidR="006E3A3D" w:rsidRPr="00CB1714" w:rsidRDefault="006E3A3D" w:rsidP="006E3A3D">
            <w:pPr>
              <w:rPr>
                <w:rFonts w:ascii="Lato" w:hAnsi="Lato"/>
                <w:sz w:val="22"/>
                <w:szCs w:val="22"/>
              </w:rPr>
            </w:pPr>
          </w:p>
        </w:tc>
      </w:tr>
      <w:tr w:rsidR="006E3A3D" w:rsidRPr="00CB1714" w14:paraId="3A8D156F" w14:textId="77777777" w:rsidTr="007E3170">
        <w:trPr>
          <w:cantSplit/>
          <w:trHeight w:val="254"/>
        </w:trPr>
        <w:tc>
          <w:tcPr>
            <w:tcW w:w="1316" w:type="dxa"/>
          </w:tcPr>
          <w:p w14:paraId="77C365B4" w14:textId="77777777" w:rsidR="006E3A3D" w:rsidRPr="00CB1714" w:rsidRDefault="006E3A3D" w:rsidP="006E3A3D">
            <w:pPr>
              <w:jc w:val="right"/>
              <w:rPr>
                <w:rFonts w:ascii="Lato" w:hAnsi="Lato"/>
                <w:sz w:val="22"/>
                <w:szCs w:val="22"/>
              </w:rPr>
            </w:pPr>
          </w:p>
        </w:tc>
        <w:tc>
          <w:tcPr>
            <w:tcW w:w="5891" w:type="dxa"/>
          </w:tcPr>
          <w:p w14:paraId="1E219923" w14:textId="77777777" w:rsidR="006E3A3D" w:rsidRPr="00CB1714" w:rsidDel="00B47449" w:rsidRDefault="006E3A3D" w:rsidP="006E3A3D">
            <w:pPr>
              <w:rPr>
                <w:rFonts w:ascii="Lato" w:hAnsi="Lato"/>
                <w:sz w:val="22"/>
                <w:szCs w:val="22"/>
              </w:rPr>
            </w:pPr>
          </w:p>
        </w:tc>
        <w:tc>
          <w:tcPr>
            <w:tcW w:w="3188" w:type="dxa"/>
            <w:tcBorders>
              <w:bottom w:val="single" w:sz="4" w:space="0" w:color="auto"/>
            </w:tcBorders>
          </w:tcPr>
          <w:p w14:paraId="09FC992D" w14:textId="77777777" w:rsidR="006E3A3D" w:rsidRPr="00CB1714" w:rsidRDefault="006E3A3D" w:rsidP="006E3A3D">
            <w:pPr>
              <w:rPr>
                <w:rFonts w:ascii="Lato" w:hAnsi="Lato"/>
                <w:sz w:val="22"/>
                <w:szCs w:val="22"/>
              </w:rPr>
            </w:pPr>
          </w:p>
        </w:tc>
      </w:tr>
      <w:tr w:rsidR="006E3A3D" w:rsidRPr="00CB1714" w14:paraId="4399D2EA" w14:textId="77777777" w:rsidTr="007E3170">
        <w:trPr>
          <w:cantSplit/>
          <w:trHeight w:val="254"/>
        </w:trPr>
        <w:tc>
          <w:tcPr>
            <w:tcW w:w="1316" w:type="dxa"/>
          </w:tcPr>
          <w:p w14:paraId="517C251B" w14:textId="77777777" w:rsidR="006E3A3D" w:rsidRPr="00CB1714" w:rsidRDefault="006E3A3D" w:rsidP="006E3A3D">
            <w:pPr>
              <w:jc w:val="right"/>
              <w:rPr>
                <w:rFonts w:ascii="Lato" w:hAnsi="Lato"/>
                <w:sz w:val="22"/>
                <w:szCs w:val="22"/>
              </w:rPr>
            </w:pPr>
            <w:r w:rsidRPr="00CB1714">
              <w:rPr>
                <w:rFonts w:ascii="Lato" w:hAnsi="Lato"/>
                <w:sz w:val="22"/>
                <w:szCs w:val="22"/>
              </w:rPr>
              <w:t>f)</w:t>
            </w:r>
          </w:p>
        </w:tc>
        <w:tc>
          <w:tcPr>
            <w:tcW w:w="5891" w:type="dxa"/>
            <w:tcBorders>
              <w:right w:val="single" w:sz="4" w:space="0" w:color="auto"/>
            </w:tcBorders>
          </w:tcPr>
          <w:p w14:paraId="22A85839" w14:textId="77777777" w:rsidR="006E3A3D" w:rsidRPr="00CB1714" w:rsidDel="00B47449" w:rsidRDefault="006E3A3D" w:rsidP="006E3A3D">
            <w:pPr>
              <w:rPr>
                <w:rFonts w:ascii="Lato" w:hAnsi="Lato"/>
                <w:sz w:val="22"/>
                <w:szCs w:val="22"/>
              </w:rPr>
            </w:pPr>
            <w:r w:rsidRPr="00CB1714">
              <w:rPr>
                <w:rFonts w:ascii="Lato" w:hAnsi="Lato"/>
                <w:sz w:val="22"/>
                <w:szCs w:val="22"/>
              </w:rPr>
              <w:t>The Qualifying Investor AIF must ensure that prospective,</w:t>
            </w:r>
          </w:p>
        </w:tc>
        <w:tc>
          <w:tcPr>
            <w:tcW w:w="3188" w:type="dxa"/>
            <w:tcBorders>
              <w:top w:val="single" w:sz="4" w:space="0" w:color="auto"/>
              <w:left w:val="single" w:sz="4" w:space="0" w:color="auto"/>
              <w:bottom w:val="single" w:sz="4" w:space="0" w:color="auto"/>
              <w:right w:val="single" w:sz="4" w:space="0" w:color="auto"/>
            </w:tcBorders>
          </w:tcPr>
          <w:p w14:paraId="2F4D4D43" w14:textId="77777777" w:rsidR="006E3A3D" w:rsidRPr="00CB1714" w:rsidRDefault="006E3A3D" w:rsidP="006E3A3D">
            <w:pPr>
              <w:rPr>
                <w:rFonts w:ascii="Lato" w:hAnsi="Lato"/>
                <w:sz w:val="22"/>
                <w:szCs w:val="22"/>
              </w:rPr>
            </w:pPr>
          </w:p>
        </w:tc>
      </w:tr>
      <w:tr w:rsidR="006E3A3D" w:rsidRPr="00CB1714" w14:paraId="399C21B3" w14:textId="77777777" w:rsidTr="007E3170">
        <w:trPr>
          <w:cantSplit/>
          <w:trHeight w:val="254"/>
        </w:trPr>
        <w:tc>
          <w:tcPr>
            <w:tcW w:w="1316" w:type="dxa"/>
          </w:tcPr>
          <w:p w14:paraId="7F3D3119" w14:textId="77777777" w:rsidR="006E3A3D" w:rsidRPr="00CB1714" w:rsidRDefault="006E3A3D" w:rsidP="006E3A3D">
            <w:pPr>
              <w:jc w:val="right"/>
              <w:rPr>
                <w:rFonts w:ascii="Lato" w:hAnsi="Lato"/>
                <w:sz w:val="22"/>
                <w:szCs w:val="22"/>
              </w:rPr>
            </w:pPr>
          </w:p>
        </w:tc>
        <w:tc>
          <w:tcPr>
            <w:tcW w:w="5891" w:type="dxa"/>
          </w:tcPr>
          <w:p w14:paraId="699180F8" w14:textId="77777777" w:rsidR="006E3A3D" w:rsidRPr="00CB1714" w:rsidDel="00B47449" w:rsidRDefault="006E3A3D" w:rsidP="006E3A3D">
            <w:pPr>
              <w:rPr>
                <w:rFonts w:ascii="Lato" w:hAnsi="Lato"/>
                <w:sz w:val="22"/>
                <w:szCs w:val="22"/>
              </w:rPr>
            </w:pPr>
            <w:r w:rsidRPr="00CB1714">
              <w:rPr>
                <w:rFonts w:ascii="Lato" w:hAnsi="Lato"/>
                <w:sz w:val="22"/>
                <w:szCs w:val="22"/>
              </w:rPr>
              <w:t xml:space="preserve">unitholders certify in writing to it that they meet the </w:t>
            </w:r>
          </w:p>
        </w:tc>
        <w:tc>
          <w:tcPr>
            <w:tcW w:w="3188" w:type="dxa"/>
            <w:tcBorders>
              <w:top w:val="single" w:sz="4" w:space="0" w:color="auto"/>
            </w:tcBorders>
          </w:tcPr>
          <w:p w14:paraId="0E0D91B9" w14:textId="77777777" w:rsidR="006E3A3D" w:rsidRPr="00CB1714" w:rsidRDefault="006E3A3D" w:rsidP="006E3A3D">
            <w:pPr>
              <w:rPr>
                <w:rFonts w:ascii="Lato" w:hAnsi="Lato"/>
                <w:sz w:val="22"/>
                <w:szCs w:val="22"/>
              </w:rPr>
            </w:pPr>
          </w:p>
        </w:tc>
      </w:tr>
      <w:tr w:rsidR="006E3A3D" w:rsidRPr="00CB1714" w14:paraId="31B4B421" w14:textId="77777777" w:rsidTr="007E3170">
        <w:trPr>
          <w:cantSplit/>
          <w:trHeight w:val="254"/>
        </w:trPr>
        <w:tc>
          <w:tcPr>
            <w:tcW w:w="1316" w:type="dxa"/>
          </w:tcPr>
          <w:p w14:paraId="35C5B269" w14:textId="77777777" w:rsidR="006E3A3D" w:rsidRPr="00CB1714" w:rsidRDefault="006E3A3D" w:rsidP="006E3A3D">
            <w:pPr>
              <w:jc w:val="right"/>
              <w:rPr>
                <w:rFonts w:ascii="Lato" w:hAnsi="Lato"/>
                <w:sz w:val="22"/>
                <w:szCs w:val="22"/>
              </w:rPr>
            </w:pPr>
          </w:p>
        </w:tc>
        <w:tc>
          <w:tcPr>
            <w:tcW w:w="5891" w:type="dxa"/>
          </w:tcPr>
          <w:p w14:paraId="7C5A2C93" w14:textId="77777777" w:rsidR="006E3A3D" w:rsidRPr="00CB1714" w:rsidDel="00B47449" w:rsidRDefault="006E3A3D" w:rsidP="006E3A3D">
            <w:pPr>
              <w:rPr>
                <w:rFonts w:ascii="Lato" w:hAnsi="Lato"/>
                <w:sz w:val="22"/>
                <w:szCs w:val="22"/>
              </w:rPr>
            </w:pPr>
            <w:r w:rsidRPr="00F72ED7">
              <w:rPr>
                <w:rFonts w:ascii="Lato" w:hAnsi="Lato"/>
                <w:sz w:val="22"/>
                <w:szCs w:val="22"/>
              </w:rPr>
              <w:t>minimum</w:t>
            </w:r>
            <w:r w:rsidRPr="00CB1714">
              <w:rPr>
                <w:rFonts w:ascii="Lato" w:hAnsi="Lato"/>
                <w:sz w:val="22"/>
                <w:szCs w:val="22"/>
              </w:rPr>
              <w:t xml:space="preserve"> criteria listed in section 2.25.2(a) and that they </w:t>
            </w:r>
          </w:p>
        </w:tc>
        <w:tc>
          <w:tcPr>
            <w:tcW w:w="3188" w:type="dxa"/>
          </w:tcPr>
          <w:p w14:paraId="2A6CF9B7" w14:textId="77777777" w:rsidR="006E3A3D" w:rsidRPr="00CB1714" w:rsidRDefault="006E3A3D" w:rsidP="006E3A3D">
            <w:pPr>
              <w:rPr>
                <w:rFonts w:ascii="Lato" w:hAnsi="Lato"/>
                <w:sz w:val="22"/>
                <w:szCs w:val="22"/>
              </w:rPr>
            </w:pPr>
          </w:p>
        </w:tc>
      </w:tr>
      <w:tr w:rsidR="006E3A3D" w:rsidRPr="00CB1714" w14:paraId="33315717" w14:textId="77777777" w:rsidTr="007E3170">
        <w:trPr>
          <w:cantSplit/>
          <w:trHeight w:val="254"/>
        </w:trPr>
        <w:tc>
          <w:tcPr>
            <w:tcW w:w="1316" w:type="dxa"/>
          </w:tcPr>
          <w:p w14:paraId="7C6F16DF" w14:textId="77777777" w:rsidR="006E3A3D" w:rsidRPr="00CB1714" w:rsidRDefault="006E3A3D" w:rsidP="006E3A3D">
            <w:pPr>
              <w:jc w:val="right"/>
              <w:rPr>
                <w:rFonts w:ascii="Lato" w:hAnsi="Lato"/>
                <w:sz w:val="22"/>
                <w:szCs w:val="22"/>
              </w:rPr>
            </w:pPr>
          </w:p>
        </w:tc>
        <w:tc>
          <w:tcPr>
            <w:tcW w:w="5891" w:type="dxa"/>
          </w:tcPr>
          <w:p w14:paraId="4CCD74C1" w14:textId="77777777" w:rsidR="006E3A3D" w:rsidRPr="00CB1714" w:rsidDel="00B47449" w:rsidRDefault="006E3A3D" w:rsidP="006E3A3D">
            <w:pPr>
              <w:rPr>
                <w:rFonts w:ascii="Lato" w:hAnsi="Lato"/>
                <w:sz w:val="22"/>
                <w:szCs w:val="22"/>
              </w:rPr>
            </w:pPr>
            <w:r w:rsidRPr="00F72ED7">
              <w:rPr>
                <w:rFonts w:ascii="Lato" w:hAnsi="Lato"/>
                <w:sz w:val="22"/>
                <w:szCs w:val="22"/>
              </w:rPr>
              <w:t>are aware of the</w:t>
            </w:r>
            <w:r w:rsidRPr="00CB1714">
              <w:rPr>
                <w:rFonts w:ascii="Lato" w:hAnsi="Lato"/>
                <w:sz w:val="22"/>
                <w:szCs w:val="22"/>
              </w:rPr>
              <w:t xml:space="preserve"> risk involved in the proposed investment </w:t>
            </w:r>
          </w:p>
        </w:tc>
        <w:tc>
          <w:tcPr>
            <w:tcW w:w="3188" w:type="dxa"/>
          </w:tcPr>
          <w:p w14:paraId="0104E0D1" w14:textId="77777777" w:rsidR="006E3A3D" w:rsidRPr="00CB1714" w:rsidRDefault="006E3A3D" w:rsidP="006E3A3D">
            <w:pPr>
              <w:rPr>
                <w:rFonts w:ascii="Lato" w:hAnsi="Lato"/>
                <w:sz w:val="22"/>
                <w:szCs w:val="22"/>
              </w:rPr>
            </w:pPr>
          </w:p>
        </w:tc>
      </w:tr>
      <w:tr w:rsidR="006E3A3D" w:rsidRPr="00CB1714" w14:paraId="010C5791" w14:textId="77777777" w:rsidTr="007E3170">
        <w:trPr>
          <w:cantSplit/>
          <w:trHeight w:val="254"/>
        </w:trPr>
        <w:tc>
          <w:tcPr>
            <w:tcW w:w="1316" w:type="dxa"/>
          </w:tcPr>
          <w:p w14:paraId="06E6EACC" w14:textId="77777777" w:rsidR="006E3A3D" w:rsidRPr="00CB1714" w:rsidRDefault="006E3A3D" w:rsidP="006E3A3D">
            <w:pPr>
              <w:jc w:val="right"/>
              <w:rPr>
                <w:rFonts w:ascii="Lato" w:hAnsi="Lato"/>
                <w:sz w:val="22"/>
                <w:szCs w:val="22"/>
              </w:rPr>
            </w:pPr>
          </w:p>
        </w:tc>
        <w:tc>
          <w:tcPr>
            <w:tcW w:w="5891" w:type="dxa"/>
          </w:tcPr>
          <w:p w14:paraId="63CA4021" w14:textId="77777777" w:rsidR="006E3A3D" w:rsidRPr="00CB1714" w:rsidDel="00B47449" w:rsidRDefault="006E3A3D" w:rsidP="006E3A3D">
            <w:pPr>
              <w:rPr>
                <w:rFonts w:ascii="Lato" w:hAnsi="Lato"/>
                <w:sz w:val="22"/>
                <w:szCs w:val="22"/>
              </w:rPr>
            </w:pPr>
            <w:r w:rsidRPr="00F72ED7">
              <w:rPr>
                <w:rFonts w:ascii="Lato" w:hAnsi="Lato"/>
                <w:sz w:val="22"/>
                <w:szCs w:val="22"/>
              </w:rPr>
              <w:t>and of the fact that</w:t>
            </w:r>
            <w:r w:rsidRPr="00CB1714">
              <w:rPr>
                <w:rFonts w:ascii="Lato" w:hAnsi="Lato"/>
                <w:sz w:val="22"/>
                <w:szCs w:val="22"/>
              </w:rPr>
              <w:t xml:space="preserve"> inherent in such investments is the </w:t>
            </w:r>
          </w:p>
        </w:tc>
        <w:tc>
          <w:tcPr>
            <w:tcW w:w="3188" w:type="dxa"/>
          </w:tcPr>
          <w:p w14:paraId="610B1408" w14:textId="77777777" w:rsidR="006E3A3D" w:rsidRPr="00CB1714" w:rsidRDefault="006E3A3D" w:rsidP="006E3A3D">
            <w:pPr>
              <w:rPr>
                <w:rFonts w:ascii="Lato" w:hAnsi="Lato"/>
                <w:sz w:val="22"/>
                <w:szCs w:val="22"/>
              </w:rPr>
            </w:pPr>
          </w:p>
        </w:tc>
      </w:tr>
      <w:tr w:rsidR="006E3A3D" w:rsidRPr="00CB1714" w14:paraId="2C236E6D" w14:textId="77777777" w:rsidTr="007E3170">
        <w:trPr>
          <w:cantSplit/>
          <w:trHeight w:val="254"/>
        </w:trPr>
        <w:tc>
          <w:tcPr>
            <w:tcW w:w="1316" w:type="dxa"/>
          </w:tcPr>
          <w:p w14:paraId="5188154A" w14:textId="77777777" w:rsidR="006E3A3D" w:rsidRPr="00CB1714" w:rsidRDefault="006E3A3D" w:rsidP="006E3A3D">
            <w:pPr>
              <w:jc w:val="right"/>
              <w:rPr>
                <w:rFonts w:ascii="Lato" w:hAnsi="Lato"/>
                <w:sz w:val="22"/>
                <w:szCs w:val="22"/>
              </w:rPr>
            </w:pPr>
          </w:p>
        </w:tc>
        <w:tc>
          <w:tcPr>
            <w:tcW w:w="5891" w:type="dxa"/>
          </w:tcPr>
          <w:p w14:paraId="6CA599E3" w14:textId="77777777" w:rsidR="006E3A3D" w:rsidRPr="00CB1714" w:rsidDel="00B47449" w:rsidRDefault="006E3A3D" w:rsidP="006E3A3D">
            <w:pPr>
              <w:rPr>
                <w:rFonts w:ascii="Lato" w:hAnsi="Lato"/>
                <w:sz w:val="22"/>
                <w:szCs w:val="22"/>
              </w:rPr>
            </w:pPr>
            <w:r w:rsidRPr="00F72ED7">
              <w:rPr>
                <w:rFonts w:ascii="Lato" w:hAnsi="Lato"/>
                <w:sz w:val="22"/>
                <w:szCs w:val="22"/>
              </w:rPr>
              <w:t xml:space="preserve">potential to lose all of the </w:t>
            </w:r>
            <w:r w:rsidRPr="00CB1714">
              <w:rPr>
                <w:rFonts w:ascii="Lato" w:hAnsi="Lato"/>
                <w:sz w:val="22"/>
                <w:szCs w:val="22"/>
              </w:rPr>
              <w:t>sum invested</w:t>
            </w:r>
          </w:p>
        </w:tc>
        <w:tc>
          <w:tcPr>
            <w:tcW w:w="3188" w:type="dxa"/>
          </w:tcPr>
          <w:p w14:paraId="280D9540" w14:textId="77777777" w:rsidR="006E3A3D" w:rsidRPr="00CB1714" w:rsidRDefault="006E3A3D" w:rsidP="006E3A3D">
            <w:pPr>
              <w:rPr>
                <w:rFonts w:ascii="Lato" w:hAnsi="Lato"/>
                <w:sz w:val="22"/>
                <w:szCs w:val="22"/>
              </w:rPr>
            </w:pPr>
          </w:p>
        </w:tc>
      </w:tr>
      <w:tr w:rsidR="006E3A3D" w:rsidRPr="00CB1714" w14:paraId="1C7560D6" w14:textId="77777777" w:rsidTr="007E3170">
        <w:trPr>
          <w:cantSplit/>
          <w:trHeight w:val="254"/>
        </w:trPr>
        <w:tc>
          <w:tcPr>
            <w:tcW w:w="1316" w:type="dxa"/>
          </w:tcPr>
          <w:p w14:paraId="66500B96" w14:textId="77777777" w:rsidR="006E3A3D" w:rsidRPr="00CB1714" w:rsidRDefault="006E3A3D" w:rsidP="006E3A3D">
            <w:pPr>
              <w:jc w:val="right"/>
              <w:rPr>
                <w:rFonts w:ascii="Lato" w:hAnsi="Lato"/>
                <w:sz w:val="22"/>
                <w:szCs w:val="22"/>
              </w:rPr>
            </w:pPr>
          </w:p>
        </w:tc>
        <w:tc>
          <w:tcPr>
            <w:tcW w:w="5891" w:type="dxa"/>
          </w:tcPr>
          <w:p w14:paraId="27D957FB" w14:textId="77777777" w:rsidR="006E3A3D" w:rsidRPr="00CB1714" w:rsidDel="00B47449" w:rsidRDefault="006E3A3D" w:rsidP="006E3A3D">
            <w:pPr>
              <w:rPr>
                <w:rFonts w:ascii="Lato" w:hAnsi="Lato"/>
                <w:sz w:val="22"/>
                <w:szCs w:val="22"/>
              </w:rPr>
            </w:pPr>
          </w:p>
        </w:tc>
        <w:tc>
          <w:tcPr>
            <w:tcW w:w="3188" w:type="dxa"/>
          </w:tcPr>
          <w:p w14:paraId="5810ED88" w14:textId="77777777" w:rsidR="006E3A3D" w:rsidRPr="00CB1714" w:rsidRDefault="006E3A3D" w:rsidP="006E3A3D">
            <w:pPr>
              <w:rPr>
                <w:rFonts w:ascii="Lato" w:hAnsi="Lato"/>
                <w:sz w:val="22"/>
                <w:szCs w:val="22"/>
              </w:rPr>
            </w:pPr>
          </w:p>
        </w:tc>
      </w:tr>
      <w:tr w:rsidR="006E3A3D" w:rsidRPr="00CB1714" w14:paraId="79F0C51F" w14:textId="77777777" w:rsidTr="00990D73">
        <w:tc>
          <w:tcPr>
            <w:tcW w:w="1316" w:type="dxa"/>
          </w:tcPr>
          <w:p w14:paraId="5E10B0D5" w14:textId="77777777" w:rsidR="006E3A3D" w:rsidRPr="00CB1714" w:rsidRDefault="006E3A3D" w:rsidP="006E3A3D">
            <w:pPr>
              <w:rPr>
                <w:rFonts w:ascii="Lato" w:hAnsi="Lato"/>
                <w:b/>
                <w:sz w:val="22"/>
                <w:szCs w:val="22"/>
              </w:rPr>
            </w:pPr>
            <w:r w:rsidRPr="00CB1714">
              <w:rPr>
                <w:rFonts w:ascii="Lato" w:hAnsi="Lato"/>
                <w:b/>
                <w:sz w:val="22"/>
                <w:szCs w:val="22"/>
              </w:rPr>
              <w:t>2.27</w:t>
            </w:r>
          </w:p>
        </w:tc>
        <w:tc>
          <w:tcPr>
            <w:tcW w:w="5891" w:type="dxa"/>
          </w:tcPr>
          <w:p w14:paraId="415CB2F8" w14:textId="77777777" w:rsidR="006E3A3D" w:rsidRPr="00CB1714" w:rsidRDefault="006E3A3D" w:rsidP="006E3A3D">
            <w:pPr>
              <w:rPr>
                <w:rFonts w:ascii="Lato" w:hAnsi="Lato"/>
                <w:b/>
                <w:sz w:val="22"/>
                <w:szCs w:val="22"/>
              </w:rPr>
            </w:pPr>
            <w:r w:rsidRPr="00CB1714">
              <w:rPr>
                <w:rFonts w:ascii="Lato" w:hAnsi="Lato"/>
                <w:b/>
                <w:sz w:val="22"/>
                <w:szCs w:val="22"/>
              </w:rPr>
              <w:t>Prime broker</w:t>
            </w:r>
          </w:p>
        </w:tc>
        <w:tc>
          <w:tcPr>
            <w:tcW w:w="3188" w:type="dxa"/>
          </w:tcPr>
          <w:p w14:paraId="1C4ABAE6" w14:textId="77777777" w:rsidR="006E3A3D" w:rsidRPr="00CB1714" w:rsidRDefault="006E3A3D" w:rsidP="006E3A3D">
            <w:pPr>
              <w:rPr>
                <w:rFonts w:ascii="Lato" w:hAnsi="Lato"/>
                <w:b/>
                <w:sz w:val="22"/>
                <w:szCs w:val="22"/>
              </w:rPr>
            </w:pPr>
          </w:p>
        </w:tc>
      </w:tr>
      <w:tr w:rsidR="006E3A3D" w:rsidRPr="00CB1714" w14:paraId="175489DD" w14:textId="77777777" w:rsidTr="00990D73">
        <w:tc>
          <w:tcPr>
            <w:tcW w:w="1316" w:type="dxa"/>
          </w:tcPr>
          <w:p w14:paraId="24C71F9D" w14:textId="77777777" w:rsidR="006E3A3D" w:rsidRPr="00CB1714" w:rsidRDefault="006E3A3D" w:rsidP="006E3A3D">
            <w:pPr>
              <w:rPr>
                <w:rFonts w:ascii="Lato" w:hAnsi="Lato"/>
                <w:sz w:val="22"/>
                <w:szCs w:val="22"/>
              </w:rPr>
            </w:pPr>
            <w:r w:rsidRPr="00CB1714">
              <w:rPr>
                <w:rFonts w:ascii="Lato" w:hAnsi="Lato"/>
                <w:sz w:val="22"/>
                <w:szCs w:val="22"/>
              </w:rPr>
              <w:t>2.27.1</w:t>
            </w:r>
          </w:p>
        </w:tc>
        <w:tc>
          <w:tcPr>
            <w:tcW w:w="5891" w:type="dxa"/>
          </w:tcPr>
          <w:p w14:paraId="06148C80" w14:textId="77777777" w:rsidR="006E3A3D" w:rsidRPr="00CB1714" w:rsidRDefault="006E3A3D" w:rsidP="006E3A3D">
            <w:pPr>
              <w:rPr>
                <w:rFonts w:ascii="Lato" w:hAnsi="Lato"/>
                <w:sz w:val="22"/>
                <w:szCs w:val="22"/>
              </w:rPr>
            </w:pPr>
            <w:r w:rsidRPr="00CB1714">
              <w:rPr>
                <w:rFonts w:ascii="Lato" w:hAnsi="Lato"/>
                <w:sz w:val="22"/>
                <w:szCs w:val="22"/>
              </w:rPr>
              <w:t>Disclose:</w:t>
            </w:r>
          </w:p>
        </w:tc>
        <w:tc>
          <w:tcPr>
            <w:tcW w:w="3188" w:type="dxa"/>
            <w:tcBorders>
              <w:bottom w:val="single" w:sz="4" w:space="0" w:color="auto"/>
            </w:tcBorders>
          </w:tcPr>
          <w:p w14:paraId="5D5EC265" w14:textId="77777777" w:rsidR="006E3A3D" w:rsidRPr="00CB1714" w:rsidRDefault="006E3A3D" w:rsidP="006E3A3D">
            <w:pPr>
              <w:rPr>
                <w:rFonts w:ascii="Lato" w:hAnsi="Lato"/>
                <w:sz w:val="22"/>
                <w:szCs w:val="22"/>
              </w:rPr>
            </w:pPr>
          </w:p>
        </w:tc>
      </w:tr>
      <w:tr w:rsidR="006E3A3D" w:rsidRPr="00CB1714" w14:paraId="2B12D8EE" w14:textId="77777777" w:rsidTr="00990D73">
        <w:tc>
          <w:tcPr>
            <w:tcW w:w="1316" w:type="dxa"/>
          </w:tcPr>
          <w:p w14:paraId="2139AFB7" w14:textId="77777777" w:rsidR="006E3A3D" w:rsidRPr="00CB1714" w:rsidRDefault="006E3A3D" w:rsidP="006E3A3D">
            <w:pPr>
              <w:rPr>
                <w:rFonts w:ascii="Lato" w:hAnsi="Lato"/>
                <w:sz w:val="22"/>
                <w:szCs w:val="22"/>
              </w:rPr>
            </w:pPr>
            <w:r w:rsidRPr="00CB1714">
              <w:rPr>
                <w:rFonts w:ascii="Lato" w:hAnsi="Lato"/>
                <w:sz w:val="22"/>
                <w:szCs w:val="22"/>
              </w:rPr>
              <w:t>(i)</w:t>
            </w:r>
          </w:p>
        </w:tc>
        <w:tc>
          <w:tcPr>
            <w:tcW w:w="5891" w:type="dxa"/>
            <w:tcBorders>
              <w:right w:val="single" w:sz="4" w:space="0" w:color="auto"/>
            </w:tcBorders>
          </w:tcPr>
          <w:p w14:paraId="3D16BD72" w14:textId="77777777" w:rsidR="006E3A3D" w:rsidRPr="00CB1714" w:rsidRDefault="006E3A3D" w:rsidP="006E3A3D">
            <w:pPr>
              <w:rPr>
                <w:rFonts w:ascii="Lato" w:hAnsi="Lato"/>
                <w:sz w:val="22"/>
                <w:szCs w:val="22"/>
              </w:rPr>
            </w:pPr>
            <w:r w:rsidRPr="00CB1714">
              <w:rPr>
                <w:rFonts w:ascii="Lato" w:hAnsi="Lato"/>
                <w:sz w:val="22"/>
                <w:szCs w:val="22"/>
              </w:rPr>
              <w:t>The identity of the prime broker;</w:t>
            </w:r>
          </w:p>
        </w:tc>
        <w:tc>
          <w:tcPr>
            <w:tcW w:w="3188" w:type="dxa"/>
            <w:tcBorders>
              <w:top w:val="single" w:sz="4" w:space="0" w:color="auto"/>
              <w:left w:val="single" w:sz="4" w:space="0" w:color="auto"/>
              <w:bottom w:val="single" w:sz="4" w:space="0" w:color="auto"/>
              <w:right w:val="single" w:sz="4" w:space="0" w:color="auto"/>
            </w:tcBorders>
          </w:tcPr>
          <w:p w14:paraId="2C6EA092" w14:textId="77777777" w:rsidR="006E3A3D" w:rsidRPr="00CB1714" w:rsidRDefault="006E3A3D" w:rsidP="006E3A3D">
            <w:pPr>
              <w:rPr>
                <w:rFonts w:ascii="Lato" w:hAnsi="Lato"/>
                <w:sz w:val="22"/>
                <w:szCs w:val="22"/>
              </w:rPr>
            </w:pPr>
          </w:p>
        </w:tc>
      </w:tr>
      <w:tr w:rsidR="006E3A3D" w:rsidRPr="00CB1714" w14:paraId="1913A7CC" w14:textId="77777777" w:rsidTr="00990D73">
        <w:tc>
          <w:tcPr>
            <w:tcW w:w="1316" w:type="dxa"/>
          </w:tcPr>
          <w:p w14:paraId="0D18FEC7" w14:textId="77777777" w:rsidR="006E3A3D" w:rsidRPr="00CB1714" w:rsidRDefault="006E3A3D" w:rsidP="006E3A3D">
            <w:pPr>
              <w:rPr>
                <w:rFonts w:ascii="Lato" w:hAnsi="Lato"/>
                <w:sz w:val="22"/>
                <w:szCs w:val="22"/>
              </w:rPr>
            </w:pPr>
            <w:r w:rsidRPr="00CB1714">
              <w:rPr>
                <w:rFonts w:ascii="Lato" w:hAnsi="Lato"/>
                <w:sz w:val="22"/>
                <w:szCs w:val="22"/>
              </w:rPr>
              <w:t>(ii)</w:t>
            </w:r>
          </w:p>
        </w:tc>
        <w:tc>
          <w:tcPr>
            <w:tcW w:w="5891" w:type="dxa"/>
            <w:tcBorders>
              <w:right w:val="single" w:sz="4" w:space="0" w:color="auto"/>
            </w:tcBorders>
          </w:tcPr>
          <w:p w14:paraId="12F2C361" w14:textId="77777777" w:rsidR="006E3A3D" w:rsidRPr="00CB1714" w:rsidRDefault="006E3A3D" w:rsidP="006E3A3D">
            <w:pPr>
              <w:rPr>
                <w:rFonts w:ascii="Lato" w:hAnsi="Lato"/>
                <w:sz w:val="22"/>
                <w:szCs w:val="22"/>
              </w:rPr>
            </w:pPr>
            <w:r w:rsidRPr="00CB1714">
              <w:rPr>
                <w:rFonts w:ascii="Lato" w:hAnsi="Lato"/>
                <w:sz w:val="22"/>
                <w:szCs w:val="22"/>
              </w:rPr>
              <w:t xml:space="preserve">A description of any material arrangements of the </w:t>
            </w:r>
          </w:p>
        </w:tc>
        <w:tc>
          <w:tcPr>
            <w:tcW w:w="3188" w:type="dxa"/>
            <w:tcBorders>
              <w:top w:val="single" w:sz="4" w:space="0" w:color="auto"/>
              <w:left w:val="single" w:sz="4" w:space="0" w:color="auto"/>
              <w:bottom w:val="single" w:sz="4" w:space="0" w:color="auto"/>
              <w:right w:val="single" w:sz="4" w:space="0" w:color="auto"/>
            </w:tcBorders>
          </w:tcPr>
          <w:p w14:paraId="063E24BA" w14:textId="77777777" w:rsidR="006E3A3D" w:rsidRPr="00CB1714" w:rsidRDefault="006E3A3D" w:rsidP="006E3A3D">
            <w:pPr>
              <w:rPr>
                <w:rFonts w:ascii="Lato" w:hAnsi="Lato"/>
                <w:sz w:val="22"/>
                <w:szCs w:val="22"/>
              </w:rPr>
            </w:pPr>
          </w:p>
        </w:tc>
      </w:tr>
      <w:tr w:rsidR="006E3A3D" w:rsidRPr="00CB1714" w14:paraId="4B5DED2F" w14:textId="77777777" w:rsidTr="00BD6C62">
        <w:tc>
          <w:tcPr>
            <w:tcW w:w="1316" w:type="dxa"/>
          </w:tcPr>
          <w:p w14:paraId="221907BD" w14:textId="77777777" w:rsidR="006E3A3D" w:rsidRPr="00CB1714" w:rsidRDefault="006E3A3D" w:rsidP="006E3A3D">
            <w:pPr>
              <w:rPr>
                <w:rFonts w:ascii="Lato" w:hAnsi="Lato"/>
                <w:sz w:val="22"/>
                <w:szCs w:val="22"/>
              </w:rPr>
            </w:pPr>
          </w:p>
        </w:tc>
        <w:tc>
          <w:tcPr>
            <w:tcW w:w="5891" w:type="dxa"/>
          </w:tcPr>
          <w:p w14:paraId="354AB434" w14:textId="77777777" w:rsidR="006E3A3D" w:rsidRPr="00CB1714" w:rsidRDefault="006E3A3D" w:rsidP="006E3A3D">
            <w:pPr>
              <w:rPr>
                <w:rFonts w:ascii="Lato" w:hAnsi="Lato"/>
                <w:sz w:val="22"/>
                <w:szCs w:val="22"/>
              </w:rPr>
            </w:pPr>
            <w:r w:rsidRPr="00F72ED7">
              <w:rPr>
                <w:rFonts w:ascii="Lato" w:hAnsi="Lato"/>
                <w:sz w:val="22"/>
                <w:szCs w:val="22"/>
              </w:rPr>
              <w:t xml:space="preserve">Qualifying </w:t>
            </w:r>
            <w:r w:rsidRPr="00CB1714">
              <w:rPr>
                <w:rFonts w:ascii="Lato" w:hAnsi="Lato"/>
                <w:sz w:val="22"/>
                <w:szCs w:val="22"/>
              </w:rPr>
              <w:t>Investor AIF with its prime brokers;</w:t>
            </w:r>
          </w:p>
        </w:tc>
        <w:tc>
          <w:tcPr>
            <w:tcW w:w="3188" w:type="dxa"/>
            <w:tcBorders>
              <w:top w:val="single" w:sz="4" w:space="0" w:color="auto"/>
              <w:bottom w:val="single" w:sz="4" w:space="0" w:color="auto"/>
            </w:tcBorders>
          </w:tcPr>
          <w:p w14:paraId="0DF000DE" w14:textId="77777777" w:rsidR="006E3A3D" w:rsidRPr="00CB1714" w:rsidRDefault="006E3A3D" w:rsidP="006E3A3D">
            <w:pPr>
              <w:rPr>
                <w:rFonts w:ascii="Lato" w:hAnsi="Lato"/>
                <w:sz w:val="22"/>
                <w:szCs w:val="22"/>
              </w:rPr>
            </w:pPr>
          </w:p>
        </w:tc>
      </w:tr>
      <w:tr w:rsidR="006E3A3D" w:rsidRPr="00CB1714" w14:paraId="4328CCD2" w14:textId="77777777" w:rsidTr="00BD6C62">
        <w:tc>
          <w:tcPr>
            <w:tcW w:w="1316" w:type="dxa"/>
          </w:tcPr>
          <w:p w14:paraId="6D61082D" w14:textId="77777777" w:rsidR="006E3A3D" w:rsidRPr="00CB1714" w:rsidRDefault="006E3A3D" w:rsidP="006E3A3D">
            <w:pPr>
              <w:rPr>
                <w:rFonts w:ascii="Lato" w:hAnsi="Lato"/>
                <w:sz w:val="22"/>
                <w:szCs w:val="22"/>
              </w:rPr>
            </w:pPr>
            <w:r w:rsidRPr="00CB1714">
              <w:rPr>
                <w:rFonts w:ascii="Lato" w:hAnsi="Lato"/>
                <w:sz w:val="22"/>
                <w:szCs w:val="22"/>
              </w:rPr>
              <w:t>(iii)</w:t>
            </w:r>
          </w:p>
        </w:tc>
        <w:tc>
          <w:tcPr>
            <w:tcW w:w="5891" w:type="dxa"/>
            <w:tcBorders>
              <w:right w:val="single" w:sz="4" w:space="0" w:color="auto"/>
            </w:tcBorders>
          </w:tcPr>
          <w:p w14:paraId="3E8399F6" w14:textId="77777777" w:rsidR="006E3A3D" w:rsidRPr="00CB1714" w:rsidRDefault="006E3A3D" w:rsidP="006E3A3D">
            <w:pPr>
              <w:rPr>
                <w:rFonts w:ascii="Lato" w:hAnsi="Lato"/>
                <w:sz w:val="22"/>
                <w:szCs w:val="22"/>
              </w:rPr>
            </w:pPr>
            <w:r w:rsidRPr="00CB1714">
              <w:rPr>
                <w:rFonts w:ascii="Lato" w:hAnsi="Lato"/>
                <w:sz w:val="22"/>
                <w:szCs w:val="22"/>
              </w:rPr>
              <w:t>The way the conflicts of interest are managed;</w:t>
            </w:r>
          </w:p>
        </w:tc>
        <w:tc>
          <w:tcPr>
            <w:tcW w:w="3188" w:type="dxa"/>
            <w:tcBorders>
              <w:top w:val="single" w:sz="4" w:space="0" w:color="auto"/>
              <w:left w:val="single" w:sz="4" w:space="0" w:color="auto"/>
              <w:bottom w:val="single" w:sz="4" w:space="0" w:color="auto"/>
              <w:right w:val="single" w:sz="4" w:space="0" w:color="auto"/>
            </w:tcBorders>
          </w:tcPr>
          <w:p w14:paraId="59B656B2" w14:textId="77777777" w:rsidR="006E3A3D" w:rsidRPr="00CB1714" w:rsidRDefault="006E3A3D" w:rsidP="006E3A3D">
            <w:pPr>
              <w:rPr>
                <w:rFonts w:ascii="Lato" w:hAnsi="Lato"/>
                <w:sz w:val="22"/>
                <w:szCs w:val="22"/>
              </w:rPr>
            </w:pPr>
          </w:p>
        </w:tc>
      </w:tr>
      <w:tr w:rsidR="006E3A3D" w:rsidRPr="00CB1714" w14:paraId="240A04FA" w14:textId="77777777" w:rsidTr="00BD6C62">
        <w:tc>
          <w:tcPr>
            <w:tcW w:w="1316" w:type="dxa"/>
          </w:tcPr>
          <w:p w14:paraId="0F466C2F" w14:textId="77777777" w:rsidR="006E3A3D" w:rsidRPr="00CB1714" w:rsidRDefault="006E3A3D" w:rsidP="006E3A3D">
            <w:pPr>
              <w:rPr>
                <w:rFonts w:ascii="Lato" w:hAnsi="Lato"/>
                <w:sz w:val="22"/>
                <w:szCs w:val="22"/>
              </w:rPr>
            </w:pPr>
            <w:r w:rsidRPr="00CB1714">
              <w:rPr>
                <w:rFonts w:ascii="Lato" w:hAnsi="Lato"/>
                <w:sz w:val="22"/>
                <w:szCs w:val="22"/>
              </w:rPr>
              <w:t>(iv)</w:t>
            </w:r>
          </w:p>
        </w:tc>
        <w:tc>
          <w:tcPr>
            <w:tcW w:w="5891" w:type="dxa"/>
            <w:tcBorders>
              <w:right w:val="single" w:sz="4" w:space="0" w:color="auto"/>
            </w:tcBorders>
          </w:tcPr>
          <w:p w14:paraId="1BB0FD06" w14:textId="77777777" w:rsidR="006E3A3D" w:rsidRPr="00CB1714" w:rsidRDefault="006E3A3D" w:rsidP="006E3A3D">
            <w:pPr>
              <w:rPr>
                <w:rFonts w:ascii="Lato" w:hAnsi="Lato"/>
                <w:sz w:val="22"/>
                <w:szCs w:val="22"/>
              </w:rPr>
            </w:pPr>
            <w:r w:rsidRPr="00CB1714">
              <w:rPr>
                <w:rFonts w:ascii="Lato" w:hAnsi="Lato"/>
                <w:sz w:val="22"/>
                <w:szCs w:val="22"/>
              </w:rPr>
              <w:t xml:space="preserve">Any provision in the contract with the depositary on the </w:t>
            </w:r>
          </w:p>
        </w:tc>
        <w:tc>
          <w:tcPr>
            <w:tcW w:w="3188" w:type="dxa"/>
            <w:tcBorders>
              <w:top w:val="single" w:sz="4" w:space="0" w:color="auto"/>
              <w:left w:val="single" w:sz="4" w:space="0" w:color="auto"/>
              <w:bottom w:val="single" w:sz="4" w:space="0" w:color="auto"/>
              <w:right w:val="single" w:sz="4" w:space="0" w:color="auto"/>
            </w:tcBorders>
          </w:tcPr>
          <w:p w14:paraId="6FE7A0A0" w14:textId="77777777" w:rsidR="006E3A3D" w:rsidRPr="00CB1714" w:rsidRDefault="006E3A3D" w:rsidP="006E3A3D">
            <w:pPr>
              <w:rPr>
                <w:rFonts w:ascii="Lato" w:hAnsi="Lato"/>
                <w:sz w:val="22"/>
                <w:szCs w:val="22"/>
              </w:rPr>
            </w:pPr>
          </w:p>
        </w:tc>
      </w:tr>
      <w:tr w:rsidR="006E3A3D" w:rsidRPr="00CB1714" w14:paraId="17347585" w14:textId="77777777" w:rsidTr="00BD6C62">
        <w:tc>
          <w:tcPr>
            <w:tcW w:w="1316" w:type="dxa"/>
          </w:tcPr>
          <w:p w14:paraId="2F6D9F32" w14:textId="77777777" w:rsidR="006E3A3D" w:rsidRPr="00CB1714" w:rsidRDefault="006E3A3D" w:rsidP="006E3A3D">
            <w:pPr>
              <w:rPr>
                <w:rFonts w:ascii="Lato" w:hAnsi="Lato"/>
                <w:sz w:val="22"/>
                <w:szCs w:val="22"/>
              </w:rPr>
            </w:pPr>
          </w:p>
        </w:tc>
        <w:tc>
          <w:tcPr>
            <w:tcW w:w="5891" w:type="dxa"/>
          </w:tcPr>
          <w:p w14:paraId="1B8119BB" w14:textId="77777777" w:rsidR="006E3A3D" w:rsidRPr="00CB1714" w:rsidRDefault="006E3A3D" w:rsidP="006E3A3D">
            <w:pPr>
              <w:rPr>
                <w:rFonts w:ascii="Lato" w:hAnsi="Lato"/>
                <w:sz w:val="22"/>
                <w:szCs w:val="22"/>
              </w:rPr>
            </w:pPr>
            <w:r w:rsidRPr="00CB1714">
              <w:rPr>
                <w:rFonts w:ascii="Lato" w:hAnsi="Lato"/>
                <w:sz w:val="22"/>
                <w:szCs w:val="22"/>
              </w:rPr>
              <w:t xml:space="preserve">possibility of transfer and reuse of Qualifying Investor AIF </w:t>
            </w:r>
          </w:p>
        </w:tc>
        <w:tc>
          <w:tcPr>
            <w:tcW w:w="3188" w:type="dxa"/>
            <w:tcBorders>
              <w:top w:val="single" w:sz="4" w:space="0" w:color="auto"/>
            </w:tcBorders>
          </w:tcPr>
          <w:p w14:paraId="42C4E93C" w14:textId="77777777" w:rsidR="006E3A3D" w:rsidRPr="00CB1714" w:rsidRDefault="006E3A3D" w:rsidP="006E3A3D">
            <w:pPr>
              <w:rPr>
                <w:rFonts w:ascii="Lato" w:hAnsi="Lato"/>
                <w:sz w:val="22"/>
                <w:szCs w:val="22"/>
              </w:rPr>
            </w:pPr>
          </w:p>
        </w:tc>
      </w:tr>
      <w:tr w:rsidR="006E3A3D" w:rsidRPr="00CB1714" w14:paraId="6883B8B7" w14:textId="77777777" w:rsidTr="00BD6C62">
        <w:tc>
          <w:tcPr>
            <w:tcW w:w="1316" w:type="dxa"/>
          </w:tcPr>
          <w:p w14:paraId="528D372C" w14:textId="77777777" w:rsidR="006E3A3D" w:rsidRPr="00CB1714" w:rsidRDefault="006E3A3D" w:rsidP="006E3A3D">
            <w:pPr>
              <w:rPr>
                <w:rFonts w:ascii="Lato" w:hAnsi="Lato"/>
                <w:sz w:val="22"/>
                <w:szCs w:val="22"/>
              </w:rPr>
            </w:pPr>
          </w:p>
        </w:tc>
        <w:tc>
          <w:tcPr>
            <w:tcW w:w="5891" w:type="dxa"/>
          </w:tcPr>
          <w:p w14:paraId="0E8A743F" w14:textId="77777777" w:rsidR="006E3A3D" w:rsidRPr="00CB1714" w:rsidRDefault="006E3A3D" w:rsidP="006E3A3D">
            <w:pPr>
              <w:rPr>
                <w:rFonts w:ascii="Lato" w:hAnsi="Lato"/>
                <w:sz w:val="22"/>
                <w:szCs w:val="22"/>
              </w:rPr>
            </w:pPr>
            <w:r w:rsidRPr="00CB1714">
              <w:rPr>
                <w:rFonts w:ascii="Lato" w:hAnsi="Lato"/>
                <w:sz w:val="22"/>
                <w:szCs w:val="22"/>
              </w:rPr>
              <w:t>assets; and</w:t>
            </w:r>
          </w:p>
        </w:tc>
        <w:tc>
          <w:tcPr>
            <w:tcW w:w="3188" w:type="dxa"/>
            <w:tcBorders>
              <w:bottom w:val="single" w:sz="4" w:space="0" w:color="auto"/>
            </w:tcBorders>
          </w:tcPr>
          <w:p w14:paraId="709A3F85" w14:textId="77777777" w:rsidR="006E3A3D" w:rsidRPr="00CB1714" w:rsidRDefault="006E3A3D" w:rsidP="006E3A3D">
            <w:pPr>
              <w:rPr>
                <w:rFonts w:ascii="Lato" w:hAnsi="Lato"/>
                <w:sz w:val="22"/>
                <w:szCs w:val="22"/>
              </w:rPr>
            </w:pPr>
          </w:p>
        </w:tc>
      </w:tr>
      <w:tr w:rsidR="006E3A3D" w:rsidRPr="00CB1714" w14:paraId="56686824" w14:textId="77777777" w:rsidTr="00BD6C62">
        <w:tc>
          <w:tcPr>
            <w:tcW w:w="1316" w:type="dxa"/>
          </w:tcPr>
          <w:p w14:paraId="205237CC" w14:textId="77777777" w:rsidR="006E3A3D" w:rsidRPr="00CB1714" w:rsidRDefault="006E3A3D" w:rsidP="006E3A3D">
            <w:pPr>
              <w:rPr>
                <w:rFonts w:ascii="Lato" w:hAnsi="Lato"/>
                <w:sz w:val="22"/>
                <w:szCs w:val="22"/>
              </w:rPr>
            </w:pPr>
            <w:r w:rsidRPr="00CB1714">
              <w:rPr>
                <w:rFonts w:ascii="Lato" w:hAnsi="Lato"/>
                <w:sz w:val="22"/>
                <w:szCs w:val="22"/>
              </w:rPr>
              <w:t>(v)</w:t>
            </w:r>
          </w:p>
        </w:tc>
        <w:tc>
          <w:tcPr>
            <w:tcW w:w="5891" w:type="dxa"/>
            <w:tcBorders>
              <w:right w:val="single" w:sz="4" w:space="0" w:color="auto"/>
            </w:tcBorders>
          </w:tcPr>
          <w:p w14:paraId="0D33557E" w14:textId="77777777" w:rsidR="006E3A3D" w:rsidRPr="00CB1714" w:rsidRDefault="006E3A3D" w:rsidP="006E3A3D">
            <w:pPr>
              <w:rPr>
                <w:rFonts w:ascii="Lato" w:hAnsi="Lato"/>
                <w:sz w:val="22"/>
                <w:szCs w:val="22"/>
              </w:rPr>
            </w:pPr>
            <w:r w:rsidRPr="00CB1714">
              <w:rPr>
                <w:rFonts w:ascii="Lato" w:hAnsi="Lato"/>
                <w:sz w:val="22"/>
                <w:szCs w:val="22"/>
              </w:rPr>
              <w:t xml:space="preserve">Information about any transfer of liability to the prime </w:t>
            </w:r>
          </w:p>
        </w:tc>
        <w:tc>
          <w:tcPr>
            <w:tcW w:w="3188" w:type="dxa"/>
            <w:tcBorders>
              <w:top w:val="single" w:sz="4" w:space="0" w:color="auto"/>
              <w:left w:val="single" w:sz="4" w:space="0" w:color="auto"/>
              <w:bottom w:val="single" w:sz="4" w:space="0" w:color="auto"/>
              <w:right w:val="single" w:sz="4" w:space="0" w:color="auto"/>
            </w:tcBorders>
          </w:tcPr>
          <w:p w14:paraId="05638816" w14:textId="77777777" w:rsidR="006E3A3D" w:rsidRPr="00CB1714" w:rsidRDefault="006E3A3D" w:rsidP="006E3A3D">
            <w:pPr>
              <w:rPr>
                <w:rFonts w:ascii="Lato" w:hAnsi="Lato"/>
                <w:sz w:val="22"/>
                <w:szCs w:val="22"/>
              </w:rPr>
            </w:pPr>
          </w:p>
        </w:tc>
      </w:tr>
      <w:tr w:rsidR="006E3A3D" w:rsidRPr="00CB1714" w14:paraId="4D3D754C" w14:textId="77777777" w:rsidTr="004009A0">
        <w:tc>
          <w:tcPr>
            <w:tcW w:w="1316" w:type="dxa"/>
          </w:tcPr>
          <w:p w14:paraId="7E701719" w14:textId="77777777" w:rsidR="006E3A3D" w:rsidRPr="00CB1714" w:rsidRDefault="006E3A3D" w:rsidP="006E3A3D">
            <w:pPr>
              <w:rPr>
                <w:rFonts w:ascii="Lato" w:hAnsi="Lato"/>
                <w:sz w:val="22"/>
                <w:szCs w:val="22"/>
              </w:rPr>
            </w:pPr>
          </w:p>
        </w:tc>
        <w:tc>
          <w:tcPr>
            <w:tcW w:w="5891" w:type="dxa"/>
          </w:tcPr>
          <w:p w14:paraId="2D331B1C" w14:textId="77777777" w:rsidR="006E3A3D" w:rsidRDefault="006E3A3D" w:rsidP="006E3A3D">
            <w:pPr>
              <w:rPr>
                <w:rFonts w:ascii="Lato" w:hAnsi="Lato"/>
                <w:sz w:val="22"/>
                <w:szCs w:val="22"/>
              </w:rPr>
            </w:pPr>
            <w:r w:rsidRPr="00F72ED7">
              <w:rPr>
                <w:rFonts w:ascii="Lato" w:hAnsi="Lato"/>
                <w:sz w:val="22"/>
                <w:szCs w:val="22"/>
              </w:rPr>
              <w:t>broker</w:t>
            </w:r>
            <w:r w:rsidRPr="00CB1714">
              <w:rPr>
                <w:rFonts w:ascii="Lato" w:hAnsi="Lato"/>
                <w:sz w:val="22"/>
                <w:szCs w:val="22"/>
              </w:rPr>
              <w:t xml:space="preserve"> that may exist</w:t>
            </w:r>
          </w:p>
          <w:p w14:paraId="1CA3D2EC" w14:textId="77777777" w:rsidR="006E3A3D" w:rsidRDefault="006E3A3D" w:rsidP="006E3A3D">
            <w:pPr>
              <w:rPr>
                <w:rFonts w:ascii="Lato" w:hAnsi="Lato"/>
                <w:sz w:val="22"/>
                <w:szCs w:val="22"/>
              </w:rPr>
            </w:pPr>
          </w:p>
          <w:p w14:paraId="53DF61BA" w14:textId="77777777" w:rsidR="006E3A3D" w:rsidRPr="004009A0" w:rsidRDefault="006E3A3D" w:rsidP="006E3A3D">
            <w:pPr>
              <w:rPr>
                <w:rFonts w:ascii="Lato" w:hAnsi="Lato"/>
                <w:sz w:val="22"/>
                <w:szCs w:val="22"/>
                <w:lang w:val="en-US"/>
              </w:rPr>
            </w:pPr>
          </w:p>
          <w:p w14:paraId="3BB50D0A" w14:textId="77777777" w:rsidR="006E3A3D" w:rsidRPr="00CB1714" w:rsidRDefault="006E3A3D" w:rsidP="006E3A3D">
            <w:pPr>
              <w:rPr>
                <w:rFonts w:ascii="Lato" w:hAnsi="Lato"/>
                <w:sz w:val="22"/>
                <w:szCs w:val="22"/>
              </w:rPr>
            </w:pPr>
          </w:p>
        </w:tc>
        <w:tc>
          <w:tcPr>
            <w:tcW w:w="3188" w:type="dxa"/>
            <w:tcBorders>
              <w:top w:val="single" w:sz="4" w:space="0" w:color="auto"/>
            </w:tcBorders>
          </w:tcPr>
          <w:p w14:paraId="2BC204C3" w14:textId="77777777" w:rsidR="006E3A3D" w:rsidRPr="00CB1714" w:rsidRDefault="006E3A3D" w:rsidP="006E3A3D">
            <w:pPr>
              <w:rPr>
                <w:rFonts w:ascii="Lato" w:hAnsi="Lato"/>
                <w:sz w:val="22"/>
                <w:szCs w:val="22"/>
              </w:rPr>
            </w:pPr>
          </w:p>
        </w:tc>
      </w:tr>
      <w:tr w:rsidR="006E3A3D" w:rsidRPr="00CB1714" w14:paraId="5993CADB" w14:textId="77777777" w:rsidTr="0083764C">
        <w:tc>
          <w:tcPr>
            <w:tcW w:w="10395" w:type="dxa"/>
            <w:gridSpan w:val="3"/>
          </w:tcPr>
          <w:p w14:paraId="49C9B0E3" w14:textId="77777777" w:rsidR="006E3A3D" w:rsidRPr="004009A0" w:rsidRDefault="006E3A3D" w:rsidP="006E3A3D">
            <w:pPr>
              <w:spacing w:line="276" w:lineRule="auto"/>
              <w:jc w:val="both"/>
              <w:rPr>
                <w:rFonts w:ascii="Lato" w:hAnsi="Lato"/>
                <w:sz w:val="20"/>
                <w:szCs w:val="20"/>
              </w:rPr>
            </w:pPr>
            <w:r w:rsidRPr="004009A0">
              <w:rPr>
                <w:rFonts w:ascii="Lato" w:hAnsi="Lato"/>
                <w:sz w:val="20"/>
                <w:szCs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5" w:history="1">
              <w:r w:rsidRPr="004009A0">
                <w:rPr>
                  <w:rStyle w:val="Hyperlink"/>
                  <w:rFonts w:ascii="Lato" w:hAnsi="Lato"/>
                  <w:sz w:val="20"/>
                  <w:szCs w:val="20"/>
                  <w:lang w:val="en-US"/>
                </w:rPr>
                <w:t>dataprotection@centralbank.ie</w:t>
              </w:r>
            </w:hyperlink>
            <w:r w:rsidRPr="004009A0">
              <w:rPr>
                <w:rFonts w:ascii="Lato" w:hAnsi="Lato"/>
                <w:sz w:val="20"/>
                <w:szCs w:val="20"/>
                <w:lang w:val="en-US"/>
              </w:rPr>
              <w:t xml:space="preserve">. A copy of the Central Bank’s Data Protection Notice is available at </w:t>
            </w:r>
            <w:hyperlink r:id="rId16" w:history="1">
              <w:r w:rsidRPr="004009A0">
                <w:rPr>
                  <w:rStyle w:val="Hyperlink"/>
                  <w:rFonts w:ascii="Lato" w:hAnsi="Lato"/>
                  <w:sz w:val="20"/>
                  <w:szCs w:val="20"/>
                  <w:lang w:val="en-US"/>
                </w:rPr>
                <w:t>www.centralbank.ie/fns/privacy-statement</w:t>
              </w:r>
            </w:hyperlink>
            <w:r w:rsidRPr="004009A0">
              <w:rPr>
                <w:rFonts w:ascii="Lato" w:hAnsi="Lato"/>
                <w:sz w:val="20"/>
                <w:szCs w:val="20"/>
                <w:lang w:val="en-US"/>
              </w:rPr>
              <w:t>.</w:t>
            </w:r>
          </w:p>
        </w:tc>
      </w:tr>
    </w:tbl>
    <w:p w14:paraId="15DA1DF6" w14:textId="77777777" w:rsidR="00E0074D" w:rsidRPr="00CB1714" w:rsidRDefault="00E0074D">
      <w:pPr>
        <w:pStyle w:val="Heading2"/>
        <w:spacing w:before="0" w:after="0" w:line="240" w:lineRule="auto"/>
        <w:jc w:val="center"/>
        <w:rPr>
          <w:rFonts w:ascii="Lato" w:hAnsi="Lato"/>
          <w:color w:val="auto"/>
          <w:sz w:val="22"/>
          <w:szCs w:val="22"/>
        </w:rPr>
        <w:sectPr w:rsidR="00E0074D" w:rsidRPr="00CB1714">
          <w:headerReference w:type="default" r:id="rId17"/>
          <w:footerReference w:type="default" r:id="rId18"/>
          <w:pgSz w:w="11904" w:h="16834"/>
          <w:pgMar w:top="851" w:right="1131" w:bottom="1440" w:left="1800" w:header="142" w:footer="266" w:gutter="0"/>
          <w:cols w:space="708"/>
        </w:sectPr>
      </w:pPr>
    </w:p>
    <w:p w14:paraId="6BBC1725" w14:textId="77777777" w:rsidR="00544DFF" w:rsidRPr="00CB1714" w:rsidRDefault="008F21CA" w:rsidP="00544DFF">
      <w:pPr>
        <w:pStyle w:val="Noparagraphstyle"/>
        <w:suppressAutoHyphens/>
        <w:spacing w:after="227"/>
        <w:jc w:val="center"/>
        <w:rPr>
          <w:rFonts w:ascii="Lato" w:hAnsi="Lato" w:cs="Times New Roman"/>
          <w:color w:val="auto"/>
          <w:sz w:val="22"/>
          <w:szCs w:val="22"/>
        </w:rPr>
      </w:pPr>
      <w:r w:rsidRPr="00CB1714">
        <w:rPr>
          <w:rFonts w:ascii="Lato" w:hAnsi="Lato" w:cs="Times New Roman"/>
          <w:noProof/>
          <w:color w:val="auto"/>
          <w:sz w:val="22"/>
          <w:szCs w:val="22"/>
          <w:lang w:val="en-IE" w:eastAsia="en-IE"/>
        </w:rPr>
        <w:lastRenderedPageBreak/>
        <mc:AlternateContent>
          <mc:Choice Requires="wps">
            <w:drawing>
              <wp:anchor distT="0" distB="0" distL="114300" distR="114300" simplePos="0" relativeHeight="251658240" behindDoc="0" locked="0" layoutInCell="1" allowOverlap="1" wp14:anchorId="081435C5" wp14:editId="0A5F8403">
                <wp:simplePos x="0" y="0"/>
                <wp:positionH relativeFrom="column">
                  <wp:posOffset>1537335</wp:posOffset>
                </wp:positionH>
                <wp:positionV relativeFrom="paragraph">
                  <wp:posOffset>8689340</wp:posOffset>
                </wp:positionV>
                <wp:extent cx="2852420" cy="584835"/>
                <wp:effectExtent l="3810" t="2540" r="1270"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F48D7" w14:textId="77777777" w:rsidR="00635610" w:rsidRPr="00811D87" w:rsidRDefault="00635610" w:rsidP="00544DFF">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435C5" id="Text Box 17" o:spid="_x0000_s1028" type="#_x0000_t202" style="position:absolute;left:0;text-align:left;margin-left:121.05pt;margin-top:684.2pt;width:224.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Sz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vyjIPOwOt+AD+zh3Nos6OqhztZfdVIyGVLxYbdKCXHltEa0gvtTf/s&#10;6oSjLch6/CBriEO3RjqgfaN6WzuoBgJ0aNPjqTU2lwoOoySOSASmCmxxQpLL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" filled="f" stroked="f">
                <v:textbox>
                  <w:txbxContent>
                    <w:p w14:paraId="2ABF48D7" w14:textId="77777777" w:rsidR="00635610" w:rsidRPr="00811D87" w:rsidRDefault="00635610" w:rsidP="00544DFF">
                      <w:pPr>
                        <w:pStyle w:val="Noparagraphstyle"/>
                        <w:suppressAutoHyphens/>
                        <w:ind w:left="113"/>
                      </w:pPr>
                    </w:p>
                  </w:txbxContent>
                </v:textbox>
              </v:shape>
            </w:pict>
          </mc:Fallback>
        </mc:AlternateContent>
      </w:r>
    </w:p>
    <w:p w14:paraId="29D0C9CC" w14:textId="77777777" w:rsidR="00AF2C5E" w:rsidRPr="00ED6B88" w:rsidRDefault="00AF2C5E" w:rsidP="00CB1714">
      <w:pPr>
        <w:pStyle w:val="Noparagraphstyle"/>
        <w:suppressAutoHyphens/>
        <w:spacing w:after="227"/>
        <w:jc w:val="center"/>
        <w:rPr>
          <w:rFonts w:ascii="Lato" w:hAnsi="Lato" w:cs="HelveticaNeueLTStd-Lt"/>
          <w:color w:val="FFFFFF"/>
          <w:sz w:val="20"/>
        </w:rPr>
      </w:pPr>
      <w:r w:rsidRPr="00B14ED5">
        <w:rPr>
          <w:rStyle w:val="HelvBold"/>
          <w:rFonts w:ascii="Lato" w:hAnsi="Lato" w:cs="HelveticaNeueLTStd-Bd"/>
          <w:bCs/>
          <w:color w:val="FFFFFF"/>
          <w:sz w:val="20"/>
        </w:rPr>
        <w:t xml:space="preserve">T </w:t>
      </w:r>
      <w:r w:rsidRPr="00B14ED5">
        <w:rPr>
          <w:rFonts w:ascii="Lato" w:hAnsi="Lato" w:cs="HelveticaNeueLTStd-Lt"/>
          <w:color w:val="FFFFFF"/>
          <w:sz w:val="20"/>
        </w:rPr>
        <w:t xml:space="preserve">+353 1 224 6000    </w:t>
      </w:r>
      <w:r w:rsidRPr="00CB1714">
        <w:rPr>
          <w:rFonts w:ascii="Lato" w:hAnsi="Lato" w:cs="HelveticaNeueLTStd-Lt"/>
          <w:color w:val="FFFFFF"/>
          <w:sz w:val="20"/>
          <w:u w:val="single"/>
        </w:rPr>
        <w:t>www.centralbank.ie</w:t>
      </w:r>
      <w:r w:rsidRPr="00B14ED5">
        <w:rPr>
          <w:rFonts w:ascii="Lato" w:hAnsi="Lato" w:cs="HelveticaNeueLTStd-Lt"/>
          <w:color w:val="FFFFFF"/>
          <w:sz w:val="20"/>
        </w:rPr>
        <w:t xml:space="preserve">      aifauthorisations@centralbank.ie</w:t>
      </w:r>
      <w:r w:rsidR="008F21CA" w:rsidRPr="00ED6B88">
        <w:rPr>
          <w:rFonts w:ascii="Lato" w:hAnsi="Lato"/>
          <w:noProof/>
          <w:lang w:val="en-IE" w:eastAsia="en-IE"/>
        </w:rPr>
        <mc:AlternateContent>
          <mc:Choice Requires="wps">
            <w:drawing>
              <wp:anchor distT="0" distB="0" distL="114300" distR="114300" simplePos="0" relativeHeight="251659264" behindDoc="0" locked="0" layoutInCell="1" allowOverlap="1" wp14:anchorId="0D581879" wp14:editId="07AF81F9">
                <wp:simplePos x="0" y="0"/>
                <wp:positionH relativeFrom="column">
                  <wp:posOffset>1537335</wp:posOffset>
                </wp:positionH>
                <wp:positionV relativeFrom="paragraph">
                  <wp:posOffset>8689340</wp:posOffset>
                </wp:positionV>
                <wp:extent cx="4457700" cy="914400"/>
                <wp:effectExtent l="3810" t="0" r="0"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DF39" w14:textId="77777777" w:rsidR="00635610" w:rsidRPr="00811D87" w:rsidRDefault="00635610" w:rsidP="00AF2C5E">
                            <w:pPr>
                              <w:pStyle w:val="Noparagraphstyle"/>
                              <w:suppressAutoHyphens/>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1879" id="Text Box 18" o:spid="_x0000_s1029" type="#_x0000_t202" style="position:absolute;left:0;text-align:left;margin-left:121.05pt;margin-top:684.2pt;width:35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e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" filled="f" stroked="f">
                <v:textbox>
                  <w:txbxContent>
                    <w:p w14:paraId="26DBDF39" w14:textId="77777777" w:rsidR="00635610" w:rsidRPr="00811D87" w:rsidRDefault="00635610" w:rsidP="00AF2C5E">
                      <w:pPr>
                        <w:pStyle w:val="Noparagraphstyle"/>
                        <w:suppressAutoHyphens/>
                        <w:ind w:left="113"/>
                      </w:pPr>
                    </w:p>
                  </w:txbxContent>
                </v:textbox>
              </v:shape>
            </w:pict>
          </mc:Fallback>
        </mc:AlternateContent>
      </w:r>
    </w:p>
    <w:p w14:paraId="49DA6B8E" w14:textId="77777777" w:rsidR="00544DFF" w:rsidRPr="00CB1714" w:rsidRDefault="008F21CA" w:rsidP="00CB1714">
      <w:pPr>
        <w:jc w:val="center"/>
        <w:rPr>
          <w:rFonts w:ascii="Lato" w:hAnsi="Lato"/>
          <w:sz w:val="22"/>
          <w:szCs w:val="22"/>
        </w:rPr>
      </w:pPr>
      <w:r>
        <w:rPr>
          <w:rFonts w:ascii="Lato" w:hAnsi="Lato"/>
          <w:noProof/>
          <w:sz w:val="22"/>
          <w:szCs w:val="22"/>
          <w:lang w:val="en-IE" w:eastAsia="en-IE"/>
        </w:rPr>
        <w:drawing>
          <wp:anchor distT="0" distB="0" distL="114300" distR="114300" simplePos="0" relativeHeight="251660288" behindDoc="1" locked="0" layoutInCell="1" allowOverlap="1" wp14:anchorId="7319E0C8" wp14:editId="42D142C1">
            <wp:simplePos x="0" y="0"/>
            <wp:positionH relativeFrom="column">
              <wp:posOffset>-1143000</wp:posOffset>
            </wp:positionH>
            <wp:positionV relativeFrom="paragraph">
              <wp:posOffset>-1569720</wp:posOffset>
            </wp:positionV>
            <wp:extent cx="7562215" cy="10696575"/>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2215" cy="1069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CF542" w14:textId="77777777" w:rsidR="00E0074D" w:rsidRPr="00CB1714" w:rsidRDefault="00E0074D">
      <w:pPr>
        <w:rPr>
          <w:rFonts w:ascii="Lato" w:hAnsi="Lato"/>
          <w:sz w:val="22"/>
          <w:szCs w:val="22"/>
        </w:rPr>
      </w:pPr>
    </w:p>
    <w:p w14:paraId="1839DA8B" w14:textId="77777777" w:rsidR="00E0074D" w:rsidRPr="00CB1714" w:rsidRDefault="008F21CA">
      <w:pPr>
        <w:rPr>
          <w:rFonts w:ascii="Lato" w:hAnsi="Lato"/>
        </w:rPr>
      </w:pPr>
      <w:r w:rsidRPr="00CB1714">
        <w:rPr>
          <w:rFonts w:ascii="Lato" w:hAnsi="Lato"/>
          <w:noProof/>
          <w:lang w:val="en-IE" w:eastAsia="en-IE"/>
        </w:rPr>
        <mc:AlternateContent>
          <mc:Choice Requires="wps">
            <w:drawing>
              <wp:anchor distT="0" distB="0" distL="114300" distR="114300" simplePos="0" relativeHeight="251655168" behindDoc="0" locked="0" layoutInCell="1" allowOverlap="1" wp14:anchorId="70FAC7BE" wp14:editId="5FCDB7DC">
                <wp:simplePos x="0" y="0"/>
                <wp:positionH relativeFrom="column">
                  <wp:posOffset>-114300</wp:posOffset>
                </wp:positionH>
                <wp:positionV relativeFrom="paragraph">
                  <wp:posOffset>6568440</wp:posOffset>
                </wp:positionV>
                <wp:extent cx="1023620" cy="804545"/>
                <wp:effectExtent l="0" t="381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7EACD" w14:textId="77777777" w:rsidR="00635610" w:rsidRPr="008F37E1" w:rsidRDefault="00635610" w:rsidP="008F37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C7BE" id="Text Box 5" o:spid="_x0000_s1030" type="#_x0000_t202" style="position:absolute;margin-left:-9pt;margin-top:517.2pt;width:80.6pt;height:6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Js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" filled="f" stroked="f">
                <v:textbox>
                  <w:txbxContent>
                    <w:p w14:paraId="5457EACD" w14:textId="77777777" w:rsidR="00635610" w:rsidRPr="008F37E1" w:rsidRDefault="00635610" w:rsidP="008F37E1"/>
                  </w:txbxContent>
                </v:textbox>
              </v:shape>
            </w:pict>
          </mc:Fallback>
        </mc:AlternateContent>
      </w:r>
    </w:p>
    <w:sectPr w:rsidR="00E0074D" w:rsidRPr="00CB1714">
      <w:headerReference w:type="default" r:id="rId20"/>
      <w:footerReference w:type="default" r:id="rId21"/>
      <w:pgSz w:w="11904" w:h="16834"/>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5B7D6" w14:textId="77777777" w:rsidR="004444E0" w:rsidRDefault="004444E0">
      <w:r>
        <w:separator/>
      </w:r>
    </w:p>
  </w:endnote>
  <w:endnote w:type="continuationSeparator" w:id="0">
    <w:p w14:paraId="619BA08C" w14:textId="77777777" w:rsidR="004444E0" w:rsidRDefault="0044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A5BA" w14:textId="77777777" w:rsidR="00635610" w:rsidRDefault="006356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C961B" w14:textId="77777777" w:rsidR="00635610" w:rsidRDefault="0063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E047" w14:textId="77777777" w:rsidR="00CE0309" w:rsidRDefault="00CE0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DC68" w14:textId="77777777" w:rsidR="00635610" w:rsidRDefault="00635610">
    <w:pPr>
      <w:pStyle w:val="Footer"/>
      <w:tabs>
        <w:tab w:val="clear" w:pos="4320"/>
        <w:tab w:val="clear" w:pos="8640"/>
        <w:tab w:val="left" w:pos="1560"/>
        <w:tab w:val="center" w:pos="4152"/>
      </w:tabs>
    </w:pPr>
    <w:r>
      <w:rPr>
        <w:rStyle w:val="PageNumber"/>
      </w:rPr>
      <w:t>Qualifying Investor AIF</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rPr>
        <w:rStyle w:val="PageNumber"/>
      </w:rPr>
      <w:tab/>
    </w:r>
    <w:r>
      <w:rPr>
        <w:rStyle w:val="PageNumber"/>
      </w:rPr>
      <w:tab/>
    </w:r>
    <w:r>
      <w:rPr>
        <w:rStyle w:val="PageNumber"/>
      </w:rPr>
      <w:tab/>
      <w:t>April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D3708" w14:textId="77777777" w:rsidR="00635610" w:rsidRDefault="00635610">
    <w:pPr>
      <w:pStyle w:val="Footer"/>
      <w:tabs>
        <w:tab w:val="clear" w:pos="8640"/>
        <w:tab w:val="center" w:pos="4152"/>
        <w:tab w:val="left" w:pos="51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5647" w14:textId="77777777" w:rsidR="00635610" w:rsidRDefault="00635610">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02603" w14:textId="77777777" w:rsidR="004444E0" w:rsidRDefault="004444E0">
      <w:r>
        <w:separator/>
      </w:r>
    </w:p>
  </w:footnote>
  <w:footnote w:type="continuationSeparator" w:id="0">
    <w:p w14:paraId="16B9FD99" w14:textId="77777777" w:rsidR="004444E0" w:rsidRDefault="004444E0">
      <w:r>
        <w:continuationSeparator/>
      </w:r>
    </w:p>
  </w:footnote>
  <w:footnote w:id="1">
    <w:p w14:paraId="1C72D797" w14:textId="77777777" w:rsidR="00730E2B" w:rsidRDefault="004674C2">
      <w:r>
        <w:rPr>
          <w:rStyle w:val="FootnoteReference"/>
          <w:sz w:val="18"/>
        </w:rPr>
        <w:footnoteRef/>
      </w:r>
      <w:r>
        <w:rPr>
          <w:sz w:val="18"/>
        </w:rPr>
        <w:t xml:space="preserve"> Investment Companies, ICAVs and Investment Limited Partnerships are not required to prepare semi-annual accounts </w:t>
      </w:r>
      <w:r w:rsidRPr="00CD4A58">
        <w:rPr>
          <w:sz w:val="18"/>
          <w:szCs w:val="18"/>
        </w:rPr>
        <w:t>but are required to provide financial statements (either audited accounts or interim report) within 12 months of launch.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50B4" w14:textId="3EA04154" w:rsidR="00635610" w:rsidRDefault="00CE0309" w:rsidP="00CE0309">
    <w:pPr>
      <w:pStyle w:val="Header"/>
    </w:pPr>
    <w:fldSimple w:instr=" DOCPROPERTY bjHeaderEvenPageDocProperty \* MERGEFORMAT " w:fldLock="1">
      <w:r w:rsidRPr="00CE0309">
        <w:rPr>
          <w:rFonts w:ascii="Times New Roman" w:hAnsi="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9D77" w14:textId="69B31995" w:rsidR="00635610" w:rsidRDefault="00CE0309" w:rsidP="00CE0309">
    <w:pPr>
      <w:pStyle w:val="Header"/>
    </w:pPr>
    <w:fldSimple w:instr=" DOCPROPERTY bjHeaderBothDocProperty \* MERGEFORMAT " w:fldLock="1">
      <w:r w:rsidRPr="00CE0309">
        <w:rPr>
          <w:rFonts w:ascii="Times New Roman" w:hAnsi="Times New Roman"/>
          <w:color w:val="000000"/>
          <w:sz w:val="24"/>
        </w:rPr>
        <w:t xml:space="preserve"> </w:t>
      </w:r>
    </w:fldSimple>
    <w:r w:rsidR="008F21CA">
      <w:rPr>
        <w:noProof/>
        <w:lang w:val="en-IE" w:eastAsia="en-IE"/>
      </w:rPr>
      <w:drawing>
        <wp:anchor distT="0" distB="0" distL="114300" distR="114300" simplePos="0" relativeHeight="251657728" behindDoc="1" locked="0" layoutInCell="1" allowOverlap="1" wp14:anchorId="5C47F6CF" wp14:editId="4FD43E9C">
          <wp:simplePos x="0" y="0"/>
          <wp:positionH relativeFrom="column">
            <wp:posOffset>-1152525</wp:posOffset>
          </wp:positionH>
          <wp:positionV relativeFrom="paragraph">
            <wp:posOffset>-449580</wp:posOffset>
          </wp:positionV>
          <wp:extent cx="7576185" cy="1071562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B080" w14:textId="760FA87D" w:rsidR="00635610" w:rsidRDefault="00CE0309" w:rsidP="00CE0309">
    <w:pPr>
      <w:pStyle w:val="Header"/>
      <w:ind w:left="-1701"/>
    </w:pPr>
    <w:fldSimple w:instr=" DOCPROPERTY bjHeaderFirstPageDocProperty \* MERGEFORMAT " w:fldLock="1">
      <w:r w:rsidRPr="00CE0309">
        <w:rPr>
          <w:rFonts w:ascii="Times New Roman" w:hAnsi="Times New Roman"/>
          <w:color w:val="000000"/>
          <w:sz w:val="24"/>
        </w:rPr>
        <w:t xml:space="preserve"> </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6CD2" w14:textId="4C7FA3AB" w:rsidR="00635610" w:rsidRDefault="00CE0309" w:rsidP="00CE0309">
    <w:fldSimple w:instr=" DOCPROPERTY bjHeaderBothDocProperty \* MERGEFORMAT " w:fldLock="1">
      <w:r w:rsidRPr="00CE0309">
        <w:rPr>
          <w:color w:val="000000"/>
        </w:rPr>
        <w:t xml:space="preserve"> </w:t>
      </w:r>
    </w:fldSimple>
  </w:p>
  <w:tbl>
    <w:tblPr>
      <w:tblW w:w="9803" w:type="dxa"/>
      <w:tblInd w:w="-738" w:type="dxa"/>
      <w:tblLayout w:type="fixed"/>
      <w:tblLook w:val="04A0" w:firstRow="1" w:lastRow="0" w:firstColumn="1" w:lastColumn="0" w:noHBand="0" w:noVBand="1"/>
    </w:tblPr>
    <w:tblGrid>
      <w:gridCol w:w="1668"/>
      <w:gridCol w:w="7229"/>
      <w:gridCol w:w="906"/>
    </w:tblGrid>
    <w:tr w:rsidR="00635610" w:rsidRPr="00C46589" w14:paraId="01209800" w14:textId="77777777" w:rsidTr="004C3087">
      <w:tc>
        <w:tcPr>
          <w:tcW w:w="1668" w:type="dxa"/>
          <w:tcBorders>
            <w:right w:val="single" w:sz="4" w:space="0" w:color="5B9BD5"/>
          </w:tcBorders>
          <w:shd w:val="clear" w:color="auto" w:fill="auto"/>
        </w:tcPr>
        <w:p w14:paraId="63E88762" w14:textId="77777777" w:rsidR="00635610" w:rsidRPr="00C46589" w:rsidRDefault="00635610" w:rsidP="00AF2C5E">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A9EA54C" w14:textId="14C785E2" w:rsidR="00635610" w:rsidRPr="00C46589" w:rsidRDefault="00635610" w:rsidP="00D71424">
          <w:pPr>
            <w:pStyle w:val="Header"/>
            <w:jc w:val="center"/>
            <w:rPr>
              <w:rFonts w:ascii="Lato" w:eastAsia="Lato" w:hAnsi="Lato"/>
              <w:sz w:val="14"/>
              <w:szCs w:val="14"/>
            </w:rPr>
          </w:pPr>
          <w:r>
            <w:rPr>
              <w:rFonts w:ascii="Lato" w:eastAsia="Lato" w:hAnsi="Lato"/>
              <w:sz w:val="14"/>
              <w:szCs w:val="14"/>
            </w:rPr>
            <w:t>Qualified</w:t>
          </w:r>
          <w:r w:rsidRPr="00C46589">
            <w:rPr>
              <w:rFonts w:ascii="Lato" w:eastAsia="Lato" w:hAnsi="Lato"/>
              <w:sz w:val="14"/>
              <w:szCs w:val="14"/>
            </w:rPr>
            <w:t xml:space="preserve"> Investor</w:t>
          </w:r>
          <w:r>
            <w:rPr>
              <w:rFonts w:ascii="Lato" w:eastAsia="Lato" w:hAnsi="Lato"/>
              <w:sz w:val="14"/>
              <w:szCs w:val="14"/>
            </w:rPr>
            <w:t xml:space="preserve"> AIF </w:t>
          </w:r>
          <w:r w:rsidRPr="00AF2C5E">
            <w:rPr>
              <w:rFonts w:ascii="Lato" w:eastAsia="Lato" w:hAnsi="Lato"/>
              <w:sz w:val="14"/>
              <w:szCs w:val="14"/>
            </w:rPr>
            <w:t xml:space="preserve">Application Form Section 2 ORION </w:t>
          </w:r>
          <w:r w:rsidR="00D71424">
            <w:rPr>
              <w:rFonts w:ascii="Lato" w:eastAsia="Lato" w:hAnsi="Lato"/>
              <w:sz w:val="14"/>
              <w:szCs w:val="14"/>
            </w:rPr>
            <w:t xml:space="preserve">November </w:t>
          </w:r>
          <w:r w:rsidR="008570C3">
            <w:rPr>
              <w:rFonts w:ascii="Lato" w:eastAsia="Lato" w:hAnsi="Lato"/>
              <w:sz w:val="14"/>
              <w:szCs w:val="14"/>
            </w:rPr>
            <w:t>2021</w:t>
          </w:r>
        </w:p>
      </w:tc>
      <w:tc>
        <w:tcPr>
          <w:tcW w:w="906" w:type="dxa"/>
          <w:tcBorders>
            <w:left w:val="single" w:sz="4" w:space="0" w:color="5B9BD5"/>
          </w:tcBorders>
          <w:shd w:val="clear" w:color="auto" w:fill="auto"/>
        </w:tcPr>
        <w:p w14:paraId="6338479F" w14:textId="3D7CA92F" w:rsidR="00635610" w:rsidRPr="00C46589" w:rsidRDefault="00635610" w:rsidP="00AF2C5E">
          <w:pPr>
            <w:pStyle w:val="Header"/>
            <w:jc w:val="right"/>
            <w:rPr>
              <w:rFonts w:ascii="Lato" w:eastAsia="Lato" w:hAnsi="Lato"/>
              <w:sz w:val="14"/>
              <w:szCs w:val="14"/>
            </w:rPr>
          </w:pPr>
          <w:r w:rsidRPr="00C46589">
            <w:rPr>
              <w:rFonts w:ascii="Lato" w:eastAsia="Lato" w:hAnsi="Lato"/>
              <w:sz w:val="14"/>
              <w:szCs w:val="14"/>
            </w:rPr>
            <w:t xml:space="preserve">Page </w:t>
          </w:r>
          <w:r w:rsidRPr="00AF2C5E">
            <w:rPr>
              <w:rFonts w:ascii="Lato" w:eastAsia="Lato" w:hAnsi="Lato"/>
              <w:sz w:val="14"/>
              <w:szCs w:val="14"/>
            </w:rPr>
            <w:fldChar w:fldCharType="begin"/>
          </w:r>
          <w:r w:rsidRPr="00AF2C5E">
            <w:rPr>
              <w:rFonts w:ascii="Lato" w:eastAsia="Lato" w:hAnsi="Lato"/>
              <w:sz w:val="14"/>
              <w:szCs w:val="14"/>
            </w:rPr>
            <w:instrText xml:space="preserve"> PAGE   \* MERGEFORMAT </w:instrText>
          </w:r>
          <w:r w:rsidRPr="00AF2C5E">
            <w:rPr>
              <w:rFonts w:ascii="Lato" w:eastAsia="Lato" w:hAnsi="Lato"/>
              <w:sz w:val="14"/>
              <w:szCs w:val="14"/>
            </w:rPr>
            <w:fldChar w:fldCharType="separate"/>
          </w:r>
          <w:r w:rsidR="00CE0309">
            <w:rPr>
              <w:rFonts w:ascii="Lato" w:eastAsia="Lato" w:hAnsi="Lato"/>
              <w:noProof/>
              <w:sz w:val="14"/>
              <w:szCs w:val="14"/>
            </w:rPr>
            <w:t>27</w:t>
          </w:r>
          <w:r w:rsidRPr="00AF2C5E">
            <w:rPr>
              <w:rFonts w:ascii="Lato" w:eastAsia="Lato" w:hAnsi="Lato"/>
              <w:noProof/>
              <w:sz w:val="14"/>
              <w:szCs w:val="14"/>
            </w:rPr>
            <w:fldChar w:fldCharType="end"/>
          </w:r>
        </w:p>
      </w:tc>
    </w:tr>
  </w:tbl>
  <w:p w14:paraId="5A73E76E" w14:textId="77777777" w:rsidR="00635610" w:rsidRPr="00AF2C5E" w:rsidRDefault="00635610" w:rsidP="00AF2C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7EA5" w14:textId="2583AB2E" w:rsidR="00635610" w:rsidRDefault="00CE0309" w:rsidP="00CE0309">
    <w:pPr>
      <w:pStyle w:val="Header"/>
      <w:rPr>
        <w:lang w:val="ga-IE"/>
      </w:rPr>
    </w:pPr>
    <w:r>
      <w:rPr>
        <w:lang w:val="ga-IE"/>
      </w:rPr>
      <w:fldChar w:fldCharType="begin" w:fldLock="1"/>
    </w:r>
    <w:r>
      <w:rPr>
        <w:lang w:val="ga-IE"/>
      </w:rPr>
      <w:instrText xml:space="preserve"> DOCPROPERTY bjHeaderBothDocProperty \* MERGEFORMAT </w:instrText>
    </w:r>
    <w:r>
      <w:rPr>
        <w:lang w:val="ga-IE"/>
      </w:rPr>
      <w:fldChar w:fldCharType="separate"/>
    </w:r>
    <w:r w:rsidRPr="00CE0309">
      <w:rPr>
        <w:rFonts w:ascii="Times New Roman" w:hAnsi="Times New Roman"/>
        <w:color w:val="000000"/>
        <w:sz w:val="24"/>
        <w:lang w:val="ga-IE"/>
      </w:rPr>
      <w:t xml:space="preserve"> </w:t>
    </w:r>
    <w:r>
      <w:rPr>
        <w:lang w:val="ga-I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401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90943"/>
    <w:multiLevelType w:val="hybridMultilevel"/>
    <w:tmpl w:val="F5186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A419CD"/>
    <w:multiLevelType w:val="hybridMultilevel"/>
    <w:tmpl w:val="EBBAE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7F13E3"/>
    <w:multiLevelType w:val="hybridMultilevel"/>
    <w:tmpl w:val="50261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9B4F2D"/>
    <w:multiLevelType w:val="hybridMultilevel"/>
    <w:tmpl w:val="869A5E52"/>
    <w:lvl w:ilvl="0" w:tplc="C2D2AA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BA5B9A"/>
    <w:multiLevelType w:val="hybridMultilevel"/>
    <w:tmpl w:val="E2F4392A"/>
    <w:lvl w:ilvl="0" w:tplc="0CC06598">
      <w:start w:val="5"/>
      <w:numFmt w:val="bullet"/>
      <w:lvlText w:val=""/>
      <w:lvlJc w:val="left"/>
      <w:pPr>
        <w:tabs>
          <w:tab w:val="num" w:pos="1133"/>
        </w:tabs>
        <w:ind w:left="770" w:firstLine="3"/>
      </w:pPr>
      <w:rPr>
        <w:rFonts w:ascii="Symbol" w:hAnsi="Symbol" w:cs="Times New Roman" w:hint="default"/>
        <w:sz w:val="16"/>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6" w15:restartNumberingAfterBreak="0">
    <w:nsid w:val="0EF9164A"/>
    <w:multiLevelType w:val="hybridMultilevel"/>
    <w:tmpl w:val="26CCC440"/>
    <w:lvl w:ilvl="0" w:tplc="518004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242D63"/>
    <w:multiLevelType w:val="hybridMultilevel"/>
    <w:tmpl w:val="9432B2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978443F"/>
    <w:multiLevelType w:val="hybridMultilevel"/>
    <w:tmpl w:val="CCC08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F62C84"/>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A043B7D"/>
    <w:multiLevelType w:val="hybridMultilevel"/>
    <w:tmpl w:val="50D2D6BE"/>
    <w:lvl w:ilvl="0" w:tplc="FF68C586">
      <w:start w:val="1"/>
      <w:numFmt w:val="low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C5808"/>
    <w:multiLevelType w:val="hybridMultilevel"/>
    <w:tmpl w:val="D5327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D6283"/>
    <w:multiLevelType w:val="hybridMultilevel"/>
    <w:tmpl w:val="07E898BC"/>
    <w:lvl w:ilvl="0" w:tplc="7A1AB22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203727FA"/>
    <w:multiLevelType w:val="hybridMultilevel"/>
    <w:tmpl w:val="DE482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2A4906"/>
    <w:multiLevelType w:val="hybridMultilevel"/>
    <w:tmpl w:val="302459C6"/>
    <w:lvl w:ilvl="0" w:tplc="1292B8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3E543C0"/>
    <w:multiLevelType w:val="hybridMultilevel"/>
    <w:tmpl w:val="31CA6B6E"/>
    <w:lvl w:ilvl="0" w:tplc="CDA48436">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CA08B6"/>
    <w:multiLevelType w:val="hybridMultilevel"/>
    <w:tmpl w:val="9CE0D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49765F"/>
    <w:multiLevelType w:val="hybridMultilevel"/>
    <w:tmpl w:val="41C80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E426E5"/>
    <w:multiLevelType w:val="hybridMultilevel"/>
    <w:tmpl w:val="D5629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86518"/>
    <w:multiLevelType w:val="hybridMultilevel"/>
    <w:tmpl w:val="12C20FAC"/>
    <w:lvl w:ilvl="0" w:tplc="807A2FE0">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F2D73"/>
    <w:multiLevelType w:val="hybridMultilevel"/>
    <w:tmpl w:val="57D89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9E4F90"/>
    <w:multiLevelType w:val="hybridMultilevel"/>
    <w:tmpl w:val="5852B9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45BA2370"/>
    <w:multiLevelType w:val="hybridMultilevel"/>
    <w:tmpl w:val="719856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E78B1"/>
    <w:multiLevelType w:val="hybridMultilevel"/>
    <w:tmpl w:val="7C3099CE"/>
    <w:lvl w:ilvl="0" w:tplc="16889CA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63858A6"/>
    <w:multiLevelType w:val="hybridMultilevel"/>
    <w:tmpl w:val="DEB0C278"/>
    <w:lvl w:ilvl="0" w:tplc="3F40D78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D27440"/>
    <w:multiLevelType w:val="hybridMultilevel"/>
    <w:tmpl w:val="945C0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E4C45"/>
    <w:multiLevelType w:val="hybridMultilevel"/>
    <w:tmpl w:val="6698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C66AC0"/>
    <w:multiLevelType w:val="hybridMultilevel"/>
    <w:tmpl w:val="9EE40D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F2839B8"/>
    <w:multiLevelType w:val="hybridMultilevel"/>
    <w:tmpl w:val="12B6127A"/>
    <w:lvl w:ilvl="0" w:tplc="63508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C21770"/>
    <w:multiLevelType w:val="hybridMultilevel"/>
    <w:tmpl w:val="A636E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72707D3"/>
    <w:multiLevelType w:val="hybridMultilevel"/>
    <w:tmpl w:val="74509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D5DC9"/>
    <w:multiLevelType w:val="hybridMultilevel"/>
    <w:tmpl w:val="739C9612"/>
    <w:lvl w:ilvl="0" w:tplc="DD189E3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029ED"/>
    <w:multiLevelType w:val="hybridMultilevel"/>
    <w:tmpl w:val="2CCC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545B2"/>
    <w:multiLevelType w:val="hybridMultilevel"/>
    <w:tmpl w:val="60E0CC2C"/>
    <w:lvl w:ilvl="0" w:tplc="9D649D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6794E6E"/>
    <w:multiLevelType w:val="hybridMultilevel"/>
    <w:tmpl w:val="A80A205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6A13F34"/>
    <w:multiLevelType w:val="hybridMultilevel"/>
    <w:tmpl w:val="FC8639F2"/>
    <w:lvl w:ilvl="0" w:tplc="04090001">
      <w:start w:val="1"/>
      <w:numFmt w:val="bullet"/>
      <w:lvlText w:val=""/>
      <w:lvlJc w:val="left"/>
      <w:pPr>
        <w:tabs>
          <w:tab w:val="num" w:pos="772"/>
        </w:tabs>
        <w:ind w:left="772" w:hanging="360"/>
      </w:pPr>
      <w:rPr>
        <w:rFonts w:ascii="Symbol" w:hAnsi="Symbol" w:hint="default"/>
      </w:rPr>
    </w:lvl>
    <w:lvl w:ilvl="1" w:tplc="04090003" w:tentative="1">
      <w:start w:val="1"/>
      <w:numFmt w:val="bullet"/>
      <w:lvlText w:val="o"/>
      <w:lvlJc w:val="left"/>
      <w:pPr>
        <w:tabs>
          <w:tab w:val="num" w:pos="1492"/>
        </w:tabs>
        <w:ind w:left="1492" w:hanging="360"/>
      </w:pPr>
      <w:rPr>
        <w:rFonts w:ascii="Courier New" w:hAnsi="Courier New" w:hint="default"/>
      </w:rPr>
    </w:lvl>
    <w:lvl w:ilvl="2" w:tplc="04090005" w:tentative="1">
      <w:start w:val="1"/>
      <w:numFmt w:val="bullet"/>
      <w:lvlText w:val=""/>
      <w:lvlJc w:val="left"/>
      <w:pPr>
        <w:tabs>
          <w:tab w:val="num" w:pos="2212"/>
        </w:tabs>
        <w:ind w:left="2212" w:hanging="360"/>
      </w:pPr>
      <w:rPr>
        <w:rFonts w:ascii="Wingdings" w:hAnsi="Wingdings" w:hint="default"/>
      </w:rPr>
    </w:lvl>
    <w:lvl w:ilvl="3" w:tplc="04090001" w:tentative="1">
      <w:start w:val="1"/>
      <w:numFmt w:val="bullet"/>
      <w:lvlText w:val=""/>
      <w:lvlJc w:val="left"/>
      <w:pPr>
        <w:tabs>
          <w:tab w:val="num" w:pos="2932"/>
        </w:tabs>
        <w:ind w:left="2932" w:hanging="360"/>
      </w:pPr>
      <w:rPr>
        <w:rFonts w:ascii="Symbol" w:hAnsi="Symbol" w:hint="default"/>
      </w:rPr>
    </w:lvl>
    <w:lvl w:ilvl="4" w:tplc="04090003" w:tentative="1">
      <w:start w:val="1"/>
      <w:numFmt w:val="bullet"/>
      <w:lvlText w:val="o"/>
      <w:lvlJc w:val="left"/>
      <w:pPr>
        <w:tabs>
          <w:tab w:val="num" w:pos="3652"/>
        </w:tabs>
        <w:ind w:left="3652" w:hanging="360"/>
      </w:pPr>
      <w:rPr>
        <w:rFonts w:ascii="Courier New" w:hAnsi="Courier New" w:hint="default"/>
      </w:rPr>
    </w:lvl>
    <w:lvl w:ilvl="5" w:tplc="04090005" w:tentative="1">
      <w:start w:val="1"/>
      <w:numFmt w:val="bullet"/>
      <w:lvlText w:val=""/>
      <w:lvlJc w:val="left"/>
      <w:pPr>
        <w:tabs>
          <w:tab w:val="num" w:pos="4372"/>
        </w:tabs>
        <w:ind w:left="4372" w:hanging="360"/>
      </w:pPr>
      <w:rPr>
        <w:rFonts w:ascii="Wingdings" w:hAnsi="Wingdings" w:hint="default"/>
      </w:rPr>
    </w:lvl>
    <w:lvl w:ilvl="6" w:tplc="04090001" w:tentative="1">
      <w:start w:val="1"/>
      <w:numFmt w:val="bullet"/>
      <w:lvlText w:val=""/>
      <w:lvlJc w:val="left"/>
      <w:pPr>
        <w:tabs>
          <w:tab w:val="num" w:pos="5092"/>
        </w:tabs>
        <w:ind w:left="5092" w:hanging="360"/>
      </w:pPr>
      <w:rPr>
        <w:rFonts w:ascii="Symbol" w:hAnsi="Symbol" w:hint="default"/>
      </w:rPr>
    </w:lvl>
    <w:lvl w:ilvl="7" w:tplc="04090003" w:tentative="1">
      <w:start w:val="1"/>
      <w:numFmt w:val="bullet"/>
      <w:lvlText w:val="o"/>
      <w:lvlJc w:val="left"/>
      <w:pPr>
        <w:tabs>
          <w:tab w:val="num" w:pos="5812"/>
        </w:tabs>
        <w:ind w:left="5812" w:hanging="360"/>
      </w:pPr>
      <w:rPr>
        <w:rFonts w:ascii="Courier New" w:hAnsi="Courier New" w:hint="default"/>
      </w:rPr>
    </w:lvl>
    <w:lvl w:ilvl="8" w:tplc="04090005" w:tentative="1">
      <w:start w:val="1"/>
      <w:numFmt w:val="bullet"/>
      <w:lvlText w:val=""/>
      <w:lvlJc w:val="left"/>
      <w:pPr>
        <w:tabs>
          <w:tab w:val="num" w:pos="6532"/>
        </w:tabs>
        <w:ind w:left="6532" w:hanging="360"/>
      </w:pPr>
      <w:rPr>
        <w:rFonts w:ascii="Wingdings" w:hAnsi="Wingdings" w:hint="default"/>
      </w:rPr>
    </w:lvl>
  </w:abstractNum>
  <w:abstractNum w:abstractNumId="38" w15:restartNumberingAfterBreak="0">
    <w:nsid w:val="7AD520A1"/>
    <w:multiLevelType w:val="hybridMultilevel"/>
    <w:tmpl w:val="FBBAC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
  </w:num>
  <w:num w:numId="6">
    <w:abstractNumId w:val="29"/>
  </w:num>
  <w:num w:numId="7">
    <w:abstractNumId w:val="10"/>
  </w:num>
  <w:num w:numId="8">
    <w:abstractNumId w:val="19"/>
  </w:num>
  <w:num w:numId="9">
    <w:abstractNumId w:val="24"/>
  </w:num>
  <w:num w:numId="10">
    <w:abstractNumId w:val="27"/>
  </w:num>
  <w:num w:numId="11">
    <w:abstractNumId w:val="34"/>
  </w:num>
  <w:num w:numId="12">
    <w:abstractNumId w:val="18"/>
  </w:num>
  <w:num w:numId="13">
    <w:abstractNumId w:val="11"/>
  </w:num>
  <w:num w:numId="14">
    <w:abstractNumId w:val="20"/>
  </w:num>
  <w:num w:numId="15">
    <w:abstractNumId w:val="15"/>
  </w:num>
  <w:num w:numId="16">
    <w:abstractNumId w:val="25"/>
  </w:num>
  <w:num w:numId="17">
    <w:abstractNumId w:val="2"/>
  </w:num>
  <w:num w:numId="18">
    <w:abstractNumId w:val="1"/>
  </w:num>
  <w:num w:numId="19">
    <w:abstractNumId w:val="31"/>
  </w:num>
  <w:num w:numId="20">
    <w:abstractNumId w:val="30"/>
  </w:num>
  <w:num w:numId="21">
    <w:abstractNumId w:val="8"/>
  </w:num>
  <w:num w:numId="22">
    <w:abstractNumId w:val="17"/>
  </w:num>
  <w:num w:numId="23">
    <w:abstractNumId w:val="16"/>
  </w:num>
  <w:num w:numId="24">
    <w:abstractNumId w:val="21"/>
  </w:num>
  <w:num w:numId="25">
    <w:abstractNumId w:val="4"/>
  </w:num>
  <w:num w:numId="26">
    <w:abstractNumId w:val="28"/>
  </w:num>
  <w:num w:numId="27">
    <w:abstractNumId w:val="38"/>
  </w:num>
  <w:num w:numId="28">
    <w:abstractNumId w:val="36"/>
  </w:num>
  <w:num w:numId="29">
    <w:abstractNumId w:val="6"/>
  </w:num>
  <w:num w:numId="30">
    <w:abstractNumId w:val="14"/>
  </w:num>
  <w:num w:numId="31">
    <w:abstractNumId w:val="9"/>
  </w:num>
  <w:num w:numId="32">
    <w:abstractNumId w:val="12"/>
  </w:num>
  <w:num w:numId="33">
    <w:abstractNumId w:val="23"/>
  </w:num>
  <w:num w:numId="34">
    <w:abstractNumId w:val="13"/>
  </w:num>
  <w:num w:numId="35">
    <w:abstractNumId w:val="32"/>
  </w:num>
  <w:num w:numId="36">
    <w:abstractNumId w:val="7"/>
  </w:num>
  <w:num w:numId="37">
    <w:abstractNumId w:val="35"/>
  </w:num>
  <w:num w:numId="38">
    <w:abstractNumId w:val="3"/>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39"/>
    <w:rsid w:val="00005BC9"/>
    <w:rsid w:val="00007AFA"/>
    <w:rsid w:val="0001121F"/>
    <w:rsid w:val="00014B78"/>
    <w:rsid w:val="000160BF"/>
    <w:rsid w:val="000176CB"/>
    <w:rsid w:val="000233C4"/>
    <w:rsid w:val="000269DC"/>
    <w:rsid w:val="00032641"/>
    <w:rsid w:val="000369B0"/>
    <w:rsid w:val="00036CA0"/>
    <w:rsid w:val="000377EC"/>
    <w:rsid w:val="00037ABD"/>
    <w:rsid w:val="00042FFD"/>
    <w:rsid w:val="00043A75"/>
    <w:rsid w:val="0004464F"/>
    <w:rsid w:val="00044B9D"/>
    <w:rsid w:val="0004571D"/>
    <w:rsid w:val="00046B82"/>
    <w:rsid w:val="000505FE"/>
    <w:rsid w:val="00050F27"/>
    <w:rsid w:val="00051D4B"/>
    <w:rsid w:val="000544B8"/>
    <w:rsid w:val="00054B1C"/>
    <w:rsid w:val="00067CA6"/>
    <w:rsid w:val="000709D1"/>
    <w:rsid w:val="0007231A"/>
    <w:rsid w:val="000751A8"/>
    <w:rsid w:val="00080E80"/>
    <w:rsid w:val="00081FF2"/>
    <w:rsid w:val="000870F1"/>
    <w:rsid w:val="00087AF9"/>
    <w:rsid w:val="00094C21"/>
    <w:rsid w:val="000978E2"/>
    <w:rsid w:val="000A1491"/>
    <w:rsid w:val="000A1961"/>
    <w:rsid w:val="000A1CD0"/>
    <w:rsid w:val="000A2109"/>
    <w:rsid w:val="000A2C1E"/>
    <w:rsid w:val="000A369F"/>
    <w:rsid w:val="000B0206"/>
    <w:rsid w:val="000B0B07"/>
    <w:rsid w:val="000B42C2"/>
    <w:rsid w:val="000B5148"/>
    <w:rsid w:val="000B6E77"/>
    <w:rsid w:val="000B72D7"/>
    <w:rsid w:val="000B741D"/>
    <w:rsid w:val="000C4B56"/>
    <w:rsid w:val="000C6C20"/>
    <w:rsid w:val="000C6DCF"/>
    <w:rsid w:val="000D0B16"/>
    <w:rsid w:val="000D1249"/>
    <w:rsid w:val="000D21F7"/>
    <w:rsid w:val="000D3CCF"/>
    <w:rsid w:val="000D58B0"/>
    <w:rsid w:val="000D5A1A"/>
    <w:rsid w:val="000D72D6"/>
    <w:rsid w:val="000D78D1"/>
    <w:rsid w:val="000E0791"/>
    <w:rsid w:val="000E52D1"/>
    <w:rsid w:val="000E60A2"/>
    <w:rsid w:val="000F09CA"/>
    <w:rsid w:val="000F1C41"/>
    <w:rsid w:val="000F6AF9"/>
    <w:rsid w:val="0010178F"/>
    <w:rsid w:val="00104BCB"/>
    <w:rsid w:val="00111AF6"/>
    <w:rsid w:val="00111CC3"/>
    <w:rsid w:val="001124EE"/>
    <w:rsid w:val="00120DB3"/>
    <w:rsid w:val="00122649"/>
    <w:rsid w:val="00124961"/>
    <w:rsid w:val="0013056B"/>
    <w:rsid w:val="00132457"/>
    <w:rsid w:val="0014028E"/>
    <w:rsid w:val="001411C0"/>
    <w:rsid w:val="00141434"/>
    <w:rsid w:val="00141FF1"/>
    <w:rsid w:val="00146342"/>
    <w:rsid w:val="001469C9"/>
    <w:rsid w:val="001504C8"/>
    <w:rsid w:val="0015171C"/>
    <w:rsid w:val="00151A28"/>
    <w:rsid w:val="00166F8B"/>
    <w:rsid w:val="00166FEB"/>
    <w:rsid w:val="00167D2B"/>
    <w:rsid w:val="00170979"/>
    <w:rsid w:val="00170D8B"/>
    <w:rsid w:val="001723DC"/>
    <w:rsid w:val="00173E16"/>
    <w:rsid w:val="00174DDF"/>
    <w:rsid w:val="001764BA"/>
    <w:rsid w:val="0017699E"/>
    <w:rsid w:val="00177A10"/>
    <w:rsid w:val="00183678"/>
    <w:rsid w:val="00184D3B"/>
    <w:rsid w:val="001858A6"/>
    <w:rsid w:val="00187F1D"/>
    <w:rsid w:val="0019027C"/>
    <w:rsid w:val="00192502"/>
    <w:rsid w:val="001938CA"/>
    <w:rsid w:val="001A511F"/>
    <w:rsid w:val="001A5ED7"/>
    <w:rsid w:val="001B50AD"/>
    <w:rsid w:val="001B6DC7"/>
    <w:rsid w:val="001B6F8C"/>
    <w:rsid w:val="001B79B1"/>
    <w:rsid w:val="001C0651"/>
    <w:rsid w:val="001C225D"/>
    <w:rsid w:val="001C3D66"/>
    <w:rsid w:val="001C572D"/>
    <w:rsid w:val="001D1D60"/>
    <w:rsid w:val="001D226B"/>
    <w:rsid w:val="001E0B20"/>
    <w:rsid w:val="001E0B79"/>
    <w:rsid w:val="001E0BA6"/>
    <w:rsid w:val="001E3B58"/>
    <w:rsid w:val="001F1889"/>
    <w:rsid w:val="001F3550"/>
    <w:rsid w:val="001F4329"/>
    <w:rsid w:val="00200A17"/>
    <w:rsid w:val="00203A47"/>
    <w:rsid w:val="002055EC"/>
    <w:rsid w:val="00206F79"/>
    <w:rsid w:val="00207527"/>
    <w:rsid w:val="00210953"/>
    <w:rsid w:val="00211F0F"/>
    <w:rsid w:val="00212055"/>
    <w:rsid w:val="002129D3"/>
    <w:rsid w:val="00214ABC"/>
    <w:rsid w:val="002155BB"/>
    <w:rsid w:val="00217759"/>
    <w:rsid w:val="002205A9"/>
    <w:rsid w:val="00220647"/>
    <w:rsid w:val="00221C67"/>
    <w:rsid w:val="00221DD0"/>
    <w:rsid w:val="0022212E"/>
    <w:rsid w:val="00225EC6"/>
    <w:rsid w:val="0022774C"/>
    <w:rsid w:val="00231EC7"/>
    <w:rsid w:val="002335A7"/>
    <w:rsid w:val="002348E4"/>
    <w:rsid w:val="00237378"/>
    <w:rsid w:val="00237DCC"/>
    <w:rsid w:val="00237E9C"/>
    <w:rsid w:val="00237F09"/>
    <w:rsid w:val="00240E39"/>
    <w:rsid w:val="002411D6"/>
    <w:rsid w:val="002433DF"/>
    <w:rsid w:val="00243D95"/>
    <w:rsid w:val="00246424"/>
    <w:rsid w:val="0025098E"/>
    <w:rsid w:val="00254622"/>
    <w:rsid w:val="00255019"/>
    <w:rsid w:val="0025689D"/>
    <w:rsid w:val="00262444"/>
    <w:rsid w:val="002667F0"/>
    <w:rsid w:val="00270466"/>
    <w:rsid w:val="002725AF"/>
    <w:rsid w:val="00273D37"/>
    <w:rsid w:val="00275E92"/>
    <w:rsid w:val="002767E0"/>
    <w:rsid w:val="00277418"/>
    <w:rsid w:val="00283A66"/>
    <w:rsid w:val="002847FB"/>
    <w:rsid w:val="0028633A"/>
    <w:rsid w:val="002879FB"/>
    <w:rsid w:val="00287AFB"/>
    <w:rsid w:val="002932CE"/>
    <w:rsid w:val="00293E5C"/>
    <w:rsid w:val="00293FB3"/>
    <w:rsid w:val="002955EE"/>
    <w:rsid w:val="00296575"/>
    <w:rsid w:val="002A244F"/>
    <w:rsid w:val="002A416C"/>
    <w:rsid w:val="002A5A06"/>
    <w:rsid w:val="002A622B"/>
    <w:rsid w:val="002A62FE"/>
    <w:rsid w:val="002A7C2A"/>
    <w:rsid w:val="002B0170"/>
    <w:rsid w:val="002B1685"/>
    <w:rsid w:val="002B43A0"/>
    <w:rsid w:val="002B638F"/>
    <w:rsid w:val="002B7055"/>
    <w:rsid w:val="002B782B"/>
    <w:rsid w:val="002B7FC1"/>
    <w:rsid w:val="002C15FF"/>
    <w:rsid w:val="002C34FC"/>
    <w:rsid w:val="002D2BB2"/>
    <w:rsid w:val="002D3DA7"/>
    <w:rsid w:val="002D594C"/>
    <w:rsid w:val="002D60CC"/>
    <w:rsid w:val="002D7545"/>
    <w:rsid w:val="002E1BFF"/>
    <w:rsid w:val="002F2F63"/>
    <w:rsid w:val="002F3BE8"/>
    <w:rsid w:val="002F5BF2"/>
    <w:rsid w:val="003028F3"/>
    <w:rsid w:val="003041F0"/>
    <w:rsid w:val="0030625C"/>
    <w:rsid w:val="00310EB2"/>
    <w:rsid w:val="003117E6"/>
    <w:rsid w:val="00313D61"/>
    <w:rsid w:val="00315B4E"/>
    <w:rsid w:val="00320728"/>
    <w:rsid w:val="00323BF3"/>
    <w:rsid w:val="00342E9F"/>
    <w:rsid w:val="00342F03"/>
    <w:rsid w:val="003449F3"/>
    <w:rsid w:val="003459D4"/>
    <w:rsid w:val="00347881"/>
    <w:rsid w:val="003519B5"/>
    <w:rsid w:val="00352350"/>
    <w:rsid w:val="003569AA"/>
    <w:rsid w:val="00360E05"/>
    <w:rsid w:val="00362E7A"/>
    <w:rsid w:val="003659F2"/>
    <w:rsid w:val="00370257"/>
    <w:rsid w:val="00370BE1"/>
    <w:rsid w:val="00372772"/>
    <w:rsid w:val="00375553"/>
    <w:rsid w:val="003778F1"/>
    <w:rsid w:val="00377BCD"/>
    <w:rsid w:val="003818A7"/>
    <w:rsid w:val="003846B5"/>
    <w:rsid w:val="003856B3"/>
    <w:rsid w:val="00385CDE"/>
    <w:rsid w:val="00385EE6"/>
    <w:rsid w:val="00387B2C"/>
    <w:rsid w:val="0039148C"/>
    <w:rsid w:val="003921B4"/>
    <w:rsid w:val="00393771"/>
    <w:rsid w:val="00393F2B"/>
    <w:rsid w:val="003956E9"/>
    <w:rsid w:val="00396332"/>
    <w:rsid w:val="003A0053"/>
    <w:rsid w:val="003A1253"/>
    <w:rsid w:val="003A157D"/>
    <w:rsid w:val="003A2252"/>
    <w:rsid w:val="003A3E43"/>
    <w:rsid w:val="003A5682"/>
    <w:rsid w:val="003A771A"/>
    <w:rsid w:val="003B39E0"/>
    <w:rsid w:val="003B4978"/>
    <w:rsid w:val="003C1C89"/>
    <w:rsid w:val="003C1D6E"/>
    <w:rsid w:val="003C2D6C"/>
    <w:rsid w:val="003D0661"/>
    <w:rsid w:val="003D328D"/>
    <w:rsid w:val="003D4596"/>
    <w:rsid w:val="003D67BF"/>
    <w:rsid w:val="003E03CB"/>
    <w:rsid w:val="003E0D48"/>
    <w:rsid w:val="003E1792"/>
    <w:rsid w:val="003E1FE7"/>
    <w:rsid w:val="003E2E02"/>
    <w:rsid w:val="003E6530"/>
    <w:rsid w:val="003F133D"/>
    <w:rsid w:val="003F2184"/>
    <w:rsid w:val="003F3C09"/>
    <w:rsid w:val="003F52DD"/>
    <w:rsid w:val="003F5789"/>
    <w:rsid w:val="003F57C4"/>
    <w:rsid w:val="003F6E90"/>
    <w:rsid w:val="004009A0"/>
    <w:rsid w:val="004013D1"/>
    <w:rsid w:val="00403760"/>
    <w:rsid w:val="004051FC"/>
    <w:rsid w:val="00407482"/>
    <w:rsid w:val="00411D0D"/>
    <w:rsid w:val="004144C0"/>
    <w:rsid w:val="0041483F"/>
    <w:rsid w:val="00414CCF"/>
    <w:rsid w:val="00415870"/>
    <w:rsid w:val="004166B6"/>
    <w:rsid w:val="004173F4"/>
    <w:rsid w:val="004211DF"/>
    <w:rsid w:val="0042571B"/>
    <w:rsid w:val="0042706E"/>
    <w:rsid w:val="00430598"/>
    <w:rsid w:val="004311D9"/>
    <w:rsid w:val="00433C10"/>
    <w:rsid w:val="00434A91"/>
    <w:rsid w:val="004351C8"/>
    <w:rsid w:val="0043533F"/>
    <w:rsid w:val="00435671"/>
    <w:rsid w:val="00436B37"/>
    <w:rsid w:val="00440858"/>
    <w:rsid w:val="00441529"/>
    <w:rsid w:val="00441CAE"/>
    <w:rsid w:val="004437CB"/>
    <w:rsid w:val="00443AF0"/>
    <w:rsid w:val="004444E0"/>
    <w:rsid w:val="004450AF"/>
    <w:rsid w:val="004509AC"/>
    <w:rsid w:val="00454A42"/>
    <w:rsid w:val="00454DA9"/>
    <w:rsid w:val="00456F9E"/>
    <w:rsid w:val="00463B39"/>
    <w:rsid w:val="00466964"/>
    <w:rsid w:val="004674C2"/>
    <w:rsid w:val="00471A3E"/>
    <w:rsid w:val="00471AD7"/>
    <w:rsid w:val="00473147"/>
    <w:rsid w:val="00476676"/>
    <w:rsid w:val="00480154"/>
    <w:rsid w:val="004866B1"/>
    <w:rsid w:val="00487BAE"/>
    <w:rsid w:val="00487C95"/>
    <w:rsid w:val="00492B82"/>
    <w:rsid w:val="00492C04"/>
    <w:rsid w:val="00494908"/>
    <w:rsid w:val="004A029E"/>
    <w:rsid w:val="004A2668"/>
    <w:rsid w:val="004A3905"/>
    <w:rsid w:val="004A3EEC"/>
    <w:rsid w:val="004A43E5"/>
    <w:rsid w:val="004A6B68"/>
    <w:rsid w:val="004A7549"/>
    <w:rsid w:val="004B10E1"/>
    <w:rsid w:val="004B2276"/>
    <w:rsid w:val="004B38BE"/>
    <w:rsid w:val="004B3AF1"/>
    <w:rsid w:val="004B3CCC"/>
    <w:rsid w:val="004B4E17"/>
    <w:rsid w:val="004B59EB"/>
    <w:rsid w:val="004B6658"/>
    <w:rsid w:val="004B77E1"/>
    <w:rsid w:val="004C0D4A"/>
    <w:rsid w:val="004C1333"/>
    <w:rsid w:val="004C3087"/>
    <w:rsid w:val="004C4248"/>
    <w:rsid w:val="004C67EC"/>
    <w:rsid w:val="004C77B1"/>
    <w:rsid w:val="004C7A4D"/>
    <w:rsid w:val="004D0905"/>
    <w:rsid w:val="004D142D"/>
    <w:rsid w:val="004D6C78"/>
    <w:rsid w:val="004D6C85"/>
    <w:rsid w:val="004D7119"/>
    <w:rsid w:val="004D72AA"/>
    <w:rsid w:val="004D7FB1"/>
    <w:rsid w:val="004E0507"/>
    <w:rsid w:val="004E24CF"/>
    <w:rsid w:val="004E33EC"/>
    <w:rsid w:val="004E47D8"/>
    <w:rsid w:val="004E610C"/>
    <w:rsid w:val="004E72E3"/>
    <w:rsid w:val="004F3AC5"/>
    <w:rsid w:val="004F45B3"/>
    <w:rsid w:val="00500602"/>
    <w:rsid w:val="00500898"/>
    <w:rsid w:val="00502917"/>
    <w:rsid w:val="00503E9D"/>
    <w:rsid w:val="005066F7"/>
    <w:rsid w:val="005100D2"/>
    <w:rsid w:val="00511AD5"/>
    <w:rsid w:val="005167E5"/>
    <w:rsid w:val="00521989"/>
    <w:rsid w:val="00524F9A"/>
    <w:rsid w:val="00526391"/>
    <w:rsid w:val="00530C31"/>
    <w:rsid w:val="0054152F"/>
    <w:rsid w:val="00542519"/>
    <w:rsid w:val="0054309F"/>
    <w:rsid w:val="00544DFF"/>
    <w:rsid w:val="00552687"/>
    <w:rsid w:val="00555456"/>
    <w:rsid w:val="00555E43"/>
    <w:rsid w:val="0056190A"/>
    <w:rsid w:val="005630B2"/>
    <w:rsid w:val="00564C30"/>
    <w:rsid w:val="00564F71"/>
    <w:rsid w:val="005669B8"/>
    <w:rsid w:val="005708DA"/>
    <w:rsid w:val="00572154"/>
    <w:rsid w:val="00572934"/>
    <w:rsid w:val="005743FE"/>
    <w:rsid w:val="005765F5"/>
    <w:rsid w:val="00577351"/>
    <w:rsid w:val="00577C81"/>
    <w:rsid w:val="00581FE6"/>
    <w:rsid w:val="0058205F"/>
    <w:rsid w:val="00583914"/>
    <w:rsid w:val="00584B8E"/>
    <w:rsid w:val="005A582D"/>
    <w:rsid w:val="005B08D2"/>
    <w:rsid w:val="005B0ADA"/>
    <w:rsid w:val="005B1F98"/>
    <w:rsid w:val="005B3754"/>
    <w:rsid w:val="005B47C0"/>
    <w:rsid w:val="005B507F"/>
    <w:rsid w:val="005B79B8"/>
    <w:rsid w:val="005C1098"/>
    <w:rsid w:val="005C1BD7"/>
    <w:rsid w:val="005C2020"/>
    <w:rsid w:val="005C2356"/>
    <w:rsid w:val="005C2825"/>
    <w:rsid w:val="005C3EE4"/>
    <w:rsid w:val="005C4081"/>
    <w:rsid w:val="005C7BB7"/>
    <w:rsid w:val="005D44A3"/>
    <w:rsid w:val="005D5E23"/>
    <w:rsid w:val="005D646A"/>
    <w:rsid w:val="005E2A17"/>
    <w:rsid w:val="005E370A"/>
    <w:rsid w:val="005E4369"/>
    <w:rsid w:val="005E49F6"/>
    <w:rsid w:val="005E4E1E"/>
    <w:rsid w:val="005E5BC0"/>
    <w:rsid w:val="005F0C1C"/>
    <w:rsid w:val="005F1ECA"/>
    <w:rsid w:val="005F49C5"/>
    <w:rsid w:val="005F62DE"/>
    <w:rsid w:val="005F6B01"/>
    <w:rsid w:val="0060032D"/>
    <w:rsid w:val="0060223C"/>
    <w:rsid w:val="006068D7"/>
    <w:rsid w:val="00607123"/>
    <w:rsid w:val="006076D8"/>
    <w:rsid w:val="00607B0D"/>
    <w:rsid w:val="00610DEA"/>
    <w:rsid w:val="00612627"/>
    <w:rsid w:val="00616452"/>
    <w:rsid w:val="00616565"/>
    <w:rsid w:val="00617EFB"/>
    <w:rsid w:val="00623B58"/>
    <w:rsid w:val="00624C41"/>
    <w:rsid w:val="0062522F"/>
    <w:rsid w:val="00627D0E"/>
    <w:rsid w:val="00635610"/>
    <w:rsid w:val="00635FD7"/>
    <w:rsid w:val="0064030E"/>
    <w:rsid w:val="006403AB"/>
    <w:rsid w:val="006430AC"/>
    <w:rsid w:val="00647149"/>
    <w:rsid w:val="00650A88"/>
    <w:rsid w:val="00652095"/>
    <w:rsid w:val="00655286"/>
    <w:rsid w:val="00655586"/>
    <w:rsid w:val="00656A0E"/>
    <w:rsid w:val="006634DD"/>
    <w:rsid w:val="00663E8A"/>
    <w:rsid w:val="00665D92"/>
    <w:rsid w:val="006672F3"/>
    <w:rsid w:val="0066777A"/>
    <w:rsid w:val="00673B17"/>
    <w:rsid w:val="00675772"/>
    <w:rsid w:val="00677B3D"/>
    <w:rsid w:val="00680561"/>
    <w:rsid w:val="00682794"/>
    <w:rsid w:val="00682835"/>
    <w:rsid w:val="00683557"/>
    <w:rsid w:val="006914E9"/>
    <w:rsid w:val="00696638"/>
    <w:rsid w:val="00697154"/>
    <w:rsid w:val="006A0793"/>
    <w:rsid w:val="006A1A8B"/>
    <w:rsid w:val="006A1CDA"/>
    <w:rsid w:val="006A32E6"/>
    <w:rsid w:val="006A3ABF"/>
    <w:rsid w:val="006A3D2B"/>
    <w:rsid w:val="006A79BF"/>
    <w:rsid w:val="006A7F4F"/>
    <w:rsid w:val="006B3E59"/>
    <w:rsid w:val="006B4214"/>
    <w:rsid w:val="006C530D"/>
    <w:rsid w:val="006C67E1"/>
    <w:rsid w:val="006C687A"/>
    <w:rsid w:val="006D15FB"/>
    <w:rsid w:val="006D23F5"/>
    <w:rsid w:val="006D7421"/>
    <w:rsid w:val="006D7774"/>
    <w:rsid w:val="006D7C05"/>
    <w:rsid w:val="006D7CBB"/>
    <w:rsid w:val="006E0255"/>
    <w:rsid w:val="006E2C63"/>
    <w:rsid w:val="006E3290"/>
    <w:rsid w:val="006E330D"/>
    <w:rsid w:val="006E3A3D"/>
    <w:rsid w:val="006E6C33"/>
    <w:rsid w:val="006F05C0"/>
    <w:rsid w:val="006F1EE1"/>
    <w:rsid w:val="006F2519"/>
    <w:rsid w:val="006F2B3E"/>
    <w:rsid w:val="006F55A3"/>
    <w:rsid w:val="0070277A"/>
    <w:rsid w:val="00705736"/>
    <w:rsid w:val="00706D3B"/>
    <w:rsid w:val="00712840"/>
    <w:rsid w:val="00712C40"/>
    <w:rsid w:val="00713816"/>
    <w:rsid w:val="007164F7"/>
    <w:rsid w:val="00717E8F"/>
    <w:rsid w:val="007217E5"/>
    <w:rsid w:val="00723B76"/>
    <w:rsid w:val="00725E17"/>
    <w:rsid w:val="0072680B"/>
    <w:rsid w:val="007276A3"/>
    <w:rsid w:val="00730689"/>
    <w:rsid w:val="00730E2B"/>
    <w:rsid w:val="007314AF"/>
    <w:rsid w:val="00734065"/>
    <w:rsid w:val="00734A0A"/>
    <w:rsid w:val="00734D7C"/>
    <w:rsid w:val="00735612"/>
    <w:rsid w:val="00735EB0"/>
    <w:rsid w:val="007369E3"/>
    <w:rsid w:val="00736B12"/>
    <w:rsid w:val="00736CCF"/>
    <w:rsid w:val="00742941"/>
    <w:rsid w:val="00743E19"/>
    <w:rsid w:val="007445A6"/>
    <w:rsid w:val="0074564C"/>
    <w:rsid w:val="00747D6B"/>
    <w:rsid w:val="00752323"/>
    <w:rsid w:val="00752618"/>
    <w:rsid w:val="007606BD"/>
    <w:rsid w:val="00763102"/>
    <w:rsid w:val="0076316F"/>
    <w:rsid w:val="00764798"/>
    <w:rsid w:val="0076616D"/>
    <w:rsid w:val="007709AF"/>
    <w:rsid w:val="00772E56"/>
    <w:rsid w:val="0077358B"/>
    <w:rsid w:val="00781051"/>
    <w:rsid w:val="00782BB4"/>
    <w:rsid w:val="00785684"/>
    <w:rsid w:val="00787299"/>
    <w:rsid w:val="007953B6"/>
    <w:rsid w:val="007A1E65"/>
    <w:rsid w:val="007A239A"/>
    <w:rsid w:val="007A6D9D"/>
    <w:rsid w:val="007B1A4E"/>
    <w:rsid w:val="007B2AF1"/>
    <w:rsid w:val="007B37D4"/>
    <w:rsid w:val="007B74E3"/>
    <w:rsid w:val="007C2345"/>
    <w:rsid w:val="007C52C5"/>
    <w:rsid w:val="007C5BCA"/>
    <w:rsid w:val="007C5E4A"/>
    <w:rsid w:val="007C61F3"/>
    <w:rsid w:val="007C68A1"/>
    <w:rsid w:val="007D5277"/>
    <w:rsid w:val="007E010E"/>
    <w:rsid w:val="007E0BE1"/>
    <w:rsid w:val="007E2834"/>
    <w:rsid w:val="007E3170"/>
    <w:rsid w:val="007E6685"/>
    <w:rsid w:val="007E6B2D"/>
    <w:rsid w:val="007F094D"/>
    <w:rsid w:val="007F1242"/>
    <w:rsid w:val="007F4093"/>
    <w:rsid w:val="00801FC1"/>
    <w:rsid w:val="008042A0"/>
    <w:rsid w:val="008078CC"/>
    <w:rsid w:val="00810709"/>
    <w:rsid w:val="00813126"/>
    <w:rsid w:val="00813997"/>
    <w:rsid w:val="00814F94"/>
    <w:rsid w:val="0081534C"/>
    <w:rsid w:val="00815384"/>
    <w:rsid w:val="008223BA"/>
    <w:rsid w:val="00823687"/>
    <w:rsid w:val="00825022"/>
    <w:rsid w:val="00825284"/>
    <w:rsid w:val="0083115D"/>
    <w:rsid w:val="00835831"/>
    <w:rsid w:val="00836E77"/>
    <w:rsid w:val="0083764C"/>
    <w:rsid w:val="00837C18"/>
    <w:rsid w:val="00840A62"/>
    <w:rsid w:val="0084175D"/>
    <w:rsid w:val="00842C97"/>
    <w:rsid w:val="00843AC9"/>
    <w:rsid w:val="008448A4"/>
    <w:rsid w:val="00844978"/>
    <w:rsid w:val="00844AE5"/>
    <w:rsid w:val="00846B34"/>
    <w:rsid w:val="00847430"/>
    <w:rsid w:val="008511CE"/>
    <w:rsid w:val="00852360"/>
    <w:rsid w:val="008523E5"/>
    <w:rsid w:val="008527A8"/>
    <w:rsid w:val="00853477"/>
    <w:rsid w:val="0085452D"/>
    <w:rsid w:val="00854A51"/>
    <w:rsid w:val="00854B06"/>
    <w:rsid w:val="00856BC3"/>
    <w:rsid w:val="008570C3"/>
    <w:rsid w:val="008574D9"/>
    <w:rsid w:val="00857E56"/>
    <w:rsid w:val="00860963"/>
    <w:rsid w:val="008636D3"/>
    <w:rsid w:val="00863C7F"/>
    <w:rsid w:val="00865C76"/>
    <w:rsid w:val="0086642B"/>
    <w:rsid w:val="008676F2"/>
    <w:rsid w:val="00871403"/>
    <w:rsid w:val="00871445"/>
    <w:rsid w:val="00871B97"/>
    <w:rsid w:val="00872098"/>
    <w:rsid w:val="00872BDA"/>
    <w:rsid w:val="00880048"/>
    <w:rsid w:val="00886346"/>
    <w:rsid w:val="00891C7A"/>
    <w:rsid w:val="008964E1"/>
    <w:rsid w:val="00896587"/>
    <w:rsid w:val="00896DC0"/>
    <w:rsid w:val="008A07DC"/>
    <w:rsid w:val="008A1815"/>
    <w:rsid w:val="008A3BBB"/>
    <w:rsid w:val="008A5F67"/>
    <w:rsid w:val="008A75B0"/>
    <w:rsid w:val="008B0F72"/>
    <w:rsid w:val="008C0D7C"/>
    <w:rsid w:val="008C1A4B"/>
    <w:rsid w:val="008C29A0"/>
    <w:rsid w:val="008C2FEE"/>
    <w:rsid w:val="008C377F"/>
    <w:rsid w:val="008C44F3"/>
    <w:rsid w:val="008D1D01"/>
    <w:rsid w:val="008D5379"/>
    <w:rsid w:val="008D5568"/>
    <w:rsid w:val="008D6EB2"/>
    <w:rsid w:val="008E0CC3"/>
    <w:rsid w:val="008E4609"/>
    <w:rsid w:val="008E6811"/>
    <w:rsid w:val="008E7A3E"/>
    <w:rsid w:val="008F21CA"/>
    <w:rsid w:val="008F2580"/>
    <w:rsid w:val="008F37E1"/>
    <w:rsid w:val="008F3B4B"/>
    <w:rsid w:val="008F3BFA"/>
    <w:rsid w:val="008F4401"/>
    <w:rsid w:val="008F6DB0"/>
    <w:rsid w:val="00900E7D"/>
    <w:rsid w:val="00901854"/>
    <w:rsid w:val="00901D81"/>
    <w:rsid w:val="00902894"/>
    <w:rsid w:val="00902FA9"/>
    <w:rsid w:val="00911F9F"/>
    <w:rsid w:val="00912CB8"/>
    <w:rsid w:val="00912D32"/>
    <w:rsid w:val="00914F6A"/>
    <w:rsid w:val="00917221"/>
    <w:rsid w:val="009172B3"/>
    <w:rsid w:val="009179F8"/>
    <w:rsid w:val="009219F3"/>
    <w:rsid w:val="00922802"/>
    <w:rsid w:val="00922FA5"/>
    <w:rsid w:val="00923002"/>
    <w:rsid w:val="00927D43"/>
    <w:rsid w:val="009302F0"/>
    <w:rsid w:val="0093206C"/>
    <w:rsid w:val="00932080"/>
    <w:rsid w:val="00932FC6"/>
    <w:rsid w:val="00935030"/>
    <w:rsid w:val="009368F5"/>
    <w:rsid w:val="00936C30"/>
    <w:rsid w:val="00941160"/>
    <w:rsid w:val="00944E3E"/>
    <w:rsid w:val="0095080D"/>
    <w:rsid w:val="00954DE0"/>
    <w:rsid w:val="00960AE2"/>
    <w:rsid w:val="00962F5B"/>
    <w:rsid w:val="00963900"/>
    <w:rsid w:val="00966017"/>
    <w:rsid w:val="009676BE"/>
    <w:rsid w:val="00971795"/>
    <w:rsid w:val="00974723"/>
    <w:rsid w:val="00974B39"/>
    <w:rsid w:val="00981126"/>
    <w:rsid w:val="009844E8"/>
    <w:rsid w:val="00985E17"/>
    <w:rsid w:val="00985E40"/>
    <w:rsid w:val="00986C9F"/>
    <w:rsid w:val="00990D73"/>
    <w:rsid w:val="00991560"/>
    <w:rsid w:val="00991ACC"/>
    <w:rsid w:val="00993ADA"/>
    <w:rsid w:val="00996002"/>
    <w:rsid w:val="009A0F01"/>
    <w:rsid w:val="009A1231"/>
    <w:rsid w:val="009A13F3"/>
    <w:rsid w:val="009A20C5"/>
    <w:rsid w:val="009A2F49"/>
    <w:rsid w:val="009A3A9C"/>
    <w:rsid w:val="009A3D72"/>
    <w:rsid w:val="009A5712"/>
    <w:rsid w:val="009A75C1"/>
    <w:rsid w:val="009B46B5"/>
    <w:rsid w:val="009B74AB"/>
    <w:rsid w:val="009B75D9"/>
    <w:rsid w:val="009C27DB"/>
    <w:rsid w:val="009C4FEF"/>
    <w:rsid w:val="009D0D96"/>
    <w:rsid w:val="009D13CD"/>
    <w:rsid w:val="009D18E6"/>
    <w:rsid w:val="009D550C"/>
    <w:rsid w:val="009D5D8D"/>
    <w:rsid w:val="009E09DA"/>
    <w:rsid w:val="009E4190"/>
    <w:rsid w:val="009E42AD"/>
    <w:rsid w:val="009E52DE"/>
    <w:rsid w:val="009F09FE"/>
    <w:rsid w:val="009F3AF9"/>
    <w:rsid w:val="009F5405"/>
    <w:rsid w:val="009F72B3"/>
    <w:rsid w:val="009F742B"/>
    <w:rsid w:val="00A0371E"/>
    <w:rsid w:val="00A07C4A"/>
    <w:rsid w:val="00A1103F"/>
    <w:rsid w:val="00A123A7"/>
    <w:rsid w:val="00A12C03"/>
    <w:rsid w:val="00A13DB5"/>
    <w:rsid w:val="00A153DD"/>
    <w:rsid w:val="00A155CE"/>
    <w:rsid w:val="00A16DE4"/>
    <w:rsid w:val="00A1710F"/>
    <w:rsid w:val="00A203A0"/>
    <w:rsid w:val="00A21C6F"/>
    <w:rsid w:val="00A22E33"/>
    <w:rsid w:val="00A23373"/>
    <w:rsid w:val="00A24C3E"/>
    <w:rsid w:val="00A26EAE"/>
    <w:rsid w:val="00A27B81"/>
    <w:rsid w:val="00A3122F"/>
    <w:rsid w:val="00A322BF"/>
    <w:rsid w:val="00A34B20"/>
    <w:rsid w:val="00A35FED"/>
    <w:rsid w:val="00A378DA"/>
    <w:rsid w:val="00A411D9"/>
    <w:rsid w:val="00A437D4"/>
    <w:rsid w:val="00A4638A"/>
    <w:rsid w:val="00A47421"/>
    <w:rsid w:val="00A502F0"/>
    <w:rsid w:val="00A503FA"/>
    <w:rsid w:val="00A523B2"/>
    <w:rsid w:val="00A571CE"/>
    <w:rsid w:val="00A61502"/>
    <w:rsid w:val="00A623C0"/>
    <w:rsid w:val="00A62FE1"/>
    <w:rsid w:val="00A66131"/>
    <w:rsid w:val="00A677FC"/>
    <w:rsid w:val="00A70AEC"/>
    <w:rsid w:val="00A739D0"/>
    <w:rsid w:val="00A75241"/>
    <w:rsid w:val="00A76398"/>
    <w:rsid w:val="00A763E2"/>
    <w:rsid w:val="00A8165E"/>
    <w:rsid w:val="00A82999"/>
    <w:rsid w:val="00A83AD4"/>
    <w:rsid w:val="00A84D80"/>
    <w:rsid w:val="00A96E6F"/>
    <w:rsid w:val="00A9713C"/>
    <w:rsid w:val="00A97EAD"/>
    <w:rsid w:val="00AA0270"/>
    <w:rsid w:val="00AA08FC"/>
    <w:rsid w:val="00AA0C69"/>
    <w:rsid w:val="00AA1C53"/>
    <w:rsid w:val="00AA2649"/>
    <w:rsid w:val="00AA4160"/>
    <w:rsid w:val="00AA5DB1"/>
    <w:rsid w:val="00AA7917"/>
    <w:rsid w:val="00AA7E7F"/>
    <w:rsid w:val="00AB0E5B"/>
    <w:rsid w:val="00AB50F6"/>
    <w:rsid w:val="00AB716D"/>
    <w:rsid w:val="00AC0B7A"/>
    <w:rsid w:val="00AC2C13"/>
    <w:rsid w:val="00AC4296"/>
    <w:rsid w:val="00AC48D2"/>
    <w:rsid w:val="00AC5BD4"/>
    <w:rsid w:val="00AC6CB6"/>
    <w:rsid w:val="00AD0550"/>
    <w:rsid w:val="00AD4CF8"/>
    <w:rsid w:val="00AE0370"/>
    <w:rsid w:val="00AE2DF8"/>
    <w:rsid w:val="00AE5616"/>
    <w:rsid w:val="00AF064C"/>
    <w:rsid w:val="00AF1A0A"/>
    <w:rsid w:val="00AF2C5E"/>
    <w:rsid w:val="00AF34A6"/>
    <w:rsid w:val="00AF504A"/>
    <w:rsid w:val="00B030D3"/>
    <w:rsid w:val="00B04906"/>
    <w:rsid w:val="00B04DFC"/>
    <w:rsid w:val="00B109B4"/>
    <w:rsid w:val="00B115E9"/>
    <w:rsid w:val="00B13ED4"/>
    <w:rsid w:val="00B149DF"/>
    <w:rsid w:val="00B16A68"/>
    <w:rsid w:val="00B20CEF"/>
    <w:rsid w:val="00B20F51"/>
    <w:rsid w:val="00B2260D"/>
    <w:rsid w:val="00B22DA0"/>
    <w:rsid w:val="00B238D6"/>
    <w:rsid w:val="00B31D38"/>
    <w:rsid w:val="00B37E58"/>
    <w:rsid w:val="00B41317"/>
    <w:rsid w:val="00B42ADC"/>
    <w:rsid w:val="00B42BEF"/>
    <w:rsid w:val="00B47449"/>
    <w:rsid w:val="00B554ED"/>
    <w:rsid w:val="00B55C5D"/>
    <w:rsid w:val="00B56791"/>
    <w:rsid w:val="00B5697D"/>
    <w:rsid w:val="00B57111"/>
    <w:rsid w:val="00B60177"/>
    <w:rsid w:val="00B62474"/>
    <w:rsid w:val="00B6415D"/>
    <w:rsid w:val="00B6546C"/>
    <w:rsid w:val="00B674BF"/>
    <w:rsid w:val="00B70595"/>
    <w:rsid w:val="00B7096A"/>
    <w:rsid w:val="00B754B2"/>
    <w:rsid w:val="00B77E95"/>
    <w:rsid w:val="00B81A68"/>
    <w:rsid w:val="00B825A8"/>
    <w:rsid w:val="00B82ED0"/>
    <w:rsid w:val="00B833EF"/>
    <w:rsid w:val="00B91D90"/>
    <w:rsid w:val="00B91E6C"/>
    <w:rsid w:val="00B92952"/>
    <w:rsid w:val="00B94784"/>
    <w:rsid w:val="00B95E5E"/>
    <w:rsid w:val="00BA2AF4"/>
    <w:rsid w:val="00BA46DC"/>
    <w:rsid w:val="00BA5256"/>
    <w:rsid w:val="00BA6BB2"/>
    <w:rsid w:val="00BB028B"/>
    <w:rsid w:val="00BB0A58"/>
    <w:rsid w:val="00BB0CF5"/>
    <w:rsid w:val="00BB185E"/>
    <w:rsid w:val="00BB56CA"/>
    <w:rsid w:val="00BB5D81"/>
    <w:rsid w:val="00BB6857"/>
    <w:rsid w:val="00BB6B2F"/>
    <w:rsid w:val="00BB6C8F"/>
    <w:rsid w:val="00BB6E71"/>
    <w:rsid w:val="00BC0C6B"/>
    <w:rsid w:val="00BC23BD"/>
    <w:rsid w:val="00BC3BE1"/>
    <w:rsid w:val="00BC60E7"/>
    <w:rsid w:val="00BC6B8B"/>
    <w:rsid w:val="00BC753B"/>
    <w:rsid w:val="00BD2AB4"/>
    <w:rsid w:val="00BD6C62"/>
    <w:rsid w:val="00BE216A"/>
    <w:rsid w:val="00BE34C6"/>
    <w:rsid w:val="00BE4A7B"/>
    <w:rsid w:val="00BF09B1"/>
    <w:rsid w:val="00BF3803"/>
    <w:rsid w:val="00BF60C2"/>
    <w:rsid w:val="00BF6509"/>
    <w:rsid w:val="00BF6ACB"/>
    <w:rsid w:val="00BF6BD0"/>
    <w:rsid w:val="00C034F2"/>
    <w:rsid w:val="00C039BD"/>
    <w:rsid w:val="00C07DC5"/>
    <w:rsid w:val="00C100F4"/>
    <w:rsid w:val="00C12662"/>
    <w:rsid w:val="00C14644"/>
    <w:rsid w:val="00C2054B"/>
    <w:rsid w:val="00C20636"/>
    <w:rsid w:val="00C21B44"/>
    <w:rsid w:val="00C247E4"/>
    <w:rsid w:val="00C25E1D"/>
    <w:rsid w:val="00C276C1"/>
    <w:rsid w:val="00C334F8"/>
    <w:rsid w:val="00C341BD"/>
    <w:rsid w:val="00C3450B"/>
    <w:rsid w:val="00C3596E"/>
    <w:rsid w:val="00C40F16"/>
    <w:rsid w:val="00C41DD8"/>
    <w:rsid w:val="00C41F2D"/>
    <w:rsid w:val="00C51E96"/>
    <w:rsid w:val="00C520CB"/>
    <w:rsid w:val="00C54B3C"/>
    <w:rsid w:val="00C5561B"/>
    <w:rsid w:val="00C571F9"/>
    <w:rsid w:val="00C5722E"/>
    <w:rsid w:val="00C632C5"/>
    <w:rsid w:val="00C65337"/>
    <w:rsid w:val="00C672F3"/>
    <w:rsid w:val="00C67C1E"/>
    <w:rsid w:val="00C76EED"/>
    <w:rsid w:val="00C77D08"/>
    <w:rsid w:val="00C817CB"/>
    <w:rsid w:val="00C82703"/>
    <w:rsid w:val="00C835EC"/>
    <w:rsid w:val="00C87E19"/>
    <w:rsid w:val="00C90346"/>
    <w:rsid w:val="00C9131C"/>
    <w:rsid w:val="00C9190D"/>
    <w:rsid w:val="00C96CEC"/>
    <w:rsid w:val="00C975E7"/>
    <w:rsid w:val="00CA3C8A"/>
    <w:rsid w:val="00CA52F7"/>
    <w:rsid w:val="00CA6A76"/>
    <w:rsid w:val="00CB1714"/>
    <w:rsid w:val="00CB1DC7"/>
    <w:rsid w:val="00CB5EF9"/>
    <w:rsid w:val="00CB6861"/>
    <w:rsid w:val="00CC16BF"/>
    <w:rsid w:val="00CC1B7C"/>
    <w:rsid w:val="00CC6317"/>
    <w:rsid w:val="00CC737A"/>
    <w:rsid w:val="00CD030A"/>
    <w:rsid w:val="00CD27E0"/>
    <w:rsid w:val="00CD43F3"/>
    <w:rsid w:val="00CD4A58"/>
    <w:rsid w:val="00CD5739"/>
    <w:rsid w:val="00CD69D4"/>
    <w:rsid w:val="00CE0309"/>
    <w:rsid w:val="00CE24CF"/>
    <w:rsid w:val="00CE2699"/>
    <w:rsid w:val="00CE2B7D"/>
    <w:rsid w:val="00CE4EF4"/>
    <w:rsid w:val="00CE59EB"/>
    <w:rsid w:val="00CE64F8"/>
    <w:rsid w:val="00CE66D0"/>
    <w:rsid w:val="00CF0008"/>
    <w:rsid w:val="00CF03D2"/>
    <w:rsid w:val="00CF0EA8"/>
    <w:rsid w:val="00D010A4"/>
    <w:rsid w:val="00D01127"/>
    <w:rsid w:val="00D0336E"/>
    <w:rsid w:val="00D03F2F"/>
    <w:rsid w:val="00D04504"/>
    <w:rsid w:val="00D05FC8"/>
    <w:rsid w:val="00D07A62"/>
    <w:rsid w:val="00D1245A"/>
    <w:rsid w:val="00D144C7"/>
    <w:rsid w:val="00D2054A"/>
    <w:rsid w:val="00D20B4D"/>
    <w:rsid w:val="00D2369B"/>
    <w:rsid w:val="00D311B3"/>
    <w:rsid w:val="00D319CF"/>
    <w:rsid w:val="00D33CE4"/>
    <w:rsid w:val="00D34AA9"/>
    <w:rsid w:val="00D35826"/>
    <w:rsid w:val="00D35ECE"/>
    <w:rsid w:val="00D36EC8"/>
    <w:rsid w:val="00D40B24"/>
    <w:rsid w:val="00D41F9C"/>
    <w:rsid w:val="00D4200E"/>
    <w:rsid w:val="00D445C4"/>
    <w:rsid w:val="00D461A2"/>
    <w:rsid w:val="00D54A7B"/>
    <w:rsid w:val="00D572CD"/>
    <w:rsid w:val="00D57319"/>
    <w:rsid w:val="00D605C6"/>
    <w:rsid w:val="00D60DB6"/>
    <w:rsid w:val="00D62A7B"/>
    <w:rsid w:val="00D62C66"/>
    <w:rsid w:val="00D6477D"/>
    <w:rsid w:val="00D678B7"/>
    <w:rsid w:val="00D67BC7"/>
    <w:rsid w:val="00D71424"/>
    <w:rsid w:val="00D71CC2"/>
    <w:rsid w:val="00D760E3"/>
    <w:rsid w:val="00D76A02"/>
    <w:rsid w:val="00D820A7"/>
    <w:rsid w:val="00D82E20"/>
    <w:rsid w:val="00D87EB4"/>
    <w:rsid w:val="00D91C74"/>
    <w:rsid w:val="00D93DB7"/>
    <w:rsid w:val="00DA0B07"/>
    <w:rsid w:val="00DA2727"/>
    <w:rsid w:val="00DA287F"/>
    <w:rsid w:val="00DA56ED"/>
    <w:rsid w:val="00DA7E47"/>
    <w:rsid w:val="00DB25DF"/>
    <w:rsid w:val="00DB65D4"/>
    <w:rsid w:val="00DC1C71"/>
    <w:rsid w:val="00DC2968"/>
    <w:rsid w:val="00DC3BF3"/>
    <w:rsid w:val="00DC40DD"/>
    <w:rsid w:val="00DC4241"/>
    <w:rsid w:val="00DC457F"/>
    <w:rsid w:val="00DC515A"/>
    <w:rsid w:val="00DC6E90"/>
    <w:rsid w:val="00DC7E5A"/>
    <w:rsid w:val="00DD0DC8"/>
    <w:rsid w:val="00DE07FC"/>
    <w:rsid w:val="00DE2187"/>
    <w:rsid w:val="00DE6F23"/>
    <w:rsid w:val="00DE7833"/>
    <w:rsid w:val="00DF07B3"/>
    <w:rsid w:val="00DF36B6"/>
    <w:rsid w:val="00DF4241"/>
    <w:rsid w:val="00DF5C37"/>
    <w:rsid w:val="00DF6B41"/>
    <w:rsid w:val="00DF6E41"/>
    <w:rsid w:val="00E004FF"/>
    <w:rsid w:val="00E0074D"/>
    <w:rsid w:val="00E02447"/>
    <w:rsid w:val="00E0264B"/>
    <w:rsid w:val="00E03B2D"/>
    <w:rsid w:val="00E04D7C"/>
    <w:rsid w:val="00E0546B"/>
    <w:rsid w:val="00E066C0"/>
    <w:rsid w:val="00E113B3"/>
    <w:rsid w:val="00E116EB"/>
    <w:rsid w:val="00E17B8A"/>
    <w:rsid w:val="00E204BE"/>
    <w:rsid w:val="00E20E56"/>
    <w:rsid w:val="00E221D6"/>
    <w:rsid w:val="00E24B91"/>
    <w:rsid w:val="00E300EA"/>
    <w:rsid w:val="00E30CB0"/>
    <w:rsid w:val="00E31F20"/>
    <w:rsid w:val="00E32D32"/>
    <w:rsid w:val="00E3311E"/>
    <w:rsid w:val="00E36A4E"/>
    <w:rsid w:val="00E37361"/>
    <w:rsid w:val="00E37B82"/>
    <w:rsid w:val="00E411F4"/>
    <w:rsid w:val="00E42F5E"/>
    <w:rsid w:val="00E4323F"/>
    <w:rsid w:val="00E44680"/>
    <w:rsid w:val="00E4589B"/>
    <w:rsid w:val="00E50A75"/>
    <w:rsid w:val="00E50B9B"/>
    <w:rsid w:val="00E52504"/>
    <w:rsid w:val="00E53931"/>
    <w:rsid w:val="00E54414"/>
    <w:rsid w:val="00E57E1F"/>
    <w:rsid w:val="00E62C76"/>
    <w:rsid w:val="00E64D1E"/>
    <w:rsid w:val="00E67866"/>
    <w:rsid w:val="00E67B81"/>
    <w:rsid w:val="00E725D7"/>
    <w:rsid w:val="00E733CE"/>
    <w:rsid w:val="00E76CF6"/>
    <w:rsid w:val="00E810FA"/>
    <w:rsid w:val="00E81A3D"/>
    <w:rsid w:val="00E81A77"/>
    <w:rsid w:val="00E84505"/>
    <w:rsid w:val="00E85065"/>
    <w:rsid w:val="00E86C9A"/>
    <w:rsid w:val="00E876DF"/>
    <w:rsid w:val="00E91705"/>
    <w:rsid w:val="00E93F31"/>
    <w:rsid w:val="00E93FC7"/>
    <w:rsid w:val="00EA0905"/>
    <w:rsid w:val="00EA51B8"/>
    <w:rsid w:val="00EA6211"/>
    <w:rsid w:val="00EA6989"/>
    <w:rsid w:val="00EB285E"/>
    <w:rsid w:val="00EB593B"/>
    <w:rsid w:val="00EB7296"/>
    <w:rsid w:val="00EB7503"/>
    <w:rsid w:val="00EB7940"/>
    <w:rsid w:val="00EB7A66"/>
    <w:rsid w:val="00EB7B4B"/>
    <w:rsid w:val="00EC2355"/>
    <w:rsid w:val="00EC7CDC"/>
    <w:rsid w:val="00ED0E2B"/>
    <w:rsid w:val="00ED3D49"/>
    <w:rsid w:val="00ED5672"/>
    <w:rsid w:val="00ED5E22"/>
    <w:rsid w:val="00ED6830"/>
    <w:rsid w:val="00EE54B5"/>
    <w:rsid w:val="00EE60A2"/>
    <w:rsid w:val="00EE7F72"/>
    <w:rsid w:val="00EF12D7"/>
    <w:rsid w:val="00EF1E55"/>
    <w:rsid w:val="00F02990"/>
    <w:rsid w:val="00F02E8B"/>
    <w:rsid w:val="00F04944"/>
    <w:rsid w:val="00F05B51"/>
    <w:rsid w:val="00F07F07"/>
    <w:rsid w:val="00F10AEF"/>
    <w:rsid w:val="00F20456"/>
    <w:rsid w:val="00F20460"/>
    <w:rsid w:val="00F209DE"/>
    <w:rsid w:val="00F20E0E"/>
    <w:rsid w:val="00F210B8"/>
    <w:rsid w:val="00F24645"/>
    <w:rsid w:val="00F252B0"/>
    <w:rsid w:val="00F25936"/>
    <w:rsid w:val="00F259D0"/>
    <w:rsid w:val="00F261EB"/>
    <w:rsid w:val="00F26B2A"/>
    <w:rsid w:val="00F3057C"/>
    <w:rsid w:val="00F30683"/>
    <w:rsid w:val="00F316B1"/>
    <w:rsid w:val="00F31B21"/>
    <w:rsid w:val="00F4002C"/>
    <w:rsid w:val="00F455DD"/>
    <w:rsid w:val="00F50A78"/>
    <w:rsid w:val="00F56549"/>
    <w:rsid w:val="00F56891"/>
    <w:rsid w:val="00F60809"/>
    <w:rsid w:val="00F62F42"/>
    <w:rsid w:val="00F70E17"/>
    <w:rsid w:val="00F7283B"/>
    <w:rsid w:val="00F75986"/>
    <w:rsid w:val="00F76666"/>
    <w:rsid w:val="00F802F7"/>
    <w:rsid w:val="00F80CFB"/>
    <w:rsid w:val="00F80F3B"/>
    <w:rsid w:val="00F81A27"/>
    <w:rsid w:val="00F85FB1"/>
    <w:rsid w:val="00F8778A"/>
    <w:rsid w:val="00F90A18"/>
    <w:rsid w:val="00F9744D"/>
    <w:rsid w:val="00FA09DC"/>
    <w:rsid w:val="00FA1715"/>
    <w:rsid w:val="00FA463D"/>
    <w:rsid w:val="00FA5D19"/>
    <w:rsid w:val="00FB3201"/>
    <w:rsid w:val="00FB541F"/>
    <w:rsid w:val="00FB54DA"/>
    <w:rsid w:val="00FB75B4"/>
    <w:rsid w:val="00FC18E6"/>
    <w:rsid w:val="00FC509D"/>
    <w:rsid w:val="00FC7B12"/>
    <w:rsid w:val="00FD039B"/>
    <w:rsid w:val="00FD0620"/>
    <w:rsid w:val="00FD5024"/>
    <w:rsid w:val="00FD5AD2"/>
    <w:rsid w:val="00FD5B5B"/>
    <w:rsid w:val="00FD764E"/>
    <w:rsid w:val="00FE0E0F"/>
    <w:rsid w:val="00FE2567"/>
    <w:rsid w:val="00FE28EC"/>
    <w:rsid w:val="00FE39C0"/>
    <w:rsid w:val="00FE3FEB"/>
    <w:rsid w:val="00FE4486"/>
    <w:rsid w:val="00FE5BAF"/>
    <w:rsid w:val="00FF0999"/>
    <w:rsid w:val="00FF1AD6"/>
    <w:rsid w:val="00FF62DE"/>
    <w:rsid w:val="00FF6EA3"/>
    <w:rsid w:val="00FF76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AE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line="360" w:lineRule="auto"/>
      <w:outlineLvl w:val="0"/>
    </w:pPr>
    <w:rPr>
      <w:rFonts w:ascii="Verdana" w:hAnsi="Verdana"/>
      <w:color w:val="275D81"/>
      <w:kern w:val="32"/>
      <w:sz w:val="56"/>
      <w:szCs w:val="32"/>
    </w:rPr>
  </w:style>
  <w:style w:type="paragraph" w:styleId="Heading2">
    <w:name w:val="heading 2"/>
    <w:aliases w:val="Heading 1.1"/>
    <w:basedOn w:val="Normal"/>
    <w:next w:val="Normal"/>
    <w:qFormat/>
    <w:pPr>
      <w:keepNext/>
      <w:spacing w:before="240" w:after="60" w:line="360" w:lineRule="auto"/>
      <w:outlineLvl w:val="1"/>
    </w:pPr>
    <w:rPr>
      <w:rFonts w:ascii="Verdana" w:hAnsi="Verdana"/>
      <w:b/>
      <w:color w:val="631013"/>
      <w:sz w:val="36"/>
      <w:szCs w:val="28"/>
    </w:rPr>
  </w:style>
  <w:style w:type="paragraph" w:styleId="Heading3">
    <w:name w:val="heading 3"/>
    <w:basedOn w:val="Normal"/>
    <w:next w:val="Normal"/>
    <w:qFormat/>
    <w:pPr>
      <w:keepNext/>
      <w:spacing w:before="240" w:after="60" w:line="360" w:lineRule="auto"/>
      <w:outlineLvl w:val="2"/>
    </w:pPr>
    <w:rPr>
      <w:rFonts w:ascii="Verdana" w:hAnsi="Verdana"/>
      <w:b/>
      <w:color w:val="0F1277"/>
      <w:sz w:val="26"/>
      <w:szCs w:val="26"/>
    </w:rPr>
  </w:style>
  <w:style w:type="paragraph" w:styleId="Heading4">
    <w:name w:val="heading 4"/>
    <w:basedOn w:val="Normal"/>
    <w:next w:val="Normal"/>
    <w:qFormat/>
    <w:pPr>
      <w:keepNext/>
      <w:outlineLvl w:val="3"/>
    </w:pPr>
    <w:rPr>
      <w:b/>
      <w:bCs/>
      <w:lang w:val="en-IE"/>
    </w:rPr>
  </w:style>
  <w:style w:type="paragraph" w:styleId="Heading5">
    <w:name w:val="heading 5"/>
    <w:basedOn w:val="Normal"/>
    <w:next w:val="Normal"/>
    <w:qFormat/>
    <w:pPr>
      <w:keepNext/>
      <w:outlineLvl w:val="4"/>
    </w:pPr>
    <w:rPr>
      <w:b/>
      <w:bCs/>
      <w:i/>
      <w:iCs/>
      <w:sz w:val="22"/>
      <w:lang w:val="en-IE"/>
    </w:rPr>
  </w:style>
  <w:style w:type="paragraph" w:styleId="Heading6">
    <w:name w:val="heading 6"/>
    <w:basedOn w:val="Normal"/>
    <w:next w:val="Normal"/>
    <w:qFormat/>
    <w:pPr>
      <w:keepNext/>
      <w:outlineLvl w:val="5"/>
    </w:pPr>
    <w:rPr>
      <w:color w:val="FF0000"/>
      <w:sz w:val="22"/>
      <w:szCs w:val="20"/>
      <w:u w:val="single"/>
    </w:rPr>
  </w:style>
  <w:style w:type="paragraph" w:styleId="Heading7">
    <w:name w:val="heading 7"/>
    <w:basedOn w:val="Normal"/>
    <w:next w:val="Normal"/>
    <w:qFormat/>
    <w:pPr>
      <w:keepNext/>
      <w:jc w:val="center"/>
      <w:outlineLvl w:val="6"/>
    </w:pPr>
    <w:rPr>
      <w:b/>
      <w:bCs/>
      <w:sz w:val="22"/>
      <w:szCs w:val="20"/>
      <w:lang w:val="en-IE"/>
    </w:rPr>
  </w:style>
  <w:style w:type="paragraph" w:styleId="Heading8">
    <w:name w:val="heading 8"/>
    <w:basedOn w:val="Normal"/>
    <w:next w:val="Normal"/>
    <w:qFormat/>
    <w:pPr>
      <w:keepNext/>
      <w:outlineLvl w:val="7"/>
    </w:pPr>
    <w:rPr>
      <w:b/>
      <w:bCs/>
      <w:sz w:val="22"/>
      <w:u w:val="single"/>
    </w:rPr>
  </w:style>
  <w:style w:type="paragraph" w:styleId="Heading9">
    <w:name w:val="heading 9"/>
    <w:basedOn w:val="Normal"/>
    <w:next w:val="Normal"/>
    <w:qFormat/>
    <w:pPr>
      <w:keepNext/>
      <w:spacing w:line="360" w:lineRule="auto"/>
      <w:outlineLvl w:val="8"/>
    </w:pPr>
    <w:rPr>
      <w:rFonts w:ascii="Verdana" w:hAnsi="Verdana"/>
      <w:color w:val="FFFFFF"/>
      <w:sz w:val="4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rPr>
      <w:szCs w:val="20"/>
    </w:rPr>
  </w:style>
  <w:style w:type="paragraph" w:styleId="Header">
    <w:name w:val="header"/>
    <w:basedOn w:val="Normal"/>
    <w:link w:val="HeaderChar"/>
    <w:uiPriority w:val="99"/>
    <w:pPr>
      <w:tabs>
        <w:tab w:val="center" w:pos="4320"/>
        <w:tab w:val="right" w:pos="8640"/>
      </w:tabs>
      <w:spacing w:line="360" w:lineRule="auto"/>
    </w:pPr>
    <w:rPr>
      <w:rFonts w:ascii="Verdana" w:hAnsi="Verdana"/>
      <w:sz w:val="22"/>
      <w:szCs w:val="20"/>
    </w:rPr>
  </w:style>
  <w:style w:type="paragraph" w:styleId="Title">
    <w:name w:val="Title"/>
    <w:basedOn w:val="Normal"/>
    <w:qFormat/>
    <w:pPr>
      <w:jc w:val="center"/>
    </w:pPr>
    <w:rPr>
      <w:b/>
      <w:bCs/>
      <w:sz w:val="36"/>
      <w:lang w:val="en-IE"/>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BodyTextIndent">
    <w:name w:val="Body Text Indent"/>
    <w:basedOn w:val="Normal"/>
    <w:semiHidden/>
    <w:pPr>
      <w:ind w:left="-798"/>
    </w:pPr>
    <w:rPr>
      <w:sz w:val="22"/>
      <w:szCs w:val="20"/>
      <w:lang w:val="en-IE"/>
    </w:rPr>
  </w:style>
  <w:style w:type="paragraph" w:customStyle="1" w:styleId="Body">
    <w:name w:val="Body"/>
    <w:basedOn w:val="Normal"/>
    <w:pPr>
      <w:overflowPunct w:val="0"/>
      <w:autoSpaceDE w:val="0"/>
      <w:autoSpaceDN w:val="0"/>
      <w:adjustRightInd w:val="0"/>
      <w:spacing w:after="360" w:line="360" w:lineRule="auto"/>
      <w:jc w:val="both"/>
      <w:textAlignment w:val="baseline"/>
    </w:pPr>
    <w:rPr>
      <w:szCs w:val="20"/>
    </w:rPr>
  </w:style>
  <w:style w:type="paragraph" w:styleId="BodyTextIndent2">
    <w:name w:val="Body Text Indent 2"/>
    <w:basedOn w:val="Normal"/>
    <w:semiHidden/>
    <w:pPr>
      <w:ind w:left="369"/>
    </w:pPr>
    <w:rPr>
      <w:rFonts w:ascii="Arial" w:hAnsi="Arial" w:cs="Arial"/>
      <w:szCs w:val="20"/>
    </w:rPr>
  </w:style>
  <w:style w:type="paragraph" w:styleId="BodyTextIndent3">
    <w:name w:val="Body Text Indent 3"/>
    <w:basedOn w:val="Normal"/>
    <w:semiHidden/>
    <w:pPr>
      <w:ind w:left="-567"/>
      <w:jc w:val="both"/>
    </w:pPr>
    <w:rPr>
      <w:sz w:val="22"/>
      <w:szCs w:val="20"/>
    </w:rPr>
  </w:style>
  <w:style w:type="paragraph" w:styleId="BodyText2">
    <w:name w:val="Body Text 2"/>
    <w:basedOn w:val="Normal"/>
    <w:semiHidden/>
    <w:pPr>
      <w:jc w:val="both"/>
    </w:pPr>
    <w:rPr>
      <w:sz w:val="22"/>
      <w:szCs w:val="20"/>
    </w:rPr>
  </w:style>
  <w:style w:type="paragraph" w:styleId="BodyText">
    <w:name w:val="Body Text"/>
    <w:basedOn w:val="Normal"/>
    <w:semiHidden/>
    <w:rPr>
      <w:sz w:val="22"/>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spacing w:line="360" w:lineRule="auto"/>
    </w:pPr>
    <w:rPr>
      <w:rFonts w:ascii="Verdana" w:hAnsi="Verdana"/>
      <w:sz w:val="22"/>
      <w:szCs w:val="20"/>
    </w:rPr>
  </w:style>
  <w:style w:type="character" w:customStyle="1" w:styleId="HeaderChar">
    <w:name w:val="Header Char"/>
    <w:link w:val="Header"/>
    <w:uiPriority w:val="99"/>
    <w:rsid w:val="008F37E1"/>
    <w:rPr>
      <w:rFonts w:ascii="Verdana" w:hAnsi="Verdana"/>
      <w:sz w:val="22"/>
      <w:lang w:val="en-GB" w:eastAsia="en-US"/>
    </w:rPr>
  </w:style>
  <w:style w:type="paragraph" w:customStyle="1" w:styleId="Noparagraphstyle">
    <w:name w:val="[No paragraph style]"/>
    <w:uiPriority w:val="99"/>
    <w:rsid w:val="00544DFF"/>
    <w:pPr>
      <w:widowControl w:val="0"/>
      <w:autoSpaceDE w:val="0"/>
      <w:autoSpaceDN w:val="0"/>
      <w:adjustRightInd w:val="0"/>
      <w:spacing w:line="288" w:lineRule="auto"/>
      <w:textAlignment w:val="center"/>
    </w:pPr>
    <w:rPr>
      <w:rFonts w:ascii="Times-Roman" w:hAnsi="Times-Roman" w:cs="Times-Roman"/>
      <w:color w:val="000000"/>
      <w:sz w:val="24"/>
      <w:szCs w:val="24"/>
      <w:lang w:val="en-GB" w:eastAsia="en-US"/>
    </w:rPr>
  </w:style>
  <w:style w:type="character" w:customStyle="1" w:styleId="HelvBold">
    <w:name w:val="Helv Bold"/>
    <w:uiPriority w:val="99"/>
    <w:rsid w:val="00544DFF"/>
    <w:rPr>
      <w:rFonts w:ascii="HelveticaNeueLTStd-Bd" w:hAnsi="HelveticaNeueLTStd-Bd"/>
      <w:b/>
    </w:rPr>
  </w:style>
  <w:style w:type="paragraph" w:styleId="BalloonText">
    <w:name w:val="Balloon Text"/>
    <w:basedOn w:val="Normal"/>
    <w:link w:val="BalloonTextChar"/>
    <w:uiPriority w:val="99"/>
    <w:semiHidden/>
    <w:unhideWhenUsed/>
    <w:rsid w:val="005F6B01"/>
    <w:rPr>
      <w:rFonts w:ascii="Tahoma" w:hAnsi="Tahoma"/>
      <w:sz w:val="16"/>
      <w:szCs w:val="16"/>
    </w:rPr>
  </w:style>
  <w:style w:type="character" w:customStyle="1" w:styleId="BalloonTextChar">
    <w:name w:val="Balloon Text Char"/>
    <w:link w:val="BalloonText"/>
    <w:uiPriority w:val="99"/>
    <w:semiHidden/>
    <w:rsid w:val="005F6B01"/>
    <w:rPr>
      <w:rFonts w:ascii="Tahoma" w:hAnsi="Tahoma" w:cs="Tahoma"/>
      <w:sz w:val="16"/>
      <w:szCs w:val="16"/>
      <w:lang w:val="en-GB" w:eastAsia="en-US"/>
    </w:rPr>
  </w:style>
  <w:style w:type="paragraph" w:styleId="EndnoteText">
    <w:name w:val="endnote text"/>
    <w:basedOn w:val="Normal"/>
    <w:link w:val="EndnoteTextChar"/>
    <w:uiPriority w:val="99"/>
    <w:semiHidden/>
    <w:unhideWhenUsed/>
    <w:rsid w:val="00A4638A"/>
    <w:rPr>
      <w:sz w:val="20"/>
      <w:szCs w:val="20"/>
    </w:rPr>
  </w:style>
  <w:style w:type="character" w:customStyle="1" w:styleId="EndnoteTextChar">
    <w:name w:val="Endnote Text Char"/>
    <w:link w:val="EndnoteText"/>
    <w:uiPriority w:val="99"/>
    <w:semiHidden/>
    <w:rsid w:val="00A4638A"/>
    <w:rPr>
      <w:lang w:val="en-GB" w:eastAsia="en-US"/>
    </w:rPr>
  </w:style>
  <w:style w:type="character" w:styleId="EndnoteReference">
    <w:name w:val="endnote reference"/>
    <w:uiPriority w:val="99"/>
    <w:semiHidden/>
    <w:unhideWhenUsed/>
    <w:rsid w:val="00A4638A"/>
    <w:rPr>
      <w:vertAlign w:val="superscript"/>
    </w:rPr>
  </w:style>
  <w:style w:type="character" w:styleId="CommentReference">
    <w:name w:val="annotation reference"/>
    <w:uiPriority w:val="99"/>
    <w:semiHidden/>
    <w:unhideWhenUsed/>
    <w:rsid w:val="00BB028B"/>
    <w:rPr>
      <w:sz w:val="16"/>
      <w:szCs w:val="16"/>
    </w:rPr>
  </w:style>
  <w:style w:type="paragraph" w:styleId="CommentText">
    <w:name w:val="annotation text"/>
    <w:basedOn w:val="Normal"/>
    <w:link w:val="CommentTextChar"/>
    <w:uiPriority w:val="99"/>
    <w:semiHidden/>
    <w:unhideWhenUsed/>
    <w:rsid w:val="00BB028B"/>
    <w:rPr>
      <w:sz w:val="20"/>
      <w:szCs w:val="20"/>
    </w:rPr>
  </w:style>
  <w:style w:type="character" w:customStyle="1" w:styleId="CommentTextChar">
    <w:name w:val="Comment Text Char"/>
    <w:link w:val="CommentText"/>
    <w:uiPriority w:val="99"/>
    <w:semiHidden/>
    <w:rsid w:val="00BB028B"/>
    <w:rPr>
      <w:lang w:val="en-GB" w:eastAsia="en-US"/>
    </w:rPr>
  </w:style>
  <w:style w:type="paragraph" w:styleId="CommentSubject">
    <w:name w:val="annotation subject"/>
    <w:basedOn w:val="CommentText"/>
    <w:next w:val="CommentText"/>
    <w:link w:val="CommentSubjectChar"/>
    <w:uiPriority w:val="99"/>
    <w:semiHidden/>
    <w:unhideWhenUsed/>
    <w:rsid w:val="00BB028B"/>
    <w:rPr>
      <w:b/>
      <w:bCs/>
    </w:rPr>
  </w:style>
  <w:style w:type="character" w:customStyle="1" w:styleId="CommentSubjectChar">
    <w:name w:val="Comment Subject Char"/>
    <w:link w:val="CommentSubject"/>
    <w:uiPriority w:val="99"/>
    <w:semiHidden/>
    <w:rsid w:val="00BB028B"/>
    <w:rPr>
      <w:b/>
      <w:bCs/>
      <w:lang w:val="en-GB" w:eastAsia="en-US"/>
    </w:rPr>
  </w:style>
  <w:style w:type="character" w:styleId="Hyperlink">
    <w:name w:val="Hyperlink"/>
    <w:uiPriority w:val="99"/>
    <w:semiHidden/>
    <w:unhideWhenUsed/>
    <w:rsid w:val="00EB7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62094">
      <w:bodyDiv w:val="1"/>
      <w:marLeft w:val="0"/>
      <w:marRight w:val="0"/>
      <w:marTop w:val="0"/>
      <w:marBottom w:val="0"/>
      <w:divBdr>
        <w:top w:val="none" w:sz="0" w:space="0" w:color="auto"/>
        <w:left w:val="none" w:sz="0" w:space="0" w:color="auto"/>
        <w:bottom w:val="none" w:sz="0" w:space="0" w:color="auto"/>
        <w:right w:val="none" w:sz="0" w:space="0" w:color="auto"/>
      </w:divBdr>
    </w:div>
    <w:div w:id="7637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entralbank.ie/fns/privacy-statemen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taprotection@centralbank.i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0A957-1D02-4BD9-BEDF-A5270A2775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250FE7-65BB-4EC6-BC78-CBD43A21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QIAIF Orion Application Form Section 2 Prospectus</vt:lpstr>
    </vt:vector>
  </TitlesOfParts>
  <Company/>
  <LinksUpToDate>false</LinksUpToDate>
  <CharactersWithSpaces>55677</CharactersWithSpaces>
  <SharedDoc>false</SharedDoc>
  <HLinks>
    <vt:vector size="12" baseType="variant">
      <vt:variant>
        <vt:i4>8126561</vt:i4>
      </vt:variant>
      <vt:variant>
        <vt:i4>3</vt:i4>
      </vt:variant>
      <vt:variant>
        <vt:i4>0</vt:i4>
      </vt:variant>
      <vt:variant>
        <vt:i4>5</vt:i4>
      </vt:variant>
      <vt:variant>
        <vt:lpwstr>http://www.centralbank.ie/fns/privacy-statement</vt:lpwstr>
      </vt:variant>
      <vt:variant>
        <vt:lpwstr/>
      </vt:variant>
      <vt:variant>
        <vt:i4>6553688</vt:i4>
      </vt:variant>
      <vt:variant>
        <vt:i4>0</vt:i4>
      </vt:variant>
      <vt:variant>
        <vt:i4>0</vt:i4>
      </vt:variant>
      <vt:variant>
        <vt:i4>5</vt:i4>
      </vt:variant>
      <vt:variant>
        <vt:lpwstr>mailto:dataprotection@centralbank.ie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QIAIF Orion Application Form Section 2 Prospectus</dc:title>
  <dc:subject/>
  <dc:creator/>
  <cp:keywords>Public</cp:keywords>
  <cp:lastModifiedBy/>
  <cp:revision>1</cp:revision>
  <dcterms:created xsi:type="dcterms:W3CDTF">2021-11-19T11:24:00Z</dcterms:created>
  <dcterms:modified xsi:type="dcterms:W3CDTF">2021-11-19T11:24:00Z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86a9fa4a-42f7-4d8f-a445-42bf73059628</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