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13" w:rsidRPr="00A25701" w:rsidRDefault="00A25701" w:rsidP="00070217">
      <w:pPr>
        <w:spacing w:before="60" w:after="60"/>
        <w:jc w:val="center"/>
        <w:rPr>
          <w:rFonts w:ascii="Times New Roman" w:hAnsi="Times New Roman" w:cs="Times New Roman"/>
          <w:b/>
          <w:iCs/>
          <w:sz w:val="16"/>
          <w:szCs w:val="16"/>
        </w:rPr>
      </w:pPr>
      <w:bookmarkStart w:id="0" w:name="_GoBack"/>
      <w:bookmarkEnd w:id="0"/>
      <w:r w:rsidRPr="00A25701">
        <w:rPr>
          <w:rFonts w:ascii="Times New Roman" w:hAnsi="Times New Roman" w:cs="Times New Roman"/>
          <w:b/>
          <w:iCs/>
          <w:sz w:val="16"/>
          <w:szCs w:val="16"/>
        </w:rPr>
        <w:t>ANNEX 25</w:t>
      </w:r>
    </w:p>
    <w:p w:rsidR="00A25701" w:rsidRPr="00A25701" w:rsidRDefault="00A25701" w:rsidP="00A25701">
      <w:pPr>
        <w:spacing w:before="120" w:after="120"/>
        <w:jc w:val="center"/>
        <w:rPr>
          <w:rFonts w:ascii="Times New Roman" w:eastAsiaTheme="minorHAnsi" w:hAnsi="Times New Roman" w:cs="Times New Roman"/>
          <w:b/>
          <w:bCs/>
          <w:color w:val="000000"/>
          <w:sz w:val="16"/>
          <w:szCs w:val="16"/>
          <w:lang w:val="en-IE" w:eastAsia="en-US"/>
        </w:rPr>
      </w:pPr>
      <w:r w:rsidRPr="00A25701">
        <w:rPr>
          <w:rFonts w:ascii="Times New Roman" w:eastAsiaTheme="minorHAnsi" w:hAnsi="Times New Roman" w:cs="Times New Roman"/>
          <w:b/>
          <w:bCs/>
          <w:color w:val="000000"/>
          <w:sz w:val="16"/>
          <w:szCs w:val="16"/>
          <w:lang w:val="en-IE" w:eastAsia="en-US"/>
        </w:rPr>
        <w:t>EU GROWTH REGISTRATION DOCUMENT FOR NON-EQUITY SECURITIES</w:t>
      </w:r>
    </w:p>
    <w:p w:rsidR="00070217" w:rsidRPr="00A25701" w:rsidRDefault="00070217" w:rsidP="00070217">
      <w:pPr>
        <w:spacing w:before="120" w:after="120"/>
        <w:rPr>
          <w:rFonts w:ascii="Times New Roman" w:hAnsi="Times New Roman" w:cs="Times New Roman"/>
          <w:i/>
          <w:iCs/>
          <w:color w:val="000000"/>
          <w:sz w:val="16"/>
          <w:szCs w:val="16"/>
        </w:rPr>
      </w:pPr>
      <w:r w:rsidRPr="00A25701">
        <w:rPr>
          <w:rFonts w:ascii="Times New Roman" w:hAnsi="Times New Roman" w:cs="Times New Roman"/>
          <w:i/>
          <w:iCs/>
          <w:color w:val="000000"/>
          <w:sz w:val="16"/>
          <w:szCs w:val="16"/>
        </w:rPr>
        <w:t>Issuer Name:</w:t>
      </w:r>
    </w:p>
    <w:p w:rsidR="00070217" w:rsidRPr="00A25701" w:rsidRDefault="00070217" w:rsidP="00070217">
      <w:pPr>
        <w:spacing w:before="120" w:after="120"/>
        <w:rPr>
          <w:rFonts w:ascii="Times New Roman" w:hAnsi="Times New Roman" w:cs="Times New Roman"/>
          <w:color w:val="000000"/>
          <w:sz w:val="16"/>
          <w:szCs w:val="16"/>
        </w:rPr>
      </w:pPr>
      <w:r w:rsidRPr="00A25701">
        <w:rPr>
          <w:rFonts w:ascii="Times New Roman" w:hAnsi="Times New Roman" w:cs="Times New Roman"/>
          <w:i/>
          <w:iCs/>
          <w:color w:val="000000"/>
          <w:sz w:val="16"/>
          <w:szCs w:val="16"/>
        </w:rPr>
        <w:t>Transaction Name (if applicable):</w:t>
      </w:r>
    </w:p>
    <w:p w:rsidR="00070217" w:rsidRPr="00A25701" w:rsidRDefault="00070217" w:rsidP="00070217">
      <w:pPr>
        <w:spacing w:before="120" w:after="120"/>
        <w:rPr>
          <w:rFonts w:ascii="Times New Roman" w:hAnsi="Times New Roman" w:cs="Times New Roman"/>
          <w:color w:val="000000"/>
          <w:sz w:val="16"/>
          <w:szCs w:val="16"/>
        </w:rPr>
      </w:pPr>
      <w:r w:rsidRPr="00A25701">
        <w:rPr>
          <w:rFonts w:ascii="Times New Roman" w:hAnsi="Times New Roman" w:cs="Times New Roman"/>
          <w:i/>
          <w:iCs/>
          <w:color w:val="000000"/>
          <w:sz w:val="16"/>
          <w:szCs w:val="16"/>
        </w:rPr>
        <w:t>Agent:</w:t>
      </w:r>
    </w:p>
    <w:p w:rsidR="00070217" w:rsidRPr="00A25701" w:rsidRDefault="00070217" w:rsidP="00070217">
      <w:pPr>
        <w:spacing w:before="120" w:after="120"/>
        <w:rPr>
          <w:rFonts w:ascii="Times New Roman" w:hAnsi="Times New Roman" w:cs="Times New Roman"/>
          <w:sz w:val="16"/>
          <w:szCs w:val="16"/>
        </w:rPr>
      </w:pPr>
      <w:r w:rsidRPr="00A25701">
        <w:rPr>
          <w:rFonts w:ascii="Times New Roman" w:hAnsi="Times New Roman" w:cs="Times New Roman"/>
          <w:i/>
          <w:iCs/>
          <w:color w:val="000000"/>
          <w:sz w:val="16"/>
          <w:szCs w:val="16"/>
        </w:rPr>
        <w:t xml:space="preserve">Date Submitted: </w:t>
      </w:r>
    </w:p>
    <w:p w:rsidR="00070217" w:rsidRPr="00A25701" w:rsidRDefault="00070217" w:rsidP="00070217">
      <w:pPr>
        <w:spacing w:before="60" w:after="60"/>
        <w:rPr>
          <w:rFonts w:ascii="Times New Roman" w:hAnsi="Times New Roman" w:cs="Times New Roman"/>
          <w:sz w:val="16"/>
          <w:szCs w:val="16"/>
        </w:rPr>
      </w:pPr>
    </w:p>
    <w:tbl>
      <w:tblPr>
        <w:tblW w:w="534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84"/>
        <w:gridCol w:w="4213"/>
        <w:gridCol w:w="699"/>
        <w:gridCol w:w="1195"/>
        <w:gridCol w:w="2441"/>
      </w:tblGrid>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000000" w:themeFill="text1"/>
          </w:tcPr>
          <w:p w:rsidR="00A25701" w:rsidRPr="00A25701" w:rsidRDefault="00A25701" w:rsidP="00A25701">
            <w:pPr>
              <w:spacing w:before="60" w:after="60"/>
              <w:jc w:val="left"/>
              <w:rPr>
                <w:rFonts w:ascii="Times New Roman" w:eastAsia="Times New Roman" w:hAnsi="Times New Roman" w:cs="Times New Roman"/>
                <w:b/>
                <w:color w:val="FFFFFF" w:themeColor="background1"/>
                <w:sz w:val="16"/>
                <w:szCs w:val="16"/>
                <w:lang w:val="en-IE" w:eastAsia="en-IE"/>
              </w:rPr>
            </w:pPr>
            <w:r w:rsidRPr="00A25701">
              <w:rPr>
                <w:rFonts w:ascii="Times New Roman" w:eastAsia="Times New Roman" w:hAnsi="Times New Roman" w:cs="Times New Roman"/>
                <w:b/>
                <w:color w:val="FFFFFF" w:themeColor="background1"/>
                <w:sz w:val="16"/>
                <w:szCs w:val="16"/>
                <w:lang w:val="en-IE" w:eastAsia="en-IE"/>
              </w:rPr>
              <w:t>Rule</w:t>
            </w:r>
          </w:p>
        </w:tc>
        <w:tc>
          <w:tcPr>
            <w:tcW w:w="2202" w:type="pct"/>
            <w:tcBorders>
              <w:top w:val="single" w:sz="6" w:space="0" w:color="000000"/>
              <w:left w:val="single" w:sz="6" w:space="0" w:color="000000"/>
              <w:bottom w:val="single" w:sz="6" w:space="0" w:color="000000"/>
              <w:right w:val="single" w:sz="6" w:space="0" w:color="000000"/>
            </w:tcBorders>
            <w:shd w:val="clear" w:color="auto" w:fill="000000" w:themeFill="text1"/>
          </w:tcPr>
          <w:p w:rsidR="00A25701" w:rsidRPr="00A25701" w:rsidRDefault="00A25701" w:rsidP="00A25701">
            <w:pPr>
              <w:spacing w:before="60" w:after="60"/>
              <w:jc w:val="left"/>
              <w:rPr>
                <w:rFonts w:ascii="Times New Roman" w:eastAsia="Times New Roman" w:hAnsi="Times New Roman" w:cs="Times New Roman"/>
                <w:b/>
                <w:color w:val="FFFFFF" w:themeColor="background1"/>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shd w:val="clear" w:color="auto" w:fill="000000" w:themeFill="text1"/>
          </w:tcPr>
          <w:p w:rsidR="00A25701" w:rsidRPr="00A25701" w:rsidRDefault="00A25701" w:rsidP="00A25701">
            <w:pPr>
              <w:spacing w:before="60" w:after="60"/>
              <w:jc w:val="left"/>
              <w:rPr>
                <w:rFonts w:ascii="Times New Roman" w:eastAsia="Times New Roman" w:hAnsi="Times New Roman" w:cs="Times New Roman"/>
                <w:b/>
                <w:color w:val="FFFFFF" w:themeColor="background1"/>
                <w:sz w:val="16"/>
                <w:szCs w:val="16"/>
                <w:lang w:val="en-IE" w:eastAsia="en-IE"/>
              </w:rPr>
            </w:pPr>
            <w:r w:rsidRPr="00A25701">
              <w:rPr>
                <w:rFonts w:ascii="Times New Roman" w:eastAsia="Times New Roman" w:hAnsi="Times New Roman" w:cs="Times New Roman"/>
                <w:b/>
                <w:color w:val="FFFFFF" w:themeColor="background1"/>
                <w:sz w:val="16"/>
                <w:szCs w:val="16"/>
                <w:lang w:val="en-IE" w:eastAsia="en-IE"/>
              </w:rPr>
              <w:t>Page</w:t>
            </w:r>
          </w:p>
        </w:tc>
        <w:tc>
          <w:tcPr>
            <w:tcW w:w="560" w:type="pct"/>
            <w:tcBorders>
              <w:top w:val="single" w:sz="6" w:space="0" w:color="000000"/>
              <w:left w:val="single" w:sz="6" w:space="0" w:color="000000"/>
              <w:bottom w:val="single" w:sz="6" w:space="0" w:color="000000"/>
              <w:right w:val="single" w:sz="6" w:space="0" w:color="000000"/>
            </w:tcBorders>
            <w:shd w:val="clear" w:color="auto" w:fill="000000" w:themeFill="text1"/>
          </w:tcPr>
          <w:p w:rsidR="00A25701" w:rsidRPr="00A25701" w:rsidRDefault="00A25701" w:rsidP="00A25701">
            <w:pPr>
              <w:spacing w:before="60" w:after="60"/>
              <w:jc w:val="left"/>
              <w:rPr>
                <w:rFonts w:ascii="Times New Roman" w:eastAsia="Times New Roman" w:hAnsi="Times New Roman" w:cs="Times New Roman"/>
                <w:b/>
                <w:color w:val="FFFFFF" w:themeColor="background1"/>
                <w:sz w:val="16"/>
                <w:szCs w:val="16"/>
                <w:lang w:val="en-IE" w:eastAsia="en-IE"/>
              </w:rPr>
            </w:pPr>
            <w:r w:rsidRPr="00A25701">
              <w:rPr>
                <w:rFonts w:ascii="Times New Roman" w:eastAsia="Times New Roman" w:hAnsi="Times New Roman" w:cs="Times New Roman"/>
                <w:b/>
                <w:color w:val="FFFFFF" w:themeColor="background1"/>
                <w:sz w:val="16"/>
                <w:szCs w:val="16"/>
                <w:lang w:val="en-IE" w:eastAsia="en-IE"/>
              </w:rPr>
              <w:t>Paragraph/Proof Number</w:t>
            </w:r>
          </w:p>
        </w:tc>
        <w:tc>
          <w:tcPr>
            <w:tcW w:w="1282" w:type="pct"/>
            <w:tcBorders>
              <w:top w:val="single" w:sz="6" w:space="0" w:color="000000"/>
              <w:left w:val="single" w:sz="6" w:space="0" w:color="000000"/>
              <w:bottom w:val="single" w:sz="6" w:space="0" w:color="000000"/>
              <w:right w:val="single" w:sz="6" w:space="0" w:color="000000"/>
            </w:tcBorders>
            <w:shd w:val="clear" w:color="auto" w:fill="000000" w:themeFill="text1"/>
          </w:tcPr>
          <w:p w:rsidR="00A25701" w:rsidRPr="00A25701" w:rsidRDefault="00A25701" w:rsidP="00A25701">
            <w:pPr>
              <w:spacing w:before="60" w:after="60"/>
              <w:jc w:val="left"/>
              <w:rPr>
                <w:rFonts w:ascii="Times New Roman" w:eastAsia="Times New Roman" w:hAnsi="Times New Roman" w:cs="Times New Roman"/>
                <w:b/>
                <w:color w:val="FFFFFF" w:themeColor="background1"/>
                <w:sz w:val="16"/>
                <w:szCs w:val="16"/>
                <w:lang w:val="en-IE" w:eastAsia="en-IE"/>
              </w:rPr>
            </w:pPr>
            <w:r w:rsidRPr="00A25701">
              <w:rPr>
                <w:rFonts w:ascii="Times New Roman" w:eastAsia="Times New Roman" w:hAnsi="Times New Roman" w:cs="Times New Roman"/>
                <w:b/>
                <w:color w:val="FFFFFF" w:themeColor="background1"/>
                <w:sz w:val="16"/>
                <w:szCs w:val="16"/>
                <w:lang w:val="en-IE" w:eastAsia="en-IE"/>
              </w:rPr>
              <w:t>Comments (where applicable)</w:t>
            </w: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1</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1.1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1.2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1.3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a statement or report attributed to a person as an expert is included in the registration document, provide the following details for that person:</w:t>
            </w:r>
          </w:p>
          <w:tbl>
            <w:tblPr>
              <w:tblW w:w="5000" w:type="pct"/>
              <w:tblCellSpacing w:w="0" w:type="dxa"/>
              <w:tblCellMar>
                <w:left w:w="0" w:type="dxa"/>
                <w:right w:w="0" w:type="dxa"/>
              </w:tblCellMar>
              <w:tblLook w:val="04A0" w:firstRow="1" w:lastRow="0" w:firstColumn="1" w:lastColumn="0" w:noHBand="0" w:noVBand="1"/>
            </w:tblPr>
            <w:tblGrid>
              <w:gridCol w:w="1309"/>
              <w:gridCol w:w="2874"/>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name;</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04"/>
              <w:gridCol w:w="3579"/>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business address;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681"/>
              <w:gridCol w:w="3502"/>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qualifications;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315"/>
              <w:gridCol w:w="3868"/>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(d)</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material interest if any in the issuer.</w:t>
                  </w:r>
                </w:p>
              </w:tc>
            </w:tr>
          </w:tbl>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report has been produced at the issuer’s request, state that the report has been included in the registration document with the consent of the person who has authorised the contents of that part of the registration document for the purpose of the prospectus.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1.4</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1.5</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statement that:</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lastRenderedPageBreak/>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[registration document/prospectus] has been approved by the [name of the competent authority], as competent authority under Regulation (EU) 2017/1129;</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[name of the competent authority] only approves this [registration document/prospectus]as meeting the standards of completeness, comprehensibility and consistency imposed by Regulation (EU) 2017/1129;</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such approval should not be considered as an endorsement of the issuer that is the subject of this [registration document/prospectus];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(d)</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[registration document/prospectus] has been drawn up as part of an EU Growth prospectus in accordance with Article 15 of Regulation (EU) 2017/1129.</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2</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STRATEGY, PERFORMANCE AND BUSINESS ENVIRONMENT</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Information about the issuer:</w:t>
            </w:r>
          </w:p>
          <w:tbl>
            <w:tblPr>
              <w:tblW w:w="5000" w:type="pct"/>
              <w:tblCellSpacing w:w="0" w:type="dxa"/>
              <w:tblCellMar>
                <w:left w:w="0" w:type="dxa"/>
                <w:right w:w="0" w:type="dxa"/>
              </w:tblCellMar>
              <w:tblLook w:val="04A0" w:firstRow="1" w:lastRow="0" w:firstColumn="1" w:lastColumn="0" w:noHBand="0" w:noVBand="1"/>
            </w:tblPr>
            <w:tblGrid>
              <w:gridCol w:w="245"/>
              <w:gridCol w:w="3938"/>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legal and commercial name of the issuer;</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place of registration of the issuer, its registration number and legal entity identifier (‘LEI’);</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date of incorporation and the length of life of the issuer, except where the period is indefinite;</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(d)</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(e)</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any recent events particular to the issuer and which are to a material extent relevant to an evaluation of the issuer’s solvency;</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60"/>
              <w:gridCol w:w="4023"/>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(f)</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credit ratings assigned to an issuer at the request or with the cooperation of the issuer in the rating process.</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2.1.1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information has been included in the registration document;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2.1.2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the expected financing of the issuer’s activities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lastRenderedPageBreak/>
              <w:t>Item 2.2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Business overview</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2.2.1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Principal Activities</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the issuer’s principal activities, including:</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main categories of products sold and/or services performed;</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an indication of any significant new products, services or activities that have been introduced since the publication of the latest audited financial statements.</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2.2.2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Principal Markets</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the principal markets in which the issuer competes.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Organisational structure</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2.3.1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issuer is part of a group and where not covered elsewhere in the registration document and to the extent necessary for an understanding of the issuer’s business as a whole, a diagram of the organisational structure.</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At the choice of the issuer, such diagram may be replaced, or accompanied, by a brief description of the group and the issuer’s position within the group, if this helps to clarify the structure.</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2.3.2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issuer is dependent upon other entities within the group this must be clearly stated together with an explanation of this dependence.</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2.4</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Trend information</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2.4.1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any material adverse change in the prospects of the issuer since the date of its last published audited financial statements;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any significant change in the financial performance of the group since the end of the last financial period for which financial information has been published to the date of the registration document.</w:t>
                  </w:r>
                </w:p>
              </w:tc>
            </w:tr>
          </w:tbl>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points (a) and (b) are not applicable then the issuer should include (an) appropriate negative statement(s) to that effect.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2.5</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Profit forecasts or estimates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2.5.1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an issuer includes on a voluntary basis a profit forecast or estimate in the prospectus, the profit forecast or estimate shall be clear and unambiguous and shall contain a statement setting out the principal assumptions upon which the issuer has based its forecast, or estimate.</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forecast or estimate shall comply with the following principles:</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assumptions must be reasonable, readily understandable by investors, specific and precise and not relate to the general accuracy of the estimates underlying the forecast;</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lastRenderedPageBreak/>
                    <w:t>(c)</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 the case of a forecast, the assumptions shall draw the investor’s attention to those uncertain factors which could materially change the outcome of the forecast.</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2.5.2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prospectus shall include a statement that the profit forecast or estimate has been compiled and prepared on a basis which is both:</w:t>
            </w:r>
          </w:p>
          <w:tbl>
            <w:tblPr>
              <w:tblW w:w="5000" w:type="pct"/>
              <w:tblCellSpacing w:w="0" w:type="dxa"/>
              <w:tblCellMar>
                <w:left w:w="0" w:type="dxa"/>
                <w:right w:w="0" w:type="dxa"/>
              </w:tblCellMar>
              <w:tblLook w:val="04A0" w:firstRow="1" w:lastRow="0" w:firstColumn="1" w:lastColumn="0" w:noHBand="0" w:noVBand="1"/>
            </w:tblPr>
            <w:tblGrid>
              <w:gridCol w:w="225"/>
              <w:gridCol w:w="3958"/>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comparable with the annual financial statements;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42"/>
              <w:gridCol w:w="3941"/>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consistent with the issuer’s accounting policies.</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3</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RISK FACTORS</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The purpose of this section is to describe the main risks faced by the issuer and their impact on the issuer’s future performance.</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3.1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the material risks that are specific to the issuer and that may affect the issuer’s ability to fulfil its obligations under the securities, in a limited number of categories, in a section headed ‘Risk Factors’.</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 each category the most material risks, in the assessment of the issuer or offeror, taking into account the negative impact on the issuer and the probability of their occurrence, shall be set out first. The risks shall be corroborated by the content of the registration document.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4</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CORPORATE GOVERNANCE</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This section shall explain the issuer’s administration and the role of the persons involved in the management of the company.</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4.1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Administrative, management, and supervisory bodies and senior management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4.1.1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Names, business addresses and functions within the issuer of the following persons and an indication of the principal activities performed by them outside of that issuer where these are significant with respect to that issuer:</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members of the administrative, management and/or supervisory bodies;</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partners with unlimited liability, in the case of a limited partnership with a share capital.</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5</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FINANCIAL INFORMATION AND KEY PERFORMANCE INDICATORS</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This section shall provide historical financial information by disclosing the issuer’s financial information and KPIs.</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Historical financial information</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Audited historical financial information covering the last financial year (or such shorter period as the issuer has been in operation) and the audit report in respect of that year.</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Change of accounting reference date</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issuer has changed its accounting reference date during the period for which historical financial information is required, the audited historical information shall cover at least 12 months or the entire period for which the issuer has been in operation, whichever is shorter.</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lastRenderedPageBreak/>
              <w:t>Item 5.1.3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Accounting Standards</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financial information must be prepared according to International Financial Reporting Standards as endorsed in the Union based on Regulation (EC) No 1606/2002.</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Regulation (EC) No 1606/2002 is not applicable the financial information must be prepared in accordance with:</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Member State’s national accounting standards for issuers from the EEA, as required by 2013/34/EU;</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third country’s national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5.1.4</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Change of accounting framework</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last audited historical financial information must be presented and prepared in a form consistent with the accounting standards framework that will be adopted in the issuer’s next published annual financial statements.</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5.1.5</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the audited financial information is prepared according to national accounting standards, they must include at least the following:</w:t>
            </w:r>
          </w:p>
          <w:tbl>
            <w:tblPr>
              <w:tblW w:w="5000" w:type="pct"/>
              <w:tblCellSpacing w:w="0" w:type="dxa"/>
              <w:tblCellMar>
                <w:left w:w="0" w:type="dxa"/>
                <w:right w:w="0" w:type="dxa"/>
              </w:tblCellMar>
              <w:tblLook w:val="04A0" w:firstRow="1" w:lastRow="0" w:firstColumn="1" w:lastColumn="0" w:noHBand="0" w:noVBand="1"/>
            </w:tblPr>
            <w:tblGrid>
              <w:gridCol w:w="566"/>
              <w:gridCol w:w="3617"/>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balance sheet;</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492"/>
              <w:gridCol w:w="3691"/>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income statement;</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37"/>
              <w:gridCol w:w="394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(c)</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accounting policies and explanatory notes.</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5.1.6</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Consolidated financial statements</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issuer prepares both stand-alone and consolidated financial statements, include at least the consolidated financial statements in the registration document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5.1.7</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Age of Financial Information</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balance sheet of the last year of audited financial information may not be older than 18 months from the date of the registration document.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Interim and other financial information</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5.2.1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the issuer has published quarterly or half-yearly financial information since the date of its last audited financial statements, these must be included in the registration document. If the quarterly or half-yearly financial information has been audited or reviewed, the audit or review report must also be included. If the quarterly or half-yearly financial information is not audited or has not been reviewed, state that fact.</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Interim financial information prepared in accordance with the requirements of the Directive 2013/34/EU or Regulation (EC) No 1606/2002 as the case may be.</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 xml:space="preserve">For issuers not subject to either the Directive 2013/34/EU or Regulation (EC) No 1606/2002, the interim financial information must include comparative statements for the same period in the prior financial year, except that the requirement for </w:t>
            </w:r>
            <w:r w:rsidRPr="00A25701">
              <w:rPr>
                <w:rFonts w:ascii="Times New Roman" w:eastAsia="Times New Roman" w:hAnsi="Times New Roman" w:cs="Times New Roman"/>
                <w:color w:val="000000"/>
                <w:sz w:val="16"/>
                <w:szCs w:val="16"/>
                <w:lang w:val="en-IE" w:eastAsia="en-IE"/>
              </w:rPr>
              <w:lastRenderedPageBreak/>
              <w:t>comparative balance sheet information may be satisfied by presenting the year’s end balance sheet in accordance with the applicable financial reporting framework.</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Auditing of historical annual financial information</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5.3.1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historical annual financial information must be independently audited. The audit report shall be prepared in accordance with Directive 2014/56/EU and Regulation (EU) No 537/2014.</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Directive 2014/56/EU and Regulation (EU) No 537/2014 do not apply:</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historical financial information must be audited or reported on as to whether or not, for the purposes of the registration document, it gives a true and fair view in accordance with the auditing standards applicable in a Member State or an equivalent standard;</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if audit reports on the historical financial information contain qualifications, modifications of opinion, disclaimers or an emphasis of matter, such qualifications, modifications, disclaimers or emphasis of matter must be reproduced in full and the reasons given.</w:t>
                  </w:r>
                </w:p>
              </w:tc>
            </w:tr>
          </w:tbl>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5.3.2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Indication of other information in the registration document, which has been audited by the auditors.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5.3.3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Where financial information in the registration document is not extracted from the issuer’s audited financial statements state the source of the information and state that the information is not audited.</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5.4</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Key Performance Indicators (‘KPIs’)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5.4.1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To the extent not disclosed elsewhere in the registration document and where an issuer has published KPIs, financial and/or operational, or chooses to include such in the registration document a description of the issuer’s key performance indicators for each financial year for the period covered by the historical financial information shall be included in the registration document.</w:t>
            </w:r>
          </w:p>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KPIs must be calculated on a comparable basis. Where the KPIs have been audited by the auditors, that fact must be stated.</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5.5</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240" w:after="120"/>
              <w:jc w:val="left"/>
              <w:rPr>
                <w:rFonts w:ascii="Times New Roman" w:eastAsia="Times New Roman" w:hAnsi="Times New Roman" w:cs="Times New Roman"/>
                <w:b/>
                <w:bCs/>
                <w:color w:val="000000"/>
                <w:sz w:val="16"/>
                <w:szCs w:val="16"/>
                <w:lang w:val="en-IE" w:eastAsia="en-IE"/>
              </w:rPr>
            </w:pPr>
            <w:r w:rsidRPr="00A25701">
              <w:rPr>
                <w:rFonts w:ascii="Times New Roman" w:eastAsia="Times New Roman" w:hAnsi="Times New Roman" w:cs="Times New Roman"/>
                <w:b/>
                <w:bCs/>
                <w:color w:val="000000"/>
                <w:sz w:val="16"/>
                <w:szCs w:val="16"/>
                <w:lang w:val="en-IE" w:eastAsia="en-IE"/>
              </w:rPr>
              <w:t>Significant change in the issuer’s financial position</w:t>
            </w:r>
          </w:p>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240" w:after="120"/>
              <w:rPr>
                <w:rFonts w:ascii="Times New Roman" w:eastAsia="Times New Roman" w:hAnsi="Times New Roman" w:cs="Times New Roman"/>
                <w:b/>
                <w:bCs/>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6</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SHAREHOLDER AND SECURITY HOLDER INFORMATION</w:t>
            </w:r>
          </w:p>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i/>
                <w:iCs/>
                <w:color w:val="000000"/>
                <w:sz w:val="16"/>
                <w:szCs w:val="16"/>
                <w:lang w:val="en-IE" w:eastAsia="en-IE"/>
              </w:rPr>
              <w:t>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w:t>
            </w:r>
            <w:r w:rsidRPr="00A25701">
              <w:rPr>
                <w:rFonts w:ascii="Times New Roman" w:eastAsia="Times New Roman" w:hAnsi="Times New Roman" w:cs="Times New Roman"/>
                <w:b/>
                <w:color w:val="000000"/>
                <w:sz w:val="16"/>
                <w:szCs w:val="16"/>
                <w:lang w:val="en-IE" w:eastAsia="en-IE"/>
              </w:rPr>
              <w:t xml:space="preserve"> </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Major shareholders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6.1.1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To the extent known to the issuer, state whether the issuer is directly or indirectly owned or controlled and by whom and describe the nature of such control and describe the measures in place to ensure that such control is not abused.</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lastRenderedPageBreak/>
              <w:t>Item 6.1.2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description of any arrangements, known to the issuer, the operation of which may at a subsequent date result in or prevent a change in control of the issuer.</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6.2</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Legal and arbitration proceedings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6.2.1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6.3</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Administrative, Management and Supervisory bodies’ and Senior Management’s conflicts of interests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6.3.1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Potential conflicts of interests between any duties to the issuer, of the persons referred to in item 4.1.1., and their private interests and or other duties must be clearly stated. In the event that there are no such conflicts of interest, a statement to that effect must be made.</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6.4</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Material contracts</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6.4.1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brief summary of any material contract that are not entered into in the ordinary course of the issuer’s business which could result in any group member being under an obligation or entitlement that is material to the issuer’s ability to meet its obligations to security holders in respect of the securities being issued.</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color w:val="000000"/>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2202" w:type="pct"/>
            <w:vAlign w:val="center"/>
            <w:hideMark/>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378"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560" w:type="pct"/>
          </w:tcPr>
          <w:p w:rsidR="00A25701" w:rsidRPr="00A25701" w:rsidRDefault="00A25701" w:rsidP="00A25701">
            <w:pPr>
              <w:jc w:val="left"/>
              <w:rPr>
                <w:rFonts w:ascii="Times New Roman" w:eastAsia="Times New Roman" w:hAnsi="Times New Roman" w:cs="Times New Roman"/>
                <w:sz w:val="16"/>
                <w:szCs w:val="16"/>
                <w:lang w:val="en-IE" w:eastAsia="en-IE"/>
              </w:rPr>
            </w:pPr>
          </w:p>
        </w:tc>
        <w:tc>
          <w:tcPr>
            <w:tcW w:w="1282" w:type="pct"/>
          </w:tcPr>
          <w:p w:rsidR="00A25701" w:rsidRPr="00A25701" w:rsidRDefault="00A25701" w:rsidP="00A25701">
            <w:pPr>
              <w:jc w:val="left"/>
              <w:rPr>
                <w:rFonts w:ascii="Times New Roman" w:eastAsia="Times New Roman" w:hAnsi="Times New Roman" w:cs="Times New Roman"/>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SECTION 7</w:t>
            </w:r>
          </w:p>
        </w:tc>
        <w:tc>
          <w:tcPr>
            <w:tcW w:w="22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r w:rsidRPr="00A25701">
              <w:rPr>
                <w:rFonts w:ascii="Times New Roman" w:eastAsia="Times New Roman" w:hAnsi="Times New Roman" w:cs="Times New Roman"/>
                <w:b/>
                <w:color w:val="000000"/>
                <w:sz w:val="16"/>
                <w:szCs w:val="16"/>
                <w:lang w:val="en-IE" w:eastAsia="en-IE"/>
              </w:rPr>
              <w:t>DOCUMENTS AVAILABLE</w:t>
            </w:r>
          </w:p>
        </w:tc>
        <w:tc>
          <w:tcPr>
            <w:tcW w:w="37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25701" w:rsidRPr="00A25701" w:rsidRDefault="00A25701" w:rsidP="00A25701">
            <w:pPr>
              <w:spacing w:before="60" w:after="60"/>
              <w:jc w:val="left"/>
              <w:rPr>
                <w:rFonts w:ascii="Times New Roman" w:eastAsia="Times New Roman" w:hAnsi="Times New Roman" w:cs="Times New Roman"/>
                <w:b/>
                <w:color w:val="000000"/>
                <w:sz w:val="16"/>
                <w:szCs w:val="16"/>
                <w:lang w:val="en-IE" w:eastAsia="en-IE"/>
              </w:rPr>
            </w:pPr>
          </w:p>
        </w:tc>
      </w:tr>
      <w:tr w:rsidR="00A25701" w:rsidRPr="00A25701" w:rsidTr="00A25701">
        <w:trPr>
          <w:tblCellSpacing w:w="0" w:type="dxa"/>
        </w:trPr>
        <w:tc>
          <w:tcPr>
            <w:tcW w:w="578"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Item 7.1</w:t>
            </w:r>
          </w:p>
        </w:tc>
        <w:tc>
          <w:tcPr>
            <w:tcW w:w="2202" w:type="pct"/>
            <w:tcBorders>
              <w:top w:val="single" w:sz="6" w:space="0" w:color="000000"/>
              <w:left w:val="single" w:sz="6" w:space="0" w:color="000000"/>
              <w:bottom w:val="single" w:sz="6" w:space="0" w:color="000000"/>
              <w:right w:val="single" w:sz="6" w:space="0" w:color="000000"/>
            </w:tcBorders>
            <w:hideMark/>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 statement that for the term of the registration document the following documents, where applicable, can be inspected:</w:t>
            </w:r>
          </w:p>
          <w:tbl>
            <w:tblPr>
              <w:tblW w:w="5000" w:type="pct"/>
              <w:tblCellSpacing w:w="0" w:type="dxa"/>
              <w:tblCellMar>
                <w:left w:w="0" w:type="dxa"/>
                <w:right w:w="0" w:type="dxa"/>
              </w:tblCellMar>
              <w:tblLook w:val="04A0" w:firstRow="1" w:lastRow="0" w:firstColumn="1" w:lastColumn="0" w:noHBand="0" w:noVBand="1"/>
            </w:tblPr>
            <w:tblGrid>
              <w:gridCol w:w="178"/>
              <w:gridCol w:w="4005"/>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the up to date memorandum and articles of association of the issuer;</w:t>
                  </w:r>
                </w:p>
              </w:tc>
            </w:tr>
          </w:tbl>
          <w:p w:rsidR="00A25701" w:rsidRPr="00A25701" w:rsidRDefault="00A25701" w:rsidP="00A25701">
            <w:pPr>
              <w:jc w:val="left"/>
              <w:rPr>
                <w:rFonts w:ascii="Times New Roman" w:eastAsia="Times New Roman" w:hAnsi="Times New Roman" w:cs="Times New Roman"/>
                <w:vanish/>
                <w:color w:val="000000"/>
                <w:sz w:val="16"/>
                <w:szCs w:val="16"/>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187"/>
              <w:gridCol w:w="3996"/>
            </w:tblGrid>
            <w:tr w:rsidR="00A25701" w:rsidRPr="00A25701">
              <w:trPr>
                <w:tblCellSpacing w:w="0" w:type="dxa"/>
              </w:trPr>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(b)</w:t>
                  </w:r>
                </w:p>
              </w:tc>
              <w:tc>
                <w:tcPr>
                  <w:tcW w:w="0" w:type="auto"/>
                  <w:hideMark/>
                </w:tcPr>
                <w:p w:rsidR="00A25701" w:rsidRPr="00A25701" w:rsidRDefault="00A25701" w:rsidP="00A25701">
                  <w:pPr>
                    <w:spacing w:before="12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all reports, letters, and other documents, valuations and statements prepared by any expert at the issuer’s request any part of which is included or referred to in the registration document.</w:t>
                  </w:r>
                </w:p>
              </w:tc>
            </w:tr>
          </w:tbl>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r w:rsidRPr="00A25701">
              <w:rPr>
                <w:rFonts w:ascii="Times New Roman" w:eastAsia="Times New Roman" w:hAnsi="Times New Roman" w:cs="Times New Roman"/>
                <w:color w:val="000000"/>
                <w:sz w:val="16"/>
                <w:szCs w:val="16"/>
                <w:lang w:val="en-IE" w:eastAsia="en-IE"/>
              </w:rPr>
              <w:t>An indication of the website on which the documents may be inspected.</w:t>
            </w:r>
          </w:p>
        </w:tc>
        <w:tc>
          <w:tcPr>
            <w:tcW w:w="378"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560"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c>
          <w:tcPr>
            <w:tcW w:w="1282" w:type="pct"/>
            <w:tcBorders>
              <w:top w:val="single" w:sz="6" w:space="0" w:color="000000"/>
              <w:left w:val="single" w:sz="6" w:space="0" w:color="000000"/>
              <w:bottom w:val="single" w:sz="6" w:space="0" w:color="000000"/>
              <w:right w:val="single" w:sz="6" w:space="0" w:color="000000"/>
            </w:tcBorders>
          </w:tcPr>
          <w:p w:rsidR="00A25701" w:rsidRPr="00A25701" w:rsidRDefault="00A25701" w:rsidP="00A25701">
            <w:pPr>
              <w:spacing w:before="60" w:after="60"/>
              <w:jc w:val="left"/>
              <w:rPr>
                <w:rFonts w:ascii="Times New Roman" w:eastAsia="Times New Roman" w:hAnsi="Times New Roman" w:cs="Times New Roman"/>
                <w:color w:val="000000"/>
                <w:sz w:val="16"/>
                <w:szCs w:val="16"/>
                <w:lang w:val="en-IE" w:eastAsia="en-IE"/>
              </w:rPr>
            </w:pPr>
          </w:p>
        </w:tc>
      </w:tr>
    </w:tbl>
    <w:p w:rsidR="00055CE0" w:rsidRPr="00A25701" w:rsidRDefault="00055CE0" w:rsidP="00070217">
      <w:pPr>
        <w:rPr>
          <w:rFonts w:ascii="Times New Roman" w:hAnsi="Times New Roman" w:cs="Times New Roman"/>
          <w:sz w:val="16"/>
          <w:szCs w:val="16"/>
        </w:rPr>
      </w:pPr>
    </w:p>
    <w:sectPr w:rsidR="00055CE0" w:rsidRPr="00A25701"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2D" w:rsidRDefault="00C8782D" w:rsidP="005B5E72">
      <w:r>
        <w:separator/>
      </w:r>
    </w:p>
  </w:endnote>
  <w:endnote w:type="continuationSeparator" w:id="0">
    <w:p w:rsidR="00C8782D" w:rsidRDefault="00C8782D" w:rsidP="005B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BA" w:rsidRDefault="00DE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BA" w:rsidRDefault="00DE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BA" w:rsidRDefault="00DE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2D" w:rsidRDefault="00C8782D" w:rsidP="005B5E72">
      <w:r>
        <w:separator/>
      </w:r>
    </w:p>
  </w:footnote>
  <w:footnote w:type="continuationSeparator" w:id="0">
    <w:p w:rsidR="00C8782D" w:rsidRDefault="00C8782D" w:rsidP="005B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854539" w:rsidRDefault="00FF4659" w:rsidP="00FF4659">
    <w:pPr>
      <w:pStyle w:val="Header"/>
      <w:jc w:val="left"/>
    </w:pPr>
    <w:fldSimple w:instr=" DOCPROPERTY bjHeaderEvenPageDocProperty \* MERGEFORMAT " w:fldLock="1">
      <w:r w:rsidRPr="00FF4659">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854539" w:rsidRDefault="00FF4659" w:rsidP="00FF4659">
    <w:pPr>
      <w:pStyle w:val="Header"/>
      <w:jc w:val="left"/>
    </w:pPr>
    <w:fldSimple w:instr=" DOCPROPERTY bjHeaderBothDocProperty \* MERGEFORMAT " w:fldLock="1">
      <w:r w:rsidRPr="00FF4659">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72" w:rsidRPr="00854539" w:rsidRDefault="00FF4659" w:rsidP="00FF4659">
    <w:pPr>
      <w:pStyle w:val="Header"/>
      <w:jc w:val="left"/>
    </w:pPr>
    <w:fldSimple w:instr=" DOCPROPERTY bjHeaderFirstPageDocProperty \* MERGEFORMAT " w:fldLock="1">
      <w:r w:rsidRPr="00FF4659">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12B"/>
    <w:multiLevelType w:val="hybridMultilevel"/>
    <w:tmpl w:val="4F0E4D2E"/>
    <w:lvl w:ilvl="0" w:tplc="B19AFDE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B740D37"/>
    <w:multiLevelType w:val="hybridMultilevel"/>
    <w:tmpl w:val="766A2FF8"/>
    <w:lvl w:ilvl="0" w:tplc="B19AFDE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3648FB"/>
    <w:multiLevelType w:val="hybridMultilevel"/>
    <w:tmpl w:val="F23EC334"/>
    <w:lvl w:ilvl="0" w:tplc="097667D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7F33D70"/>
    <w:multiLevelType w:val="hybridMultilevel"/>
    <w:tmpl w:val="7BCE17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8F023F"/>
    <w:multiLevelType w:val="hybridMultilevel"/>
    <w:tmpl w:val="60B46A68"/>
    <w:lvl w:ilvl="0" w:tplc="98FA37E2">
      <w:start w:val="1"/>
      <w:numFmt w:val="lowerLetter"/>
      <w:lvlText w:val="(%1)"/>
      <w:lvlJc w:val="left"/>
      <w:pPr>
        <w:ind w:left="465" w:hanging="46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2702947"/>
    <w:multiLevelType w:val="hybridMultilevel"/>
    <w:tmpl w:val="FA2C2CF4"/>
    <w:lvl w:ilvl="0" w:tplc="1BFCEDBC">
      <w:start w:val="1"/>
      <w:numFmt w:val="lowerLetter"/>
      <w:lvlText w:val="(%1)"/>
      <w:lvlJc w:val="left"/>
      <w:pPr>
        <w:ind w:left="585" w:hanging="58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50D660A5"/>
    <w:multiLevelType w:val="hybridMultilevel"/>
    <w:tmpl w:val="72280578"/>
    <w:lvl w:ilvl="0" w:tplc="6852985C">
      <w:start w:val="1"/>
      <w:numFmt w:val="lowerLetter"/>
      <w:lvlText w:val="(%1)"/>
      <w:lvlJc w:val="left"/>
      <w:pPr>
        <w:ind w:left="375" w:hanging="37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8475F00"/>
    <w:multiLevelType w:val="hybridMultilevel"/>
    <w:tmpl w:val="B108EF96"/>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6F1D4D"/>
    <w:multiLevelType w:val="hybridMultilevel"/>
    <w:tmpl w:val="D27438E4"/>
    <w:lvl w:ilvl="0" w:tplc="D4E0212A">
      <w:start w:val="1"/>
      <w:numFmt w:val="lowerLetter"/>
      <w:lvlText w:val="(%1)"/>
      <w:lvlJc w:val="left"/>
      <w:pPr>
        <w:ind w:left="450" w:hanging="45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67073CE0"/>
    <w:multiLevelType w:val="hybridMultilevel"/>
    <w:tmpl w:val="052493D2"/>
    <w:lvl w:ilvl="0" w:tplc="6194F1F6">
      <w:start w:val="1"/>
      <w:numFmt w:val="lowerLetter"/>
      <w:lvlText w:val="(%1)"/>
      <w:lvlJc w:val="left"/>
      <w:pPr>
        <w:ind w:left="480" w:hanging="48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694C669F"/>
    <w:multiLevelType w:val="hybridMultilevel"/>
    <w:tmpl w:val="495C9C8C"/>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BD5855"/>
    <w:multiLevelType w:val="hybridMultilevel"/>
    <w:tmpl w:val="E4C88AC2"/>
    <w:lvl w:ilvl="0" w:tplc="1BFCEDBC">
      <w:start w:val="1"/>
      <w:numFmt w:val="lowerLetter"/>
      <w:lvlText w:val="(%1)"/>
      <w:lvlJc w:val="left"/>
      <w:pPr>
        <w:ind w:left="945" w:hanging="58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B9D2932"/>
    <w:multiLevelType w:val="hybridMultilevel"/>
    <w:tmpl w:val="2C9A76C0"/>
    <w:lvl w:ilvl="0" w:tplc="D4E0212A">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BBF50A1"/>
    <w:multiLevelType w:val="hybridMultilevel"/>
    <w:tmpl w:val="ED72CABA"/>
    <w:lvl w:ilvl="0" w:tplc="097667D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4133F"/>
    <w:multiLevelType w:val="hybridMultilevel"/>
    <w:tmpl w:val="1074A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B40A2B"/>
    <w:multiLevelType w:val="hybridMultilevel"/>
    <w:tmpl w:val="1F94C85E"/>
    <w:lvl w:ilvl="0" w:tplc="5D16A082">
      <w:start w:val="1"/>
      <w:numFmt w:val="lowerRoman"/>
      <w:lvlText w:val="(%1)"/>
      <w:lvlJc w:val="left"/>
      <w:pPr>
        <w:ind w:left="1080" w:hanging="720"/>
      </w:pPr>
      <w:rPr>
        <w:rFonts w:hint="default"/>
      </w:rPr>
    </w:lvl>
    <w:lvl w:ilvl="1" w:tplc="52922EDA">
      <w:start w:val="1"/>
      <w:numFmt w:val="lowerLetter"/>
      <w:lvlText w:val="(%2)"/>
      <w:lvlJc w:val="left"/>
      <w:pPr>
        <w:ind w:left="1470" w:hanging="39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E485F1F"/>
    <w:multiLevelType w:val="hybridMultilevel"/>
    <w:tmpl w:val="DD30154C"/>
    <w:lvl w:ilvl="0" w:tplc="6194F1F6">
      <w:start w:val="1"/>
      <w:numFmt w:val="lowerLetter"/>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7"/>
  </w:num>
  <w:num w:numId="6">
    <w:abstractNumId w:val="9"/>
  </w:num>
  <w:num w:numId="7">
    <w:abstractNumId w:val="16"/>
  </w:num>
  <w:num w:numId="8">
    <w:abstractNumId w:val="4"/>
  </w:num>
  <w:num w:numId="9">
    <w:abstractNumId w:val="14"/>
  </w:num>
  <w:num w:numId="10">
    <w:abstractNumId w:val="5"/>
  </w:num>
  <w:num w:numId="11">
    <w:abstractNumId w:val="11"/>
  </w:num>
  <w:num w:numId="12">
    <w:abstractNumId w:val="8"/>
  </w:num>
  <w:num w:numId="13">
    <w:abstractNumId w:val="12"/>
  </w:num>
  <w:num w:numId="14">
    <w:abstractNumId w:val="0"/>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7"/>
    <w:rsid w:val="000031EA"/>
    <w:rsid w:val="00006A3D"/>
    <w:rsid w:val="00047917"/>
    <w:rsid w:val="00050692"/>
    <w:rsid w:val="00055CE0"/>
    <w:rsid w:val="00070217"/>
    <w:rsid w:val="000D0654"/>
    <w:rsid w:val="000E36BB"/>
    <w:rsid w:val="000E50BA"/>
    <w:rsid w:val="00135910"/>
    <w:rsid w:val="00246C7F"/>
    <w:rsid w:val="00256224"/>
    <w:rsid w:val="00271B52"/>
    <w:rsid w:val="002A569A"/>
    <w:rsid w:val="002B0C65"/>
    <w:rsid w:val="00323B33"/>
    <w:rsid w:val="003733A8"/>
    <w:rsid w:val="003B68DA"/>
    <w:rsid w:val="004B67E8"/>
    <w:rsid w:val="004C797D"/>
    <w:rsid w:val="0051651F"/>
    <w:rsid w:val="00536042"/>
    <w:rsid w:val="005851D3"/>
    <w:rsid w:val="00586326"/>
    <w:rsid w:val="005B5E72"/>
    <w:rsid w:val="005F00D1"/>
    <w:rsid w:val="00624A13"/>
    <w:rsid w:val="006362A1"/>
    <w:rsid w:val="00716244"/>
    <w:rsid w:val="00766D7A"/>
    <w:rsid w:val="008223CA"/>
    <w:rsid w:val="00854539"/>
    <w:rsid w:val="008760AD"/>
    <w:rsid w:val="00992FFE"/>
    <w:rsid w:val="009B2CB4"/>
    <w:rsid w:val="009B43C7"/>
    <w:rsid w:val="009B5791"/>
    <w:rsid w:val="00A25701"/>
    <w:rsid w:val="00A536AF"/>
    <w:rsid w:val="00A8528B"/>
    <w:rsid w:val="00AF567F"/>
    <w:rsid w:val="00B516AA"/>
    <w:rsid w:val="00B66F1E"/>
    <w:rsid w:val="00C8782D"/>
    <w:rsid w:val="00CA41FB"/>
    <w:rsid w:val="00D135A5"/>
    <w:rsid w:val="00DE7BBA"/>
    <w:rsid w:val="00E12E95"/>
    <w:rsid w:val="00E1780F"/>
    <w:rsid w:val="00EC098F"/>
    <w:rsid w:val="00F8692E"/>
    <w:rsid w:val="00FA406F"/>
    <w:rsid w:val="00FD575B"/>
    <w:rsid w:val="00FF4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52"/>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654"/>
    <w:rPr>
      <w:rFonts w:ascii="Tahoma" w:hAnsi="Tahoma" w:cs="Tahoma"/>
      <w:sz w:val="16"/>
      <w:szCs w:val="16"/>
    </w:rPr>
  </w:style>
  <w:style w:type="character" w:customStyle="1" w:styleId="BalloonTextChar">
    <w:name w:val="Balloon Text Char"/>
    <w:basedOn w:val="DefaultParagraphFont"/>
    <w:link w:val="BalloonText"/>
    <w:uiPriority w:val="99"/>
    <w:semiHidden/>
    <w:rsid w:val="000D0654"/>
    <w:rPr>
      <w:rFonts w:ascii="Tahoma" w:eastAsia="SimSun" w:hAnsi="Tahoma" w:cs="Tahoma"/>
      <w:sz w:val="16"/>
      <w:szCs w:val="16"/>
      <w:lang w:val="en-GB" w:eastAsia="zh-CN"/>
    </w:rPr>
  </w:style>
  <w:style w:type="paragraph" w:styleId="Header">
    <w:name w:val="header"/>
    <w:basedOn w:val="Normal"/>
    <w:link w:val="HeaderChar"/>
    <w:uiPriority w:val="99"/>
    <w:unhideWhenUsed/>
    <w:rsid w:val="005B5E72"/>
    <w:pPr>
      <w:tabs>
        <w:tab w:val="center" w:pos="4513"/>
        <w:tab w:val="right" w:pos="9026"/>
      </w:tabs>
    </w:pPr>
  </w:style>
  <w:style w:type="character" w:customStyle="1" w:styleId="HeaderChar">
    <w:name w:val="Header Char"/>
    <w:basedOn w:val="DefaultParagraphFont"/>
    <w:link w:val="Header"/>
    <w:uiPriority w:val="99"/>
    <w:rsid w:val="005B5E72"/>
    <w:rPr>
      <w:rFonts w:ascii="Arial" w:eastAsia="SimSun" w:hAnsi="Arial" w:cs="Arial"/>
      <w:lang w:val="en-GB" w:eastAsia="zh-CN"/>
    </w:rPr>
  </w:style>
  <w:style w:type="paragraph" w:styleId="Footer">
    <w:name w:val="footer"/>
    <w:basedOn w:val="Normal"/>
    <w:link w:val="FooterChar"/>
    <w:uiPriority w:val="99"/>
    <w:unhideWhenUsed/>
    <w:rsid w:val="005B5E72"/>
    <w:pPr>
      <w:tabs>
        <w:tab w:val="center" w:pos="4513"/>
        <w:tab w:val="right" w:pos="9026"/>
      </w:tabs>
    </w:pPr>
  </w:style>
  <w:style w:type="character" w:customStyle="1" w:styleId="FooterChar">
    <w:name w:val="Footer Char"/>
    <w:basedOn w:val="DefaultParagraphFont"/>
    <w:link w:val="Footer"/>
    <w:uiPriority w:val="99"/>
    <w:rsid w:val="005B5E72"/>
    <w:rPr>
      <w:rFonts w:ascii="Arial" w:eastAsia="SimSun" w:hAnsi="Arial" w:cs="Arial"/>
      <w:lang w:val="en-GB" w:eastAsia="zh-CN"/>
    </w:rPr>
  </w:style>
  <w:style w:type="paragraph" w:customStyle="1" w:styleId="Default">
    <w:name w:val="Default"/>
    <w:rsid w:val="00624A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797D"/>
    <w:pPr>
      <w:ind w:left="720"/>
      <w:contextualSpacing/>
    </w:pPr>
  </w:style>
  <w:style w:type="paragraph" w:customStyle="1" w:styleId="Normal1">
    <w:name w:val="Normal1"/>
    <w:basedOn w:val="Normal"/>
    <w:rsid w:val="00A25701"/>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A25701"/>
    <w:pPr>
      <w:spacing w:before="60" w:after="60"/>
      <w:jc w:val="left"/>
    </w:pPr>
    <w:rPr>
      <w:rFonts w:ascii="Times New Roman" w:eastAsia="Times New Roman" w:hAnsi="Times New Roman" w:cs="Times New Roman"/>
      <w:lang w:val="en-IE" w:eastAsia="en-IE"/>
    </w:rPr>
  </w:style>
  <w:style w:type="paragraph" w:customStyle="1" w:styleId="ti-grseq-1">
    <w:name w:val="ti-grseq-1"/>
    <w:basedOn w:val="Normal"/>
    <w:rsid w:val="00A25701"/>
    <w:pPr>
      <w:spacing w:before="240" w:after="120"/>
    </w:pPr>
    <w:rPr>
      <w:rFonts w:ascii="Times New Roman" w:eastAsia="Times New Roman" w:hAnsi="Times New Roman" w:cs="Times New Roman"/>
      <w:b/>
      <w:bCs/>
      <w:sz w:val="24"/>
      <w:szCs w:val="24"/>
      <w:lang w:val="en-IE" w:eastAsia="en-IE"/>
    </w:rPr>
  </w:style>
  <w:style w:type="character" w:customStyle="1" w:styleId="italic">
    <w:name w:val="italic"/>
    <w:basedOn w:val="DefaultParagraphFont"/>
    <w:rsid w:val="00A257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2129">
      <w:bodyDiv w:val="1"/>
      <w:marLeft w:val="390"/>
      <w:marRight w:val="390"/>
      <w:marTop w:val="0"/>
      <w:marBottom w:val="0"/>
      <w:divBdr>
        <w:top w:val="none" w:sz="0" w:space="0" w:color="auto"/>
        <w:left w:val="none" w:sz="0" w:space="0" w:color="auto"/>
        <w:bottom w:val="none" w:sz="0" w:space="0" w:color="auto"/>
        <w:right w:val="none" w:sz="0" w:space="0" w:color="auto"/>
      </w:divBdr>
      <w:divsChild>
        <w:div w:id="1881624338">
          <w:marLeft w:val="0"/>
          <w:marRight w:val="0"/>
          <w:marTop w:val="0"/>
          <w:marBottom w:val="0"/>
          <w:divBdr>
            <w:top w:val="none" w:sz="0" w:space="0" w:color="auto"/>
            <w:left w:val="none" w:sz="0" w:space="0" w:color="auto"/>
            <w:bottom w:val="none" w:sz="0" w:space="0" w:color="auto"/>
            <w:right w:val="none" w:sz="0" w:space="0" w:color="auto"/>
          </w:divBdr>
          <w:divsChild>
            <w:div w:id="1747530795">
              <w:marLeft w:val="0"/>
              <w:marRight w:val="0"/>
              <w:marTop w:val="0"/>
              <w:marBottom w:val="0"/>
              <w:divBdr>
                <w:top w:val="none" w:sz="0" w:space="0" w:color="auto"/>
                <w:left w:val="none" w:sz="0" w:space="0" w:color="auto"/>
                <w:bottom w:val="none" w:sz="0" w:space="0" w:color="auto"/>
                <w:right w:val="none" w:sz="0" w:space="0" w:color="auto"/>
              </w:divBdr>
              <w:divsChild>
                <w:div w:id="14711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841C849C-CCA9-40FF-AAD9-AC7D9186C9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25</dc:title>
  <dc:subject>Central Bank of Ireland</dc:subject>
  <dc:creator/>
  <cp:keywords>Public</cp:keywords>
  <cp:lastModifiedBy/>
  <cp:revision>1</cp:revision>
  <dcterms:created xsi:type="dcterms:W3CDTF">2019-07-03T11:22:00Z</dcterms:created>
  <dcterms:modified xsi:type="dcterms:W3CDTF">2019-07-03T13:07:00Z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c5f40017-720e-4905-8f3a-5b5a60b321d3</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