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A0DA0" w14:textId="77777777" w:rsidR="004C3C81" w:rsidRDefault="006526C1" w:rsidP="0063398A">
      <w:pPr>
        <w:pStyle w:val="Heading1"/>
        <w:jc w:val="center"/>
      </w:pPr>
      <w:r>
        <w:t>Countercyclical capital buffer rate announcement</w:t>
      </w:r>
    </w:p>
    <w:p w14:paraId="3DF9724A" w14:textId="77777777" w:rsidR="00576EAF" w:rsidRDefault="00E2575C" w:rsidP="004462C8">
      <w:pPr>
        <w:pStyle w:val="Heading2"/>
        <w:jc w:val="right"/>
      </w:pPr>
      <w:r>
        <w:rPr>
          <w:i/>
        </w:rPr>
        <w:t>27</w:t>
      </w:r>
      <w:r w:rsidR="009C12DF" w:rsidRPr="00AA4F99">
        <w:rPr>
          <w:i/>
        </w:rPr>
        <w:t xml:space="preserve"> </w:t>
      </w:r>
      <w:r>
        <w:rPr>
          <w:i/>
        </w:rPr>
        <w:t>June</w:t>
      </w:r>
      <w:r w:rsidR="00D66E48">
        <w:rPr>
          <w:i/>
        </w:rPr>
        <w:t xml:space="preserve"> 2017</w:t>
      </w:r>
    </w:p>
    <w:p w14:paraId="25A25F72" w14:textId="77777777" w:rsidR="004C3C81" w:rsidRDefault="004C3C81" w:rsidP="004C3C81">
      <w:pPr>
        <w:pStyle w:val="Heading2"/>
        <w:jc w:val="both"/>
      </w:pPr>
      <w:r>
        <w:t>Announcement of rate</w:t>
      </w:r>
    </w:p>
    <w:p w14:paraId="613454BB" w14:textId="77777777" w:rsidR="004C3C81" w:rsidRPr="00347847" w:rsidRDefault="00ED1A85" w:rsidP="00044911">
      <w:pPr>
        <w:jc w:val="both"/>
        <w:rPr>
          <w:rFonts w:cstheme="minorHAnsi"/>
        </w:rPr>
      </w:pPr>
      <w:r>
        <w:rPr>
          <w:rFonts w:cstheme="minorHAnsi"/>
        </w:rPr>
        <w:t xml:space="preserve">The Central Bank </w:t>
      </w:r>
      <w:r w:rsidR="00044911">
        <w:rPr>
          <w:rFonts w:cstheme="minorHAnsi"/>
        </w:rPr>
        <w:t xml:space="preserve">has </w:t>
      </w:r>
      <w:r>
        <w:rPr>
          <w:rFonts w:cstheme="minorHAnsi"/>
        </w:rPr>
        <w:t xml:space="preserve">today </w:t>
      </w:r>
      <w:r w:rsidR="00044911">
        <w:rPr>
          <w:rFonts w:cstheme="minorHAnsi"/>
        </w:rPr>
        <w:t xml:space="preserve">announced </w:t>
      </w:r>
      <w:r w:rsidR="006526C1">
        <w:rPr>
          <w:rFonts w:cstheme="minorHAnsi"/>
        </w:rPr>
        <w:t>the</w:t>
      </w:r>
      <w:r>
        <w:rPr>
          <w:rFonts w:cstheme="minorHAnsi"/>
        </w:rPr>
        <w:t xml:space="preserve"> countercyclical capital buffer (CC</w:t>
      </w:r>
      <w:r w:rsidR="00624404">
        <w:rPr>
          <w:rFonts w:cstheme="minorHAnsi"/>
        </w:rPr>
        <w:t>y</w:t>
      </w:r>
      <w:r>
        <w:rPr>
          <w:rFonts w:cstheme="minorHAnsi"/>
        </w:rPr>
        <w:t>B)</w:t>
      </w:r>
      <w:r w:rsidR="006526C1">
        <w:rPr>
          <w:rFonts w:cstheme="minorHAnsi"/>
        </w:rPr>
        <w:t xml:space="preserve"> rate on Irish exposures </w:t>
      </w:r>
      <w:r w:rsidR="00044911">
        <w:rPr>
          <w:rFonts w:cstheme="minorHAnsi"/>
        </w:rPr>
        <w:t xml:space="preserve">is to be maintained </w:t>
      </w:r>
      <w:r w:rsidR="006526C1">
        <w:rPr>
          <w:rFonts w:cstheme="minorHAnsi"/>
        </w:rPr>
        <w:t xml:space="preserve">at </w:t>
      </w:r>
      <w:r w:rsidR="00044911">
        <w:rPr>
          <w:rFonts w:cstheme="minorHAnsi"/>
        </w:rPr>
        <w:t>0</w:t>
      </w:r>
      <w:r>
        <w:rPr>
          <w:rFonts w:cstheme="minorHAnsi"/>
        </w:rPr>
        <w:t xml:space="preserve"> per cent</w:t>
      </w:r>
      <w:r w:rsidR="00D66E48">
        <w:rPr>
          <w:rFonts w:cstheme="minorHAnsi"/>
        </w:rPr>
        <w:t xml:space="preserve"> in </w:t>
      </w:r>
      <w:r w:rsidR="00D66E48" w:rsidRPr="009415DB">
        <w:rPr>
          <w:rFonts w:cstheme="minorHAnsi"/>
        </w:rPr>
        <w:t>2017Q</w:t>
      </w:r>
      <w:r w:rsidR="00E2575C" w:rsidRPr="009415DB">
        <w:rPr>
          <w:rFonts w:cstheme="minorHAnsi"/>
        </w:rPr>
        <w:t>3</w:t>
      </w:r>
      <w:r w:rsidRPr="009415DB">
        <w:rPr>
          <w:rFonts w:cstheme="minorHAnsi"/>
        </w:rPr>
        <w:t>.</w:t>
      </w:r>
      <w:r w:rsidR="00044911" w:rsidRPr="009415DB">
        <w:rPr>
          <w:rFonts w:cstheme="minorHAnsi"/>
        </w:rPr>
        <w:t xml:space="preserve"> The rate will be effective from  </w:t>
      </w:r>
      <w:r w:rsidR="00E2575C" w:rsidRPr="009415DB">
        <w:rPr>
          <w:rFonts w:cstheme="minorHAnsi"/>
        </w:rPr>
        <w:t>Ju</w:t>
      </w:r>
      <w:r w:rsidR="009415DB" w:rsidRPr="009415DB">
        <w:rPr>
          <w:rFonts w:cstheme="minorHAnsi"/>
        </w:rPr>
        <w:t>ly</w:t>
      </w:r>
      <w:r w:rsidR="00E2575C" w:rsidRPr="009415DB">
        <w:rPr>
          <w:rFonts w:cstheme="minorHAnsi"/>
        </w:rPr>
        <w:t xml:space="preserve"> </w:t>
      </w:r>
      <w:r w:rsidR="009415DB" w:rsidRPr="009415DB">
        <w:rPr>
          <w:rFonts w:cstheme="minorHAnsi"/>
        </w:rPr>
        <w:t>1</w:t>
      </w:r>
      <w:r w:rsidR="009415DB" w:rsidRPr="009415DB">
        <w:rPr>
          <w:rFonts w:cstheme="minorHAnsi"/>
          <w:vertAlign w:val="superscript"/>
        </w:rPr>
        <w:t>st</w:t>
      </w:r>
      <w:r w:rsidR="00E2575C" w:rsidRPr="009415DB">
        <w:rPr>
          <w:rFonts w:cstheme="minorHAnsi"/>
        </w:rPr>
        <w:t xml:space="preserve"> </w:t>
      </w:r>
      <w:r w:rsidR="00044911" w:rsidRPr="009415DB">
        <w:rPr>
          <w:rFonts w:cstheme="minorHAnsi"/>
        </w:rPr>
        <w:t xml:space="preserve">2017. </w:t>
      </w:r>
      <w:r w:rsidR="004C3C81" w:rsidRPr="009415DB">
        <w:rPr>
          <w:rFonts w:cstheme="minorHAnsi"/>
        </w:rPr>
        <w:t xml:space="preserve">In </w:t>
      </w:r>
      <w:r w:rsidR="00684D5A" w:rsidRPr="009415DB">
        <w:rPr>
          <w:rFonts w:cstheme="minorHAnsi"/>
        </w:rPr>
        <w:t>keeping</w:t>
      </w:r>
      <w:r w:rsidR="00AA4F99" w:rsidRPr="009415DB">
        <w:rPr>
          <w:rFonts w:cstheme="minorHAnsi"/>
        </w:rPr>
        <w:t xml:space="preserve"> the rate at </w:t>
      </w:r>
      <w:r w:rsidR="00044911" w:rsidRPr="009415DB">
        <w:rPr>
          <w:rFonts w:cstheme="minorHAnsi"/>
        </w:rPr>
        <w:t xml:space="preserve">0 </w:t>
      </w:r>
      <w:r w:rsidR="004C3C81" w:rsidRPr="009415DB">
        <w:rPr>
          <w:rFonts w:cstheme="minorHAnsi"/>
        </w:rPr>
        <w:t xml:space="preserve">per cent, the Central Bank </w:t>
      </w:r>
      <w:r w:rsidR="00544DDF" w:rsidRPr="009415DB">
        <w:rPr>
          <w:rFonts w:cstheme="minorHAnsi"/>
        </w:rPr>
        <w:t>noted</w:t>
      </w:r>
      <w:r w:rsidR="004C3C81" w:rsidRPr="009415DB">
        <w:rPr>
          <w:rFonts w:cstheme="minorHAnsi"/>
        </w:rPr>
        <w:t xml:space="preserve"> </w:t>
      </w:r>
      <w:r w:rsidR="004C3C81" w:rsidRPr="00347847">
        <w:rPr>
          <w:rFonts w:cstheme="minorHAnsi"/>
        </w:rPr>
        <w:t>the following:</w:t>
      </w:r>
    </w:p>
    <w:p w14:paraId="2FA36C3E" w14:textId="77777777" w:rsidR="00E2575C" w:rsidRPr="00E2575C" w:rsidRDefault="00E2575C" w:rsidP="00E257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lang w:eastAsia="en-IE"/>
        </w:rPr>
      </w:pPr>
      <w:r w:rsidRPr="00E2575C">
        <w:rPr>
          <w:rFonts w:cs="Times New Roman"/>
          <w:lang w:eastAsia="en-IE"/>
        </w:rPr>
        <w:t>Aggregate credit conditions remain subdued. Credit growth to both the household and non-financial corporate sector remains negative and notwithstanding the limitations of credit-gap indicators, these too are indicative of muted credit conditions. The benchmark buffer rate arising from credit gap indicators is 0 per cent. Amidst the weak aggregate credit conditions there are certain signs of a strengthening environment. New lending has been picking-up fo</w:t>
      </w:r>
      <w:bookmarkStart w:id="0" w:name="_GoBack"/>
      <w:bookmarkEnd w:id="0"/>
      <w:r w:rsidRPr="00E2575C">
        <w:rPr>
          <w:rFonts w:cs="Times New Roman"/>
          <w:lang w:eastAsia="en-IE"/>
        </w:rPr>
        <w:t>r some time now, with new property related lending in particular seeing large increases. As a result, pockets of positive credit growth are now evident in consumer credit, mortgage</w:t>
      </w:r>
      <w:r w:rsidR="005376BF">
        <w:rPr>
          <w:rFonts w:cs="Times New Roman"/>
          <w:lang w:eastAsia="en-IE"/>
        </w:rPr>
        <w:t>s for principal dwellings</w:t>
      </w:r>
      <w:r w:rsidRPr="00E2575C">
        <w:rPr>
          <w:rFonts w:cs="Times New Roman"/>
          <w:lang w:eastAsia="en-IE"/>
        </w:rPr>
        <w:t>, fixed-rate mortgage lending and credit to large enterprises.</w:t>
      </w:r>
    </w:p>
    <w:p w14:paraId="2B7C45FD" w14:textId="77777777" w:rsidR="00E2575C" w:rsidRDefault="00E2575C" w:rsidP="00E257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lang w:eastAsia="en-IE"/>
        </w:rPr>
      </w:pPr>
      <w:r w:rsidRPr="00E2575C">
        <w:rPr>
          <w:rFonts w:cs="Times New Roman"/>
          <w:lang w:eastAsia="en-IE"/>
        </w:rPr>
        <w:t xml:space="preserve">The property market - where the rate of increase in prices is somewhat above the long-run average - is the area most suggestive of </w:t>
      </w:r>
      <w:r w:rsidR="005376BF">
        <w:rPr>
          <w:rFonts w:cs="Times New Roman"/>
          <w:lang w:eastAsia="en-IE"/>
        </w:rPr>
        <w:t xml:space="preserve">potential </w:t>
      </w:r>
      <w:r w:rsidRPr="00E2575C">
        <w:rPr>
          <w:rFonts w:cs="Times New Roman"/>
          <w:lang w:eastAsia="en-IE"/>
        </w:rPr>
        <w:t>cyclical systemic risks at this time. Residential property prices in particular</w:t>
      </w:r>
      <w:r w:rsidR="005376BF">
        <w:rPr>
          <w:rFonts w:cs="Times New Roman"/>
          <w:lang w:eastAsia="en-IE"/>
        </w:rPr>
        <w:t xml:space="preserve"> have been</w:t>
      </w:r>
      <w:r w:rsidRPr="00E2575C">
        <w:rPr>
          <w:rFonts w:cs="Times New Roman"/>
          <w:lang w:eastAsia="en-IE"/>
        </w:rPr>
        <w:t xml:space="preserve"> increasing</w:t>
      </w:r>
      <w:r w:rsidR="005376BF">
        <w:rPr>
          <w:rFonts w:cs="Times New Roman"/>
          <w:lang w:eastAsia="en-IE"/>
        </w:rPr>
        <w:t xml:space="preserve"> relatively strongly</w:t>
      </w:r>
      <w:r w:rsidRPr="00E2575C">
        <w:rPr>
          <w:rFonts w:cs="Times New Roman"/>
          <w:lang w:eastAsia="en-IE"/>
        </w:rPr>
        <w:t>. To the extent that such price increases are not currently reflected in the aggregate credit environment, the CCyB would not appear to offer a targeted measure to address</w:t>
      </w:r>
      <w:r w:rsidR="005376BF">
        <w:rPr>
          <w:rFonts w:cs="Times New Roman"/>
          <w:lang w:eastAsia="en-IE"/>
        </w:rPr>
        <w:t xml:space="preserve"> broader</w:t>
      </w:r>
      <w:r w:rsidRPr="00E2575C">
        <w:rPr>
          <w:rFonts w:cs="Times New Roman"/>
          <w:lang w:eastAsia="en-IE"/>
        </w:rPr>
        <w:t xml:space="preserve"> property market developments.</w:t>
      </w:r>
    </w:p>
    <w:p w14:paraId="5995CEFA" w14:textId="77777777" w:rsidR="00E2575C" w:rsidRDefault="00E2575C" w:rsidP="00E2575C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Times New Roman"/>
          <w:lang w:eastAsia="en-IE"/>
        </w:rPr>
      </w:pPr>
      <w:r w:rsidRPr="00E2575C">
        <w:rPr>
          <w:rFonts w:cs="Times New Roman"/>
          <w:lang w:eastAsia="en-IE"/>
        </w:rPr>
        <w:t>External imbalance indicators and aggregate bank balance sheet ratios do not point to growing</w:t>
      </w:r>
      <w:r>
        <w:rPr>
          <w:rFonts w:cs="Times New Roman"/>
          <w:lang w:eastAsia="en-IE"/>
        </w:rPr>
        <w:t xml:space="preserve"> </w:t>
      </w:r>
      <w:r w:rsidRPr="00E2575C">
        <w:rPr>
          <w:rFonts w:cs="Times New Roman"/>
          <w:lang w:eastAsia="en-IE"/>
        </w:rPr>
        <w:t>vulnerabilities at this time.</w:t>
      </w:r>
    </w:p>
    <w:p w14:paraId="63324561" w14:textId="77777777" w:rsidR="00576EAF" w:rsidRPr="005722F8" w:rsidRDefault="00576EAF" w:rsidP="00576EAF">
      <w:pPr>
        <w:pStyle w:val="ListParagraph"/>
        <w:autoSpaceDE w:val="0"/>
        <w:autoSpaceDN w:val="0"/>
        <w:adjustRightInd w:val="0"/>
        <w:spacing w:after="0"/>
        <w:rPr>
          <w:rFonts w:cs="Times New Roman"/>
          <w:lang w:eastAsia="en-IE"/>
        </w:rPr>
      </w:pPr>
    </w:p>
    <w:p w14:paraId="1A9C7E0C" w14:textId="77777777" w:rsidR="00FD2933" w:rsidRDefault="00FD2933" w:rsidP="00E2575C">
      <w:pPr>
        <w:pStyle w:val="Heading3"/>
      </w:pPr>
      <w:r>
        <w:t>Credit Gap indicators</w:t>
      </w:r>
    </w:p>
    <w:p w14:paraId="009C43BE" w14:textId="77777777" w:rsidR="00E2575C" w:rsidRPr="005722F8" w:rsidRDefault="00FD0DE0" w:rsidP="005722F8">
      <w:pPr>
        <w:jc w:val="both"/>
        <w:rPr>
          <w:rFonts w:cstheme="minorHAnsi"/>
        </w:rPr>
      </w:pPr>
      <w:r>
        <w:rPr>
          <w:rFonts w:cstheme="minorHAnsi"/>
        </w:rPr>
        <w:t>In</w:t>
      </w:r>
      <w:r w:rsidR="006A209A">
        <w:rPr>
          <w:rFonts w:cstheme="minorHAnsi"/>
        </w:rPr>
        <w:t xml:space="preserve"> setting the CC</w:t>
      </w:r>
      <w:r w:rsidR="00624404">
        <w:rPr>
          <w:rFonts w:cstheme="minorHAnsi"/>
        </w:rPr>
        <w:t>y</w:t>
      </w:r>
      <w:r w:rsidR="006A209A">
        <w:rPr>
          <w:rFonts w:cstheme="minorHAnsi"/>
        </w:rPr>
        <w:t>B rate</w:t>
      </w:r>
      <w:r w:rsidR="00E61A27">
        <w:rPr>
          <w:rFonts w:cstheme="minorHAnsi"/>
        </w:rPr>
        <w:t xml:space="preserve"> t</w:t>
      </w:r>
      <w:r w:rsidR="004C3C81">
        <w:rPr>
          <w:rFonts w:cstheme="minorHAnsi"/>
        </w:rPr>
        <w:t>he Central Bank</w:t>
      </w:r>
      <w:r w:rsidR="00BE0F6E">
        <w:rPr>
          <w:rFonts w:cstheme="minorHAnsi"/>
        </w:rPr>
        <w:t xml:space="preserve"> </w:t>
      </w:r>
      <w:r w:rsidR="004C3C81">
        <w:rPr>
          <w:rFonts w:cstheme="minorHAnsi"/>
        </w:rPr>
        <w:t xml:space="preserve">is required </w:t>
      </w:r>
      <w:r w:rsidR="00853292">
        <w:rPr>
          <w:rFonts w:cstheme="minorHAnsi"/>
        </w:rPr>
        <w:t xml:space="preserve">to </w:t>
      </w:r>
      <w:r>
        <w:rPr>
          <w:rFonts w:cstheme="minorHAnsi"/>
        </w:rPr>
        <w:t>take note of</w:t>
      </w:r>
      <w:r w:rsidR="00FB0103">
        <w:rPr>
          <w:rFonts w:cstheme="minorHAnsi"/>
        </w:rPr>
        <w:t xml:space="preserve"> </w:t>
      </w:r>
      <w:r w:rsidR="006A209A">
        <w:rPr>
          <w:rFonts w:cstheme="minorHAnsi"/>
        </w:rPr>
        <w:t>the deviation in the credit-to-</w:t>
      </w:r>
      <w:r w:rsidR="0063398A">
        <w:rPr>
          <w:rFonts w:cstheme="minorHAnsi"/>
        </w:rPr>
        <w:t>GDP ratio from its trend</w:t>
      </w:r>
      <w:r w:rsidR="006A209A">
        <w:rPr>
          <w:rFonts w:cstheme="minorHAnsi"/>
        </w:rPr>
        <w:t xml:space="preserve"> level</w:t>
      </w:r>
      <w:r w:rsidR="0063398A">
        <w:rPr>
          <w:rFonts w:cstheme="minorHAnsi"/>
        </w:rPr>
        <w:t xml:space="preserve">, a measure referred to as the </w:t>
      </w:r>
      <w:r w:rsidR="00FB0103">
        <w:rPr>
          <w:rFonts w:cstheme="minorHAnsi"/>
        </w:rPr>
        <w:t>credit</w:t>
      </w:r>
      <w:r w:rsidR="00E61A27">
        <w:rPr>
          <w:rFonts w:cstheme="minorHAnsi"/>
        </w:rPr>
        <w:t xml:space="preserve"> gap</w:t>
      </w:r>
      <w:r w:rsidR="0063398A">
        <w:rPr>
          <w:rFonts w:cstheme="minorHAnsi"/>
        </w:rPr>
        <w:t>.</w:t>
      </w:r>
      <w:r w:rsidR="006A209A">
        <w:rPr>
          <w:rFonts w:cstheme="minorHAnsi"/>
        </w:rPr>
        <w:t xml:space="preserve"> </w:t>
      </w:r>
      <w:r w:rsidR="005C13D6">
        <w:rPr>
          <w:rFonts w:cstheme="minorHAnsi"/>
        </w:rPr>
        <w:t xml:space="preserve">A range of </w:t>
      </w:r>
      <w:r>
        <w:rPr>
          <w:rFonts w:cstheme="minorHAnsi"/>
        </w:rPr>
        <w:t xml:space="preserve">credit gap </w:t>
      </w:r>
      <w:r w:rsidR="005C13D6">
        <w:rPr>
          <w:rFonts w:cstheme="minorHAnsi"/>
        </w:rPr>
        <w:t xml:space="preserve">indicators </w:t>
      </w:r>
      <w:r>
        <w:rPr>
          <w:rFonts w:cstheme="minorHAnsi"/>
        </w:rPr>
        <w:t xml:space="preserve">analysed by the Central Bank </w:t>
      </w:r>
      <w:r w:rsidR="006A209A">
        <w:rPr>
          <w:rFonts w:cstheme="minorHAnsi"/>
        </w:rPr>
        <w:t xml:space="preserve">show the </w:t>
      </w:r>
      <w:r w:rsidR="005C13D6">
        <w:rPr>
          <w:rFonts w:cstheme="minorHAnsi"/>
        </w:rPr>
        <w:t xml:space="preserve">current </w:t>
      </w:r>
      <w:r>
        <w:rPr>
          <w:rFonts w:cstheme="minorHAnsi"/>
        </w:rPr>
        <w:t xml:space="preserve">gap to be negative.  </w:t>
      </w:r>
      <w:r w:rsidR="006A209A">
        <w:rPr>
          <w:rFonts w:cstheme="minorHAnsi"/>
        </w:rPr>
        <w:t xml:space="preserve"> </w:t>
      </w:r>
      <w:r>
        <w:rPr>
          <w:rFonts w:cstheme="minorHAnsi"/>
        </w:rPr>
        <w:t>The benchmark CC</w:t>
      </w:r>
      <w:r w:rsidR="00624404">
        <w:rPr>
          <w:rFonts w:cstheme="minorHAnsi"/>
        </w:rPr>
        <w:t>y</w:t>
      </w:r>
      <w:r w:rsidR="005C13D6">
        <w:rPr>
          <w:rFonts w:cstheme="minorHAnsi"/>
        </w:rPr>
        <w:t>B rate is 0 per cent.</w:t>
      </w:r>
    </w:p>
    <w:p w14:paraId="05DF780A" w14:textId="77777777" w:rsidR="00E91378" w:rsidRPr="00E91378" w:rsidRDefault="00E91378" w:rsidP="00E91378">
      <w:pPr>
        <w:spacing w:after="0"/>
        <w:jc w:val="both"/>
        <w:rPr>
          <w:rFonts w:cstheme="minorHAnsi"/>
          <w:b/>
        </w:rPr>
      </w:pPr>
      <w:r w:rsidRPr="00E91378">
        <w:rPr>
          <w:rFonts w:cstheme="minorHAnsi"/>
          <w:b/>
        </w:rPr>
        <w:t>Table 1: Credit  Gap and benchmark CC</w:t>
      </w:r>
      <w:r w:rsidR="00624404">
        <w:rPr>
          <w:rFonts w:cstheme="minorHAnsi"/>
          <w:b/>
        </w:rPr>
        <w:t>y</w:t>
      </w:r>
      <w:r w:rsidRPr="00E91378">
        <w:rPr>
          <w:rFonts w:cstheme="minorHAnsi"/>
          <w:b/>
        </w:rPr>
        <w:t>B rate</w:t>
      </w:r>
      <w:r w:rsidR="00D44A2B">
        <w:rPr>
          <w:rFonts w:cstheme="minorHAnsi"/>
          <w:b/>
        </w:rPr>
        <w:t xml:space="preserve"> (based on data referring to</w:t>
      </w:r>
      <w:r w:rsidR="00D66E48">
        <w:rPr>
          <w:rFonts w:cstheme="minorHAnsi"/>
          <w:b/>
        </w:rPr>
        <w:t xml:space="preserve"> 2016Q</w:t>
      </w:r>
      <w:r w:rsidR="009415DB">
        <w:rPr>
          <w:rFonts w:cstheme="minorHAnsi"/>
          <w:b/>
        </w:rPr>
        <w:t>4</w:t>
      </w:r>
      <w:r w:rsidR="007B2B82">
        <w:rPr>
          <w:rFonts w:cstheme="minorHAnsi"/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2835"/>
        <w:gridCol w:w="3180"/>
      </w:tblGrid>
      <w:tr w:rsidR="00E91378" w14:paraId="02400907" w14:textId="77777777" w:rsidTr="00E91378">
        <w:tc>
          <w:tcPr>
            <w:tcW w:w="392" w:type="dxa"/>
          </w:tcPr>
          <w:p w14:paraId="690CCAF5" w14:textId="77777777" w:rsidR="00E91378" w:rsidRDefault="00E91378" w:rsidP="004C3C81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2AD30E9A" w14:textId="77777777" w:rsidR="00E91378" w:rsidRDefault="00E91378" w:rsidP="004C3C81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7DE3EC41" w14:textId="77777777" w:rsidR="00E91378" w:rsidRPr="006A209A" w:rsidRDefault="00E91378" w:rsidP="006A209A">
            <w:pPr>
              <w:jc w:val="center"/>
              <w:rPr>
                <w:rFonts w:cstheme="minorHAnsi"/>
                <w:b/>
              </w:rPr>
            </w:pPr>
            <w:r w:rsidRPr="006A209A">
              <w:rPr>
                <w:rFonts w:cstheme="minorHAnsi"/>
                <w:b/>
              </w:rPr>
              <w:t>Standardised Approach</w:t>
            </w:r>
          </w:p>
        </w:tc>
        <w:tc>
          <w:tcPr>
            <w:tcW w:w="3180" w:type="dxa"/>
          </w:tcPr>
          <w:p w14:paraId="2BEB704D" w14:textId="77777777" w:rsidR="00E91378" w:rsidRPr="006A209A" w:rsidRDefault="00E91378" w:rsidP="006A209A">
            <w:pPr>
              <w:jc w:val="center"/>
              <w:rPr>
                <w:rFonts w:cstheme="minorHAnsi"/>
                <w:b/>
              </w:rPr>
            </w:pPr>
            <w:r w:rsidRPr="006A209A">
              <w:rPr>
                <w:rFonts w:cstheme="minorHAnsi"/>
                <w:b/>
              </w:rPr>
              <w:t>National Specific Approach</w:t>
            </w:r>
          </w:p>
        </w:tc>
      </w:tr>
      <w:tr w:rsidR="00E91378" w14:paraId="4D866679" w14:textId="77777777" w:rsidTr="00E91378">
        <w:tc>
          <w:tcPr>
            <w:tcW w:w="392" w:type="dxa"/>
          </w:tcPr>
          <w:p w14:paraId="6DA6F6DB" w14:textId="77777777" w:rsidR="00E91378" w:rsidRPr="00E91378" w:rsidRDefault="00E91378" w:rsidP="004C3C81">
            <w:pPr>
              <w:jc w:val="both"/>
              <w:rPr>
                <w:rFonts w:cstheme="minorHAnsi"/>
                <w:i/>
              </w:rPr>
            </w:pPr>
            <w:r w:rsidRPr="00E91378">
              <w:rPr>
                <w:rFonts w:cstheme="minorHAnsi"/>
                <w:i/>
              </w:rPr>
              <w:t>A</w:t>
            </w:r>
          </w:p>
        </w:tc>
        <w:tc>
          <w:tcPr>
            <w:tcW w:w="2835" w:type="dxa"/>
          </w:tcPr>
          <w:p w14:paraId="39591AEF" w14:textId="77777777" w:rsidR="00E91378" w:rsidRDefault="007D2428" w:rsidP="007D2428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Latest c</w:t>
            </w:r>
            <w:r w:rsidR="00E91378">
              <w:rPr>
                <w:rFonts w:cstheme="minorHAnsi"/>
              </w:rPr>
              <w:t>redit-to-GDP ratio</w:t>
            </w:r>
          </w:p>
        </w:tc>
        <w:tc>
          <w:tcPr>
            <w:tcW w:w="2835" w:type="dxa"/>
          </w:tcPr>
          <w:p w14:paraId="2A6B1878" w14:textId="77777777" w:rsidR="00E91378" w:rsidRPr="00695F4E" w:rsidRDefault="00085BC4" w:rsidP="004F0870">
            <w:pPr>
              <w:jc w:val="center"/>
              <w:rPr>
                <w:rFonts w:cstheme="minorHAnsi"/>
              </w:rPr>
            </w:pPr>
            <w:r w:rsidRPr="00695F4E">
              <w:rPr>
                <w:rFonts w:cstheme="minorHAnsi"/>
              </w:rPr>
              <w:t>2</w:t>
            </w:r>
            <w:r w:rsidR="004F0870" w:rsidRPr="00695F4E">
              <w:rPr>
                <w:rFonts w:cstheme="minorHAnsi"/>
              </w:rPr>
              <w:t>93</w:t>
            </w:r>
            <w:r w:rsidR="00E91378" w:rsidRPr="00695F4E">
              <w:rPr>
                <w:rFonts w:cstheme="minorHAnsi"/>
              </w:rPr>
              <w:t xml:space="preserve"> per cent</w:t>
            </w:r>
          </w:p>
        </w:tc>
        <w:tc>
          <w:tcPr>
            <w:tcW w:w="3180" w:type="dxa"/>
          </w:tcPr>
          <w:p w14:paraId="69967EAB" w14:textId="77777777" w:rsidR="00E91378" w:rsidRPr="00695F4E" w:rsidRDefault="00D66E48" w:rsidP="006C72AA">
            <w:pPr>
              <w:jc w:val="center"/>
              <w:rPr>
                <w:rFonts w:cstheme="minorHAnsi"/>
              </w:rPr>
            </w:pPr>
            <w:r w:rsidRPr="00695F4E">
              <w:rPr>
                <w:rFonts w:cstheme="minorHAnsi"/>
              </w:rPr>
              <w:t>7</w:t>
            </w:r>
            <w:r w:rsidR="006C72AA" w:rsidRPr="00695F4E">
              <w:rPr>
                <w:rFonts w:cstheme="minorHAnsi"/>
              </w:rPr>
              <w:t>0</w:t>
            </w:r>
            <w:r w:rsidR="00E91378" w:rsidRPr="00695F4E">
              <w:rPr>
                <w:rFonts w:cstheme="minorHAnsi"/>
              </w:rPr>
              <w:t xml:space="preserve"> per cent</w:t>
            </w:r>
          </w:p>
        </w:tc>
      </w:tr>
      <w:tr w:rsidR="00E91378" w14:paraId="062429A9" w14:textId="77777777" w:rsidTr="00E91378">
        <w:tc>
          <w:tcPr>
            <w:tcW w:w="392" w:type="dxa"/>
          </w:tcPr>
          <w:p w14:paraId="38160F91" w14:textId="77777777" w:rsidR="00E91378" w:rsidRPr="00E91378" w:rsidRDefault="00E91378" w:rsidP="004C3C81">
            <w:pPr>
              <w:jc w:val="both"/>
              <w:rPr>
                <w:rFonts w:cstheme="minorHAnsi"/>
                <w:i/>
              </w:rPr>
            </w:pPr>
            <w:r w:rsidRPr="00E91378">
              <w:rPr>
                <w:rFonts w:cstheme="minorHAnsi"/>
                <w:i/>
              </w:rPr>
              <w:t>B</w:t>
            </w:r>
          </w:p>
        </w:tc>
        <w:tc>
          <w:tcPr>
            <w:tcW w:w="2835" w:type="dxa"/>
          </w:tcPr>
          <w:p w14:paraId="415FFED3" w14:textId="77777777" w:rsidR="00E91378" w:rsidRDefault="007D2428" w:rsidP="004C3C8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Trend credit-to-GDP ratio</w:t>
            </w:r>
          </w:p>
        </w:tc>
        <w:tc>
          <w:tcPr>
            <w:tcW w:w="2835" w:type="dxa"/>
          </w:tcPr>
          <w:p w14:paraId="1ABFB3A1" w14:textId="77777777" w:rsidR="00E91378" w:rsidRPr="00695F4E" w:rsidRDefault="00E91378" w:rsidP="004F0870">
            <w:pPr>
              <w:jc w:val="center"/>
              <w:rPr>
                <w:rFonts w:cstheme="minorHAnsi"/>
              </w:rPr>
            </w:pPr>
            <w:r w:rsidRPr="00695F4E">
              <w:rPr>
                <w:rFonts w:cstheme="minorHAnsi"/>
              </w:rPr>
              <w:t xml:space="preserve"> </w:t>
            </w:r>
            <w:r w:rsidR="00D66E48" w:rsidRPr="00695F4E">
              <w:rPr>
                <w:rFonts w:cstheme="minorHAnsi"/>
              </w:rPr>
              <w:t>34</w:t>
            </w:r>
            <w:r w:rsidR="004F0870" w:rsidRPr="00695F4E">
              <w:rPr>
                <w:rFonts w:cstheme="minorHAnsi"/>
              </w:rPr>
              <w:t>5</w:t>
            </w:r>
            <w:r w:rsidR="00D66E48" w:rsidRPr="00695F4E">
              <w:rPr>
                <w:rFonts w:cstheme="minorHAnsi"/>
              </w:rPr>
              <w:t xml:space="preserve"> </w:t>
            </w:r>
            <w:r w:rsidRPr="00695F4E">
              <w:rPr>
                <w:rFonts w:cstheme="minorHAnsi"/>
              </w:rPr>
              <w:t>per cent</w:t>
            </w:r>
          </w:p>
        </w:tc>
        <w:tc>
          <w:tcPr>
            <w:tcW w:w="3180" w:type="dxa"/>
          </w:tcPr>
          <w:p w14:paraId="475AEC33" w14:textId="77777777" w:rsidR="00E91378" w:rsidRPr="00695F4E" w:rsidRDefault="003F793E" w:rsidP="004F0870">
            <w:pPr>
              <w:jc w:val="center"/>
              <w:rPr>
                <w:rFonts w:cstheme="minorHAnsi"/>
              </w:rPr>
            </w:pPr>
            <w:r w:rsidRPr="00695F4E">
              <w:rPr>
                <w:rFonts w:cstheme="minorHAnsi"/>
              </w:rPr>
              <w:t>14</w:t>
            </w:r>
            <w:r w:rsidR="004F0870" w:rsidRPr="00695F4E">
              <w:rPr>
                <w:rFonts w:cstheme="minorHAnsi"/>
              </w:rPr>
              <w:t>3</w:t>
            </w:r>
            <w:r w:rsidR="00E91378" w:rsidRPr="00695F4E">
              <w:rPr>
                <w:rFonts w:cstheme="minorHAnsi"/>
              </w:rPr>
              <w:t xml:space="preserve"> per cent</w:t>
            </w:r>
          </w:p>
        </w:tc>
      </w:tr>
      <w:tr w:rsidR="00E91378" w14:paraId="2092BDE5" w14:textId="77777777" w:rsidTr="00E91378">
        <w:tc>
          <w:tcPr>
            <w:tcW w:w="392" w:type="dxa"/>
          </w:tcPr>
          <w:p w14:paraId="345EF6A9" w14:textId="77777777" w:rsidR="00E91378" w:rsidRPr="00E91378" w:rsidRDefault="00E91378" w:rsidP="004C3C81">
            <w:pPr>
              <w:jc w:val="both"/>
              <w:rPr>
                <w:rFonts w:cstheme="minorHAnsi"/>
                <w:i/>
              </w:rPr>
            </w:pPr>
            <w:r w:rsidRPr="00E91378">
              <w:rPr>
                <w:rFonts w:cstheme="minorHAnsi"/>
                <w:i/>
              </w:rPr>
              <w:t>C</w:t>
            </w:r>
          </w:p>
        </w:tc>
        <w:tc>
          <w:tcPr>
            <w:tcW w:w="2835" w:type="dxa"/>
          </w:tcPr>
          <w:p w14:paraId="3A298910" w14:textId="77777777" w:rsidR="00E91378" w:rsidRPr="006A209A" w:rsidRDefault="00E91378" w:rsidP="004C3C81">
            <w:pPr>
              <w:jc w:val="both"/>
              <w:rPr>
                <w:rFonts w:cstheme="minorHAnsi"/>
                <w:b/>
              </w:rPr>
            </w:pPr>
            <w:r w:rsidRPr="006A209A">
              <w:rPr>
                <w:rFonts w:cstheme="minorHAnsi"/>
                <w:b/>
              </w:rPr>
              <w:t>Credit Gap</w:t>
            </w:r>
            <w:r>
              <w:rPr>
                <w:rFonts w:cstheme="minorHAnsi"/>
                <w:b/>
              </w:rPr>
              <w:t xml:space="preserve"> </w:t>
            </w:r>
            <w:r w:rsidRPr="00E91378">
              <w:rPr>
                <w:rFonts w:cstheme="minorHAnsi"/>
                <w:i/>
              </w:rPr>
              <w:t>(=A-B)</w:t>
            </w:r>
          </w:p>
        </w:tc>
        <w:tc>
          <w:tcPr>
            <w:tcW w:w="2835" w:type="dxa"/>
          </w:tcPr>
          <w:p w14:paraId="667BF238" w14:textId="77777777" w:rsidR="00E91378" w:rsidRPr="00695F4E" w:rsidRDefault="00085BC4" w:rsidP="004F0870">
            <w:pPr>
              <w:jc w:val="center"/>
              <w:rPr>
                <w:rFonts w:cstheme="minorHAnsi"/>
              </w:rPr>
            </w:pPr>
            <w:r w:rsidRPr="00695F4E">
              <w:rPr>
                <w:rFonts w:cstheme="minorHAnsi"/>
              </w:rPr>
              <w:t>-</w:t>
            </w:r>
            <w:r w:rsidR="004F0870" w:rsidRPr="00695F4E">
              <w:rPr>
                <w:rFonts w:cstheme="minorHAnsi"/>
              </w:rPr>
              <w:t>51</w:t>
            </w:r>
            <w:r w:rsidR="00E91378" w:rsidRPr="00695F4E">
              <w:rPr>
                <w:rFonts w:cstheme="minorHAnsi"/>
              </w:rPr>
              <w:t xml:space="preserve"> per cent</w:t>
            </w:r>
          </w:p>
        </w:tc>
        <w:tc>
          <w:tcPr>
            <w:tcW w:w="3180" w:type="dxa"/>
          </w:tcPr>
          <w:p w14:paraId="3C082C28" w14:textId="77777777" w:rsidR="00E91378" w:rsidRPr="00695F4E" w:rsidRDefault="003F793E" w:rsidP="009E0C7A">
            <w:pPr>
              <w:jc w:val="center"/>
              <w:rPr>
                <w:rFonts w:cstheme="minorHAnsi"/>
              </w:rPr>
            </w:pPr>
            <w:r w:rsidRPr="00695F4E">
              <w:rPr>
                <w:rFonts w:cstheme="minorHAnsi"/>
              </w:rPr>
              <w:t>-7</w:t>
            </w:r>
            <w:r w:rsidR="009E0C7A" w:rsidRPr="00695F4E">
              <w:rPr>
                <w:rFonts w:cstheme="minorHAnsi"/>
              </w:rPr>
              <w:t>3</w:t>
            </w:r>
            <w:r w:rsidRPr="00695F4E">
              <w:rPr>
                <w:rFonts w:cstheme="minorHAnsi"/>
              </w:rPr>
              <w:t xml:space="preserve"> </w:t>
            </w:r>
            <w:r w:rsidR="00E91378" w:rsidRPr="00695F4E">
              <w:rPr>
                <w:rFonts w:cstheme="minorHAnsi"/>
              </w:rPr>
              <w:t>per cent</w:t>
            </w:r>
          </w:p>
        </w:tc>
      </w:tr>
      <w:tr w:rsidR="00E91378" w14:paraId="78FBED05" w14:textId="77777777" w:rsidTr="00E91378">
        <w:tc>
          <w:tcPr>
            <w:tcW w:w="392" w:type="dxa"/>
          </w:tcPr>
          <w:p w14:paraId="388BB8FB" w14:textId="77777777" w:rsidR="00E91378" w:rsidRDefault="00E91378" w:rsidP="004C3C81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63445743" w14:textId="77777777" w:rsidR="00E91378" w:rsidRDefault="00E91378" w:rsidP="004C3C81">
            <w:pPr>
              <w:jc w:val="both"/>
              <w:rPr>
                <w:rFonts w:cstheme="minorHAnsi"/>
              </w:rPr>
            </w:pPr>
          </w:p>
        </w:tc>
        <w:tc>
          <w:tcPr>
            <w:tcW w:w="2835" w:type="dxa"/>
          </w:tcPr>
          <w:p w14:paraId="4FD49CA0" w14:textId="77777777" w:rsidR="00E91378" w:rsidRPr="005C13D6" w:rsidRDefault="00E91378" w:rsidP="006A209A">
            <w:pPr>
              <w:jc w:val="center"/>
              <w:rPr>
                <w:rFonts w:cstheme="minorHAnsi"/>
              </w:rPr>
            </w:pPr>
          </w:p>
        </w:tc>
        <w:tc>
          <w:tcPr>
            <w:tcW w:w="3180" w:type="dxa"/>
          </w:tcPr>
          <w:p w14:paraId="2A89868F" w14:textId="77777777" w:rsidR="00E91378" w:rsidRPr="005C13D6" w:rsidRDefault="00E91378" w:rsidP="006A209A">
            <w:pPr>
              <w:jc w:val="center"/>
              <w:rPr>
                <w:rFonts w:cstheme="minorHAnsi"/>
              </w:rPr>
            </w:pPr>
          </w:p>
        </w:tc>
      </w:tr>
      <w:tr w:rsidR="00E91378" w14:paraId="1B40FF0E" w14:textId="77777777" w:rsidTr="00AA4F99">
        <w:trPr>
          <w:trHeight w:val="64"/>
        </w:trPr>
        <w:tc>
          <w:tcPr>
            <w:tcW w:w="392" w:type="dxa"/>
          </w:tcPr>
          <w:p w14:paraId="73C0C72F" w14:textId="77777777" w:rsidR="00E91378" w:rsidRPr="006A209A" w:rsidRDefault="00E91378" w:rsidP="00E9137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835" w:type="dxa"/>
          </w:tcPr>
          <w:p w14:paraId="45A64558" w14:textId="77777777" w:rsidR="00E91378" w:rsidRPr="006A209A" w:rsidRDefault="00E91378" w:rsidP="00E91378">
            <w:pPr>
              <w:jc w:val="both"/>
              <w:rPr>
                <w:rFonts w:cstheme="minorHAnsi"/>
                <w:b/>
              </w:rPr>
            </w:pPr>
            <w:r w:rsidRPr="006A209A">
              <w:rPr>
                <w:rFonts w:cstheme="minorHAnsi"/>
                <w:b/>
              </w:rPr>
              <w:t xml:space="preserve">Benchmark </w:t>
            </w:r>
            <w:r>
              <w:rPr>
                <w:rFonts w:cstheme="minorHAnsi"/>
                <w:b/>
              </w:rPr>
              <w:t>CC</w:t>
            </w:r>
            <w:r w:rsidR="00624404">
              <w:rPr>
                <w:rFonts w:cstheme="minorHAnsi"/>
                <w:b/>
              </w:rPr>
              <w:t>y</w:t>
            </w:r>
            <w:r>
              <w:rPr>
                <w:rFonts w:cstheme="minorHAnsi"/>
                <w:b/>
              </w:rPr>
              <w:t>B</w:t>
            </w:r>
            <w:r w:rsidRPr="006A209A">
              <w:rPr>
                <w:rFonts w:cstheme="minorHAnsi"/>
                <w:b/>
              </w:rPr>
              <w:t xml:space="preserve"> rate</w:t>
            </w:r>
          </w:p>
        </w:tc>
        <w:tc>
          <w:tcPr>
            <w:tcW w:w="2835" w:type="dxa"/>
          </w:tcPr>
          <w:p w14:paraId="16BF10C5" w14:textId="77777777" w:rsidR="00E91378" w:rsidRPr="005C13D6" w:rsidRDefault="005C13D6" w:rsidP="006A209A">
            <w:pPr>
              <w:jc w:val="center"/>
              <w:rPr>
                <w:rFonts w:cstheme="minorHAnsi"/>
              </w:rPr>
            </w:pPr>
            <w:r w:rsidRPr="005C13D6">
              <w:rPr>
                <w:rFonts w:cstheme="minorHAnsi"/>
              </w:rPr>
              <w:t>0</w:t>
            </w:r>
            <w:r w:rsidR="00E91378" w:rsidRPr="005C13D6">
              <w:rPr>
                <w:rFonts w:cstheme="minorHAnsi"/>
              </w:rPr>
              <w:t xml:space="preserve"> per cent</w:t>
            </w:r>
          </w:p>
        </w:tc>
        <w:tc>
          <w:tcPr>
            <w:tcW w:w="3180" w:type="dxa"/>
          </w:tcPr>
          <w:p w14:paraId="3AF31A34" w14:textId="77777777" w:rsidR="00E91378" w:rsidRPr="005C13D6" w:rsidRDefault="005C13D6" w:rsidP="006A209A">
            <w:pPr>
              <w:jc w:val="center"/>
              <w:rPr>
                <w:rFonts w:cstheme="minorHAnsi"/>
              </w:rPr>
            </w:pPr>
            <w:r w:rsidRPr="005C13D6">
              <w:rPr>
                <w:rFonts w:cstheme="minorHAnsi"/>
              </w:rPr>
              <w:t>0</w:t>
            </w:r>
            <w:r w:rsidR="00E91378" w:rsidRPr="005C13D6">
              <w:rPr>
                <w:rFonts w:cstheme="minorHAnsi"/>
              </w:rPr>
              <w:t xml:space="preserve"> per cent</w:t>
            </w:r>
          </w:p>
        </w:tc>
      </w:tr>
    </w:tbl>
    <w:p w14:paraId="27857E79" w14:textId="77777777" w:rsidR="00576EAF" w:rsidRDefault="00576EAF" w:rsidP="004C3C81">
      <w:pPr>
        <w:jc w:val="both"/>
        <w:rPr>
          <w:rFonts w:cstheme="minorHAnsi"/>
        </w:rPr>
      </w:pPr>
    </w:p>
    <w:p w14:paraId="4751BF40" w14:textId="77777777" w:rsidR="004C3C81" w:rsidRDefault="004C3C81" w:rsidP="00FD2933">
      <w:pPr>
        <w:pStyle w:val="Heading3"/>
      </w:pPr>
      <w:r>
        <w:t>Further information</w:t>
      </w:r>
    </w:p>
    <w:p w14:paraId="2622C52E" w14:textId="77777777" w:rsidR="00BA1812" w:rsidRPr="00416888" w:rsidRDefault="00275084" w:rsidP="00416888">
      <w:pPr>
        <w:jc w:val="both"/>
        <w:rPr>
          <w:rFonts w:cstheme="minorHAnsi"/>
        </w:rPr>
      </w:pPr>
      <w:r>
        <w:rPr>
          <w:rFonts w:cstheme="minorHAnsi"/>
        </w:rPr>
        <w:t>For f</w:t>
      </w:r>
      <w:r w:rsidR="006A209A">
        <w:rPr>
          <w:rFonts w:cstheme="minorHAnsi"/>
        </w:rPr>
        <w:t xml:space="preserve">urther information </w:t>
      </w:r>
      <w:r>
        <w:rPr>
          <w:rFonts w:cstheme="minorHAnsi"/>
        </w:rPr>
        <w:t>see the Macroprudential Policy section of the Ce</w:t>
      </w:r>
      <w:r w:rsidR="005D7AA9">
        <w:rPr>
          <w:rFonts w:cstheme="minorHAnsi"/>
        </w:rPr>
        <w:t>ntral Bank</w:t>
      </w:r>
      <w:r>
        <w:rPr>
          <w:rFonts w:cstheme="minorHAnsi"/>
        </w:rPr>
        <w:t xml:space="preserve"> website </w:t>
      </w:r>
      <w:hyperlink r:id="rId12" w:history="1">
        <w:r w:rsidRPr="00275084">
          <w:rPr>
            <w:rStyle w:val="Hyperlink"/>
            <w:rFonts w:cstheme="minorHAnsi"/>
          </w:rPr>
          <w:t>here</w:t>
        </w:r>
      </w:hyperlink>
      <w:r w:rsidR="00416888">
        <w:rPr>
          <w:rFonts w:cstheme="minorHAnsi"/>
        </w:rPr>
        <w:t xml:space="preserve">.  </w:t>
      </w:r>
    </w:p>
    <w:sectPr w:rsidR="00BA1812" w:rsidRPr="00416888" w:rsidSect="00DB282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276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1876C" w14:textId="77777777" w:rsidR="00CA3115" w:rsidRDefault="00CA3115" w:rsidP="0020010B">
      <w:pPr>
        <w:spacing w:after="0" w:line="240" w:lineRule="auto"/>
      </w:pPr>
      <w:r>
        <w:separator/>
      </w:r>
    </w:p>
  </w:endnote>
  <w:endnote w:type="continuationSeparator" w:id="0">
    <w:p w14:paraId="32D9D1D0" w14:textId="77777777" w:rsidR="00CA3115" w:rsidRDefault="00CA3115" w:rsidP="0020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ndnya">
    <w:altName w:val="Courier New"/>
    <w:panose1 w:val="000004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3E9A" w14:textId="77777777" w:rsidR="0013629D" w:rsidRDefault="00136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4174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D570E" w14:textId="77777777" w:rsidR="00086E37" w:rsidRDefault="00086E3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62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4190FF" w14:textId="77777777" w:rsidR="00086E37" w:rsidRDefault="00086E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E8C21" w14:textId="77777777" w:rsidR="0013629D" w:rsidRDefault="00136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1A46F" w14:textId="77777777" w:rsidR="00CA3115" w:rsidRDefault="00CA3115" w:rsidP="0020010B">
      <w:pPr>
        <w:spacing w:after="0" w:line="240" w:lineRule="auto"/>
      </w:pPr>
      <w:r>
        <w:separator/>
      </w:r>
    </w:p>
  </w:footnote>
  <w:footnote w:type="continuationSeparator" w:id="0">
    <w:p w14:paraId="62A3674B" w14:textId="77777777" w:rsidR="00CA3115" w:rsidRDefault="00CA3115" w:rsidP="00200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2DB42" w14:textId="01E5DBB0" w:rsidR="00555163" w:rsidRPr="0013629D" w:rsidRDefault="0013629D" w:rsidP="0013629D">
    <w:pPr>
      <w:pStyle w:val="Header"/>
    </w:pPr>
    <w:fldSimple w:instr=" DOCPROPERTY bjHeaderEvenPageDocProperty \* MERGEFORMAT " w:fldLock="1">
      <w:r w:rsidRPr="0013629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CE4644" w14:textId="6E4705DD" w:rsidR="00EE719C" w:rsidRPr="0013629D" w:rsidRDefault="0013629D" w:rsidP="0013629D">
    <w:pPr>
      <w:pStyle w:val="Header"/>
    </w:pPr>
    <w:fldSimple w:instr=" DOCPROPERTY bjHeaderBothDocProperty \* MERGEFORMAT " w:fldLock="1">
      <w:r w:rsidRPr="0013629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2EEA7A" w14:textId="0D68DB07" w:rsidR="00635DA8" w:rsidRPr="0013629D" w:rsidRDefault="0013629D" w:rsidP="0013629D">
    <w:pPr>
      <w:pStyle w:val="Header"/>
    </w:pPr>
    <w:fldSimple w:instr=" DOCPROPERTY bjHeaderFirstPageDocProperty \* MERGEFORMAT " w:fldLock="1">
      <w:r w:rsidRPr="0013629D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9233E"/>
    <w:multiLevelType w:val="hybridMultilevel"/>
    <w:tmpl w:val="8886FB3A"/>
    <w:lvl w:ilvl="0" w:tplc="946EA2A2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03618"/>
    <w:multiLevelType w:val="hybridMultilevel"/>
    <w:tmpl w:val="0DF25B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F1263"/>
    <w:multiLevelType w:val="hybridMultilevel"/>
    <w:tmpl w:val="208CE5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476A"/>
    <w:multiLevelType w:val="hybridMultilevel"/>
    <w:tmpl w:val="4836B7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EB4F70"/>
    <w:multiLevelType w:val="hybridMultilevel"/>
    <w:tmpl w:val="97F29B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F37DB9"/>
    <w:multiLevelType w:val="hybridMultilevel"/>
    <w:tmpl w:val="0BECCA0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ED"/>
    <w:rsid w:val="00002F16"/>
    <w:rsid w:val="00003734"/>
    <w:rsid w:val="000265B4"/>
    <w:rsid w:val="000336FA"/>
    <w:rsid w:val="00037C64"/>
    <w:rsid w:val="00044911"/>
    <w:rsid w:val="000628B7"/>
    <w:rsid w:val="00064F33"/>
    <w:rsid w:val="00085BC4"/>
    <w:rsid w:val="00086E37"/>
    <w:rsid w:val="000960A8"/>
    <w:rsid w:val="00096481"/>
    <w:rsid w:val="000B6AA8"/>
    <w:rsid w:val="000C501D"/>
    <w:rsid w:val="000D7017"/>
    <w:rsid w:val="000D7CE5"/>
    <w:rsid w:val="000E14D7"/>
    <w:rsid w:val="000E4628"/>
    <w:rsid w:val="000E4AAF"/>
    <w:rsid w:val="000F286D"/>
    <w:rsid w:val="001105B7"/>
    <w:rsid w:val="0013629D"/>
    <w:rsid w:val="00140F76"/>
    <w:rsid w:val="00154BB1"/>
    <w:rsid w:val="00163D2B"/>
    <w:rsid w:val="001676C9"/>
    <w:rsid w:val="00171E4C"/>
    <w:rsid w:val="00172717"/>
    <w:rsid w:val="0019171E"/>
    <w:rsid w:val="0019246C"/>
    <w:rsid w:val="001A0ACF"/>
    <w:rsid w:val="001A0D86"/>
    <w:rsid w:val="001D305B"/>
    <w:rsid w:val="0020010B"/>
    <w:rsid w:val="0020526F"/>
    <w:rsid w:val="0020684D"/>
    <w:rsid w:val="00213108"/>
    <w:rsid w:val="00251AAC"/>
    <w:rsid w:val="00275084"/>
    <w:rsid w:val="002842BA"/>
    <w:rsid w:val="00285972"/>
    <w:rsid w:val="002A5728"/>
    <w:rsid w:val="002B7445"/>
    <w:rsid w:val="002C6982"/>
    <w:rsid w:val="002D568C"/>
    <w:rsid w:val="002F21B5"/>
    <w:rsid w:val="00330D85"/>
    <w:rsid w:val="00333326"/>
    <w:rsid w:val="0034391D"/>
    <w:rsid w:val="003441C1"/>
    <w:rsid w:val="003448F1"/>
    <w:rsid w:val="003456DB"/>
    <w:rsid w:val="00347847"/>
    <w:rsid w:val="00350EAE"/>
    <w:rsid w:val="00354CC1"/>
    <w:rsid w:val="003B0C72"/>
    <w:rsid w:val="003B414E"/>
    <w:rsid w:val="003D1106"/>
    <w:rsid w:val="003D7494"/>
    <w:rsid w:val="003F793E"/>
    <w:rsid w:val="004025B6"/>
    <w:rsid w:val="0040398D"/>
    <w:rsid w:val="00414413"/>
    <w:rsid w:val="00415EB0"/>
    <w:rsid w:val="00416888"/>
    <w:rsid w:val="004250F7"/>
    <w:rsid w:val="0042573A"/>
    <w:rsid w:val="004462C8"/>
    <w:rsid w:val="0044633A"/>
    <w:rsid w:val="00446F24"/>
    <w:rsid w:val="00465AD6"/>
    <w:rsid w:val="0047063D"/>
    <w:rsid w:val="004770E0"/>
    <w:rsid w:val="00484CB1"/>
    <w:rsid w:val="004A2209"/>
    <w:rsid w:val="004A766A"/>
    <w:rsid w:val="004C17A3"/>
    <w:rsid w:val="004C3C81"/>
    <w:rsid w:val="004D4D9B"/>
    <w:rsid w:val="004E54A9"/>
    <w:rsid w:val="004E5B2F"/>
    <w:rsid w:val="004F0870"/>
    <w:rsid w:val="005030EA"/>
    <w:rsid w:val="00510210"/>
    <w:rsid w:val="005248EF"/>
    <w:rsid w:val="00527FF7"/>
    <w:rsid w:val="00527FFD"/>
    <w:rsid w:val="005376BF"/>
    <w:rsid w:val="005446A5"/>
    <w:rsid w:val="00544DDF"/>
    <w:rsid w:val="00555163"/>
    <w:rsid w:val="005722F8"/>
    <w:rsid w:val="00572B43"/>
    <w:rsid w:val="00576EAF"/>
    <w:rsid w:val="00584A60"/>
    <w:rsid w:val="00594CDE"/>
    <w:rsid w:val="005A6A9A"/>
    <w:rsid w:val="005A7CDC"/>
    <w:rsid w:val="005C13D6"/>
    <w:rsid w:val="005C2730"/>
    <w:rsid w:val="005D7AA9"/>
    <w:rsid w:val="005E36A0"/>
    <w:rsid w:val="005F2F61"/>
    <w:rsid w:val="005F4676"/>
    <w:rsid w:val="005F545F"/>
    <w:rsid w:val="006079E1"/>
    <w:rsid w:val="00613037"/>
    <w:rsid w:val="00617329"/>
    <w:rsid w:val="00624404"/>
    <w:rsid w:val="0063398A"/>
    <w:rsid w:val="00633EA6"/>
    <w:rsid w:val="00635DA8"/>
    <w:rsid w:val="006471D2"/>
    <w:rsid w:val="0065020A"/>
    <w:rsid w:val="00650C08"/>
    <w:rsid w:val="006526C1"/>
    <w:rsid w:val="00657BC7"/>
    <w:rsid w:val="006628D2"/>
    <w:rsid w:val="00664F67"/>
    <w:rsid w:val="00677417"/>
    <w:rsid w:val="00684D5A"/>
    <w:rsid w:val="006908E4"/>
    <w:rsid w:val="00695F4E"/>
    <w:rsid w:val="006A209A"/>
    <w:rsid w:val="006B6294"/>
    <w:rsid w:val="006C0721"/>
    <w:rsid w:val="006C72AA"/>
    <w:rsid w:val="006D067E"/>
    <w:rsid w:val="006D07C5"/>
    <w:rsid w:val="006E713D"/>
    <w:rsid w:val="006F668C"/>
    <w:rsid w:val="00703D71"/>
    <w:rsid w:val="007238A1"/>
    <w:rsid w:val="00723C2C"/>
    <w:rsid w:val="00724FCE"/>
    <w:rsid w:val="007254EF"/>
    <w:rsid w:val="00727510"/>
    <w:rsid w:val="00730637"/>
    <w:rsid w:val="0076268B"/>
    <w:rsid w:val="00782DE0"/>
    <w:rsid w:val="00784B9A"/>
    <w:rsid w:val="007965A9"/>
    <w:rsid w:val="007A21AE"/>
    <w:rsid w:val="007A4EAB"/>
    <w:rsid w:val="007B2B82"/>
    <w:rsid w:val="007C4DB2"/>
    <w:rsid w:val="007D2428"/>
    <w:rsid w:val="007E0EED"/>
    <w:rsid w:val="007E7D0E"/>
    <w:rsid w:val="007F2292"/>
    <w:rsid w:val="00805D3C"/>
    <w:rsid w:val="00813AF7"/>
    <w:rsid w:val="008219F3"/>
    <w:rsid w:val="00832777"/>
    <w:rsid w:val="00833C58"/>
    <w:rsid w:val="00853292"/>
    <w:rsid w:val="0085537F"/>
    <w:rsid w:val="008702A9"/>
    <w:rsid w:val="00880040"/>
    <w:rsid w:val="0088011C"/>
    <w:rsid w:val="00886CCC"/>
    <w:rsid w:val="00896F05"/>
    <w:rsid w:val="008A0EFE"/>
    <w:rsid w:val="008A63EE"/>
    <w:rsid w:val="008B2FB7"/>
    <w:rsid w:val="008D1E38"/>
    <w:rsid w:val="008F1779"/>
    <w:rsid w:val="00903465"/>
    <w:rsid w:val="00922302"/>
    <w:rsid w:val="009307A4"/>
    <w:rsid w:val="00930E8D"/>
    <w:rsid w:val="009321C9"/>
    <w:rsid w:val="009415DB"/>
    <w:rsid w:val="0094260D"/>
    <w:rsid w:val="00942867"/>
    <w:rsid w:val="00951AEC"/>
    <w:rsid w:val="00952EAF"/>
    <w:rsid w:val="00961B04"/>
    <w:rsid w:val="009669EA"/>
    <w:rsid w:val="00972E5F"/>
    <w:rsid w:val="00990338"/>
    <w:rsid w:val="009A3F8A"/>
    <w:rsid w:val="009B4B0E"/>
    <w:rsid w:val="009C12DF"/>
    <w:rsid w:val="009C178A"/>
    <w:rsid w:val="009D4B5B"/>
    <w:rsid w:val="009E0C7A"/>
    <w:rsid w:val="009E5F2E"/>
    <w:rsid w:val="009E6ED2"/>
    <w:rsid w:val="009F62BA"/>
    <w:rsid w:val="00A02A50"/>
    <w:rsid w:val="00A23590"/>
    <w:rsid w:val="00A33852"/>
    <w:rsid w:val="00A41AC6"/>
    <w:rsid w:val="00A42908"/>
    <w:rsid w:val="00A45E68"/>
    <w:rsid w:val="00A46CE5"/>
    <w:rsid w:val="00A5144C"/>
    <w:rsid w:val="00A6395B"/>
    <w:rsid w:val="00A74264"/>
    <w:rsid w:val="00A76955"/>
    <w:rsid w:val="00A80D77"/>
    <w:rsid w:val="00A81155"/>
    <w:rsid w:val="00A81829"/>
    <w:rsid w:val="00A87AE1"/>
    <w:rsid w:val="00AA4F99"/>
    <w:rsid w:val="00AA5BA7"/>
    <w:rsid w:val="00AC3DD6"/>
    <w:rsid w:val="00AC5DBE"/>
    <w:rsid w:val="00AC6D1D"/>
    <w:rsid w:val="00AC72B2"/>
    <w:rsid w:val="00B02528"/>
    <w:rsid w:val="00B05523"/>
    <w:rsid w:val="00B55D9A"/>
    <w:rsid w:val="00B64E54"/>
    <w:rsid w:val="00B714D1"/>
    <w:rsid w:val="00B856A7"/>
    <w:rsid w:val="00B979E4"/>
    <w:rsid w:val="00BA1812"/>
    <w:rsid w:val="00BD0B6B"/>
    <w:rsid w:val="00BD190A"/>
    <w:rsid w:val="00BE0F6E"/>
    <w:rsid w:val="00BF001F"/>
    <w:rsid w:val="00BF0859"/>
    <w:rsid w:val="00C1027B"/>
    <w:rsid w:val="00C14D12"/>
    <w:rsid w:val="00C15BE6"/>
    <w:rsid w:val="00C21448"/>
    <w:rsid w:val="00C34F2F"/>
    <w:rsid w:val="00C602F1"/>
    <w:rsid w:val="00C75A6B"/>
    <w:rsid w:val="00C9498E"/>
    <w:rsid w:val="00CA3115"/>
    <w:rsid w:val="00CB4FDD"/>
    <w:rsid w:val="00CB581B"/>
    <w:rsid w:val="00CC2E5C"/>
    <w:rsid w:val="00CC6081"/>
    <w:rsid w:val="00CD5FEF"/>
    <w:rsid w:val="00CD7E61"/>
    <w:rsid w:val="00CE0131"/>
    <w:rsid w:val="00D0130B"/>
    <w:rsid w:val="00D12845"/>
    <w:rsid w:val="00D211FB"/>
    <w:rsid w:val="00D2400A"/>
    <w:rsid w:val="00D24A25"/>
    <w:rsid w:val="00D44A2B"/>
    <w:rsid w:val="00D44E11"/>
    <w:rsid w:val="00D64274"/>
    <w:rsid w:val="00D66E48"/>
    <w:rsid w:val="00D7654E"/>
    <w:rsid w:val="00D97C02"/>
    <w:rsid w:val="00DA1D88"/>
    <w:rsid w:val="00DB282C"/>
    <w:rsid w:val="00DC162D"/>
    <w:rsid w:val="00DD245A"/>
    <w:rsid w:val="00DE27A1"/>
    <w:rsid w:val="00DF4693"/>
    <w:rsid w:val="00DF52A4"/>
    <w:rsid w:val="00E01240"/>
    <w:rsid w:val="00E012DA"/>
    <w:rsid w:val="00E04884"/>
    <w:rsid w:val="00E0714E"/>
    <w:rsid w:val="00E2575C"/>
    <w:rsid w:val="00E271B1"/>
    <w:rsid w:val="00E272B4"/>
    <w:rsid w:val="00E3258D"/>
    <w:rsid w:val="00E43922"/>
    <w:rsid w:val="00E56C84"/>
    <w:rsid w:val="00E61A27"/>
    <w:rsid w:val="00E6440F"/>
    <w:rsid w:val="00E70FD1"/>
    <w:rsid w:val="00E8646D"/>
    <w:rsid w:val="00E9041A"/>
    <w:rsid w:val="00E91378"/>
    <w:rsid w:val="00E955E6"/>
    <w:rsid w:val="00EA3C79"/>
    <w:rsid w:val="00EA4C2B"/>
    <w:rsid w:val="00EB17FE"/>
    <w:rsid w:val="00EB476B"/>
    <w:rsid w:val="00EB4EC6"/>
    <w:rsid w:val="00EC1401"/>
    <w:rsid w:val="00EC2392"/>
    <w:rsid w:val="00EC529E"/>
    <w:rsid w:val="00ED1A85"/>
    <w:rsid w:val="00ED49E4"/>
    <w:rsid w:val="00EE346D"/>
    <w:rsid w:val="00EE719C"/>
    <w:rsid w:val="00F0566D"/>
    <w:rsid w:val="00F33D76"/>
    <w:rsid w:val="00F37F10"/>
    <w:rsid w:val="00F40085"/>
    <w:rsid w:val="00F443CC"/>
    <w:rsid w:val="00F63D41"/>
    <w:rsid w:val="00F677DA"/>
    <w:rsid w:val="00F72628"/>
    <w:rsid w:val="00F736B2"/>
    <w:rsid w:val="00F80383"/>
    <w:rsid w:val="00F81DCF"/>
    <w:rsid w:val="00FA0318"/>
    <w:rsid w:val="00FB0103"/>
    <w:rsid w:val="00FC3304"/>
    <w:rsid w:val="00FC537E"/>
    <w:rsid w:val="00FC59C3"/>
    <w:rsid w:val="00FD0DE0"/>
    <w:rsid w:val="00FD2933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9B8E6CE"/>
  <w15:docId w15:val="{2E60FD2E-03B4-4840-8480-06EF903B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1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8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293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C5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5D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65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0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10B"/>
  </w:style>
  <w:style w:type="paragraph" w:styleId="Footer">
    <w:name w:val="footer"/>
    <w:basedOn w:val="Normal"/>
    <w:link w:val="FooterChar"/>
    <w:uiPriority w:val="99"/>
    <w:unhideWhenUsed/>
    <w:rsid w:val="002001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10B"/>
  </w:style>
  <w:style w:type="paragraph" w:styleId="FootnoteText">
    <w:name w:val="footnote text"/>
    <w:basedOn w:val="Normal"/>
    <w:link w:val="FootnoteTextChar"/>
    <w:uiPriority w:val="99"/>
    <w:semiHidden/>
    <w:unhideWhenUsed/>
    <w:rsid w:val="00FE3E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6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E6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CC2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2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2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2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2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8597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BA1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/>
    </w:rPr>
  </w:style>
  <w:style w:type="character" w:customStyle="1" w:styleId="Heading2Char">
    <w:name w:val="Heading 2 Char"/>
    <w:basedOn w:val="DefaultParagraphFont"/>
    <w:link w:val="Heading2"/>
    <w:uiPriority w:val="9"/>
    <w:rsid w:val="00BA18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IE"/>
    </w:rPr>
  </w:style>
  <w:style w:type="paragraph" w:customStyle="1" w:styleId="TitleChartRISK">
    <w:name w:val="Title Chart_RISK"/>
    <w:basedOn w:val="Caption"/>
    <w:next w:val="Normal"/>
    <w:rsid w:val="00BA1812"/>
    <w:pPr>
      <w:keepNext/>
      <w:shd w:val="clear" w:color="auto" w:fill="548DD4"/>
      <w:spacing w:before="120" w:after="0"/>
    </w:pPr>
    <w:rPr>
      <w:rFonts w:ascii="Gill Sans MT" w:eastAsia="Times New Roman" w:hAnsi="Gill Sans MT" w:cs="Times New Roman"/>
      <w:bCs w:val="0"/>
      <w:color w:val="FFFFF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A181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17A3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293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AC6D1D"/>
    <w:rPr>
      <w:color w:val="800080" w:themeColor="followedHyperlink"/>
      <w:u w:val="single"/>
    </w:rPr>
  </w:style>
  <w:style w:type="paragraph" w:customStyle="1" w:styleId="ECBBodyText">
    <w:name w:val="ECB Body Text"/>
    <w:basedOn w:val="Normal"/>
    <w:link w:val="ECBBodyTextChar"/>
    <w:qFormat/>
    <w:rsid w:val="00044911"/>
    <w:pPr>
      <w:spacing w:before="60" w:after="60" w:line="340" w:lineRule="exact"/>
    </w:pPr>
    <w:rPr>
      <w:rFonts w:ascii="Arial" w:eastAsia="Times New Roman" w:hAnsi="Arial" w:cs="Sendnya"/>
      <w:sz w:val="20"/>
    </w:rPr>
  </w:style>
  <w:style w:type="character" w:customStyle="1" w:styleId="ECBBodyTextChar">
    <w:name w:val="ECB Body Text Char"/>
    <w:link w:val="ECBBodyText"/>
    <w:rsid w:val="00044911"/>
    <w:rPr>
      <w:rFonts w:ascii="Arial" w:eastAsia="Times New Roman" w:hAnsi="Arial" w:cs="Sendny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entralbank.ie/financial-system/financial-stability/macro-prudential-poli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8D25A0BAA7F4AA23E4E57732306FE" ma:contentTypeVersion="0" ma:contentTypeDescription="Create a new document." ma:contentTypeScope="" ma:versionID="ec3edd6b774e240166906e84794e1e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a586b747-2a7c-4f57-bcd1-e81df5c8c005" origin="userSelected">
  <element uid="id_classification_nonbusiness" value=""/>
  <element uid="28c775dd-3fa7-40f2-8368-0e7fa48abc25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84A1B-6762-49BA-88D4-EAB84D271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F7B2E6-4EBC-4DBD-9DE6-5EE55618F1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C28E0E-2EEC-41A0-860C-68A86303A113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342366-C602-4FB4-B89E-4E0E045BF2C4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4DAC0136-2FB3-4F75-9C19-386E7C5F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409</Words>
  <Characters>2164</Characters>
  <Application>Microsoft Office Word</Application>
  <DocSecurity>0</DocSecurity>
  <Lines>60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Bank of Ireland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N. Kelly</dc:creator>
  <cp:keywords>Unrestricted</cp:keywords>
  <cp:lastModifiedBy>Ryan, Ellen</cp:lastModifiedBy>
  <cp:revision>3</cp:revision>
  <cp:lastPrinted>2015-12-08T08:58:00Z</cp:lastPrinted>
  <dcterms:created xsi:type="dcterms:W3CDTF">2017-06-22T11:00:00Z</dcterms:created>
  <dcterms:modified xsi:type="dcterms:W3CDTF">2017-06-27T09:16:00Z</dcterms:modified>
  <cp:category>Unrestricted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0x0101005128D25A0BAA7F4AA23E4E57732306FE</vt:lpwstr>
  </property>
  <property fmtid="{D5CDD505-2E9C-101B-9397-08002B2CF9AE}" pid="3" name="docIndexRef">
    <vt:lpwstr>70a6583b-30a0-4fb9-9c6f-6a58e4a55c9d</vt:lpwstr>
  </property>
  <property fmtid="{D5CDD505-2E9C-101B-9397-08002B2CF9AE}" pid="4" name="bjSaver">
    <vt:lpwstr>9+n8tz0ngW4Ho8DUkKIWKSgqnnxzurFT</vt:lpwstr>
  </property>
  <property fmtid="{D5CDD505-2E9C-101B-9397-08002B2CF9AE}" pid="5" name="bjDocumentSecurityLabel">
    <vt:lpwstr>Unrestricted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policy="a586b747-2a7c-4f57-bcd1-e81df5c8c005"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/&gt;&lt;element uid="28c775dd-3fa7-40f2-8368-0e7fa48abc25" value="" /&gt;&lt;/sisl&gt;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</Properties>
</file>