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E54" w:rsidRDefault="00A27703" w:rsidP="00E35D8F">
      <w:pPr>
        <w:pStyle w:val="CBCoverTitleWhite"/>
      </w:pPr>
      <w:bookmarkStart w:id="0" w:name="_GoBack"/>
      <w:bookmarkEnd w:id="0"/>
      <w:r>
        <w:t xml:space="preserve">UCITS </w:t>
      </w:r>
      <w:r w:rsidR="00AC5E54">
        <w:t xml:space="preserve">Application Form </w:t>
      </w:r>
      <w:r w:rsidR="002263E9">
        <w:t xml:space="preserve">Section 13 </w:t>
      </w:r>
    </w:p>
    <w:p w:rsidR="00E35D8F" w:rsidRPr="002E54F0" w:rsidRDefault="00A02084" w:rsidP="00E35D8F">
      <w:pPr>
        <w:pStyle w:val="CBCoverTitleWhite"/>
      </w:pPr>
      <w:r>
        <w:t xml:space="preserve">Risk Management Process </w:t>
      </w:r>
      <w:r w:rsidR="00FE1D7A">
        <w:t>ORION</w:t>
      </w:r>
    </w:p>
    <w:p w:rsidR="00E35D8F" w:rsidRPr="002E54F0" w:rsidRDefault="009C2961" w:rsidP="00E35D8F">
      <w:pPr>
        <w:pStyle w:val="CBCoverSubtitleLightWhite"/>
      </w:pPr>
      <w:r>
        <w:t>May 2018</w:t>
      </w:r>
    </w:p>
    <w:p w:rsidR="00D56982" w:rsidRDefault="00D56982"/>
    <w:p w:rsidR="00D56982" w:rsidRDefault="00D56982">
      <w:pPr>
        <w:sectPr w:rsidR="00D56982" w:rsidSect="002E54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861" w:right="1134" w:bottom="1134" w:left="1134" w:header="284" w:footer="284" w:gutter="0"/>
          <w:cols w:space="708"/>
          <w:titlePg/>
          <w:docGrid w:linePitch="360"/>
        </w:sectPr>
      </w:pPr>
    </w:p>
    <w:p w:rsidR="0062454F" w:rsidRDefault="0062454F">
      <w:r>
        <w:br w:type="page"/>
      </w:r>
    </w:p>
    <w:p w:rsidR="00A02084" w:rsidRPr="006A099E" w:rsidRDefault="002263E9" w:rsidP="00AC73C1">
      <w:pPr>
        <w:spacing w:line="240" w:lineRule="auto"/>
        <w:ind w:firstLine="142"/>
        <w:rPr>
          <w:rFonts w:asciiTheme="majorHAnsi" w:hAnsiTheme="majorHAnsi"/>
          <w:b/>
          <w:bCs/>
          <w:sz w:val="20"/>
          <w:szCs w:val="20"/>
        </w:rPr>
      </w:pPr>
      <w:r>
        <w:rPr>
          <w:rFonts w:asciiTheme="majorHAnsi" w:hAnsiTheme="majorHAnsi"/>
          <w:b/>
          <w:bCs/>
          <w:sz w:val="20"/>
          <w:szCs w:val="20"/>
        </w:rPr>
        <w:lastRenderedPageBreak/>
        <w:t xml:space="preserve">Section 13 </w:t>
      </w:r>
      <w:r w:rsidR="00A02084" w:rsidRPr="006A099E">
        <w:rPr>
          <w:rFonts w:asciiTheme="majorHAnsi" w:hAnsiTheme="majorHAnsi"/>
          <w:b/>
          <w:bCs/>
          <w:sz w:val="20"/>
          <w:szCs w:val="20"/>
        </w:rPr>
        <w:t xml:space="preserve">UCITS Risk Management Process </w:t>
      </w:r>
      <w:r w:rsidR="00E448A7">
        <w:rPr>
          <w:rFonts w:asciiTheme="majorHAnsi" w:hAnsiTheme="majorHAnsi"/>
          <w:b/>
          <w:bCs/>
          <w:sz w:val="20"/>
          <w:szCs w:val="20"/>
        </w:rPr>
        <w:t xml:space="preserve">Application </w:t>
      </w:r>
      <w:r w:rsidR="00A02084" w:rsidRPr="006A099E">
        <w:rPr>
          <w:rFonts w:asciiTheme="majorHAnsi" w:hAnsiTheme="majorHAnsi"/>
          <w:b/>
          <w:bCs/>
          <w:sz w:val="20"/>
          <w:szCs w:val="20"/>
        </w:rPr>
        <w:t>Form</w:t>
      </w:r>
      <w:r w:rsidR="00FE1D7A">
        <w:rPr>
          <w:rFonts w:asciiTheme="majorHAnsi" w:hAnsiTheme="majorHAnsi"/>
          <w:b/>
          <w:bCs/>
          <w:sz w:val="20"/>
          <w:szCs w:val="20"/>
        </w:rPr>
        <w:t xml:space="preserve"> ORION</w:t>
      </w:r>
    </w:p>
    <w:p w:rsidR="00A02084" w:rsidRPr="006A099E" w:rsidRDefault="00A02084" w:rsidP="00A02084">
      <w:pPr>
        <w:pStyle w:val="BodyTextIndent"/>
        <w:jc w:val="both"/>
        <w:rPr>
          <w:rFonts w:asciiTheme="minorHAnsi" w:hAnsiTheme="minorHAnsi"/>
          <w:sz w:val="20"/>
        </w:rPr>
      </w:pPr>
    </w:p>
    <w:p w:rsidR="00A02084" w:rsidRPr="006A099E" w:rsidRDefault="00A02084" w:rsidP="00A02084">
      <w:pPr>
        <w:pStyle w:val="BodyTextIndent"/>
        <w:ind w:left="284" w:hanging="142"/>
        <w:jc w:val="both"/>
        <w:rPr>
          <w:rFonts w:asciiTheme="minorHAnsi" w:hAnsiTheme="minorHAnsi"/>
          <w:sz w:val="20"/>
        </w:rPr>
      </w:pPr>
      <w:r w:rsidRPr="006A099E">
        <w:rPr>
          <w:rFonts w:asciiTheme="minorHAnsi" w:hAnsiTheme="minorHAnsi"/>
          <w:sz w:val="20"/>
        </w:rPr>
        <w:t xml:space="preserve">    Please complete the following by inserting the information requested and ticking the applicant column of boxes (to confirm compliance), unless otherwise indicated</w:t>
      </w:r>
    </w:p>
    <w:tbl>
      <w:tblPr>
        <w:tblW w:w="1006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257"/>
        <w:gridCol w:w="577"/>
        <w:gridCol w:w="236"/>
        <w:gridCol w:w="48"/>
        <w:gridCol w:w="727"/>
        <w:gridCol w:w="752"/>
        <w:gridCol w:w="406"/>
        <w:gridCol w:w="65"/>
        <w:gridCol w:w="394"/>
        <w:gridCol w:w="32"/>
      </w:tblGrid>
      <w:tr w:rsidR="0089746F" w:rsidRPr="006A099E" w:rsidTr="0089746F">
        <w:trPr>
          <w:cantSplit/>
          <w:trHeight w:val="1286"/>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extDirection w:val="btLr"/>
          </w:tcPr>
          <w:p w:rsidR="0089746F" w:rsidRPr="006A099E" w:rsidRDefault="0089746F" w:rsidP="00667BCE">
            <w:pPr>
              <w:pStyle w:val="BlockText"/>
              <w:jc w:val="both"/>
              <w:rPr>
                <w:rFonts w:asciiTheme="minorHAnsi" w:hAnsiTheme="minorHAnsi"/>
                <w:sz w:val="20"/>
                <w:szCs w:val="20"/>
              </w:rPr>
            </w:pPr>
            <w:r w:rsidRPr="006A099E">
              <w:rPr>
                <w:rFonts w:asciiTheme="minorHAnsi" w:hAnsiTheme="minorHAnsi"/>
                <w:sz w:val="20"/>
                <w:szCs w:val="20"/>
              </w:rPr>
              <w:t xml:space="preserve">Page </w:t>
            </w:r>
          </w:p>
        </w:tc>
        <w:tc>
          <w:tcPr>
            <w:tcW w:w="284"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sz w:val="20"/>
                <w:szCs w:val="20"/>
              </w:rPr>
            </w:pPr>
          </w:p>
        </w:tc>
        <w:tc>
          <w:tcPr>
            <w:tcW w:w="1479"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b/>
                <w:bCs/>
                <w:sz w:val="20"/>
                <w:szCs w:val="20"/>
              </w:rPr>
            </w:pPr>
            <w:r w:rsidRPr="006A099E">
              <w:rPr>
                <w:b/>
                <w:bCs/>
                <w:sz w:val="20"/>
                <w:szCs w:val="20"/>
              </w:rPr>
              <w:t>Paragraph</w:t>
            </w:r>
          </w:p>
        </w:tc>
        <w:tc>
          <w:tcPr>
            <w:tcW w:w="471" w:type="dxa"/>
            <w:gridSpan w:val="2"/>
            <w:tcBorders>
              <w:top w:val="nil"/>
              <w:left w:val="nil"/>
              <w:bottom w:val="nil"/>
              <w:right w:val="nil"/>
            </w:tcBorders>
            <w:textDirection w:val="btLr"/>
          </w:tcPr>
          <w:p w:rsidR="0089746F" w:rsidRPr="006A099E" w:rsidRDefault="0089746F" w:rsidP="00667BCE">
            <w:pPr>
              <w:spacing w:line="240" w:lineRule="auto"/>
              <w:ind w:left="113" w:right="113"/>
              <w:jc w:val="both"/>
              <w:rPr>
                <w:sz w:val="20"/>
                <w:szCs w:val="20"/>
              </w:rPr>
            </w:pPr>
          </w:p>
        </w:tc>
        <w:tc>
          <w:tcPr>
            <w:tcW w:w="426" w:type="dxa"/>
            <w:gridSpan w:val="2"/>
            <w:tcBorders>
              <w:top w:val="nil"/>
              <w:left w:val="nil"/>
              <w:bottom w:val="nil"/>
              <w:right w:val="nil"/>
            </w:tcBorders>
            <w:textDirection w:val="btLr"/>
          </w:tcPr>
          <w:p w:rsidR="0089746F" w:rsidRPr="006A099E" w:rsidRDefault="0089746F" w:rsidP="00667BCE">
            <w:pPr>
              <w:pStyle w:val="Heading7"/>
              <w:jc w:val="both"/>
              <w:rPr>
                <w:rFonts w:asciiTheme="minorHAnsi" w:hAnsiTheme="minorHAnsi"/>
                <w:sz w:val="20"/>
                <w:szCs w:val="20"/>
              </w:rPr>
            </w:pPr>
            <w:r w:rsidRPr="006A099E">
              <w:rPr>
                <w:rFonts w:asciiTheme="minorHAnsi" w:hAnsiTheme="minorHAnsi"/>
                <w:sz w:val="20"/>
                <w:szCs w:val="20"/>
              </w:rPr>
              <w:t>Applicant</w:t>
            </w:r>
          </w:p>
        </w:tc>
      </w:tr>
      <w:tr w:rsidR="0089746F" w:rsidRPr="006A099E" w:rsidTr="0089746F">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1</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Procedural</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b/>
                <w:bCs/>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1.1</w:t>
            </w:r>
          </w:p>
        </w:tc>
        <w:tc>
          <w:tcPr>
            <w:tcW w:w="5678" w:type="dxa"/>
            <w:tcBorders>
              <w:top w:val="nil"/>
              <w:left w:val="nil"/>
              <w:bottom w:val="nil"/>
              <w:right w:val="nil"/>
            </w:tcBorders>
          </w:tcPr>
          <w:p w:rsidR="0089746F" w:rsidRPr="006A099E" w:rsidRDefault="0089746F" w:rsidP="008C6B5C">
            <w:pPr>
              <w:rPr>
                <w:sz w:val="20"/>
              </w:rPr>
            </w:pPr>
            <w:r w:rsidRPr="006A099E">
              <w:rPr>
                <w:sz w:val="20"/>
                <w:szCs w:val="20"/>
              </w:rPr>
              <w:t>Please categorise the Risk Management Process (RMP) submission:</w:t>
            </w: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 xml:space="preserve">               </w:t>
            </w: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shd w:val="clear" w:color="auto" w:fill="auto"/>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5678" w:type="dxa"/>
            <w:tcBorders>
              <w:top w:val="nil"/>
              <w:left w:val="nil"/>
              <w:bottom w:val="nil"/>
              <w:right w:val="nil"/>
            </w:tcBorders>
          </w:tcPr>
          <w:p w:rsidR="00A6754E" w:rsidRPr="008C6B5C" w:rsidRDefault="00A6754E" w:rsidP="008C6B5C">
            <w:pPr>
              <w:pStyle w:val="ListParagraph"/>
              <w:numPr>
                <w:ilvl w:val="0"/>
                <w:numId w:val="9"/>
              </w:numPr>
              <w:spacing w:line="240" w:lineRule="auto"/>
              <w:jc w:val="both"/>
              <w:rPr>
                <w:sz w:val="20"/>
              </w:rPr>
            </w:pPr>
            <w:r w:rsidRPr="006A099E">
              <w:rPr>
                <w:rFonts w:asciiTheme="minorHAnsi" w:hAnsiTheme="minorHAnsi"/>
                <w:sz w:val="20"/>
              </w:rPr>
              <w:t>New UCITS – First RMP</w:t>
            </w:r>
          </w:p>
        </w:tc>
        <w:tc>
          <w:tcPr>
            <w:tcW w:w="83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6754E" w:rsidRPr="006A099E" w:rsidRDefault="00A6754E"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6754E" w:rsidRPr="006A099E" w:rsidRDefault="00A6754E" w:rsidP="008C6B5C">
            <w:pPr>
              <w:spacing w:after="0"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5678" w:type="dxa"/>
            <w:tcBorders>
              <w:top w:val="nil"/>
              <w:left w:val="nil"/>
              <w:bottom w:val="nil"/>
              <w:right w:val="nil"/>
            </w:tcBorders>
          </w:tcPr>
          <w:p w:rsidR="00A6754E" w:rsidRPr="008C6B5C" w:rsidRDefault="007D4E6C" w:rsidP="007D4E6C">
            <w:pPr>
              <w:pStyle w:val="ListParagraph"/>
              <w:numPr>
                <w:ilvl w:val="0"/>
                <w:numId w:val="9"/>
              </w:numPr>
              <w:spacing w:line="240" w:lineRule="auto"/>
              <w:jc w:val="both"/>
              <w:rPr>
                <w:sz w:val="20"/>
              </w:rPr>
            </w:pPr>
            <w:r>
              <w:rPr>
                <w:rFonts w:asciiTheme="minorHAnsi" w:hAnsiTheme="minorHAnsi"/>
                <w:sz w:val="20"/>
              </w:rPr>
              <w:t xml:space="preserve">New sub fund - </w:t>
            </w:r>
            <w:r w:rsidR="00A6754E" w:rsidRPr="006A099E">
              <w:rPr>
                <w:rFonts w:asciiTheme="minorHAnsi" w:hAnsiTheme="minorHAnsi"/>
                <w:sz w:val="20"/>
              </w:rPr>
              <w:t>Amended</w:t>
            </w:r>
            <w:r>
              <w:rPr>
                <w:rFonts w:asciiTheme="minorHAnsi" w:hAnsiTheme="minorHAnsi"/>
                <w:sz w:val="20"/>
              </w:rPr>
              <w:t xml:space="preserve">/New RMP </w:t>
            </w:r>
          </w:p>
        </w:tc>
        <w:tc>
          <w:tcPr>
            <w:tcW w:w="83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6754E" w:rsidRPr="006A099E" w:rsidRDefault="00A6754E"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6754E" w:rsidRPr="006A099E" w:rsidRDefault="00A6754E"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8C6B5C" w:rsidRDefault="00A6754E" w:rsidP="008C6B5C">
            <w:pPr>
              <w:pStyle w:val="ListParagraph"/>
              <w:numPr>
                <w:ilvl w:val="0"/>
                <w:numId w:val="9"/>
              </w:numPr>
              <w:spacing w:line="240" w:lineRule="auto"/>
              <w:jc w:val="both"/>
              <w:rPr>
                <w:sz w:val="20"/>
              </w:rPr>
            </w:pPr>
            <w:r w:rsidRPr="006A099E">
              <w:rPr>
                <w:rFonts w:asciiTheme="minorHAnsi" w:hAnsiTheme="minorHAnsi"/>
                <w:sz w:val="20"/>
              </w:rPr>
              <w:t>Materially amended RMP</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A6754E" w:rsidRPr="006A099E" w:rsidTr="008C6B5C">
        <w:tc>
          <w:tcPr>
            <w:tcW w:w="897" w:type="dxa"/>
            <w:tcBorders>
              <w:top w:val="nil"/>
              <w:left w:val="nil"/>
              <w:bottom w:val="nil"/>
              <w:right w:val="nil"/>
            </w:tcBorders>
          </w:tcPr>
          <w:p w:rsidR="00A6754E" w:rsidRPr="006A099E" w:rsidRDefault="00A6754E" w:rsidP="00667BCE">
            <w:pPr>
              <w:spacing w:line="240" w:lineRule="auto"/>
              <w:jc w:val="both"/>
              <w:rPr>
                <w:sz w:val="20"/>
                <w:szCs w:val="20"/>
              </w:rPr>
            </w:pPr>
          </w:p>
        </w:tc>
        <w:tc>
          <w:tcPr>
            <w:tcW w:w="5678" w:type="dxa"/>
            <w:tcBorders>
              <w:top w:val="nil"/>
              <w:left w:val="nil"/>
              <w:bottom w:val="nil"/>
              <w:right w:val="nil"/>
            </w:tcBorders>
          </w:tcPr>
          <w:p w:rsidR="00A6754E" w:rsidRPr="006A099E" w:rsidRDefault="00A6754E" w:rsidP="008C6B5C">
            <w:pPr>
              <w:pStyle w:val="ListParagraph"/>
              <w:spacing w:line="240" w:lineRule="auto"/>
              <w:jc w:val="both"/>
              <w:rPr>
                <w:rFonts w:asciiTheme="minorHAnsi" w:hAnsiTheme="minorHAnsi"/>
                <w:sz w:val="20"/>
              </w:rPr>
            </w:pPr>
          </w:p>
        </w:tc>
        <w:tc>
          <w:tcPr>
            <w:tcW w:w="834"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284"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1479"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471" w:type="dxa"/>
            <w:gridSpan w:val="2"/>
            <w:tcBorders>
              <w:top w:val="nil"/>
              <w:left w:val="nil"/>
              <w:bottom w:val="nil"/>
              <w:right w:val="nil"/>
            </w:tcBorders>
          </w:tcPr>
          <w:p w:rsidR="00A6754E" w:rsidRPr="006A099E" w:rsidRDefault="00A6754E" w:rsidP="00667BCE">
            <w:pPr>
              <w:spacing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A6754E" w:rsidRPr="006A099E" w:rsidRDefault="00A6754E"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1.2</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 xml:space="preserve">Please confirm the RMP is on the headed paper of the risk </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9D3E0A" w:rsidRPr="006A099E" w:rsidTr="008C6B5C">
        <w:tc>
          <w:tcPr>
            <w:tcW w:w="897" w:type="dxa"/>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5678" w:type="dxa"/>
            <w:tcBorders>
              <w:top w:val="nil"/>
              <w:left w:val="nil"/>
              <w:bottom w:val="nil"/>
              <w:right w:val="nil"/>
            </w:tcBorders>
          </w:tcPr>
          <w:p w:rsidR="009D3E0A" w:rsidRPr="006A099E" w:rsidRDefault="009D3E0A" w:rsidP="008C6B5C">
            <w:pPr>
              <w:spacing w:after="0" w:line="240" w:lineRule="auto"/>
              <w:jc w:val="both"/>
              <w:rPr>
                <w:sz w:val="20"/>
                <w:szCs w:val="20"/>
              </w:rPr>
            </w:pPr>
            <w:r w:rsidRPr="006A099E">
              <w:rPr>
                <w:sz w:val="20"/>
                <w:szCs w:val="20"/>
              </w:rPr>
              <w:t>manager and is dated and signed</w:t>
            </w:r>
          </w:p>
        </w:tc>
        <w:tc>
          <w:tcPr>
            <w:tcW w:w="834"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284"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1479"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471" w:type="dxa"/>
            <w:gridSpan w:val="2"/>
            <w:tcBorders>
              <w:top w:val="nil"/>
              <w:left w:val="nil"/>
              <w:bottom w:val="nil"/>
              <w:right w:val="nil"/>
            </w:tcBorders>
          </w:tcPr>
          <w:p w:rsidR="009D3E0A" w:rsidRPr="006A099E" w:rsidRDefault="009D3E0A"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9D3E0A" w:rsidRPr="006A099E" w:rsidRDefault="009D3E0A"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661E7B">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1.3</w:t>
            </w:r>
          </w:p>
        </w:tc>
        <w:tc>
          <w:tcPr>
            <w:tcW w:w="5678" w:type="dxa"/>
            <w:tcBorders>
              <w:top w:val="nil"/>
              <w:left w:val="nil"/>
              <w:bottom w:val="nil"/>
              <w:right w:val="nil"/>
            </w:tcBorders>
          </w:tcPr>
          <w:p w:rsidR="0089746F" w:rsidRPr="006A099E" w:rsidRDefault="0089746F" w:rsidP="00661E7B">
            <w:pPr>
              <w:spacing w:line="240" w:lineRule="auto"/>
              <w:jc w:val="both"/>
            </w:pPr>
            <w:r w:rsidRPr="006A099E">
              <w:rPr>
                <w:sz w:val="20"/>
                <w:szCs w:val="20"/>
              </w:rPr>
              <w:t xml:space="preserve">Please </w:t>
            </w:r>
            <w:r w:rsidR="00661E7B">
              <w:rPr>
                <w:sz w:val="20"/>
                <w:szCs w:val="20"/>
              </w:rPr>
              <w:t xml:space="preserve">confirm </w:t>
            </w:r>
            <w:r w:rsidRPr="006A099E">
              <w:rPr>
                <w:sz w:val="20"/>
                <w:szCs w:val="20"/>
              </w:rPr>
              <w:t>the cover letter from the UCITS contains:</w:t>
            </w: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Details of the risk manager</w:t>
            </w:r>
          </w:p>
        </w:tc>
        <w:tc>
          <w:tcPr>
            <w:tcW w:w="2597" w:type="dxa"/>
            <w:gridSpan w:val="6"/>
            <w:vMerge w:val="restart"/>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 xml:space="preserve">Details of how the UCITS will supervise the work of the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5678" w:type="dxa"/>
            <w:tcBorders>
              <w:top w:val="nil"/>
              <w:left w:val="nil"/>
              <w:bottom w:val="nil"/>
              <w:right w:val="nil"/>
            </w:tcBorders>
          </w:tcPr>
          <w:p w:rsidR="00661E7B" w:rsidRPr="006A099E" w:rsidRDefault="00661E7B" w:rsidP="008C6B5C">
            <w:pPr>
              <w:pStyle w:val="ListParagraph"/>
              <w:spacing w:line="240" w:lineRule="auto"/>
              <w:jc w:val="both"/>
              <w:rPr>
                <w:rFonts w:asciiTheme="minorHAnsi" w:hAnsiTheme="minorHAnsi"/>
                <w:sz w:val="20"/>
              </w:rPr>
            </w:pPr>
            <w:r>
              <w:rPr>
                <w:rFonts w:asciiTheme="minorHAnsi" w:hAnsiTheme="minorHAnsi"/>
                <w:sz w:val="20"/>
              </w:rPr>
              <w:t>risk manager</w:t>
            </w:r>
          </w:p>
        </w:tc>
        <w:tc>
          <w:tcPr>
            <w:tcW w:w="2597" w:type="dxa"/>
            <w:gridSpan w:val="6"/>
            <w:vMerge/>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71" w:type="dxa"/>
            <w:gridSpan w:val="2"/>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661E7B" w:rsidRPr="006A099E" w:rsidRDefault="00661E7B" w:rsidP="007C2CED">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 xml:space="preserve">Details of how the UCITS will monitor and control the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5678" w:type="dxa"/>
            <w:tcBorders>
              <w:top w:val="nil"/>
              <w:left w:val="nil"/>
              <w:bottom w:val="nil"/>
              <w:right w:val="nil"/>
            </w:tcBorders>
          </w:tcPr>
          <w:p w:rsidR="00661E7B" w:rsidRPr="006A099E" w:rsidRDefault="00661E7B" w:rsidP="008C6B5C">
            <w:pPr>
              <w:pStyle w:val="ListParagraph"/>
              <w:spacing w:line="240" w:lineRule="auto"/>
              <w:jc w:val="both"/>
              <w:rPr>
                <w:rFonts w:asciiTheme="minorHAnsi" w:hAnsiTheme="minorHAnsi"/>
                <w:sz w:val="20"/>
              </w:rPr>
            </w:pPr>
            <w:r w:rsidRPr="006A099E">
              <w:rPr>
                <w:rFonts w:asciiTheme="minorHAnsi" w:hAnsiTheme="minorHAnsi"/>
                <w:sz w:val="20"/>
              </w:rPr>
              <w:t>applicable compliance and quantitative limits</w:t>
            </w:r>
          </w:p>
        </w:tc>
        <w:tc>
          <w:tcPr>
            <w:tcW w:w="2597" w:type="dxa"/>
            <w:gridSpan w:val="6"/>
            <w:vMerge/>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71" w:type="dxa"/>
            <w:gridSpan w:val="2"/>
            <w:tcBorders>
              <w:top w:val="nil"/>
              <w:left w:val="nil"/>
              <w:bottom w:val="nil"/>
              <w:right w:val="nil"/>
            </w:tcBorders>
          </w:tcPr>
          <w:p w:rsidR="00661E7B" w:rsidRPr="006A099E" w:rsidRDefault="00661E7B" w:rsidP="007C2CED">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661E7B" w:rsidRPr="006A099E" w:rsidRDefault="00661E7B" w:rsidP="007C2CED">
            <w:pPr>
              <w:spacing w:after="0" w:line="240" w:lineRule="auto"/>
              <w:jc w:val="both"/>
              <w:rPr>
                <w:sz w:val="20"/>
                <w:szCs w:val="20"/>
              </w:rPr>
            </w:pPr>
          </w:p>
        </w:tc>
      </w:tr>
      <w:tr w:rsidR="00661E7B" w:rsidRPr="006A099E" w:rsidTr="00661E7B">
        <w:tc>
          <w:tcPr>
            <w:tcW w:w="897" w:type="dxa"/>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5678" w:type="dxa"/>
            <w:tcBorders>
              <w:top w:val="nil"/>
              <w:left w:val="nil"/>
              <w:bottom w:val="nil"/>
              <w:right w:val="nil"/>
            </w:tcBorders>
          </w:tcPr>
          <w:p w:rsidR="00661E7B" w:rsidRPr="008C6B5C" w:rsidRDefault="00661E7B" w:rsidP="008C6B5C">
            <w:pPr>
              <w:pStyle w:val="ListParagraph"/>
              <w:numPr>
                <w:ilvl w:val="0"/>
                <w:numId w:val="10"/>
              </w:numPr>
              <w:spacing w:line="240" w:lineRule="auto"/>
              <w:jc w:val="both"/>
              <w:rPr>
                <w:sz w:val="20"/>
              </w:rPr>
            </w:pPr>
            <w:r w:rsidRPr="006A099E">
              <w:rPr>
                <w:rFonts w:asciiTheme="minorHAnsi" w:hAnsiTheme="minorHAnsi"/>
                <w:sz w:val="20"/>
              </w:rPr>
              <w:t>Details of escalation procedu</w:t>
            </w:r>
            <w:r>
              <w:rPr>
                <w:rFonts w:asciiTheme="minorHAnsi" w:hAnsiTheme="minorHAnsi"/>
                <w:sz w:val="20"/>
              </w:rPr>
              <w:t xml:space="preserve">res in the event of limit </w:t>
            </w:r>
          </w:p>
        </w:tc>
        <w:tc>
          <w:tcPr>
            <w:tcW w:w="2597" w:type="dxa"/>
            <w:gridSpan w:val="6"/>
            <w:vMerge/>
            <w:tcBorders>
              <w:top w:val="nil"/>
              <w:left w:val="nil"/>
              <w:bottom w:val="nil"/>
              <w:right w:val="nil"/>
            </w:tcBorders>
          </w:tcPr>
          <w:p w:rsidR="00661E7B" w:rsidRPr="006A099E" w:rsidRDefault="00661E7B"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661E7B" w:rsidRPr="006A099E" w:rsidRDefault="00661E7B"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661E7B" w:rsidRPr="006A099E" w:rsidRDefault="00661E7B" w:rsidP="008C6B5C">
            <w:pPr>
              <w:spacing w:after="0" w:line="240" w:lineRule="auto"/>
              <w:jc w:val="both"/>
              <w:rPr>
                <w:sz w:val="20"/>
                <w:szCs w:val="20"/>
              </w:rPr>
            </w:pPr>
          </w:p>
        </w:tc>
      </w:tr>
      <w:tr w:rsidR="004222FB" w:rsidRPr="006A099E" w:rsidTr="00661E7B">
        <w:tc>
          <w:tcPr>
            <w:tcW w:w="897" w:type="dxa"/>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5678" w:type="dxa"/>
            <w:tcBorders>
              <w:top w:val="nil"/>
              <w:left w:val="nil"/>
              <w:bottom w:val="nil"/>
              <w:right w:val="nil"/>
            </w:tcBorders>
          </w:tcPr>
          <w:p w:rsidR="004222FB" w:rsidRPr="006A099E" w:rsidRDefault="004222FB" w:rsidP="008C6B5C">
            <w:pPr>
              <w:pStyle w:val="ListParagraph"/>
              <w:spacing w:line="240" w:lineRule="auto"/>
              <w:jc w:val="both"/>
              <w:rPr>
                <w:rFonts w:asciiTheme="minorHAnsi" w:hAnsiTheme="minorHAnsi"/>
                <w:sz w:val="20"/>
              </w:rPr>
            </w:pPr>
            <w:r w:rsidRPr="006A099E">
              <w:rPr>
                <w:rFonts w:asciiTheme="minorHAnsi" w:hAnsiTheme="minorHAnsi"/>
                <w:sz w:val="20"/>
              </w:rPr>
              <w:t>breaches</w:t>
            </w:r>
          </w:p>
        </w:tc>
        <w:tc>
          <w:tcPr>
            <w:tcW w:w="834"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284"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1479"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471" w:type="dxa"/>
            <w:gridSpan w:val="2"/>
            <w:tcBorders>
              <w:top w:val="nil"/>
              <w:left w:val="nil"/>
              <w:bottom w:val="nil"/>
              <w:right w:val="nil"/>
            </w:tcBorders>
          </w:tcPr>
          <w:p w:rsidR="004222FB" w:rsidRPr="006A099E" w:rsidRDefault="004222FB" w:rsidP="007C2CED">
            <w:pPr>
              <w:spacing w:after="0" w:line="240" w:lineRule="auto"/>
              <w:jc w:val="both"/>
              <w:rPr>
                <w:sz w:val="20"/>
                <w:szCs w:val="20"/>
              </w:rPr>
            </w:pPr>
          </w:p>
        </w:tc>
        <w:tc>
          <w:tcPr>
            <w:tcW w:w="426" w:type="dxa"/>
            <w:gridSpan w:val="2"/>
            <w:tcBorders>
              <w:top w:val="single" w:sz="4" w:space="0" w:color="auto"/>
              <w:left w:val="nil"/>
              <w:bottom w:val="nil"/>
              <w:right w:val="nil"/>
            </w:tcBorders>
          </w:tcPr>
          <w:p w:rsidR="004222FB" w:rsidRPr="006A099E" w:rsidRDefault="004222FB" w:rsidP="007C2CED">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1.4</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 xml:space="preserve">Please confirm the FDI included in the RMP are consistent with </w:t>
            </w:r>
          </w:p>
        </w:tc>
        <w:tc>
          <w:tcPr>
            <w:tcW w:w="83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480061" w:rsidRPr="006A099E" w:rsidTr="008C6B5C">
        <w:tc>
          <w:tcPr>
            <w:tcW w:w="897" w:type="dxa"/>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5678" w:type="dxa"/>
            <w:tcBorders>
              <w:top w:val="nil"/>
              <w:left w:val="nil"/>
              <w:bottom w:val="nil"/>
              <w:right w:val="nil"/>
            </w:tcBorders>
          </w:tcPr>
          <w:p w:rsidR="00480061" w:rsidRPr="006A099E" w:rsidRDefault="00480061" w:rsidP="008C6B5C">
            <w:pPr>
              <w:spacing w:after="0" w:line="240" w:lineRule="auto"/>
              <w:jc w:val="both"/>
              <w:rPr>
                <w:sz w:val="20"/>
                <w:szCs w:val="20"/>
              </w:rPr>
            </w:pPr>
            <w:r w:rsidRPr="006A099E">
              <w:rPr>
                <w:sz w:val="20"/>
                <w:szCs w:val="20"/>
              </w:rPr>
              <w:t>those included in the supplement/prospectus</w:t>
            </w:r>
          </w:p>
        </w:tc>
        <w:tc>
          <w:tcPr>
            <w:tcW w:w="834"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284"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1479"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471" w:type="dxa"/>
            <w:gridSpan w:val="2"/>
            <w:tcBorders>
              <w:top w:val="nil"/>
              <w:left w:val="nil"/>
              <w:bottom w:val="nil"/>
              <w:right w:val="nil"/>
            </w:tcBorders>
          </w:tcPr>
          <w:p w:rsidR="00480061" w:rsidRPr="006A099E" w:rsidRDefault="00480061"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480061" w:rsidRPr="006A099E" w:rsidRDefault="00480061"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AE01AC" w:rsidRPr="006A099E" w:rsidTr="008C6B5C">
        <w:tc>
          <w:tcPr>
            <w:tcW w:w="897" w:type="dxa"/>
            <w:tcBorders>
              <w:top w:val="nil"/>
              <w:left w:val="nil"/>
              <w:bottom w:val="nil"/>
              <w:right w:val="nil"/>
            </w:tcBorders>
          </w:tcPr>
          <w:p w:rsidR="00AE01AC" w:rsidRPr="006A099E" w:rsidRDefault="00AE01AC" w:rsidP="008C6B5C">
            <w:pPr>
              <w:spacing w:after="0" w:line="240" w:lineRule="auto"/>
              <w:jc w:val="both"/>
              <w:rPr>
                <w:sz w:val="20"/>
                <w:szCs w:val="20"/>
              </w:rPr>
            </w:pPr>
            <w:r>
              <w:rPr>
                <w:sz w:val="20"/>
                <w:szCs w:val="20"/>
              </w:rPr>
              <w:t>1.5</w:t>
            </w:r>
          </w:p>
        </w:tc>
        <w:tc>
          <w:tcPr>
            <w:tcW w:w="5678" w:type="dxa"/>
            <w:tcBorders>
              <w:top w:val="nil"/>
              <w:left w:val="nil"/>
              <w:bottom w:val="nil"/>
              <w:right w:val="nil"/>
            </w:tcBorders>
          </w:tcPr>
          <w:p w:rsidR="00AE01AC" w:rsidRPr="006A099E" w:rsidRDefault="00AE01AC" w:rsidP="008C6B5C">
            <w:pPr>
              <w:spacing w:after="0" w:line="240" w:lineRule="auto"/>
              <w:jc w:val="both"/>
              <w:rPr>
                <w:sz w:val="20"/>
                <w:szCs w:val="20"/>
              </w:rPr>
            </w:pPr>
            <w:r w:rsidRPr="006A099E">
              <w:rPr>
                <w:sz w:val="20"/>
                <w:szCs w:val="20"/>
              </w:rPr>
              <w:t>Please confirm the RMP is proprietary to the UCITS (i.e. not the</w:t>
            </w:r>
          </w:p>
        </w:tc>
        <w:tc>
          <w:tcPr>
            <w:tcW w:w="83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71" w:type="dxa"/>
            <w:gridSpan w:val="2"/>
            <w:tcBorders>
              <w:top w:val="nil"/>
              <w:left w:val="nil"/>
              <w:bottom w:val="nil"/>
              <w:right w:val="single" w:sz="4" w:space="0" w:color="auto"/>
            </w:tcBorders>
          </w:tcPr>
          <w:p w:rsidR="00AE01AC" w:rsidRPr="006A099E" w:rsidRDefault="00AE01AC"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AE01AC" w:rsidRPr="006A099E" w:rsidRDefault="00AE01AC" w:rsidP="008C6B5C">
            <w:pPr>
              <w:spacing w:after="0" w:line="240" w:lineRule="auto"/>
              <w:jc w:val="both"/>
              <w:rPr>
                <w:sz w:val="20"/>
                <w:szCs w:val="20"/>
              </w:rPr>
            </w:pPr>
          </w:p>
        </w:tc>
      </w:tr>
      <w:tr w:rsidR="00AE01AC" w:rsidRPr="006A099E" w:rsidTr="008C6B5C">
        <w:tc>
          <w:tcPr>
            <w:tcW w:w="897" w:type="dxa"/>
            <w:tcBorders>
              <w:top w:val="nil"/>
              <w:left w:val="nil"/>
              <w:bottom w:val="nil"/>
              <w:right w:val="nil"/>
            </w:tcBorders>
          </w:tcPr>
          <w:p w:rsidR="00AE01AC" w:rsidRDefault="00AE01AC" w:rsidP="008C6B5C">
            <w:pPr>
              <w:spacing w:after="0" w:line="240" w:lineRule="auto"/>
              <w:jc w:val="both"/>
              <w:rPr>
                <w:sz w:val="20"/>
                <w:szCs w:val="20"/>
              </w:rPr>
            </w:pPr>
          </w:p>
        </w:tc>
        <w:tc>
          <w:tcPr>
            <w:tcW w:w="5678" w:type="dxa"/>
            <w:tcBorders>
              <w:top w:val="nil"/>
              <w:left w:val="nil"/>
              <w:bottom w:val="nil"/>
              <w:right w:val="nil"/>
            </w:tcBorders>
          </w:tcPr>
          <w:p w:rsidR="00AE01AC" w:rsidRPr="006A099E" w:rsidRDefault="00AE01AC" w:rsidP="008C6B5C">
            <w:pPr>
              <w:spacing w:after="0" w:line="240" w:lineRule="auto"/>
              <w:jc w:val="both"/>
              <w:rPr>
                <w:sz w:val="20"/>
                <w:szCs w:val="20"/>
              </w:rPr>
            </w:pPr>
            <w:r w:rsidRPr="006A099E">
              <w:rPr>
                <w:sz w:val="20"/>
                <w:szCs w:val="20"/>
              </w:rPr>
              <w:t>UCITS Management Company etc)</w:t>
            </w:r>
          </w:p>
        </w:tc>
        <w:tc>
          <w:tcPr>
            <w:tcW w:w="83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71"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c>
          <w:tcPr>
            <w:tcW w:w="426" w:type="dxa"/>
            <w:gridSpan w:val="2"/>
            <w:tcBorders>
              <w:top w:val="nil"/>
              <w:left w:val="nil"/>
              <w:bottom w:val="nil"/>
              <w:right w:val="nil"/>
            </w:tcBorders>
          </w:tcPr>
          <w:p w:rsidR="00AE01AC" w:rsidRPr="006A099E" w:rsidRDefault="00AE01AC" w:rsidP="008C6B5C">
            <w:pPr>
              <w:spacing w:after="0" w:line="240" w:lineRule="auto"/>
              <w:jc w:val="both"/>
              <w:rPr>
                <w:sz w:val="20"/>
                <w:szCs w:val="20"/>
              </w:rPr>
            </w:pPr>
          </w:p>
        </w:tc>
      </w:tr>
      <w:tr w:rsidR="00AE01AC" w:rsidRPr="006A099E" w:rsidTr="008C6B5C">
        <w:tc>
          <w:tcPr>
            <w:tcW w:w="897" w:type="dxa"/>
            <w:tcBorders>
              <w:top w:val="nil"/>
              <w:left w:val="nil"/>
              <w:bottom w:val="nil"/>
              <w:right w:val="nil"/>
            </w:tcBorders>
          </w:tcPr>
          <w:p w:rsidR="00AE01AC" w:rsidRDefault="00AE01AC" w:rsidP="00AE01AC">
            <w:pPr>
              <w:spacing w:after="0" w:line="240" w:lineRule="auto"/>
              <w:jc w:val="both"/>
              <w:rPr>
                <w:sz w:val="20"/>
                <w:szCs w:val="20"/>
              </w:rPr>
            </w:pPr>
          </w:p>
        </w:tc>
        <w:tc>
          <w:tcPr>
            <w:tcW w:w="5678" w:type="dxa"/>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834"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284"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1479"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471"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c>
          <w:tcPr>
            <w:tcW w:w="426" w:type="dxa"/>
            <w:gridSpan w:val="2"/>
            <w:tcBorders>
              <w:top w:val="nil"/>
              <w:left w:val="nil"/>
              <w:bottom w:val="nil"/>
              <w:right w:val="nil"/>
            </w:tcBorders>
          </w:tcPr>
          <w:p w:rsidR="00AE01AC" w:rsidRPr="006A099E" w:rsidRDefault="00AE01AC" w:rsidP="00AE01AC">
            <w:pPr>
              <w:spacing w:after="0" w:line="240" w:lineRule="auto"/>
              <w:jc w:val="both"/>
              <w:rPr>
                <w:sz w:val="20"/>
                <w:szCs w:val="20"/>
              </w:rPr>
            </w:pPr>
          </w:p>
        </w:tc>
      </w:tr>
      <w:tr w:rsidR="0089746F" w:rsidRPr="006A099E" w:rsidTr="008C6B5C">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2</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General Information</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b/>
                <w:bCs/>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2.1</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Details of entities and units responsible for risk and valuations</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 </w:t>
            </w: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834"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Policy on expertise required to trade and manage FDI and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C8650B" w:rsidRPr="006A099E" w:rsidTr="008C6B5C">
        <w:tc>
          <w:tcPr>
            <w:tcW w:w="897" w:type="dxa"/>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5678" w:type="dxa"/>
            <w:tcBorders>
              <w:top w:val="nil"/>
              <w:left w:val="nil"/>
              <w:bottom w:val="nil"/>
              <w:right w:val="nil"/>
            </w:tcBorders>
          </w:tcPr>
          <w:p w:rsidR="00C8650B" w:rsidRPr="006A099E" w:rsidRDefault="00C8650B" w:rsidP="008C6B5C">
            <w:pPr>
              <w:spacing w:after="0" w:line="240" w:lineRule="auto"/>
              <w:jc w:val="both"/>
              <w:rPr>
                <w:sz w:val="20"/>
                <w:szCs w:val="20"/>
              </w:rPr>
            </w:pPr>
            <w:r w:rsidRPr="006A099E">
              <w:rPr>
                <w:sz w:val="20"/>
                <w:szCs w:val="20"/>
              </w:rPr>
              <w:t>related risks</w:t>
            </w:r>
          </w:p>
        </w:tc>
        <w:tc>
          <w:tcPr>
            <w:tcW w:w="834"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c>
          <w:tcPr>
            <w:tcW w:w="28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c>
          <w:tcPr>
            <w:tcW w:w="471"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C8650B" w:rsidRPr="006A099E" w:rsidRDefault="00C8650B"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expertise currently in place (i.e. personnel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C8650B" w:rsidRPr="006A099E" w:rsidTr="008C6B5C">
        <w:tc>
          <w:tcPr>
            <w:tcW w:w="897" w:type="dxa"/>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5678" w:type="dxa"/>
            <w:tcBorders>
              <w:top w:val="nil"/>
              <w:left w:val="nil"/>
              <w:bottom w:val="nil"/>
              <w:right w:val="nil"/>
            </w:tcBorders>
          </w:tcPr>
          <w:p w:rsidR="00C8650B" w:rsidRPr="006A099E" w:rsidRDefault="00C8650B" w:rsidP="008C6B5C">
            <w:pPr>
              <w:spacing w:after="0" w:line="240" w:lineRule="auto"/>
              <w:jc w:val="both"/>
              <w:rPr>
                <w:sz w:val="20"/>
                <w:szCs w:val="20"/>
              </w:rPr>
            </w:pPr>
            <w:r w:rsidRPr="006A099E">
              <w:rPr>
                <w:sz w:val="20"/>
                <w:szCs w:val="20"/>
              </w:rPr>
              <w:t>responsible)</w:t>
            </w:r>
          </w:p>
        </w:tc>
        <w:tc>
          <w:tcPr>
            <w:tcW w:w="83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284"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1479"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71"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c>
          <w:tcPr>
            <w:tcW w:w="426" w:type="dxa"/>
            <w:gridSpan w:val="2"/>
            <w:tcBorders>
              <w:top w:val="nil"/>
              <w:left w:val="nil"/>
              <w:bottom w:val="nil"/>
              <w:right w:val="nil"/>
            </w:tcBorders>
          </w:tcPr>
          <w:p w:rsidR="00C8650B" w:rsidRPr="006A099E" w:rsidRDefault="00C8650B"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2.4</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all FDI to be used with summary of commercial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purpose</w:t>
            </w:r>
          </w:p>
        </w:tc>
        <w:tc>
          <w:tcPr>
            <w:tcW w:w="834"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26"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lastRenderedPageBreak/>
              <w:t>2.5</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Details of risks involved to the UCITS from using FDI</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834"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2.6</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FDI valuation rules and pricing methodology</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834"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1479"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426" w:type="dxa"/>
            <w:gridSpan w:val="2"/>
            <w:tcBorders>
              <w:top w:val="single" w:sz="4" w:space="0" w:color="auto"/>
              <w:left w:val="nil"/>
              <w:bottom w:val="single" w:sz="4" w:space="0" w:color="auto"/>
              <w:right w:val="nil"/>
            </w:tcBorders>
          </w:tcPr>
          <w:p w:rsidR="00BD6398" w:rsidRPr="006A099E" w:rsidRDefault="00BD6398" w:rsidP="00BD6398">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2.7</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systems and technology used</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71"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26"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2.8</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policy and procedures re legal risk (in particular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71"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26"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c>
          <w:tcPr>
            <w:tcW w:w="897" w:type="dxa"/>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BD6398">
            <w:pPr>
              <w:spacing w:after="0" w:line="240" w:lineRule="auto"/>
              <w:jc w:val="both"/>
              <w:rPr>
                <w:sz w:val="20"/>
                <w:szCs w:val="20"/>
              </w:rPr>
            </w:pPr>
            <w:r w:rsidRPr="006A099E">
              <w:rPr>
                <w:sz w:val="20"/>
                <w:szCs w:val="20"/>
              </w:rPr>
              <w:t>credit derivatives)</w:t>
            </w:r>
          </w:p>
        </w:tc>
        <w:tc>
          <w:tcPr>
            <w:tcW w:w="834"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c>
          <w:tcPr>
            <w:tcW w:w="471" w:type="dxa"/>
            <w:gridSpan w:val="2"/>
            <w:tcBorders>
              <w:top w:val="nil"/>
              <w:left w:val="nil"/>
              <w:bottom w:val="nil"/>
              <w:right w:val="nil"/>
            </w:tcBorders>
          </w:tcPr>
          <w:p w:rsidR="00BD6398" w:rsidRPr="006A099E" w:rsidRDefault="00BD6398" w:rsidP="00BD6398">
            <w:pPr>
              <w:spacing w:after="0" w:line="240" w:lineRule="auto"/>
              <w:jc w:val="both"/>
              <w:rPr>
                <w:sz w:val="20"/>
                <w:szCs w:val="20"/>
              </w:rPr>
            </w:pPr>
          </w:p>
        </w:tc>
        <w:tc>
          <w:tcPr>
            <w:tcW w:w="426" w:type="dxa"/>
            <w:gridSpan w:val="2"/>
            <w:tcBorders>
              <w:top w:val="single" w:sz="4" w:space="0" w:color="auto"/>
              <w:left w:val="nil"/>
              <w:bottom w:val="nil"/>
              <w:right w:val="nil"/>
            </w:tcBorders>
          </w:tcPr>
          <w:p w:rsidR="00BD6398" w:rsidRPr="006A099E" w:rsidRDefault="00BD6398" w:rsidP="00BD6398">
            <w:pPr>
              <w:spacing w:after="0" w:line="240" w:lineRule="auto"/>
              <w:jc w:val="both"/>
              <w:rPr>
                <w:sz w:val="20"/>
                <w:szCs w:val="20"/>
              </w:rPr>
            </w:pPr>
          </w:p>
        </w:tc>
      </w:tr>
      <w:tr w:rsidR="00DB047A" w:rsidRPr="006A099E" w:rsidTr="008C6B5C">
        <w:trPr>
          <w:gridAfter w:val="5"/>
          <w:wAfter w:w="1649" w:type="dxa"/>
        </w:trPr>
        <w:tc>
          <w:tcPr>
            <w:tcW w:w="89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5678"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25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577"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236" w:type="dxa"/>
            <w:tcBorders>
              <w:top w:val="nil"/>
              <w:left w:val="nil"/>
              <w:bottom w:val="nil"/>
              <w:right w:val="nil"/>
            </w:tcBorders>
          </w:tcPr>
          <w:p w:rsidR="00DB047A" w:rsidRPr="006A099E" w:rsidRDefault="00DB047A" w:rsidP="008C6B5C">
            <w:pPr>
              <w:spacing w:after="0" w:line="240" w:lineRule="auto"/>
              <w:jc w:val="both"/>
              <w:rPr>
                <w:sz w:val="20"/>
                <w:szCs w:val="20"/>
              </w:rPr>
            </w:pPr>
          </w:p>
        </w:tc>
        <w:tc>
          <w:tcPr>
            <w:tcW w:w="775" w:type="dxa"/>
            <w:gridSpan w:val="2"/>
            <w:tcBorders>
              <w:top w:val="nil"/>
              <w:left w:val="nil"/>
              <w:bottom w:val="nil"/>
              <w:right w:val="nil"/>
            </w:tcBorders>
          </w:tcPr>
          <w:p w:rsidR="00DB047A" w:rsidRPr="006A099E" w:rsidRDefault="00DB047A" w:rsidP="008C6B5C">
            <w:pPr>
              <w:spacing w:after="0" w:line="240" w:lineRule="auto"/>
              <w:jc w:val="both"/>
              <w:rPr>
                <w:sz w:val="20"/>
                <w:szCs w:val="20"/>
              </w:rPr>
            </w:pPr>
          </w:p>
        </w:tc>
      </w:tr>
      <w:tr w:rsidR="0089746F" w:rsidRPr="006A099E" w:rsidTr="0089746F">
        <w:trPr>
          <w:gridAfter w:val="1"/>
          <w:wAfter w:w="32" w:type="dxa"/>
        </w:trPr>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3</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Global Exposure and Leverage</w:t>
            </w:r>
            <w:r w:rsidRPr="006A099E">
              <w:rPr>
                <w:rStyle w:val="FootnoteReference"/>
                <w:rFonts w:asciiTheme="majorHAnsi" w:hAnsiTheme="majorHAnsi"/>
                <w:sz w:val="20"/>
                <w:szCs w:val="20"/>
              </w:rPr>
              <w:footnoteReference w:customMarkFollows="1" w:id="1"/>
              <w:t>*</w:t>
            </w:r>
          </w:p>
        </w:tc>
        <w:tc>
          <w:tcPr>
            <w:tcW w:w="834" w:type="dxa"/>
            <w:gridSpan w:val="2"/>
            <w:tcBorders>
              <w:top w:val="nil"/>
              <w:left w:val="single" w:sz="4" w:space="0" w:color="auto"/>
              <w:bottom w:val="nil"/>
              <w:right w:val="nil"/>
            </w:tcBorders>
          </w:tcPr>
          <w:p w:rsidR="0089746F" w:rsidRPr="006A099E" w:rsidRDefault="0089746F" w:rsidP="00667BCE">
            <w:pPr>
              <w:spacing w:line="240" w:lineRule="auto"/>
              <w:jc w:val="both"/>
              <w:rPr>
                <w:b/>
                <w:bCs/>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3.1</w:t>
            </w:r>
          </w:p>
        </w:tc>
        <w:tc>
          <w:tcPr>
            <w:tcW w:w="5678"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Policy on Leverage and Global Exposure</w:t>
            </w:r>
          </w:p>
        </w:tc>
        <w:tc>
          <w:tcPr>
            <w:tcW w:w="834"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c>
          <w:tcPr>
            <w:tcW w:w="406"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459" w:type="dxa"/>
            <w:gridSpan w:val="2"/>
            <w:tcBorders>
              <w:top w:val="nil"/>
              <w:left w:val="nil"/>
              <w:bottom w:val="single" w:sz="4" w:space="0" w:color="auto"/>
              <w:right w:val="nil"/>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Policy on Asset Cover</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Quantitative Limits</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Hedging</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5"/>
              </w:numPr>
              <w:spacing w:line="240" w:lineRule="auto"/>
              <w:jc w:val="both"/>
              <w:rPr>
                <w:rFonts w:asciiTheme="minorHAnsi" w:hAnsiTheme="minorHAnsi"/>
                <w:sz w:val="20"/>
              </w:rPr>
            </w:pPr>
            <w:r w:rsidRPr="006A099E">
              <w:rPr>
                <w:rFonts w:asciiTheme="minorHAnsi" w:hAnsiTheme="minorHAnsi"/>
                <w:sz w:val="20"/>
              </w:rPr>
              <w:t>Position Netting</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84" w:type="dxa"/>
            <w:gridSpan w:val="2"/>
            <w:tcBorders>
              <w:top w:val="nil"/>
              <w:left w:val="nil"/>
              <w:bottom w:val="nil"/>
              <w:right w:val="nil"/>
            </w:tcBorders>
          </w:tcPr>
          <w:p w:rsidR="0089746F" w:rsidRPr="006A099E" w:rsidRDefault="0089746F" w:rsidP="00667BCE">
            <w:pPr>
              <w:spacing w:line="240" w:lineRule="auto"/>
              <w:jc w:val="both"/>
              <w:rPr>
                <w:sz w:val="20"/>
                <w:szCs w:val="20"/>
              </w:rPr>
            </w:pPr>
          </w:p>
        </w:tc>
        <w:tc>
          <w:tcPr>
            <w:tcW w:w="147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gridSpan w:val="2"/>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the methodology to calculate global exposure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(including appropriateness)</w:t>
            </w:r>
          </w:p>
        </w:tc>
        <w:tc>
          <w:tcPr>
            <w:tcW w:w="834"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single" w:sz="4" w:space="0" w:color="auto"/>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Commitment Calculation Methodology for each FDI used by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the UCITS</w:t>
            </w:r>
          </w:p>
        </w:tc>
        <w:tc>
          <w:tcPr>
            <w:tcW w:w="83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r>
      <w:tr w:rsidR="0089746F" w:rsidRPr="006A099E" w:rsidTr="0089746F">
        <w:trPr>
          <w:gridAfter w:val="11"/>
          <w:wAfter w:w="9172"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rPr>
          <w:gridAfter w:val="1"/>
          <w:wAfter w:w="32"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3.4</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Example provided on calculation of global exposure – using FDI </w:t>
            </w:r>
          </w:p>
        </w:tc>
        <w:tc>
          <w:tcPr>
            <w:tcW w:w="834"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84" w:type="dxa"/>
            <w:gridSpan w:val="2"/>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7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gridSpan w:val="2"/>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BD6398" w:rsidRPr="006A099E" w:rsidTr="008C6B5C">
        <w:trPr>
          <w:gridAfter w:val="1"/>
          <w:wAfter w:w="32" w:type="dxa"/>
        </w:trPr>
        <w:tc>
          <w:tcPr>
            <w:tcW w:w="897"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5678" w:type="dxa"/>
            <w:tcBorders>
              <w:top w:val="nil"/>
              <w:left w:val="nil"/>
              <w:bottom w:val="nil"/>
              <w:right w:val="nil"/>
            </w:tcBorders>
          </w:tcPr>
          <w:p w:rsidR="00BD6398" w:rsidRPr="006A099E" w:rsidRDefault="00BD6398" w:rsidP="008C6B5C">
            <w:pPr>
              <w:spacing w:after="0" w:line="240" w:lineRule="auto"/>
              <w:jc w:val="both"/>
              <w:rPr>
                <w:sz w:val="20"/>
                <w:szCs w:val="20"/>
              </w:rPr>
            </w:pPr>
            <w:r w:rsidRPr="006A099E">
              <w:rPr>
                <w:sz w:val="20"/>
                <w:szCs w:val="20"/>
              </w:rPr>
              <w:t>traded</w:t>
            </w:r>
          </w:p>
        </w:tc>
        <w:tc>
          <w:tcPr>
            <w:tcW w:w="83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284"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147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06" w:type="dxa"/>
            <w:tcBorders>
              <w:top w:val="nil"/>
              <w:left w:val="nil"/>
              <w:bottom w:val="nil"/>
              <w:right w:val="nil"/>
            </w:tcBorders>
          </w:tcPr>
          <w:p w:rsidR="00BD6398" w:rsidRPr="006A099E" w:rsidRDefault="00BD6398" w:rsidP="008C6B5C">
            <w:pPr>
              <w:spacing w:after="0" w:line="240" w:lineRule="auto"/>
              <w:jc w:val="both"/>
              <w:rPr>
                <w:sz w:val="20"/>
                <w:szCs w:val="20"/>
              </w:rPr>
            </w:pPr>
          </w:p>
        </w:tc>
        <w:tc>
          <w:tcPr>
            <w:tcW w:w="459" w:type="dxa"/>
            <w:gridSpan w:val="2"/>
            <w:tcBorders>
              <w:top w:val="nil"/>
              <w:left w:val="nil"/>
              <w:bottom w:val="nil"/>
              <w:right w:val="nil"/>
            </w:tcBorders>
          </w:tcPr>
          <w:p w:rsidR="00BD6398" w:rsidRPr="006A099E" w:rsidRDefault="00BD6398" w:rsidP="008C6B5C">
            <w:pPr>
              <w:spacing w:after="0" w:line="240" w:lineRule="auto"/>
              <w:jc w:val="both"/>
              <w:rPr>
                <w:sz w:val="20"/>
                <w:szCs w:val="20"/>
              </w:rPr>
            </w:pPr>
          </w:p>
        </w:tc>
      </w:tr>
    </w:tbl>
    <w:p w:rsidR="00A02084" w:rsidRPr="006A099E" w:rsidRDefault="00A02084" w:rsidP="00A02084">
      <w:pPr>
        <w:pStyle w:val="BodyText1"/>
        <w:spacing w:line="240" w:lineRule="auto"/>
        <w:ind w:left="720"/>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34"/>
        <w:gridCol w:w="294"/>
        <w:gridCol w:w="1469"/>
        <w:gridCol w:w="406"/>
        <w:gridCol w:w="459"/>
      </w:tblGrid>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3.5</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Description of methodology on using VaR</w:t>
            </w:r>
          </w:p>
        </w:tc>
        <w:tc>
          <w:tcPr>
            <w:tcW w:w="834"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Description of model used</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Quantitative Limits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Stress Testing Procedures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6"/>
              </w:numPr>
              <w:spacing w:line="240" w:lineRule="auto"/>
              <w:jc w:val="both"/>
              <w:rPr>
                <w:rFonts w:asciiTheme="minorHAnsi" w:hAnsiTheme="minorHAnsi"/>
                <w:sz w:val="20"/>
              </w:rPr>
            </w:pPr>
            <w:r w:rsidRPr="006A099E">
              <w:rPr>
                <w:rFonts w:asciiTheme="minorHAnsi" w:hAnsiTheme="minorHAnsi"/>
                <w:sz w:val="20"/>
              </w:rPr>
              <w:t>Back Testing Procedures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34"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3.6</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Details of VaR model validation (initial &amp; ongoing)</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3.7</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other risk measures used/described – e.g. tracking </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6B61E4" w:rsidRPr="006A099E" w:rsidTr="008C6B5C">
        <w:tc>
          <w:tcPr>
            <w:tcW w:w="897"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5678" w:type="dxa"/>
            <w:tcBorders>
              <w:top w:val="nil"/>
              <w:left w:val="nil"/>
              <w:bottom w:val="nil"/>
              <w:right w:val="nil"/>
            </w:tcBorders>
          </w:tcPr>
          <w:p w:rsidR="006B61E4" w:rsidRPr="006A099E" w:rsidRDefault="006B61E4" w:rsidP="006B61E4">
            <w:pPr>
              <w:spacing w:after="0" w:line="240" w:lineRule="auto"/>
              <w:jc w:val="both"/>
              <w:rPr>
                <w:sz w:val="20"/>
                <w:szCs w:val="20"/>
              </w:rPr>
            </w:pPr>
            <w:r w:rsidRPr="006A099E">
              <w:rPr>
                <w:sz w:val="20"/>
                <w:szCs w:val="20"/>
              </w:rPr>
              <w:t>error</w:t>
            </w:r>
          </w:p>
        </w:tc>
        <w:tc>
          <w:tcPr>
            <w:tcW w:w="834"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294"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1469"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406"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459" w:type="dxa"/>
            <w:tcBorders>
              <w:top w:val="nil"/>
              <w:left w:val="nil"/>
              <w:bottom w:val="nil"/>
              <w:right w:val="nil"/>
            </w:tcBorders>
          </w:tcPr>
          <w:p w:rsidR="006B61E4" w:rsidRPr="006A099E" w:rsidRDefault="006B61E4" w:rsidP="006B61E4">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3.8</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Procedures and controls documented, including</w:t>
            </w:r>
          </w:p>
        </w:tc>
        <w:tc>
          <w:tcPr>
            <w:tcW w:w="83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294"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 xml:space="preserve">Monitoring &amp; reporting compliance and quantitative </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6B61E4" w:rsidRPr="006A099E" w:rsidTr="0089746F">
        <w:tc>
          <w:tcPr>
            <w:tcW w:w="897" w:type="dxa"/>
            <w:tcBorders>
              <w:top w:val="nil"/>
              <w:left w:val="nil"/>
              <w:bottom w:val="nil"/>
              <w:right w:val="nil"/>
            </w:tcBorders>
          </w:tcPr>
          <w:p w:rsidR="006B61E4" w:rsidRPr="006A099E" w:rsidRDefault="006B61E4" w:rsidP="006B61E4">
            <w:pPr>
              <w:spacing w:after="0" w:line="240" w:lineRule="auto"/>
              <w:jc w:val="both"/>
              <w:rPr>
                <w:sz w:val="20"/>
                <w:szCs w:val="20"/>
              </w:rPr>
            </w:pPr>
          </w:p>
        </w:tc>
        <w:tc>
          <w:tcPr>
            <w:tcW w:w="5678" w:type="dxa"/>
            <w:tcBorders>
              <w:top w:val="nil"/>
              <w:left w:val="nil"/>
              <w:bottom w:val="nil"/>
              <w:right w:val="single" w:sz="4" w:space="0" w:color="auto"/>
            </w:tcBorders>
          </w:tcPr>
          <w:p w:rsidR="006B61E4" w:rsidRPr="006A099E" w:rsidRDefault="006B61E4" w:rsidP="008C6B5C">
            <w:pPr>
              <w:pStyle w:val="ListParagraph"/>
              <w:spacing w:line="240" w:lineRule="auto"/>
              <w:jc w:val="both"/>
              <w:rPr>
                <w:rFonts w:asciiTheme="minorHAnsi" w:hAnsiTheme="minorHAnsi"/>
                <w:sz w:val="20"/>
              </w:rPr>
            </w:pPr>
            <w:r w:rsidRPr="006A099E">
              <w:rPr>
                <w:rFonts w:asciiTheme="minorHAnsi" w:hAnsiTheme="minorHAnsi"/>
                <w:sz w:val="20"/>
              </w:rPr>
              <w:t>limits</w:t>
            </w:r>
          </w:p>
        </w:tc>
        <w:tc>
          <w:tcPr>
            <w:tcW w:w="834" w:type="dxa"/>
            <w:tcBorders>
              <w:top w:val="single" w:sz="4" w:space="0" w:color="auto"/>
              <w:left w:val="single" w:sz="4" w:space="0" w:color="auto"/>
              <w:bottom w:val="single" w:sz="4" w:space="0" w:color="auto"/>
              <w:right w:val="single" w:sz="4" w:space="0" w:color="auto"/>
            </w:tcBorders>
          </w:tcPr>
          <w:p w:rsidR="006B61E4" w:rsidRPr="006A099E" w:rsidRDefault="006B61E4" w:rsidP="006B61E4">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6B61E4" w:rsidRPr="006A099E" w:rsidRDefault="006B61E4" w:rsidP="006B61E4">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6B61E4" w:rsidRPr="006A099E" w:rsidRDefault="006B61E4" w:rsidP="006B61E4">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6B61E4" w:rsidRPr="006A099E" w:rsidRDefault="006B61E4" w:rsidP="006B61E4">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6B61E4" w:rsidRPr="006A099E" w:rsidRDefault="006B61E4" w:rsidP="006B61E4">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Prevention of limit breaches</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7"/>
              </w:numPr>
              <w:spacing w:line="240" w:lineRule="auto"/>
              <w:jc w:val="both"/>
              <w:rPr>
                <w:rFonts w:asciiTheme="minorHAnsi" w:hAnsiTheme="minorHAnsi"/>
                <w:sz w:val="20"/>
              </w:rPr>
            </w:pPr>
            <w:r w:rsidRPr="006A099E">
              <w:rPr>
                <w:rFonts w:asciiTheme="minorHAnsi" w:hAnsiTheme="minorHAnsi"/>
                <w:sz w:val="20"/>
              </w:rPr>
              <w:t>Trade monitoring</w:t>
            </w:r>
          </w:p>
        </w:tc>
        <w:tc>
          <w:tcPr>
            <w:tcW w:w="834"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94"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3.9</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Policy on Issuer Concentration risk</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bl>
    <w:p w:rsidR="006B61E4" w:rsidRDefault="006B61E4" w:rsidP="006B61E4">
      <w:pPr>
        <w:pStyle w:val="BodyText1"/>
        <w:spacing w:line="240" w:lineRule="auto"/>
        <w:jc w:val="both"/>
        <w:rPr>
          <w:rFonts w:asciiTheme="minorHAnsi" w:hAnsiTheme="minorHAnsi"/>
          <w:sz w:val="20"/>
        </w:rPr>
      </w:pPr>
    </w:p>
    <w:p w:rsidR="006B61E4" w:rsidRDefault="006B61E4">
      <w:pPr>
        <w:rPr>
          <w:rFonts w:eastAsia="Times New Roman" w:cs="Times New Roman"/>
          <w:sz w:val="20"/>
          <w:szCs w:val="20"/>
          <w:lang w:val="en-GB"/>
        </w:rPr>
      </w:pPr>
      <w:r>
        <w:rPr>
          <w:sz w:val="20"/>
        </w:rPr>
        <w:br w:type="page"/>
      </w:r>
    </w:p>
    <w:p w:rsidR="00A02084" w:rsidRPr="006A099E" w:rsidRDefault="00A02084" w:rsidP="00A02084">
      <w:pPr>
        <w:pStyle w:val="BodyText1"/>
        <w:spacing w:line="240" w:lineRule="auto"/>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9746F">
        <w:tc>
          <w:tcPr>
            <w:tcW w:w="897"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sz w:val="20"/>
                <w:szCs w:val="20"/>
              </w:rPr>
            </w:pPr>
            <w:r w:rsidRPr="006A099E">
              <w:rPr>
                <w:sz w:val="20"/>
                <w:szCs w:val="20"/>
              </w:rPr>
              <w:t>4</w:t>
            </w:r>
          </w:p>
        </w:tc>
        <w:tc>
          <w:tcPr>
            <w:tcW w:w="5678" w:type="dxa"/>
            <w:tcBorders>
              <w:top w:val="single" w:sz="4" w:space="0" w:color="auto"/>
              <w:left w:val="single" w:sz="4" w:space="0" w:color="auto"/>
              <w:bottom w:val="single" w:sz="4" w:space="0" w:color="auto"/>
              <w:right w:val="single" w:sz="4" w:space="0" w:color="auto"/>
            </w:tcBorders>
          </w:tcPr>
          <w:p w:rsidR="0089746F" w:rsidRPr="006A099E" w:rsidRDefault="0089746F" w:rsidP="00667BCE">
            <w:pPr>
              <w:spacing w:line="240" w:lineRule="auto"/>
              <w:jc w:val="both"/>
              <w:rPr>
                <w:rFonts w:asciiTheme="majorHAnsi" w:hAnsiTheme="majorHAnsi"/>
                <w:sz w:val="20"/>
                <w:szCs w:val="20"/>
              </w:rPr>
            </w:pPr>
            <w:r w:rsidRPr="006A099E">
              <w:rPr>
                <w:rFonts w:asciiTheme="majorHAnsi" w:hAnsiTheme="majorHAnsi"/>
                <w:sz w:val="20"/>
                <w:szCs w:val="20"/>
              </w:rPr>
              <w:t>Counterparty Exposure</w:t>
            </w:r>
          </w:p>
        </w:tc>
        <w:tc>
          <w:tcPr>
            <w:tcW w:w="886" w:type="dxa"/>
            <w:tcBorders>
              <w:top w:val="nil"/>
              <w:left w:val="single" w:sz="4" w:space="0" w:color="auto"/>
              <w:bottom w:val="nil"/>
              <w:right w:val="nil"/>
            </w:tcBorders>
          </w:tcPr>
          <w:p w:rsidR="0089746F" w:rsidRPr="006A099E" w:rsidRDefault="0089746F" w:rsidP="00667BCE">
            <w:pPr>
              <w:spacing w:line="240" w:lineRule="auto"/>
              <w:jc w:val="both"/>
              <w:rPr>
                <w:b/>
                <w:bCs/>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1469" w:type="dxa"/>
            <w:tcBorders>
              <w:top w:val="nil"/>
              <w:left w:val="nil"/>
              <w:bottom w:val="nil"/>
              <w:right w:val="nil"/>
            </w:tcBorders>
          </w:tcPr>
          <w:p w:rsidR="0089746F" w:rsidRPr="006A099E" w:rsidRDefault="0089746F" w:rsidP="00667BCE">
            <w:pPr>
              <w:spacing w:line="240" w:lineRule="auto"/>
              <w:jc w:val="both"/>
              <w:rPr>
                <w:b/>
                <w:bCs/>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single" w:sz="4" w:space="0" w:color="auto"/>
              <w:left w:val="nil"/>
              <w:bottom w:val="nil"/>
              <w:right w:val="nil"/>
            </w:tcBorders>
          </w:tcPr>
          <w:p w:rsidR="0089746F" w:rsidRPr="006A099E" w:rsidRDefault="0089746F" w:rsidP="00667BCE">
            <w:pPr>
              <w:spacing w:line="240" w:lineRule="auto"/>
              <w:jc w:val="both"/>
              <w:rPr>
                <w:sz w:val="20"/>
                <w:szCs w:val="20"/>
              </w:rPr>
            </w:pPr>
          </w:p>
        </w:tc>
        <w:tc>
          <w:tcPr>
            <w:tcW w:w="88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nil"/>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4.1</w:t>
            </w: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r w:rsidRPr="006A099E">
              <w:rPr>
                <w:sz w:val="20"/>
                <w:szCs w:val="20"/>
              </w:rPr>
              <w:t>Policy on counterparty risk exposure, including the following:</w:t>
            </w:r>
          </w:p>
        </w:tc>
        <w:tc>
          <w:tcPr>
            <w:tcW w:w="886"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Counterparty approval (including rating requirements)</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Use of collateral</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c>
          <w:tcPr>
            <w:tcW w:w="5678" w:type="dxa"/>
            <w:tcBorders>
              <w:top w:val="nil"/>
              <w:left w:val="nil"/>
              <w:bottom w:val="nil"/>
              <w:right w:val="single" w:sz="4" w:space="0" w:color="auto"/>
            </w:tcBorders>
          </w:tcPr>
          <w:p w:rsidR="0089746F" w:rsidRPr="006A099E" w:rsidRDefault="0089746F">
            <w:pPr>
              <w:pStyle w:val="ListParagraph"/>
              <w:numPr>
                <w:ilvl w:val="0"/>
                <w:numId w:val="8"/>
              </w:numPr>
              <w:spacing w:line="240" w:lineRule="auto"/>
              <w:jc w:val="both"/>
              <w:rPr>
                <w:rFonts w:asciiTheme="minorHAnsi" w:hAnsiTheme="minorHAnsi"/>
                <w:sz w:val="20"/>
              </w:rPr>
            </w:pPr>
            <w:r w:rsidRPr="006A099E">
              <w:rPr>
                <w:rFonts w:asciiTheme="minorHAnsi" w:hAnsiTheme="minorHAnsi"/>
                <w:sz w:val="20"/>
              </w:rPr>
              <w:t>Netting (legally enforceable netting agreements)</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5678"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886"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242"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146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c>
          <w:tcPr>
            <w:tcW w:w="406" w:type="dxa"/>
            <w:tcBorders>
              <w:top w:val="nil"/>
              <w:left w:val="nil"/>
              <w:bottom w:val="nil"/>
              <w:right w:val="nil"/>
            </w:tcBorders>
          </w:tcPr>
          <w:p w:rsidR="0089746F" w:rsidRPr="006A099E" w:rsidRDefault="0089746F" w:rsidP="00667BCE">
            <w:pPr>
              <w:spacing w:line="240" w:lineRule="auto"/>
              <w:jc w:val="both"/>
              <w:rPr>
                <w:sz w:val="20"/>
                <w:szCs w:val="20"/>
              </w:rPr>
            </w:pPr>
          </w:p>
        </w:tc>
        <w:tc>
          <w:tcPr>
            <w:tcW w:w="459" w:type="dxa"/>
            <w:tcBorders>
              <w:top w:val="nil"/>
              <w:left w:val="nil"/>
              <w:bottom w:val="single" w:sz="4" w:space="0" w:color="auto"/>
              <w:right w:val="nil"/>
            </w:tcBorders>
          </w:tcPr>
          <w:p w:rsidR="0089746F" w:rsidRPr="006A099E" w:rsidRDefault="0089746F" w:rsidP="00667BCE">
            <w:pPr>
              <w:spacing w:line="240" w:lineRule="auto"/>
              <w:jc w:val="both"/>
              <w:rPr>
                <w:sz w:val="20"/>
                <w:szCs w:val="20"/>
              </w:rPr>
            </w:pPr>
          </w:p>
        </w:tc>
      </w:tr>
      <w:tr w:rsidR="0089746F" w:rsidRPr="006A099E" w:rsidTr="0089746F">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4.2</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Description of quantitative standards adopted</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89746F" w:rsidRPr="006A099E" w:rsidTr="0089746F">
        <w:trPr>
          <w:gridAfter w:val="6"/>
          <w:wAfter w:w="9140" w:type="dxa"/>
        </w:trPr>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p>
        </w:tc>
      </w:tr>
      <w:tr w:rsidR="0089746F" w:rsidRPr="006A099E" w:rsidTr="008C6B5C">
        <w:tc>
          <w:tcPr>
            <w:tcW w:w="897" w:type="dxa"/>
            <w:tcBorders>
              <w:top w:val="nil"/>
              <w:left w:val="nil"/>
              <w:bottom w:val="nil"/>
              <w:right w:val="nil"/>
            </w:tcBorders>
          </w:tcPr>
          <w:p w:rsidR="0089746F" w:rsidRPr="006A099E" w:rsidRDefault="0089746F" w:rsidP="008C6B5C">
            <w:pPr>
              <w:spacing w:after="0" w:line="240" w:lineRule="auto"/>
              <w:jc w:val="both"/>
              <w:rPr>
                <w:sz w:val="20"/>
                <w:szCs w:val="20"/>
              </w:rPr>
            </w:pPr>
            <w:r w:rsidRPr="006A099E">
              <w:rPr>
                <w:sz w:val="20"/>
                <w:szCs w:val="20"/>
              </w:rPr>
              <w:t>4.3</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Description of methodology to calculate counterparty </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r w:rsidRPr="006A099E">
              <w:rPr>
                <w:sz w:val="20"/>
                <w:szCs w:val="20"/>
              </w:rPr>
              <w:t>exposure</w:t>
            </w: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p w:rsidR="00A02084" w:rsidRPr="006A099E" w:rsidRDefault="00A02084" w:rsidP="00A02084">
      <w:pPr>
        <w:pStyle w:val="BodyText1"/>
        <w:spacing w:line="240" w:lineRule="auto"/>
        <w:jc w:val="both"/>
        <w:rPr>
          <w:rFonts w:asciiTheme="minorHAnsi" w:hAnsiTheme="minorHAnsi"/>
          <w:sz w:val="20"/>
        </w:rPr>
      </w:pPr>
    </w:p>
    <w:tbl>
      <w:tblPr>
        <w:tblW w:w="1090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gridCol w:w="261"/>
        <w:gridCol w:w="602"/>
      </w:tblGrid>
      <w:tr w:rsidR="00A02084" w:rsidRPr="006A099E" w:rsidTr="00667BCE">
        <w:tc>
          <w:tcPr>
            <w:tcW w:w="897" w:type="dxa"/>
            <w:tcBorders>
              <w:top w:val="single" w:sz="4" w:space="0" w:color="auto"/>
              <w:left w:val="single" w:sz="4" w:space="0" w:color="auto"/>
              <w:bottom w:val="single" w:sz="4" w:space="0" w:color="auto"/>
              <w:right w:val="single" w:sz="4" w:space="0" w:color="auto"/>
            </w:tcBorders>
          </w:tcPr>
          <w:p w:rsidR="00A02084" w:rsidRPr="006A099E" w:rsidRDefault="00A02084" w:rsidP="00667BCE">
            <w:pPr>
              <w:spacing w:line="240" w:lineRule="auto"/>
              <w:jc w:val="both"/>
              <w:rPr>
                <w:sz w:val="20"/>
                <w:szCs w:val="20"/>
              </w:rPr>
            </w:pPr>
            <w:r w:rsidRPr="006A099E">
              <w:rPr>
                <w:sz w:val="20"/>
                <w:szCs w:val="20"/>
              </w:rPr>
              <w:t>5</w:t>
            </w:r>
          </w:p>
        </w:tc>
        <w:tc>
          <w:tcPr>
            <w:tcW w:w="5678" w:type="dxa"/>
            <w:tcBorders>
              <w:top w:val="single" w:sz="4" w:space="0" w:color="auto"/>
              <w:left w:val="single" w:sz="4" w:space="0" w:color="auto"/>
              <w:bottom w:val="single" w:sz="4" w:space="0" w:color="auto"/>
              <w:right w:val="single" w:sz="4" w:space="0" w:color="auto"/>
            </w:tcBorders>
          </w:tcPr>
          <w:p w:rsidR="00A02084" w:rsidRPr="006A099E" w:rsidRDefault="00A02084" w:rsidP="00667BCE">
            <w:pPr>
              <w:spacing w:line="240" w:lineRule="auto"/>
              <w:jc w:val="both"/>
              <w:rPr>
                <w:rFonts w:asciiTheme="majorHAnsi" w:hAnsiTheme="majorHAnsi"/>
                <w:sz w:val="20"/>
                <w:szCs w:val="20"/>
              </w:rPr>
            </w:pPr>
            <w:r w:rsidRPr="006A099E">
              <w:rPr>
                <w:rFonts w:asciiTheme="majorHAnsi" w:hAnsiTheme="majorHAnsi"/>
                <w:sz w:val="20"/>
                <w:szCs w:val="20"/>
              </w:rPr>
              <w:t>Reporting</w:t>
            </w:r>
          </w:p>
        </w:tc>
        <w:tc>
          <w:tcPr>
            <w:tcW w:w="886" w:type="dxa"/>
            <w:tcBorders>
              <w:top w:val="nil"/>
              <w:left w:val="single" w:sz="4" w:space="0" w:color="auto"/>
              <w:bottom w:val="nil"/>
              <w:right w:val="nil"/>
            </w:tcBorders>
          </w:tcPr>
          <w:p w:rsidR="00A02084" w:rsidRPr="006A099E" w:rsidRDefault="00A02084" w:rsidP="00667BCE">
            <w:pPr>
              <w:spacing w:line="240" w:lineRule="auto"/>
              <w:jc w:val="both"/>
              <w:rPr>
                <w:b/>
                <w:bCs/>
                <w:sz w:val="20"/>
                <w:szCs w:val="20"/>
              </w:rPr>
            </w:pPr>
          </w:p>
        </w:tc>
        <w:tc>
          <w:tcPr>
            <w:tcW w:w="242" w:type="dxa"/>
            <w:tcBorders>
              <w:top w:val="nil"/>
              <w:left w:val="nil"/>
              <w:bottom w:val="nil"/>
              <w:right w:val="nil"/>
            </w:tcBorders>
          </w:tcPr>
          <w:p w:rsidR="00A02084" w:rsidRPr="006A099E" w:rsidRDefault="00A02084" w:rsidP="00667BCE">
            <w:pPr>
              <w:spacing w:line="240" w:lineRule="auto"/>
              <w:jc w:val="both"/>
              <w:rPr>
                <w:b/>
                <w:bCs/>
                <w:sz w:val="20"/>
                <w:szCs w:val="20"/>
              </w:rPr>
            </w:pPr>
          </w:p>
        </w:tc>
        <w:tc>
          <w:tcPr>
            <w:tcW w:w="1469" w:type="dxa"/>
            <w:tcBorders>
              <w:top w:val="nil"/>
              <w:left w:val="nil"/>
              <w:bottom w:val="nil"/>
              <w:right w:val="nil"/>
            </w:tcBorders>
          </w:tcPr>
          <w:p w:rsidR="00A02084" w:rsidRPr="006A099E" w:rsidRDefault="00A02084" w:rsidP="00667BCE">
            <w:pPr>
              <w:spacing w:line="240" w:lineRule="auto"/>
              <w:jc w:val="both"/>
              <w:rPr>
                <w:b/>
                <w:bCs/>
                <w:sz w:val="20"/>
                <w:szCs w:val="20"/>
              </w:rPr>
            </w:pPr>
          </w:p>
        </w:tc>
        <w:tc>
          <w:tcPr>
            <w:tcW w:w="406"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459"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261" w:type="dxa"/>
            <w:tcBorders>
              <w:top w:val="nil"/>
              <w:left w:val="nil"/>
              <w:bottom w:val="nil"/>
              <w:right w:val="nil"/>
            </w:tcBorders>
          </w:tcPr>
          <w:p w:rsidR="00A02084" w:rsidRPr="006A099E" w:rsidRDefault="00A02084" w:rsidP="00667BCE">
            <w:pPr>
              <w:spacing w:line="240" w:lineRule="auto"/>
              <w:jc w:val="both"/>
              <w:rPr>
                <w:sz w:val="20"/>
                <w:szCs w:val="20"/>
              </w:rPr>
            </w:pPr>
          </w:p>
        </w:tc>
        <w:tc>
          <w:tcPr>
            <w:tcW w:w="602" w:type="dxa"/>
            <w:tcBorders>
              <w:top w:val="nil"/>
              <w:left w:val="nil"/>
              <w:bottom w:val="nil"/>
              <w:right w:val="nil"/>
            </w:tcBorders>
          </w:tcPr>
          <w:p w:rsidR="00A02084" w:rsidRPr="006A099E" w:rsidRDefault="00A02084" w:rsidP="00667BCE">
            <w:pPr>
              <w:spacing w:line="240" w:lineRule="auto"/>
              <w:jc w:val="both"/>
              <w:rPr>
                <w:sz w:val="20"/>
                <w:szCs w:val="20"/>
              </w:rPr>
            </w:pPr>
          </w:p>
        </w:tc>
      </w:tr>
    </w:tbl>
    <w:p w:rsidR="00A02084" w:rsidRPr="006A099E" w:rsidRDefault="00A02084" w:rsidP="00A02084">
      <w:pPr>
        <w:pStyle w:val="BodyText1"/>
        <w:spacing w:line="240" w:lineRule="auto"/>
        <w:jc w:val="both"/>
        <w:rPr>
          <w:rFonts w:asciiTheme="minorHAnsi" w:hAnsiTheme="minorHAnsi"/>
          <w:sz w:val="20"/>
        </w:rPr>
      </w:pPr>
    </w:p>
    <w:tbl>
      <w:tblPr>
        <w:tblW w:w="100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5678"/>
        <w:gridCol w:w="886"/>
        <w:gridCol w:w="242"/>
        <w:gridCol w:w="1469"/>
        <w:gridCol w:w="406"/>
        <w:gridCol w:w="459"/>
      </w:tblGrid>
      <w:tr w:rsidR="0089746F" w:rsidRPr="006A099E" w:rsidTr="008C6B5C">
        <w:tc>
          <w:tcPr>
            <w:tcW w:w="897" w:type="dxa"/>
            <w:tcBorders>
              <w:top w:val="nil"/>
              <w:left w:val="nil"/>
              <w:bottom w:val="nil"/>
              <w:right w:val="nil"/>
            </w:tcBorders>
          </w:tcPr>
          <w:p w:rsidR="0089746F" w:rsidRPr="006A099E" w:rsidRDefault="00B7690C" w:rsidP="008C6B5C">
            <w:pPr>
              <w:spacing w:after="0" w:line="240" w:lineRule="auto"/>
              <w:jc w:val="both"/>
              <w:rPr>
                <w:sz w:val="20"/>
                <w:szCs w:val="20"/>
              </w:rPr>
            </w:pPr>
            <w:r>
              <w:rPr>
                <w:sz w:val="20"/>
                <w:szCs w:val="20"/>
              </w:rPr>
              <w:t>5.1</w:t>
            </w:r>
          </w:p>
        </w:tc>
        <w:tc>
          <w:tcPr>
            <w:tcW w:w="5678" w:type="dxa"/>
            <w:tcBorders>
              <w:top w:val="nil"/>
              <w:left w:val="nil"/>
              <w:bottom w:val="nil"/>
              <w:right w:val="single" w:sz="4" w:space="0" w:color="auto"/>
            </w:tcBorders>
          </w:tcPr>
          <w:p w:rsidR="0089746F" w:rsidRPr="006A099E" w:rsidRDefault="0089746F" w:rsidP="008C6B5C">
            <w:pPr>
              <w:spacing w:after="0" w:line="240" w:lineRule="auto"/>
              <w:jc w:val="both"/>
              <w:rPr>
                <w:sz w:val="20"/>
                <w:szCs w:val="20"/>
              </w:rPr>
            </w:pPr>
            <w:r w:rsidRPr="006A099E">
              <w:rPr>
                <w:sz w:val="20"/>
                <w:szCs w:val="20"/>
              </w:rPr>
              <w:t xml:space="preserve">Details of </w:t>
            </w:r>
            <w:r w:rsidR="00DB047A">
              <w:rPr>
                <w:sz w:val="20"/>
                <w:szCs w:val="20"/>
              </w:rPr>
              <w:t xml:space="preserve">reporting </w:t>
            </w:r>
            <w:r w:rsidRPr="006A099E">
              <w:rPr>
                <w:sz w:val="20"/>
                <w:szCs w:val="20"/>
              </w:rPr>
              <w:t xml:space="preserve">procedures and content of UCITS Annual </w:t>
            </w:r>
          </w:p>
        </w:tc>
        <w:tc>
          <w:tcPr>
            <w:tcW w:w="886"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242"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146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c>
          <w:tcPr>
            <w:tcW w:w="406" w:type="dxa"/>
            <w:tcBorders>
              <w:top w:val="nil"/>
              <w:left w:val="single" w:sz="4" w:space="0" w:color="auto"/>
              <w:bottom w:val="nil"/>
              <w:right w:val="single" w:sz="4" w:space="0" w:color="auto"/>
            </w:tcBorders>
          </w:tcPr>
          <w:p w:rsidR="0089746F" w:rsidRPr="006A099E" w:rsidRDefault="0089746F" w:rsidP="008C6B5C">
            <w:pPr>
              <w:spacing w:after="0" w:line="240" w:lineRule="auto"/>
              <w:jc w:val="both"/>
              <w:rPr>
                <w:sz w:val="20"/>
                <w:szCs w:val="20"/>
              </w:rPr>
            </w:pPr>
          </w:p>
        </w:tc>
        <w:tc>
          <w:tcPr>
            <w:tcW w:w="459" w:type="dxa"/>
            <w:tcBorders>
              <w:top w:val="single" w:sz="4" w:space="0" w:color="auto"/>
              <w:left w:val="single" w:sz="4" w:space="0" w:color="auto"/>
              <w:bottom w:val="single" w:sz="4" w:space="0" w:color="auto"/>
              <w:right w:val="single" w:sz="4" w:space="0" w:color="auto"/>
            </w:tcBorders>
          </w:tcPr>
          <w:p w:rsidR="0089746F" w:rsidRPr="006A099E" w:rsidRDefault="0089746F"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8C6B5C">
            <w:pPr>
              <w:spacing w:after="0" w:line="240" w:lineRule="auto"/>
              <w:jc w:val="both"/>
              <w:rPr>
                <w:sz w:val="20"/>
                <w:szCs w:val="20"/>
              </w:rPr>
            </w:pPr>
            <w:r w:rsidRPr="006A099E">
              <w:rPr>
                <w:sz w:val="20"/>
                <w:szCs w:val="20"/>
              </w:rPr>
              <w:t>FDI Report</w:t>
            </w:r>
          </w:p>
        </w:tc>
        <w:tc>
          <w:tcPr>
            <w:tcW w:w="886"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1469"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8C6B5C">
            <w:pPr>
              <w:spacing w:after="0" w:line="240" w:lineRule="auto"/>
              <w:jc w:val="both"/>
              <w:rPr>
                <w:sz w:val="20"/>
                <w:szCs w:val="20"/>
              </w:rPr>
            </w:pPr>
          </w:p>
        </w:tc>
        <w:tc>
          <w:tcPr>
            <w:tcW w:w="459" w:type="dxa"/>
            <w:tcBorders>
              <w:top w:val="single" w:sz="4" w:space="0" w:color="auto"/>
              <w:left w:val="nil"/>
              <w:bottom w:val="nil"/>
              <w:right w:val="nil"/>
            </w:tcBorders>
          </w:tcPr>
          <w:p w:rsidR="00F45358" w:rsidRPr="006A099E" w:rsidRDefault="00F45358" w:rsidP="008C6B5C">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45358" w:rsidRPr="006A099E" w:rsidTr="008C6B5C">
        <w:tc>
          <w:tcPr>
            <w:tcW w:w="897"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5678"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88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242"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1469"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06" w:type="dxa"/>
            <w:tcBorders>
              <w:top w:val="nil"/>
              <w:left w:val="nil"/>
              <w:bottom w:val="nil"/>
              <w:right w:val="nil"/>
            </w:tcBorders>
          </w:tcPr>
          <w:p w:rsidR="00F45358" w:rsidRPr="006A099E" w:rsidRDefault="00F45358" w:rsidP="00F45358">
            <w:pPr>
              <w:spacing w:after="0" w:line="240" w:lineRule="auto"/>
              <w:jc w:val="both"/>
              <w:rPr>
                <w:sz w:val="20"/>
                <w:szCs w:val="20"/>
              </w:rPr>
            </w:pPr>
          </w:p>
        </w:tc>
        <w:tc>
          <w:tcPr>
            <w:tcW w:w="459" w:type="dxa"/>
            <w:tcBorders>
              <w:top w:val="nil"/>
              <w:left w:val="nil"/>
              <w:bottom w:val="nil"/>
              <w:right w:val="nil"/>
            </w:tcBorders>
          </w:tcPr>
          <w:p w:rsidR="00F45358" w:rsidRPr="006A099E" w:rsidRDefault="00F45358" w:rsidP="00F45358">
            <w:pPr>
              <w:spacing w:after="0" w:line="240" w:lineRule="auto"/>
              <w:jc w:val="both"/>
              <w:rPr>
                <w:sz w:val="20"/>
                <w:szCs w:val="20"/>
              </w:rPr>
            </w:pPr>
          </w:p>
        </w:tc>
      </w:tr>
      <w:tr w:rsidR="00F00A10" w:rsidRPr="006A099E" w:rsidTr="00A77982">
        <w:tc>
          <w:tcPr>
            <w:tcW w:w="897"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8275" w:type="dxa"/>
            <w:gridSpan w:val="4"/>
            <w:tcBorders>
              <w:top w:val="nil"/>
              <w:left w:val="nil"/>
              <w:bottom w:val="nil"/>
              <w:right w:val="nil"/>
            </w:tcBorders>
          </w:tcPr>
          <w:p w:rsidR="00F00A10" w:rsidRPr="006A099E" w:rsidRDefault="00F00A10" w:rsidP="00F45358">
            <w:pPr>
              <w:spacing w:after="0" w:line="240" w:lineRule="auto"/>
              <w:jc w:val="both"/>
              <w:rPr>
                <w:sz w:val="20"/>
                <w:szCs w:val="20"/>
              </w:rPr>
            </w:pPr>
            <w:r>
              <w:rPr>
                <w:sz w:val="20"/>
                <w:szCs w:val="20"/>
              </w:rPr>
              <w:t xml:space="preserve">I confirm that </w:t>
            </w:r>
            <w:r w:rsidRPr="004822E1">
              <w:rPr>
                <w:rFonts w:asciiTheme="majorHAnsi" w:hAnsiTheme="majorHAnsi"/>
                <w:sz w:val="20"/>
              </w:rPr>
              <w:t>the information set out in this application form is correct and accurately</w:t>
            </w:r>
          </w:p>
        </w:tc>
        <w:tc>
          <w:tcPr>
            <w:tcW w:w="406"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459" w:type="dxa"/>
            <w:tcBorders>
              <w:top w:val="nil"/>
              <w:left w:val="nil"/>
              <w:bottom w:val="nil"/>
              <w:right w:val="nil"/>
            </w:tcBorders>
          </w:tcPr>
          <w:p w:rsidR="00F00A10" w:rsidRPr="006A099E" w:rsidRDefault="00F00A10" w:rsidP="00F45358">
            <w:pPr>
              <w:spacing w:after="0" w:line="240" w:lineRule="auto"/>
              <w:jc w:val="both"/>
              <w:rPr>
                <w:sz w:val="20"/>
                <w:szCs w:val="20"/>
              </w:rPr>
            </w:pPr>
          </w:p>
        </w:tc>
      </w:tr>
      <w:tr w:rsidR="00F00A10" w:rsidRPr="006A099E" w:rsidTr="00A77982">
        <w:tc>
          <w:tcPr>
            <w:tcW w:w="897"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8275" w:type="dxa"/>
            <w:gridSpan w:val="4"/>
            <w:tcBorders>
              <w:top w:val="nil"/>
              <w:left w:val="nil"/>
              <w:bottom w:val="nil"/>
              <w:right w:val="nil"/>
            </w:tcBorders>
          </w:tcPr>
          <w:p w:rsidR="00F00A10" w:rsidRDefault="00F00A10" w:rsidP="003541B6">
            <w:pPr>
              <w:spacing w:after="0" w:line="240" w:lineRule="auto"/>
              <w:jc w:val="both"/>
              <w:rPr>
                <w:sz w:val="20"/>
                <w:szCs w:val="20"/>
              </w:rPr>
            </w:pPr>
            <w:r w:rsidRPr="004822E1">
              <w:rPr>
                <w:rFonts w:asciiTheme="majorHAnsi" w:hAnsiTheme="majorHAnsi"/>
                <w:sz w:val="20"/>
              </w:rPr>
              <w:t>reflects the provisions in the Risk Management Process. I further confirm that the</w:t>
            </w:r>
            <w:r w:rsidR="00C47A4C">
              <w:rPr>
                <w:rFonts w:asciiTheme="majorHAnsi" w:hAnsiTheme="majorHAnsi"/>
                <w:sz w:val="20"/>
              </w:rPr>
              <w:t xml:space="preserve"> </w:t>
            </w:r>
            <w:r w:rsidR="00C47A4C" w:rsidRPr="004822E1">
              <w:rPr>
                <w:rFonts w:asciiTheme="majorHAnsi" w:hAnsiTheme="majorHAnsi"/>
                <w:sz w:val="20"/>
              </w:rPr>
              <w:t xml:space="preserve">provisions of the Risk Management Process comply in full with the </w:t>
            </w:r>
            <w:r w:rsidR="003541B6" w:rsidRPr="004822E1">
              <w:rPr>
                <w:rFonts w:asciiTheme="majorHAnsi" w:hAnsiTheme="majorHAnsi" w:cs="Arial"/>
                <w:sz w:val="20"/>
              </w:rPr>
              <w:t>Guidance</w:t>
            </w:r>
            <w:r w:rsidR="003541B6">
              <w:rPr>
                <w:rFonts w:asciiTheme="majorHAnsi" w:hAnsiTheme="majorHAnsi" w:cs="Arial"/>
                <w:sz w:val="20"/>
              </w:rPr>
              <w:t xml:space="preserve"> in relation to</w:t>
            </w:r>
            <w:r w:rsidR="003541B6" w:rsidRPr="004822E1">
              <w:rPr>
                <w:rFonts w:asciiTheme="majorHAnsi" w:hAnsiTheme="majorHAnsi" w:cs="Arial"/>
                <w:sz w:val="20"/>
              </w:rPr>
              <w:t xml:space="preserve"> </w:t>
            </w:r>
            <w:r w:rsidR="00C47A4C" w:rsidRPr="004822E1">
              <w:rPr>
                <w:rFonts w:asciiTheme="majorHAnsi" w:hAnsiTheme="majorHAnsi" w:cs="Arial"/>
                <w:sz w:val="20"/>
              </w:rPr>
              <w:t>UCITS Financial</w:t>
            </w:r>
            <w:r w:rsidR="00C47A4C">
              <w:rPr>
                <w:rFonts w:asciiTheme="majorHAnsi" w:hAnsiTheme="majorHAnsi" w:cs="Arial"/>
                <w:sz w:val="20"/>
              </w:rPr>
              <w:t xml:space="preserve"> </w:t>
            </w:r>
            <w:r w:rsidR="00C47A4C" w:rsidRPr="004822E1">
              <w:rPr>
                <w:rFonts w:asciiTheme="majorHAnsi" w:hAnsiTheme="majorHAnsi" w:cs="Arial"/>
                <w:sz w:val="20"/>
              </w:rPr>
              <w:t xml:space="preserve">Derivative Instruments and Efficient Portfolio Management </w:t>
            </w:r>
            <w:r w:rsidR="003541B6">
              <w:rPr>
                <w:rFonts w:asciiTheme="majorHAnsi" w:hAnsiTheme="majorHAnsi" w:cs="Arial"/>
                <w:sz w:val="20"/>
              </w:rPr>
              <w:t xml:space="preserve">dated </w:t>
            </w:r>
            <w:r w:rsidR="00C47A4C" w:rsidRPr="004822E1">
              <w:rPr>
                <w:rFonts w:asciiTheme="majorHAnsi" w:hAnsiTheme="majorHAnsi" w:cs="Arial"/>
                <w:sz w:val="20"/>
              </w:rPr>
              <w:t xml:space="preserve">August 2017 </w:t>
            </w:r>
            <w:r w:rsidR="00C47A4C" w:rsidRPr="004822E1">
              <w:rPr>
                <w:rFonts w:asciiTheme="majorHAnsi" w:hAnsiTheme="majorHAnsi"/>
                <w:sz w:val="20"/>
              </w:rPr>
              <w:t>as published on the Central Bank of Ireland website</w:t>
            </w:r>
          </w:p>
        </w:tc>
        <w:tc>
          <w:tcPr>
            <w:tcW w:w="406" w:type="dxa"/>
            <w:tcBorders>
              <w:top w:val="nil"/>
              <w:left w:val="nil"/>
              <w:bottom w:val="nil"/>
              <w:right w:val="nil"/>
            </w:tcBorders>
          </w:tcPr>
          <w:p w:rsidR="00F00A10" w:rsidRPr="006A099E" w:rsidRDefault="00F00A10" w:rsidP="00F45358">
            <w:pPr>
              <w:spacing w:after="0" w:line="240" w:lineRule="auto"/>
              <w:jc w:val="both"/>
              <w:rPr>
                <w:sz w:val="20"/>
                <w:szCs w:val="20"/>
              </w:rPr>
            </w:pPr>
          </w:p>
        </w:tc>
        <w:tc>
          <w:tcPr>
            <w:tcW w:w="459" w:type="dxa"/>
            <w:tcBorders>
              <w:top w:val="nil"/>
              <w:left w:val="nil"/>
              <w:bottom w:val="nil"/>
              <w:right w:val="nil"/>
            </w:tcBorders>
          </w:tcPr>
          <w:p w:rsidR="00F00A10" w:rsidRPr="006A099E" w:rsidRDefault="00F00A10" w:rsidP="00F45358">
            <w:pPr>
              <w:spacing w:after="0" w:line="240" w:lineRule="auto"/>
              <w:jc w:val="both"/>
              <w:rPr>
                <w:sz w:val="20"/>
                <w:szCs w:val="20"/>
              </w:rPr>
            </w:pPr>
          </w:p>
        </w:tc>
      </w:tr>
      <w:tr w:rsidR="00C47A4C" w:rsidRPr="006A099E" w:rsidTr="00A77982">
        <w:tc>
          <w:tcPr>
            <w:tcW w:w="897" w:type="dxa"/>
            <w:tcBorders>
              <w:top w:val="nil"/>
              <w:left w:val="nil"/>
              <w:bottom w:val="nil"/>
              <w:right w:val="nil"/>
            </w:tcBorders>
          </w:tcPr>
          <w:p w:rsidR="00C47A4C" w:rsidRPr="006A099E" w:rsidRDefault="00C47A4C" w:rsidP="00F45358">
            <w:pPr>
              <w:spacing w:after="0" w:line="240" w:lineRule="auto"/>
              <w:jc w:val="both"/>
              <w:rPr>
                <w:sz w:val="20"/>
                <w:szCs w:val="20"/>
              </w:rPr>
            </w:pPr>
          </w:p>
        </w:tc>
        <w:tc>
          <w:tcPr>
            <w:tcW w:w="8275" w:type="dxa"/>
            <w:gridSpan w:val="4"/>
            <w:tcBorders>
              <w:top w:val="nil"/>
              <w:left w:val="nil"/>
              <w:bottom w:val="nil"/>
              <w:right w:val="nil"/>
            </w:tcBorders>
          </w:tcPr>
          <w:p w:rsidR="00E241D8" w:rsidRDefault="00E241D8" w:rsidP="00C47A4C">
            <w:pPr>
              <w:pBdr>
                <w:bottom w:val="single" w:sz="12" w:space="1" w:color="auto"/>
              </w:pBdr>
              <w:rPr>
                <w:b/>
                <w:bCs/>
                <w:sz w:val="20"/>
                <w:szCs w:val="20"/>
              </w:rPr>
            </w:pPr>
          </w:p>
          <w:p w:rsidR="00C47A4C" w:rsidRDefault="00C47A4C" w:rsidP="00C47A4C">
            <w:pPr>
              <w:pBdr>
                <w:bottom w:val="single" w:sz="12" w:space="1" w:color="auto"/>
              </w:pBdr>
              <w:rPr>
                <w:b/>
                <w:bCs/>
                <w:sz w:val="20"/>
                <w:szCs w:val="20"/>
              </w:rPr>
            </w:pPr>
            <w:r w:rsidRPr="005008E7">
              <w:rPr>
                <w:b/>
                <w:bCs/>
                <w:sz w:val="20"/>
                <w:szCs w:val="20"/>
              </w:rPr>
              <w:t>Signed</w:t>
            </w:r>
            <w:r>
              <w:rPr>
                <w:b/>
                <w:bCs/>
                <w:sz w:val="20"/>
                <w:szCs w:val="20"/>
              </w:rPr>
              <w:t xml:space="preserve"> (Director of UCITS/Management Company):</w:t>
            </w:r>
          </w:p>
          <w:p w:rsidR="00755E2C" w:rsidRDefault="00755E2C" w:rsidP="00C47A4C">
            <w:pPr>
              <w:pBdr>
                <w:bottom w:val="single" w:sz="12" w:space="1" w:color="auto"/>
              </w:pBdr>
              <w:rPr>
                <w:b/>
                <w:bCs/>
                <w:sz w:val="20"/>
                <w:szCs w:val="20"/>
              </w:rPr>
            </w:pPr>
          </w:p>
          <w:p w:rsidR="00C47A4C" w:rsidRPr="008C6B5C" w:rsidRDefault="00755E2C" w:rsidP="00F45358">
            <w:pPr>
              <w:spacing w:after="0" w:line="240" w:lineRule="auto"/>
              <w:jc w:val="both"/>
              <w:rPr>
                <w:rFonts w:asciiTheme="majorHAnsi" w:hAnsiTheme="majorHAnsi"/>
                <w:b/>
                <w:sz w:val="20"/>
              </w:rPr>
            </w:pPr>
            <w:r w:rsidRPr="005008E7">
              <w:rPr>
                <w:b/>
                <w:bCs/>
                <w:sz w:val="20"/>
                <w:szCs w:val="20"/>
              </w:rPr>
              <w:t>Name (in Print):</w:t>
            </w:r>
            <w:r>
              <w:rPr>
                <w:b/>
                <w:bCs/>
                <w:sz w:val="20"/>
                <w:szCs w:val="20"/>
              </w:rPr>
              <w:t xml:space="preserve"> </w:t>
            </w:r>
          </w:p>
        </w:tc>
        <w:tc>
          <w:tcPr>
            <w:tcW w:w="406" w:type="dxa"/>
            <w:tcBorders>
              <w:top w:val="nil"/>
              <w:left w:val="nil"/>
              <w:bottom w:val="nil"/>
              <w:right w:val="nil"/>
            </w:tcBorders>
          </w:tcPr>
          <w:p w:rsidR="00C47A4C" w:rsidRPr="006A099E" w:rsidRDefault="00C47A4C" w:rsidP="00F45358">
            <w:pPr>
              <w:spacing w:after="0" w:line="240" w:lineRule="auto"/>
              <w:jc w:val="both"/>
              <w:rPr>
                <w:sz w:val="20"/>
                <w:szCs w:val="20"/>
              </w:rPr>
            </w:pPr>
          </w:p>
        </w:tc>
        <w:tc>
          <w:tcPr>
            <w:tcW w:w="459" w:type="dxa"/>
            <w:tcBorders>
              <w:top w:val="nil"/>
              <w:left w:val="nil"/>
              <w:bottom w:val="nil"/>
              <w:right w:val="nil"/>
            </w:tcBorders>
          </w:tcPr>
          <w:p w:rsidR="00C47A4C" w:rsidRPr="006A099E" w:rsidRDefault="00C47A4C" w:rsidP="00F45358">
            <w:pPr>
              <w:spacing w:after="0" w:line="240" w:lineRule="auto"/>
              <w:jc w:val="both"/>
              <w:rPr>
                <w:sz w:val="20"/>
                <w:szCs w:val="20"/>
              </w:rPr>
            </w:pPr>
          </w:p>
        </w:tc>
      </w:tr>
      <w:tr w:rsidR="00755E2C" w:rsidRPr="006A099E" w:rsidTr="00A77982">
        <w:tc>
          <w:tcPr>
            <w:tcW w:w="897"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8275" w:type="dxa"/>
            <w:gridSpan w:val="4"/>
            <w:tcBorders>
              <w:top w:val="nil"/>
              <w:left w:val="nil"/>
              <w:bottom w:val="nil"/>
              <w:right w:val="nil"/>
            </w:tcBorders>
          </w:tcPr>
          <w:p w:rsidR="00755E2C" w:rsidRPr="005008E7" w:rsidRDefault="00755E2C" w:rsidP="008C6B5C">
            <w:pPr>
              <w:pBdr>
                <w:bottom w:val="single" w:sz="12" w:space="1" w:color="auto"/>
              </w:pBdr>
              <w:spacing w:before="240"/>
              <w:rPr>
                <w:b/>
                <w:bCs/>
                <w:sz w:val="20"/>
                <w:szCs w:val="20"/>
              </w:rPr>
            </w:pPr>
          </w:p>
        </w:tc>
        <w:tc>
          <w:tcPr>
            <w:tcW w:w="406"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459" w:type="dxa"/>
            <w:tcBorders>
              <w:top w:val="nil"/>
              <w:left w:val="nil"/>
              <w:bottom w:val="nil"/>
              <w:right w:val="nil"/>
            </w:tcBorders>
          </w:tcPr>
          <w:p w:rsidR="00755E2C" w:rsidRPr="006A099E" w:rsidRDefault="00755E2C" w:rsidP="00F45358">
            <w:pPr>
              <w:spacing w:after="0" w:line="240" w:lineRule="auto"/>
              <w:jc w:val="both"/>
              <w:rPr>
                <w:sz w:val="20"/>
                <w:szCs w:val="20"/>
              </w:rPr>
            </w:pPr>
          </w:p>
        </w:tc>
      </w:tr>
      <w:tr w:rsidR="00755E2C" w:rsidRPr="006A099E" w:rsidTr="00A77982">
        <w:tc>
          <w:tcPr>
            <w:tcW w:w="897"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8275" w:type="dxa"/>
            <w:gridSpan w:val="4"/>
            <w:tcBorders>
              <w:top w:val="nil"/>
              <w:left w:val="nil"/>
              <w:bottom w:val="nil"/>
              <w:right w:val="nil"/>
            </w:tcBorders>
          </w:tcPr>
          <w:p w:rsidR="00755E2C" w:rsidRDefault="00755E2C" w:rsidP="00C47A4C">
            <w:pPr>
              <w:pBdr>
                <w:bottom w:val="single" w:sz="12" w:space="1" w:color="auto"/>
              </w:pBdr>
              <w:rPr>
                <w:b/>
                <w:bCs/>
                <w:sz w:val="20"/>
                <w:szCs w:val="20"/>
              </w:rPr>
            </w:pPr>
            <w:r>
              <w:rPr>
                <w:b/>
                <w:bCs/>
                <w:sz w:val="20"/>
                <w:szCs w:val="20"/>
              </w:rPr>
              <w:t>Date:</w:t>
            </w:r>
          </w:p>
          <w:p w:rsidR="00755E2C" w:rsidRPr="005008E7" w:rsidRDefault="00755E2C" w:rsidP="00C47A4C">
            <w:pPr>
              <w:pBdr>
                <w:bottom w:val="single" w:sz="12" w:space="1" w:color="auto"/>
              </w:pBdr>
              <w:rPr>
                <w:b/>
                <w:bCs/>
                <w:sz w:val="20"/>
                <w:szCs w:val="20"/>
              </w:rPr>
            </w:pPr>
          </w:p>
        </w:tc>
        <w:tc>
          <w:tcPr>
            <w:tcW w:w="406" w:type="dxa"/>
            <w:tcBorders>
              <w:top w:val="nil"/>
              <w:left w:val="nil"/>
              <w:bottom w:val="nil"/>
              <w:right w:val="nil"/>
            </w:tcBorders>
          </w:tcPr>
          <w:p w:rsidR="00755E2C" w:rsidRPr="006A099E" w:rsidRDefault="00755E2C" w:rsidP="00F45358">
            <w:pPr>
              <w:spacing w:after="0" w:line="240" w:lineRule="auto"/>
              <w:jc w:val="both"/>
              <w:rPr>
                <w:sz w:val="20"/>
                <w:szCs w:val="20"/>
              </w:rPr>
            </w:pPr>
          </w:p>
        </w:tc>
        <w:tc>
          <w:tcPr>
            <w:tcW w:w="459" w:type="dxa"/>
            <w:tcBorders>
              <w:top w:val="nil"/>
              <w:left w:val="nil"/>
              <w:bottom w:val="nil"/>
              <w:right w:val="nil"/>
            </w:tcBorders>
          </w:tcPr>
          <w:p w:rsidR="00755E2C" w:rsidRPr="006A099E" w:rsidRDefault="00755E2C" w:rsidP="00F45358">
            <w:pPr>
              <w:spacing w:after="0" w:line="240" w:lineRule="auto"/>
              <w:jc w:val="both"/>
              <w:rPr>
                <w:sz w:val="20"/>
                <w:szCs w:val="20"/>
              </w:rPr>
            </w:pPr>
          </w:p>
        </w:tc>
      </w:tr>
    </w:tbl>
    <w:p w:rsidR="008C25E8" w:rsidRPr="005008E7" w:rsidRDefault="008C25E8" w:rsidP="005008E7">
      <w:pPr>
        <w:rPr>
          <w:b/>
          <w:bCs/>
          <w:sz w:val="20"/>
          <w:szCs w:val="20"/>
        </w:rPr>
      </w:pPr>
    </w:p>
    <w:p w:rsidR="009C2961" w:rsidRDefault="009C2961">
      <w:pPr>
        <w:rPr>
          <w:sz w:val="20"/>
          <w:szCs w:val="20"/>
        </w:rPr>
      </w:pPr>
    </w:p>
    <w:p w:rsidR="009C2961" w:rsidRDefault="009C2961" w:rsidP="00171363">
      <w:pPr>
        <w:spacing w:line="276" w:lineRule="auto"/>
        <w:ind w:left="1440"/>
        <w:jc w:val="both"/>
        <w:rPr>
          <w:rFonts w:ascii="Lato" w:hAnsi="Lato"/>
          <w:sz w:val="20"/>
          <w:szCs w:val="20"/>
          <w:lang w:val="en-US"/>
        </w:rPr>
      </w:pPr>
      <w:r>
        <w:rPr>
          <w:rFonts w:ascii="Lato" w:hAnsi="Lato"/>
          <w:sz w:val="20"/>
          <w:szCs w:val="20"/>
          <w:lang w:val="en-US"/>
        </w:rPr>
        <w:t>Any personal data provided by you may be p</w:t>
      </w:r>
      <w:r w:rsidR="00A07414">
        <w:rPr>
          <w:rFonts w:ascii="Lato" w:hAnsi="Lato"/>
          <w:sz w:val="20"/>
          <w:szCs w:val="20"/>
          <w:lang w:val="en-US"/>
        </w:rPr>
        <w:t xml:space="preserve">rocessed by the Central Bank in </w:t>
      </w:r>
      <w:r>
        <w:rPr>
          <w:rFonts w:ascii="Lato" w:hAnsi="Lato"/>
          <w:sz w:val="20"/>
          <w:szCs w:val="20"/>
          <w:lang w:val="en-US"/>
        </w:rPr>
        <w:t xml:space="preserve">connection with the performance of its statutory functions. If you have any questions in relation to the processing of your personal data by the Central Bank, you may contact our Data Protection Officer at </w:t>
      </w:r>
      <w:hyperlink r:id="rId15" w:history="1">
        <w:r>
          <w:rPr>
            <w:rStyle w:val="Hyperlink"/>
            <w:rFonts w:ascii="Lato" w:hAnsi="Lato"/>
            <w:sz w:val="20"/>
            <w:szCs w:val="20"/>
            <w:lang w:val="en-US"/>
          </w:rPr>
          <w:t>dataprotection@centralbank.ie</w:t>
        </w:r>
      </w:hyperlink>
      <w:r>
        <w:rPr>
          <w:rFonts w:ascii="Lato" w:hAnsi="Lato"/>
          <w:sz w:val="20"/>
          <w:szCs w:val="20"/>
          <w:lang w:val="en-US"/>
        </w:rPr>
        <w:t xml:space="preserve">. A copy of the Central Bank’s Data Protection Notice is available at </w:t>
      </w:r>
      <w:hyperlink r:id="rId16" w:history="1">
        <w:r>
          <w:rPr>
            <w:rStyle w:val="Hyperlink"/>
            <w:rFonts w:ascii="Lato" w:hAnsi="Lato"/>
            <w:sz w:val="20"/>
            <w:szCs w:val="20"/>
            <w:lang w:val="en-US"/>
          </w:rPr>
          <w:t>www.centralbank.ie/fns/privacy-statement</w:t>
        </w:r>
      </w:hyperlink>
      <w:r>
        <w:rPr>
          <w:rFonts w:ascii="Lato" w:hAnsi="Lato"/>
          <w:sz w:val="20"/>
          <w:szCs w:val="20"/>
          <w:lang w:val="en-US"/>
        </w:rPr>
        <w:t>.</w:t>
      </w:r>
    </w:p>
    <w:p w:rsidR="009C2961" w:rsidRPr="006A099E" w:rsidRDefault="009C2961">
      <w:pPr>
        <w:rPr>
          <w:sz w:val="20"/>
          <w:szCs w:val="20"/>
        </w:rPr>
      </w:pPr>
    </w:p>
    <w:p w:rsidR="00055B41" w:rsidRPr="006A099E" w:rsidRDefault="00055B41">
      <w:pPr>
        <w:rPr>
          <w:sz w:val="20"/>
          <w:szCs w:val="20"/>
        </w:rPr>
      </w:pPr>
      <w:r w:rsidRPr="006A099E">
        <w:rPr>
          <w:sz w:val="20"/>
          <w:szCs w:val="20"/>
        </w:rPr>
        <w:br w:type="page"/>
      </w:r>
    </w:p>
    <w:p w:rsidR="000144F8" w:rsidRPr="00C85AA3" w:rsidRDefault="000144F8" w:rsidP="00171363">
      <w:pPr>
        <w:pStyle w:val="Noparagraphstyle"/>
        <w:suppressAutoHyphens/>
        <w:spacing w:after="227"/>
        <w:rPr>
          <w:rFonts w:ascii="Lato" w:hAnsi="Lato" w:cs="HelveticaNeueLTStd-Lt"/>
          <w:color w:val="FFFFFF" w:themeColor="background1"/>
          <w:sz w:val="20"/>
        </w:rPr>
      </w:pPr>
      <w:r w:rsidRPr="00C85AA3">
        <w:rPr>
          <w:noProof/>
          <w:color w:val="FFFFFF" w:themeColor="background1"/>
          <w:lang w:val="en-IE" w:eastAsia="en-IE"/>
        </w:rPr>
        <w:drawing>
          <wp:anchor distT="0" distB="0" distL="114300" distR="114300" simplePos="0" relativeHeight="251680768" behindDoc="1" locked="0" layoutInCell="1" allowOverlap="1" wp14:anchorId="7D40076D" wp14:editId="1C69EE97">
            <wp:simplePos x="0" y="0"/>
            <wp:positionH relativeFrom="page">
              <wp:align>left</wp:align>
            </wp:positionH>
            <wp:positionV relativeFrom="paragraph">
              <wp:posOffset>-737235</wp:posOffset>
            </wp:positionV>
            <wp:extent cx="7562385" cy="1069657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2385" cy="10696575"/>
                    </a:xfrm>
                    <a:prstGeom prst="rect">
                      <a:avLst/>
                    </a:prstGeom>
                  </pic:spPr>
                </pic:pic>
              </a:graphicData>
            </a:graphic>
            <wp14:sizeRelH relativeFrom="margin">
              <wp14:pctWidth>0</wp14:pctWidth>
            </wp14:sizeRelH>
            <wp14:sizeRelV relativeFrom="margin">
              <wp14:pctHeight>0</wp14:pctHeight>
            </wp14:sizeRelV>
          </wp:anchor>
        </w:drawing>
      </w:r>
      <w:r w:rsidRPr="00C85AA3">
        <w:rPr>
          <w:rStyle w:val="HelvBold"/>
          <w:rFonts w:ascii="Lato" w:hAnsi="Lato" w:cs="HelveticaNeueLTStd-Bd"/>
          <w:bCs/>
          <w:color w:val="FFFFFF" w:themeColor="background1"/>
          <w:sz w:val="20"/>
        </w:rPr>
        <w:t xml:space="preserve">T </w:t>
      </w:r>
      <w:r w:rsidRPr="00C85AA3">
        <w:rPr>
          <w:rFonts w:ascii="Lato" w:hAnsi="Lato" w:cs="HelveticaNeueLTStd-Lt"/>
          <w:color w:val="FFFFFF" w:themeColor="background1"/>
          <w:sz w:val="20"/>
        </w:rPr>
        <w:t xml:space="preserve">+353 1 224 6000     </w:t>
      </w:r>
      <w:r>
        <w:rPr>
          <w:rFonts w:ascii="Lato" w:hAnsi="Lato" w:cs="HelveticaNeueLTStd-Lt"/>
          <w:color w:val="FFFFFF" w:themeColor="background1"/>
          <w:sz w:val="20"/>
        </w:rPr>
        <w:tab/>
      </w:r>
      <w:r w:rsidRPr="00C85AA3">
        <w:rPr>
          <w:rStyle w:val="HelvBold"/>
          <w:rFonts w:ascii="Lato" w:hAnsi="Lato" w:cs="HelveticaNeueLTStd-Bd"/>
          <w:bCs/>
          <w:color w:val="FFFFFF" w:themeColor="background1"/>
          <w:sz w:val="20"/>
          <w:u w:val="single"/>
        </w:rPr>
        <w:t>www.centralbank.ie</w:t>
      </w:r>
      <w:r w:rsidRPr="00C85AA3">
        <w:rPr>
          <w:rFonts w:ascii="Lato" w:hAnsi="Lato" w:cs="HelveticaNeueLTStd-Lt"/>
          <w:color w:val="FFFFFF" w:themeColor="background1"/>
          <w:sz w:val="20"/>
        </w:rPr>
        <w:t xml:space="preserve">      AIFauthorisations@centralbank.ie</w:t>
      </w:r>
    </w:p>
    <w:p w:rsidR="00D563EC" w:rsidRDefault="00A0362F">
      <w:r>
        <w:rPr>
          <w:noProof/>
          <w:lang w:eastAsia="en-IE"/>
        </w:rPr>
        <w:drawing>
          <wp:anchor distT="0" distB="0" distL="114300" distR="114300" simplePos="0" relativeHeight="251678720" behindDoc="1" locked="0" layoutInCell="1" allowOverlap="1">
            <wp:simplePos x="0" y="0"/>
            <wp:positionH relativeFrom="column">
              <wp:posOffset>-720090</wp:posOffset>
            </wp:positionH>
            <wp:positionV relativeFrom="paragraph">
              <wp:posOffset>-729615</wp:posOffset>
            </wp:positionV>
            <wp:extent cx="7562385" cy="106965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62385" cy="10696575"/>
                    </a:xfrm>
                    <a:prstGeom prst="rect">
                      <a:avLst/>
                    </a:prstGeom>
                  </pic:spPr>
                </pic:pic>
              </a:graphicData>
            </a:graphic>
            <wp14:sizeRelH relativeFrom="margin">
              <wp14:pctWidth>0</wp14:pctWidth>
            </wp14:sizeRelH>
            <wp14:sizeRelV relativeFrom="margin">
              <wp14:pctHeight>0</wp14:pctHeight>
            </wp14:sizeRelV>
          </wp:anchor>
        </w:drawing>
      </w:r>
    </w:p>
    <w:sectPr w:rsidR="00D563EC" w:rsidSect="00B456B3">
      <w:type w:val="continuous"/>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5B9" w:rsidRDefault="00BD15B9" w:rsidP="004F1F53">
      <w:pPr>
        <w:spacing w:after="0" w:line="240" w:lineRule="auto"/>
      </w:pPr>
      <w:r>
        <w:separator/>
      </w:r>
    </w:p>
  </w:endnote>
  <w:endnote w:type="continuationSeparator" w:id="0">
    <w:p w:rsidR="00BD15B9" w:rsidRDefault="00BD15B9"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 w:name="Lato Semibold">
    <w:altName w:val="Lato Light"/>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C0" w:rsidRDefault="009839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C0" w:rsidRDefault="00983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C0" w:rsidRDefault="00983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5B9" w:rsidRDefault="00BD15B9" w:rsidP="004F1F53">
      <w:pPr>
        <w:spacing w:after="0" w:line="240" w:lineRule="auto"/>
      </w:pPr>
      <w:r>
        <w:separator/>
      </w:r>
    </w:p>
  </w:footnote>
  <w:footnote w:type="continuationSeparator" w:id="0">
    <w:p w:rsidR="00BD15B9" w:rsidRDefault="00BD15B9" w:rsidP="004F1F53">
      <w:pPr>
        <w:spacing w:after="0" w:line="240" w:lineRule="auto"/>
      </w:pPr>
      <w:r>
        <w:continuationSeparator/>
      </w:r>
    </w:p>
  </w:footnote>
  <w:footnote w:id="1">
    <w:p w:rsidR="0089746F" w:rsidRPr="008C6B5C" w:rsidRDefault="0089746F" w:rsidP="00A02084">
      <w:pPr>
        <w:pStyle w:val="FootnoteText"/>
        <w:rPr>
          <w:rFonts w:asciiTheme="majorHAnsi" w:hAnsiTheme="majorHAnsi"/>
        </w:rPr>
      </w:pPr>
      <w:r w:rsidRPr="008C6B5C">
        <w:rPr>
          <w:rStyle w:val="FootnoteReference"/>
          <w:rFonts w:asciiTheme="majorHAnsi" w:hAnsiTheme="majorHAnsi"/>
          <w:sz w:val="18"/>
          <w:szCs w:val="18"/>
        </w:rPr>
        <w:t>*</w:t>
      </w:r>
      <w:r w:rsidRPr="008C6B5C">
        <w:rPr>
          <w:rFonts w:asciiTheme="majorHAnsi" w:hAnsiTheme="majorHAnsi"/>
          <w:sz w:val="18"/>
          <w:szCs w:val="18"/>
        </w:rPr>
        <w:t xml:space="preserve"> S</w:t>
      </w:r>
      <w:r w:rsidR="00B7690C">
        <w:rPr>
          <w:rFonts w:asciiTheme="majorHAnsi" w:hAnsiTheme="majorHAnsi"/>
          <w:sz w:val="18"/>
        </w:rPr>
        <w:t>ections 3.5</w:t>
      </w:r>
      <w:r w:rsidR="00DB047A" w:rsidRPr="008C6B5C">
        <w:rPr>
          <w:rFonts w:asciiTheme="majorHAnsi" w:hAnsiTheme="majorHAnsi"/>
          <w:sz w:val="18"/>
        </w:rPr>
        <w:t xml:space="preserve"> – 3</w:t>
      </w:r>
      <w:r w:rsidR="00B7690C">
        <w:rPr>
          <w:rFonts w:asciiTheme="majorHAnsi" w:hAnsiTheme="majorHAnsi"/>
          <w:sz w:val="18"/>
        </w:rPr>
        <w:t>.7</w:t>
      </w:r>
      <w:r w:rsidRPr="008C6B5C">
        <w:rPr>
          <w:rFonts w:asciiTheme="majorHAnsi" w:hAnsiTheme="majorHAnsi"/>
          <w:sz w:val="18"/>
        </w:rPr>
        <w:t xml:space="preserve"> are not applicable for UCITS applying the commitment approach </w:t>
      </w:r>
      <w:r w:rsidRPr="008C6B5C">
        <w:rPr>
          <w:rFonts w:asciiTheme="majorHAnsi" w:hAnsiTheme="majorHAnsi"/>
          <w:b/>
          <w:sz w:val="18"/>
        </w:rPr>
        <w:t>only</w:t>
      </w:r>
      <w:r w:rsidRPr="008C6B5C">
        <w:rPr>
          <w:rFonts w:asciiTheme="majorHAnsi" w:hAnsiTheme="majorHAnsi"/>
          <w:sz w:val="18"/>
        </w:rPr>
        <w:t xml:space="preserve"> to measure global exposure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34" w:rsidRDefault="009839C0" w:rsidP="009839C0">
    <w:fldSimple w:instr=" DOCPROPERTY bjHeaderEvenPageDocProperty \* MERGEFORMAT " w:fldLock="1">
      <w:r w:rsidRPr="009839C0">
        <w:rPr>
          <w:rFonts w:ascii="Times New Roman" w:hAnsi="Times New Roman" w:cs="Times New Roman"/>
          <w:color w:val="000000"/>
          <w:sz w:val="24"/>
        </w:rPr>
        <w:t xml:space="preserve"> </w:t>
      </w:r>
    </w:fldSimple>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232"/>
      <w:gridCol w:w="1708"/>
    </w:tblGrid>
    <w:tr w:rsidR="0065278B" w:rsidRPr="008D0BD1" w:rsidTr="0065278B">
      <w:tc>
        <w:tcPr>
          <w:tcW w:w="715" w:type="dxa"/>
          <w:tcBorders>
            <w:right w:val="single" w:sz="4" w:space="0" w:color="0083A0" w:themeColor="accent1"/>
          </w:tcBorders>
        </w:tcPr>
        <w:p w:rsidR="0065278B" w:rsidRPr="008D0BD1" w:rsidRDefault="0065278B">
          <w:pPr>
            <w:pStyle w:val="Header"/>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9839C0">
            <w:rPr>
              <w:noProof/>
              <w:sz w:val="14"/>
              <w:szCs w:val="14"/>
            </w:rPr>
            <w:t>2</w:t>
          </w:r>
          <w:r w:rsidRPr="008D0BD1">
            <w:rPr>
              <w:noProof/>
              <w:sz w:val="14"/>
              <w:szCs w:val="14"/>
            </w:rPr>
            <w:fldChar w:fldCharType="end"/>
          </w:r>
        </w:p>
      </w:tc>
      <w:tc>
        <w:tcPr>
          <w:tcW w:w="1232" w:type="dxa"/>
          <w:tcBorders>
            <w:left w:val="single" w:sz="4" w:space="0" w:color="0083A0" w:themeColor="accent1"/>
            <w:right w:val="single" w:sz="4" w:space="0" w:color="0083A0" w:themeColor="accent1"/>
          </w:tcBorders>
        </w:tcPr>
        <w:p w:rsidR="0065278B" w:rsidRPr="008D0BD1" w:rsidRDefault="002263E9">
          <w:pPr>
            <w:pStyle w:val="Header"/>
            <w:rPr>
              <w:sz w:val="14"/>
              <w:szCs w:val="14"/>
            </w:rPr>
          </w:pPr>
          <w:r>
            <w:rPr>
              <w:sz w:val="14"/>
              <w:szCs w:val="14"/>
            </w:rPr>
            <w:t>Section 13</w:t>
          </w:r>
        </w:p>
      </w:tc>
      <w:tc>
        <w:tcPr>
          <w:tcW w:w="1708" w:type="dxa"/>
          <w:tcBorders>
            <w:left w:val="single" w:sz="4" w:space="0" w:color="0083A0" w:themeColor="accent1"/>
          </w:tcBorders>
        </w:tcPr>
        <w:p w:rsidR="0065278B" w:rsidRPr="008D0BD1" w:rsidRDefault="0065278B">
          <w:pPr>
            <w:pStyle w:val="Header"/>
            <w:rPr>
              <w:sz w:val="14"/>
              <w:szCs w:val="14"/>
            </w:rPr>
          </w:pPr>
          <w:r>
            <w:rPr>
              <w:sz w:val="14"/>
              <w:szCs w:val="14"/>
            </w:rPr>
            <w:t>Central Bank of Ireland</w:t>
          </w:r>
          <w:r w:rsidR="00A07414">
            <w:rPr>
              <w:sz w:val="14"/>
              <w:szCs w:val="14"/>
            </w:rPr>
            <w:t xml:space="preserve"> </w:t>
          </w:r>
        </w:p>
      </w:tc>
    </w:tr>
  </w:tbl>
  <w:p w:rsidR="008D0BD1" w:rsidRPr="008D0BD1" w:rsidRDefault="008D0BD1">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F34" w:rsidRDefault="009839C0" w:rsidP="009839C0">
    <w:fldSimple w:instr=" DOCPROPERTY bjHeaderBothDocProperty \* MERGEFORMAT " w:fldLock="1">
      <w:r w:rsidRPr="009839C0">
        <w:rPr>
          <w:rFonts w:ascii="Times New Roman" w:hAnsi="Times New Roman" w:cs="Times New Roman"/>
          <w:color w:val="000000"/>
          <w:sz w:val="24"/>
        </w:rPr>
        <w:t xml:space="preserve"> </w:t>
      </w:r>
    </w:fldSimple>
  </w:p>
  <w:tbl>
    <w:tblPr>
      <w:tblStyle w:val="TableGrid"/>
      <w:tblW w:w="9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381"/>
      <w:gridCol w:w="1474"/>
      <w:gridCol w:w="845"/>
    </w:tblGrid>
    <w:tr w:rsidR="008D0BD1" w:rsidRPr="008D0BD1" w:rsidTr="00D60F34">
      <w:tc>
        <w:tcPr>
          <w:tcW w:w="5103" w:type="dxa"/>
        </w:tcPr>
        <w:p w:rsidR="008D0BD1" w:rsidRPr="008D0BD1" w:rsidRDefault="008D0BD1" w:rsidP="008D0BD1">
          <w:pPr>
            <w:pStyle w:val="Header"/>
            <w:rPr>
              <w:sz w:val="14"/>
              <w:szCs w:val="14"/>
            </w:rPr>
          </w:pPr>
        </w:p>
      </w:tc>
      <w:tc>
        <w:tcPr>
          <w:tcW w:w="2381" w:type="dxa"/>
          <w:tcBorders>
            <w:right w:val="single" w:sz="4" w:space="0" w:color="0083A0" w:themeColor="accent1"/>
          </w:tcBorders>
        </w:tcPr>
        <w:p w:rsidR="008D0BD1" w:rsidRPr="008D0BD1" w:rsidRDefault="008C4478" w:rsidP="0065278B">
          <w:pPr>
            <w:pStyle w:val="Header"/>
            <w:jc w:val="right"/>
            <w:rPr>
              <w:sz w:val="14"/>
              <w:szCs w:val="14"/>
            </w:rPr>
          </w:pPr>
          <w:r>
            <w:rPr>
              <w:sz w:val="14"/>
              <w:szCs w:val="14"/>
            </w:rPr>
            <w:t>Central Bank of Ireland</w:t>
          </w:r>
        </w:p>
      </w:tc>
      <w:tc>
        <w:tcPr>
          <w:tcW w:w="1474" w:type="dxa"/>
          <w:tcBorders>
            <w:left w:val="single" w:sz="4" w:space="0" w:color="0083A0" w:themeColor="accent1"/>
            <w:right w:val="single" w:sz="4" w:space="0" w:color="0083A0" w:themeColor="accent1"/>
          </w:tcBorders>
        </w:tcPr>
        <w:p w:rsidR="008D0BD1" w:rsidRPr="008D0BD1" w:rsidRDefault="00AC5E54" w:rsidP="0065278B">
          <w:pPr>
            <w:pStyle w:val="Header"/>
            <w:jc w:val="right"/>
            <w:rPr>
              <w:sz w:val="14"/>
              <w:szCs w:val="14"/>
            </w:rPr>
          </w:pPr>
          <w:r>
            <w:rPr>
              <w:sz w:val="14"/>
              <w:szCs w:val="14"/>
            </w:rPr>
            <w:t>Section 13</w:t>
          </w:r>
        </w:p>
      </w:tc>
      <w:tc>
        <w:tcPr>
          <w:tcW w:w="845" w:type="dxa"/>
          <w:tcBorders>
            <w:left w:val="single" w:sz="4" w:space="0" w:color="0083A0" w:themeColor="accent1"/>
          </w:tcBorders>
        </w:tcPr>
        <w:p w:rsidR="008D0BD1" w:rsidRPr="008D0BD1" w:rsidRDefault="008C4478" w:rsidP="008C4478">
          <w:pPr>
            <w:pStyle w:val="Heade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sidR="009839C0">
            <w:rPr>
              <w:noProof/>
              <w:sz w:val="14"/>
              <w:szCs w:val="14"/>
            </w:rPr>
            <w:t>3</w:t>
          </w:r>
          <w:r w:rsidRPr="008D0BD1">
            <w:rPr>
              <w:noProof/>
              <w:sz w:val="14"/>
              <w:szCs w:val="14"/>
            </w:rPr>
            <w:fldChar w:fldCharType="end"/>
          </w:r>
        </w:p>
      </w:tc>
    </w:tr>
  </w:tbl>
  <w:p w:rsidR="008D0BD1" w:rsidRPr="008D0BD1" w:rsidRDefault="008D0BD1">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54F" w:rsidRDefault="009839C0" w:rsidP="009839C0">
    <w:pPr>
      <w:pStyle w:val="Header"/>
    </w:pPr>
    <w:fldSimple w:instr=" DOCPROPERTY bjHeaderFirstPageDocProperty \* MERGEFORMAT " w:fldLock="1">
      <w:r w:rsidRPr="009839C0">
        <w:rPr>
          <w:rFonts w:ascii="Times New Roman" w:hAnsi="Times New Roman" w:cs="Times New Roman"/>
          <w:color w:val="000000"/>
          <w:sz w:val="24"/>
        </w:rPr>
        <w:t xml:space="preserve"> </w:t>
      </w:r>
    </w:fldSimple>
    <w:r w:rsidR="00D60F34">
      <w:rPr>
        <w:noProof/>
        <w:lang w:eastAsia="en-IE"/>
      </w:rPr>
      <w:drawing>
        <wp:anchor distT="0" distB="0" distL="114300" distR="114300" simplePos="0" relativeHeight="251661312" behindDoc="1" locked="0" layoutInCell="1" allowOverlap="1" wp14:anchorId="362E3F66" wp14:editId="2742F26A">
          <wp:simplePos x="0" y="0"/>
          <wp:positionH relativeFrom="column">
            <wp:posOffset>-729615</wp:posOffset>
          </wp:positionH>
          <wp:positionV relativeFrom="paragraph">
            <wp:posOffset>-180340</wp:posOffset>
          </wp:positionV>
          <wp:extent cx="7575939" cy="1071562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939" cy="10715625"/>
                  </a:xfrm>
                  <a:prstGeom prst="rect">
                    <a:avLst/>
                  </a:prstGeom>
                </pic:spPr>
              </pic:pic>
            </a:graphicData>
          </a:graphic>
          <wp14:sizeRelH relativeFrom="page">
            <wp14:pctWidth>0</wp14:pctWidth>
          </wp14:sizeRelH>
          <wp14:sizeRelV relativeFrom="page">
            <wp14:pctHeight>0</wp14:pctHeight>
          </wp14:sizeRelV>
        </wp:anchor>
      </w:drawing>
    </w:r>
    <w:r w:rsidR="0062454F">
      <w:rPr>
        <w:noProof/>
        <w:lang w:eastAsia="en-IE"/>
      </w:rPr>
      <mc:AlternateContent>
        <mc:Choice Requires="wps">
          <w:drawing>
            <wp:anchor distT="0" distB="0" distL="114300" distR="114300" simplePos="0" relativeHeight="251659264" behindDoc="0" locked="1" layoutInCell="1" allowOverlap="1">
              <wp:simplePos x="0" y="0"/>
              <wp:positionH relativeFrom="page">
                <wp:posOffset>561975</wp:posOffset>
              </wp:positionH>
              <wp:positionV relativeFrom="page">
                <wp:posOffset>543560</wp:posOffset>
              </wp:positionV>
              <wp:extent cx="3103200" cy="770400"/>
              <wp:effectExtent l="0" t="0" r="2540" b="10795"/>
              <wp:wrapNone/>
              <wp:docPr id="1" name="Text Box 1"/>
              <wp:cNvGraphicFramePr/>
              <a:graphic xmlns:a="http://schemas.openxmlformats.org/drawingml/2006/main">
                <a:graphicData uri="http://schemas.microsoft.com/office/word/2010/wordprocessingShape">
                  <wps:wsp>
                    <wps:cNvSpPr txBox="1"/>
                    <wps:spPr>
                      <a:xfrm>
                        <a:off x="0" y="0"/>
                        <a:ext cx="31032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454F" w:rsidRDefault="0062454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25pt;margin-top:42.8pt;width:244.35pt;height:6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" filled="f" stroked="f" strokeweight=".5pt">
              <v:textbox inset="0,0,0,0">
                <w:txbxContent>
                  <w:p w:rsidR="0062454F" w:rsidRDefault="0062454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1D2"/>
    <w:multiLevelType w:val="hybridMultilevel"/>
    <w:tmpl w:val="94E0CE3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4847AA"/>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F20895"/>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F0F465A"/>
    <w:multiLevelType w:val="multilevel"/>
    <w:tmpl w:val="6A0E02A2"/>
    <w:lvl w:ilvl="0">
      <w:start w:val="1"/>
      <w:numFmt w:val="bullet"/>
      <w:pStyle w:val="CBBulletedText"/>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4" w15:restartNumberingAfterBreak="0">
    <w:nsid w:val="252C46D6"/>
    <w:multiLevelType w:val="hybridMultilevel"/>
    <w:tmpl w:val="DB54C8E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12E7BF9"/>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1AB3A02"/>
    <w:multiLevelType w:val="hybridMultilevel"/>
    <w:tmpl w:val="81BED5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5A06E1"/>
    <w:multiLevelType w:val="hybridMultilevel"/>
    <w:tmpl w:val="C7E8997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8F3213"/>
    <w:multiLevelType w:val="hybridMultilevel"/>
    <w:tmpl w:val="24E610C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5"/>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drawingGridHorizontalSpacing w:val="170"/>
  <w:drawingGridVerticalSpacing w:val="17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6F"/>
    <w:rsid w:val="000144F8"/>
    <w:rsid w:val="0001799A"/>
    <w:rsid w:val="00022233"/>
    <w:rsid w:val="0002520E"/>
    <w:rsid w:val="000417A9"/>
    <w:rsid w:val="00055B41"/>
    <w:rsid w:val="00065806"/>
    <w:rsid w:val="00090FCC"/>
    <w:rsid w:val="000A5BB5"/>
    <w:rsid w:val="00113204"/>
    <w:rsid w:val="0013439B"/>
    <w:rsid w:val="00156AA3"/>
    <w:rsid w:val="001571CE"/>
    <w:rsid w:val="001606B1"/>
    <w:rsid w:val="001709AF"/>
    <w:rsid w:val="00171363"/>
    <w:rsid w:val="001C2CC8"/>
    <w:rsid w:val="001C6BD3"/>
    <w:rsid w:val="00200327"/>
    <w:rsid w:val="0022526C"/>
    <w:rsid w:val="002263E9"/>
    <w:rsid w:val="00241DB5"/>
    <w:rsid w:val="00266C54"/>
    <w:rsid w:val="002763ED"/>
    <w:rsid w:val="002818E7"/>
    <w:rsid w:val="002943A7"/>
    <w:rsid w:val="002B4491"/>
    <w:rsid w:val="002C567B"/>
    <w:rsid w:val="002E3B1E"/>
    <w:rsid w:val="002E54F0"/>
    <w:rsid w:val="002F0F89"/>
    <w:rsid w:val="002F7F0C"/>
    <w:rsid w:val="00345CAB"/>
    <w:rsid w:val="003541B6"/>
    <w:rsid w:val="00372525"/>
    <w:rsid w:val="003C745B"/>
    <w:rsid w:val="003E7F28"/>
    <w:rsid w:val="003F53B9"/>
    <w:rsid w:val="003F6E6A"/>
    <w:rsid w:val="004000BF"/>
    <w:rsid w:val="00402C51"/>
    <w:rsid w:val="004222FB"/>
    <w:rsid w:val="00427F12"/>
    <w:rsid w:val="004376C1"/>
    <w:rsid w:val="00454FCB"/>
    <w:rsid w:val="0046419B"/>
    <w:rsid w:val="004710DD"/>
    <w:rsid w:val="00480061"/>
    <w:rsid w:val="00485629"/>
    <w:rsid w:val="00496008"/>
    <w:rsid w:val="004D0EC8"/>
    <w:rsid w:val="004E682D"/>
    <w:rsid w:val="004F1F53"/>
    <w:rsid w:val="005008E7"/>
    <w:rsid w:val="005142ED"/>
    <w:rsid w:val="00517CE8"/>
    <w:rsid w:val="005379B9"/>
    <w:rsid w:val="00543A62"/>
    <w:rsid w:val="00570B95"/>
    <w:rsid w:val="005D0AB3"/>
    <w:rsid w:val="005E1168"/>
    <w:rsid w:val="005E24BA"/>
    <w:rsid w:val="00600BAA"/>
    <w:rsid w:val="0062454F"/>
    <w:rsid w:val="00634515"/>
    <w:rsid w:val="00647F32"/>
    <w:rsid w:val="00650E73"/>
    <w:rsid w:val="0065278B"/>
    <w:rsid w:val="00661E7B"/>
    <w:rsid w:val="00673F14"/>
    <w:rsid w:val="006954A0"/>
    <w:rsid w:val="00695FA5"/>
    <w:rsid w:val="006A099E"/>
    <w:rsid w:val="006B61E4"/>
    <w:rsid w:val="006B6DB5"/>
    <w:rsid w:val="006E20B1"/>
    <w:rsid w:val="006E391D"/>
    <w:rsid w:val="00701C89"/>
    <w:rsid w:val="00703D75"/>
    <w:rsid w:val="0070401B"/>
    <w:rsid w:val="007065A8"/>
    <w:rsid w:val="0073569B"/>
    <w:rsid w:val="00746BA6"/>
    <w:rsid w:val="007527D2"/>
    <w:rsid w:val="00755E2C"/>
    <w:rsid w:val="00761763"/>
    <w:rsid w:val="007732C2"/>
    <w:rsid w:val="00774870"/>
    <w:rsid w:val="00786D8E"/>
    <w:rsid w:val="00792138"/>
    <w:rsid w:val="007931B3"/>
    <w:rsid w:val="007B6465"/>
    <w:rsid w:val="007C2783"/>
    <w:rsid w:val="007C2CED"/>
    <w:rsid w:val="007D2A2E"/>
    <w:rsid w:val="007D4E6C"/>
    <w:rsid w:val="007F7EEF"/>
    <w:rsid w:val="008023B3"/>
    <w:rsid w:val="00807E02"/>
    <w:rsid w:val="0081716D"/>
    <w:rsid w:val="008547C1"/>
    <w:rsid w:val="0089746F"/>
    <w:rsid w:val="008C25D0"/>
    <w:rsid w:val="008C25E8"/>
    <w:rsid w:val="008C2CDF"/>
    <w:rsid w:val="008C4478"/>
    <w:rsid w:val="008C495B"/>
    <w:rsid w:val="008C6B5C"/>
    <w:rsid w:val="008C7C20"/>
    <w:rsid w:val="008D0BD1"/>
    <w:rsid w:val="00925B9B"/>
    <w:rsid w:val="0093527A"/>
    <w:rsid w:val="00952128"/>
    <w:rsid w:val="00954A01"/>
    <w:rsid w:val="009644BD"/>
    <w:rsid w:val="0096450A"/>
    <w:rsid w:val="009839C0"/>
    <w:rsid w:val="009A2059"/>
    <w:rsid w:val="009C2961"/>
    <w:rsid w:val="009D0511"/>
    <w:rsid w:val="009D3E0A"/>
    <w:rsid w:val="009E35B9"/>
    <w:rsid w:val="009F338F"/>
    <w:rsid w:val="009F3886"/>
    <w:rsid w:val="00A000F1"/>
    <w:rsid w:val="00A02084"/>
    <w:rsid w:val="00A0362F"/>
    <w:rsid w:val="00A06F0B"/>
    <w:rsid w:val="00A07414"/>
    <w:rsid w:val="00A11720"/>
    <w:rsid w:val="00A21C44"/>
    <w:rsid w:val="00A27703"/>
    <w:rsid w:val="00A30105"/>
    <w:rsid w:val="00A6754E"/>
    <w:rsid w:val="00A85820"/>
    <w:rsid w:val="00A931A2"/>
    <w:rsid w:val="00AB2258"/>
    <w:rsid w:val="00AC5E54"/>
    <w:rsid w:val="00AC73C1"/>
    <w:rsid w:val="00AD347D"/>
    <w:rsid w:val="00AE01AC"/>
    <w:rsid w:val="00AF6B87"/>
    <w:rsid w:val="00B35C26"/>
    <w:rsid w:val="00B37964"/>
    <w:rsid w:val="00B44F01"/>
    <w:rsid w:val="00B456B3"/>
    <w:rsid w:val="00B47164"/>
    <w:rsid w:val="00B5253A"/>
    <w:rsid w:val="00B7690C"/>
    <w:rsid w:val="00B80DEA"/>
    <w:rsid w:val="00B81DDF"/>
    <w:rsid w:val="00B84DDC"/>
    <w:rsid w:val="00B85535"/>
    <w:rsid w:val="00BC2ADA"/>
    <w:rsid w:val="00BD15B9"/>
    <w:rsid w:val="00BD37FA"/>
    <w:rsid w:val="00BD6398"/>
    <w:rsid w:val="00BE16A9"/>
    <w:rsid w:val="00C0329C"/>
    <w:rsid w:val="00C04555"/>
    <w:rsid w:val="00C20616"/>
    <w:rsid w:val="00C4131E"/>
    <w:rsid w:val="00C47A4C"/>
    <w:rsid w:val="00C53203"/>
    <w:rsid w:val="00C54889"/>
    <w:rsid w:val="00C61D7E"/>
    <w:rsid w:val="00C8650B"/>
    <w:rsid w:val="00CD5D85"/>
    <w:rsid w:val="00D040BD"/>
    <w:rsid w:val="00D1487B"/>
    <w:rsid w:val="00D245B7"/>
    <w:rsid w:val="00D37175"/>
    <w:rsid w:val="00D563EC"/>
    <w:rsid w:val="00D56982"/>
    <w:rsid w:val="00D60F34"/>
    <w:rsid w:val="00D63B40"/>
    <w:rsid w:val="00D937A5"/>
    <w:rsid w:val="00DB047A"/>
    <w:rsid w:val="00DD60A6"/>
    <w:rsid w:val="00E02933"/>
    <w:rsid w:val="00E20B62"/>
    <w:rsid w:val="00E241D8"/>
    <w:rsid w:val="00E27234"/>
    <w:rsid w:val="00E32D6D"/>
    <w:rsid w:val="00E35D8F"/>
    <w:rsid w:val="00E411DC"/>
    <w:rsid w:val="00E448A7"/>
    <w:rsid w:val="00E5376C"/>
    <w:rsid w:val="00E660DD"/>
    <w:rsid w:val="00E73280"/>
    <w:rsid w:val="00E745EC"/>
    <w:rsid w:val="00EA7A65"/>
    <w:rsid w:val="00ED37D2"/>
    <w:rsid w:val="00ED6E34"/>
    <w:rsid w:val="00F00A10"/>
    <w:rsid w:val="00F014F6"/>
    <w:rsid w:val="00F33CC0"/>
    <w:rsid w:val="00F3729A"/>
    <w:rsid w:val="00F379DD"/>
    <w:rsid w:val="00F42E46"/>
    <w:rsid w:val="00F45358"/>
    <w:rsid w:val="00F829DC"/>
    <w:rsid w:val="00F863F6"/>
    <w:rsid w:val="00FB7763"/>
    <w:rsid w:val="00FC4D33"/>
    <w:rsid w:val="00FE1D7A"/>
    <w:rsid w:val="00FF62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A62"/>
  </w:style>
  <w:style w:type="paragraph" w:styleId="Heading7">
    <w:name w:val="heading 7"/>
    <w:basedOn w:val="Normal"/>
    <w:next w:val="Normal"/>
    <w:link w:val="Heading7Char"/>
    <w:qFormat/>
    <w:rsid w:val="00A02084"/>
    <w:pPr>
      <w:keepNext/>
      <w:spacing w:after="0" w:line="240" w:lineRule="auto"/>
      <w:ind w:left="113" w:right="113"/>
      <w:outlineLvl w:val="6"/>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53"/>
  </w:style>
  <w:style w:type="paragraph" w:styleId="Footer">
    <w:name w:val="footer"/>
    <w:basedOn w:val="Normal"/>
    <w:link w:val="FooterChar"/>
    <w:uiPriority w:val="99"/>
    <w:unhideWhenUsed/>
    <w:rsid w:val="004F1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53"/>
  </w:style>
  <w:style w:type="paragraph" w:customStyle="1" w:styleId="CBCoverTitleBold">
    <w:name w:val="CB_Cover Title_Bold"/>
    <w:basedOn w:val="Normal"/>
    <w:qFormat/>
    <w:rsid w:val="00F863F6"/>
    <w:pPr>
      <w:spacing w:line="580" w:lineRule="exact"/>
    </w:pPr>
    <w:rPr>
      <w:b/>
      <w:color w:val="0083A0" w:themeColor="accent1"/>
      <w:sz w:val="54"/>
      <w:szCs w:val="54"/>
    </w:rPr>
  </w:style>
  <w:style w:type="paragraph" w:customStyle="1" w:styleId="CBCoverSubtitleLight">
    <w:name w:val="CB_Cover Subtitle_Light"/>
    <w:basedOn w:val="Normal"/>
    <w:qFormat/>
    <w:rsid w:val="00F863F6"/>
    <w:pPr>
      <w:spacing w:line="580" w:lineRule="exact"/>
    </w:pPr>
    <w:rPr>
      <w:rFonts w:ascii="Lato Light" w:hAnsi="Lato Light"/>
      <w:color w:val="0083A0" w:themeColor="accent1"/>
      <w:sz w:val="54"/>
      <w:szCs w:val="54"/>
    </w:rPr>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MainBodyText">
    <w:name w:val="CB_Main Body Text"/>
    <w:basedOn w:val="Normal"/>
    <w:qFormat/>
    <w:rsid w:val="00B81DDF"/>
    <w:pPr>
      <w:spacing w:after="170" w:line="230" w:lineRule="exact"/>
    </w:pPr>
    <w:rPr>
      <w:sz w:val="19"/>
      <w:szCs w:val="19"/>
    </w:rPr>
  </w:style>
  <w:style w:type="paragraph" w:customStyle="1" w:styleId="CBIntroParagraphText">
    <w:name w:val="CB_Intro Paragraph Text"/>
    <w:basedOn w:val="Normal"/>
    <w:qFormat/>
    <w:rsid w:val="004000BF"/>
    <w:pPr>
      <w:spacing w:after="170" w:line="300" w:lineRule="exact"/>
    </w:pPr>
    <w:rPr>
      <w:color w:val="0083A0" w:themeColor="accent1"/>
      <w:sz w:val="26"/>
      <w:szCs w:val="26"/>
    </w:rPr>
  </w:style>
  <w:style w:type="paragraph" w:customStyle="1" w:styleId="CBSubheadA">
    <w:name w:val="CB_Subhead A"/>
    <w:basedOn w:val="CBMainBodyText"/>
    <w:qFormat/>
    <w:rsid w:val="00A21C44"/>
    <w:pPr>
      <w:spacing w:before="113" w:after="57" w:line="260" w:lineRule="exact"/>
    </w:pPr>
    <w:rPr>
      <w:color w:val="09506C" w:themeColor="background2"/>
      <w:sz w:val="24"/>
      <w:szCs w:val="24"/>
    </w:rPr>
  </w:style>
  <w:style w:type="paragraph" w:customStyle="1" w:styleId="CBBulletedText">
    <w:name w:val="CB_Bulleted Text"/>
    <w:basedOn w:val="CBMainBodyText"/>
    <w:qFormat/>
    <w:rsid w:val="009A2059"/>
    <w:pPr>
      <w:numPr>
        <w:numId w:val="1"/>
      </w:numPr>
      <w:tabs>
        <w:tab w:val="left" w:pos="284"/>
      </w:tabs>
      <w:spacing w:after="113"/>
    </w:pPr>
  </w:style>
  <w:style w:type="paragraph" w:customStyle="1" w:styleId="CBSubheadB">
    <w:name w:val="CB_Subhead B"/>
    <w:basedOn w:val="CBSubheadA"/>
    <w:qFormat/>
    <w:rsid w:val="00A21C44"/>
    <w:pPr>
      <w:spacing w:line="240" w:lineRule="exact"/>
    </w:pPr>
    <w:rPr>
      <w:b/>
      <w:color w:val="0083A0" w:themeColor="accent1"/>
      <w:sz w:val="19"/>
      <w:szCs w:val="19"/>
    </w:rPr>
  </w:style>
  <w:style w:type="paragraph" w:customStyle="1" w:styleId="CBHighlightedTextinBox">
    <w:name w:val="CB_Highlighted Text in Box"/>
    <w:basedOn w:val="CBMainBodyText"/>
    <w:qFormat/>
    <w:rsid w:val="009644BD"/>
    <w:pPr>
      <w:spacing w:line="260" w:lineRule="exact"/>
    </w:pPr>
    <w:rPr>
      <w:rFonts w:ascii="Lato Semibold" w:hAnsi="Lato Semibold"/>
      <w:color w:val="FFFFFF" w:themeColor="background1"/>
      <w:sz w:val="20"/>
      <w:szCs w:val="20"/>
    </w:rPr>
  </w:style>
  <w:style w:type="paragraph" w:customStyle="1" w:styleId="CBTableTitle">
    <w:name w:val="CB_Table Title"/>
    <w:basedOn w:val="CBMainBodyText"/>
    <w:qFormat/>
    <w:rsid w:val="00A21C44"/>
    <w:pPr>
      <w:spacing w:line="260" w:lineRule="exact"/>
    </w:pPr>
    <w:rPr>
      <w:rFonts w:ascii="Lato Semibold" w:hAnsi="Lato Semibold"/>
      <w:color w:val="007DC3" w:themeColor="accent4"/>
      <w:sz w:val="20"/>
      <w:szCs w:val="20"/>
    </w:rPr>
  </w:style>
  <w:style w:type="character" w:customStyle="1" w:styleId="CBTableTitleDividerLine">
    <w:name w:val="CB_Table Title Divider Line"/>
    <w:basedOn w:val="DefaultParagraphFont"/>
    <w:uiPriority w:val="1"/>
    <w:qFormat/>
    <w:rsid w:val="00022233"/>
    <w:rPr>
      <w:color w:val="D4E388" w:themeColor="accent3"/>
    </w:rPr>
  </w:style>
  <w:style w:type="table" w:customStyle="1" w:styleId="CBTable">
    <w:name w:val="CB_Table"/>
    <w:basedOn w:val="TableNormal"/>
    <w:uiPriority w:val="99"/>
    <w:rsid w:val="007065A8"/>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olor w:val="09506C" w:themeColor="background2"/>
        <w:sz w:val="24"/>
      </w:rPr>
      <w:tblPr/>
      <w:tcPr>
        <w:shd w:val="clear" w:color="auto" w:fill="D4E388" w:themeFill="accent3"/>
      </w:tcPr>
    </w:tblStylePr>
    <w:tblStylePr w:type="firstCol">
      <w:rPr>
        <w:rFonts w:ascii="Lato Semibold" w:hAnsi="Lato Semibold"/>
        <w:color w:val="09506C" w:themeColor="background2"/>
        <w:sz w:val="24"/>
      </w:rPr>
    </w:tblStylePr>
    <w:tblStylePr w:type="band1Horz">
      <w:tblPr/>
      <w:tcPr>
        <w:shd w:val="clear" w:color="auto" w:fill="D9D9D9" w:themeFill="background1" w:themeFillShade="D9"/>
      </w:tcPr>
    </w:tblStylePr>
  </w:style>
  <w:style w:type="paragraph" w:customStyle="1" w:styleId="CBMainHeading">
    <w:name w:val="CB_Main Heading"/>
    <w:basedOn w:val="Normal"/>
    <w:qFormat/>
    <w:rsid w:val="004D0EC8"/>
    <w:pPr>
      <w:spacing w:after="0" w:line="1056" w:lineRule="exact"/>
      <w:ind w:left="851" w:hanging="851"/>
    </w:pPr>
    <w:rPr>
      <w:color w:val="5EC5C2" w:themeColor="accent2"/>
      <w:sz w:val="88"/>
      <w:szCs w:val="88"/>
    </w:rPr>
  </w:style>
  <w:style w:type="character" w:customStyle="1" w:styleId="CBMainHeadingNumber">
    <w:name w:val="CB_Main Heading Number"/>
    <w:basedOn w:val="DefaultParagraphFont"/>
    <w:uiPriority w:val="1"/>
    <w:qFormat/>
    <w:rsid w:val="004000BF"/>
    <w:rPr>
      <w:color w:val="0083A0" w:themeColor="accent1"/>
    </w:rPr>
  </w:style>
  <w:style w:type="paragraph" w:customStyle="1" w:styleId="CBPull-outText">
    <w:name w:val="CB_Pull-out Text"/>
    <w:basedOn w:val="Normal"/>
    <w:qFormat/>
    <w:rsid w:val="0013439B"/>
    <w:pPr>
      <w:spacing w:after="147" w:line="380" w:lineRule="exact"/>
    </w:pPr>
    <w:rPr>
      <w:color w:val="0083A0" w:themeColor="accent1"/>
      <w:sz w:val="30"/>
      <w:szCs w:val="30"/>
    </w:rPr>
  </w:style>
  <w:style w:type="paragraph" w:customStyle="1" w:styleId="CBHighlightHeadingLimeBox">
    <w:name w:val="CB_Highlight Heading_LimeBox"/>
    <w:basedOn w:val="CBPull-outText"/>
    <w:qFormat/>
    <w:rsid w:val="00241DB5"/>
    <w:pPr>
      <w:spacing w:after="120" w:line="360" w:lineRule="exact"/>
    </w:pPr>
    <w:rPr>
      <w:rFonts w:asciiTheme="majorHAnsi" w:hAnsiTheme="majorHAnsi"/>
      <w:b/>
      <w:color w:val="09506C" w:themeColor="background2"/>
      <w:sz w:val="32"/>
      <w:szCs w:val="32"/>
    </w:rPr>
  </w:style>
  <w:style w:type="paragraph" w:customStyle="1" w:styleId="CBHighlightTextLimeBox">
    <w:name w:val="CB_Highlight Text_LimeBox"/>
    <w:basedOn w:val="CBPull-outText"/>
    <w:qFormat/>
    <w:rsid w:val="00241DB5"/>
    <w:pPr>
      <w:spacing w:after="120" w:line="360" w:lineRule="exact"/>
    </w:pPr>
    <w:rPr>
      <w:rFonts w:ascii="Lato Semibold" w:hAnsi="Lato Semibold"/>
      <w:color w:val="09506C" w:themeColor="background2"/>
      <w:sz w:val="28"/>
      <w:szCs w:val="28"/>
    </w:rPr>
  </w:style>
  <w:style w:type="paragraph" w:customStyle="1" w:styleId="CBFigureText">
    <w:name w:val="CB_Figure Text"/>
    <w:basedOn w:val="CBTableTitle"/>
    <w:qFormat/>
    <w:rsid w:val="00ED37D2"/>
    <w:rPr>
      <w:color w:val="0083A0" w:themeColor="accent1"/>
      <w:sz w:val="16"/>
      <w:szCs w:val="16"/>
    </w:rPr>
  </w:style>
  <w:style w:type="character" w:customStyle="1" w:styleId="CBFigureTitleDividerLine">
    <w:name w:val="CB_Figure Title Divider Line"/>
    <w:basedOn w:val="CBTableTitleDividerLine"/>
    <w:uiPriority w:val="1"/>
    <w:qFormat/>
    <w:rsid w:val="00ED37D2"/>
    <w:rPr>
      <w:color w:val="5EC5C2" w:themeColor="accent2"/>
    </w:rPr>
  </w:style>
  <w:style w:type="paragraph" w:customStyle="1" w:styleId="CBCoverTitleWhite">
    <w:name w:val="CB_Cover Title_White"/>
    <w:basedOn w:val="CBCoverTitleBold"/>
    <w:qFormat/>
    <w:rsid w:val="007D2A2E"/>
    <w:rPr>
      <w:noProof/>
      <w:color w:val="FFFFFF" w:themeColor="background1"/>
      <w:lang w:eastAsia="en-IE"/>
    </w:rPr>
  </w:style>
  <w:style w:type="paragraph" w:customStyle="1" w:styleId="CBCoverSubtitleLightWhite">
    <w:name w:val="CB_Cover Subtitle_Light_White"/>
    <w:basedOn w:val="CBCoverSubtitleLight"/>
    <w:qFormat/>
    <w:rsid w:val="007D2A2E"/>
    <w:rPr>
      <w:color w:val="FFFFFF" w:themeColor="background1"/>
    </w:rPr>
  </w:style>
  <w:style w:type="character" w:customStyle="1" w:styleId="Heading7Char">
    <w:name w:val="Heading 7 Char"/>
    <w:basedOn w:val="DefaultParagraphFont"/>
    <w:link w:val="Heading7"/>
    <w:rsid w:val="00A02084"/>
    <w:rPr>
      <w:rFonts w:ascii="Times New Roman" w:eastAsia="Times New Roman" w:hAnsi="Times New Roman" w:cs="Times New Roman"/>
      <w:b/>
      <w:bCs/>
      <w:szCs w:val="24"/>
    </w:rPr>
  </w:style>
  <w:style w:type="paragraph" w:styleId="BlockText">
    <w:name w:val="Block Text"/>
    <w:basedOn w:val="Normal"/>
    <w:semiHidden/>
    <w:rsid w:val="00A02084"/>
    <w:pPr>
      <w:spacing w:after="0" w:line="240" w:lineRule="auto"/>
      <w:ind w:left="113" w:right="113"/>
    </w:pPr>
    <w:rPr>
      <w:rFonts w:ascii="Times New Roman" w:eastAsia="Times New Roman" w:hAnsi="Times New Roman" w:cs="Times New Roman"/>
      <w:b/>
      <w:bCs/>
      <w:szCs w:val="24"/>
    </w:rPr>
  </w:style>
  <w:style w:type="paragraph" w:styleId="BodyTextIndent">
    <w:name w:val="Body Text Indent"/>
    <w:basedOn w:val="Normal"/>
    <w:link w:val="BodyTextIndentChar"/>
    <w:semiHidden/>
    <w:rsid w:val="00A02084"/>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semiHidden/>
    <w:rsid w:val="00A02084"/>
    <w:rPr>
      <w:rFonts w:ascii="Times New Roman" w:eastAsia="Times New Roman" w:hAnsi="Times New Roman" w:cs="Times New Roman"/>
      <w:szCs w:val="20"/>
      <w:lang w:val="en-GB"/>
    </w:rPr>
  </w:style>
  <w:style w:type="paragraph" w:styleId="ListParagraph">
    <w:name w:val="List Paragraph"/>
    <w:basedOn w:val="Normal"/>
    <w:uiPriority w:val="34"/>
    <w:qFormat/>
    <w:rsid w:val="00A02084"/>
    <w:pPr>
      <w:spacing w:after="0" w:line="360" w:lineRule="auto"/>
      <w:ind w:left="720"/>
    </w:pPr>
    <w:rPr>
      <w:rFonts w:ascii="Verdana" w:eastAsia="Times New Roman" w:hAnsi="Verdana" w:cs="Times New Roman"/>
      <w:szCs w:val="20"/>
      <w:lang w:val="en-GB"/>
    </w:rPr>
  </w:style>
  <w:style w:type="paragraph" w:customStyle="1" w:styleId="BodyText1">
    <w:name w:val="Body Text1"/>
    <w:basedOn w:val="Normal"/>
    <w:rsid w:val="00A02084"/>
    <w:pPr>
      <w:spacing w:after="0" w:line="360" w:lineRule="auto"/>
    </w:pPr>
    <w:rPr>
      <w:rFonts w:ascii="Verdana" w:eastAsia="Times New Roman" w:hAnsi="Verdana" w:cs="Times New Roman"/>
      <w:szCs w:val="20"/>
      <w:lang w:val="en-GB"/>
    </w:rPr>
  </w:style>
  <w:style w:type="character" w:styleId="FootnoteReference">
    <w:name w:val="footnote reference"/>
    <w:semiHidden/>
    <w:rsid w:val="00A02084"/>
    <w:rPr>
      <w:vertAlign w:val="superscript"/>
    </w:rPr>
  </w:style>
  <w:style w:type="paragraph" w:styleId="FootnoteText">
    <w:name w:val="footnote text"/>
    <w:basedOn w:val="Normal"/>
    <w:link w:val="FootnoteTextChar"/>
    <w:semiHidden/>
    <w:rsid w:val="00A0208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02084"/>
    <w:rPr>
      <w:rFonts w:ascii="Times New Roman" w:eastAsia="Times New Roman" w:hAnsi="Times New Roman" w:cs="Times New Roman"/>
      <w:sz w:val="20"/>
      <w:szCs w:val="20"/>
    </w:rPr>
  </w:style>
  <w:style w:type="paragraph" w:customStyle="1" w:styleId="TI">
    <w:name w:val="TI"/>
    <w:rsid w:val="00A02084"/>
    <w:pPr>
      <w:widowControl w:val="0"/>
      <w:tabs>
        <w:tab w:val="left" w:pos="432"/>
        <w:tab w:val="left" w:pos="864"/>
        <w:tab w:val="left" w:pos="1296"/>
        <w:tab w:val="left" w:pos="1728"/>
        <w:tab w:val="left" w:pos="2448"/>
      </w:tabs>
      <w:autoSpaceDE w:val="0"/>
      <w:autoSpaceDN w:val="0"/>
      <w:adjustRightInd w:val="0"/>
      <w:spacing w:after="60" w:line="240" w:lineRule="auto"/>
      <w:ind w:left="864" w:hanging="864"/>
    </w:pPr>
    <w:rPr>
      <w:rFonts w:ascii="Times New Roman" w:eastAsia="Times New Roman" w:hAnsi="Times New Roman" w:cs="Times New Roman"/>
      <w:color w:val="000000"/>
      <w:sz w:val="20"/>
      <w:szCs w:val="24"/>
      <w:lang w:val="en-US"/>
    </w:rPr>
  </w:style>
  <w:style w:type="paragraph" w:styleId="BalloonText">
    <w:name w:val="Balloon Text"/>
    <w:basedOn w:val="Normal"/>
    <w:link w:val="BalloonTextChar"/>
    <w:uiPriority w:val="99"/>
    <w:semiHidden/>
    <w:unhideWhenUsed/>
    <w:rsid w:val="00A67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54E"/>
    <w:rPr>
      <w:rFonts w:ascii="Segoe UI" w:hAnsi="Segoe UI" w:cs="Segoe UI"/>
      <w:sz w:val="18"/>
      <w:szCs w:val="18"/>
    </w:rPr>
  </w:style>
  <w:style w:type="character" w:styleId="Hyperlink">
    <w:name w:val="Hyperlink"/>
    <w:basedOn w:val="DefaultParagraphFont"/>
    <w:uiPriority w:val="99"/>
    <w:semiHidden/>
    <w:unhideWhenUsed/>
    <w:rsid w:val="009C2961"/>
    <w:rPr>
      <w:color w:val="0563C1"/>
      <w:u w:val="single"/>
    </w:rPr>
  </w:style>
  <w:style w:type="paragraph" w:customStyle="1" w:styleId="Noparagraphstyle">
    <w:name w:val="[No paragraph style]"/>
    <w:uiPriority w:val="99"/>
    <w:rsid w:val="000144F8"/>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0144F8"/>
    <w:rPr>
      <w:rFonts w:ascii="HelveticaNeueLTStd-Bd" w:hAnsi="HelveticaNeueLTStd-B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centralbank.ie/fns/privacy-stat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ataprotection@centralbank.i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0974-5846-471A-9D49-0C47B95C0C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35CA4C9-0436-4D54-81F5-000877A1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Unrestricted</cp:keywords>
  <dc:description/>
  <cp:lastModifiedBy/>
  <cp:revision>1</cp:revision>
  <dcterms:created xsi:type="dcterms:W3CDTF">2018-05-17T10:39:00Z</dcterms:created>
  <dcterms:modified xsi:type="dcterms:W3CDTF">2018-05-21T15:55:00Z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cbec03fd-cfda-43fc-a833-90a756a6ad03</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uid="id_classification_nonbusiness" value="" /&gt;&lt;element uid="28c775dd-3fa7-40f2-8368-0e7fa48abc25" value="" /&gt;&lt;/sisl&gt;</vt:lpwstr>
  </property>
  <property fmtid="{D5CDD505-2E9C-101B-9397-08002B2CF9AE}" pid="5" name="bjDocumentSecurityLabel">
    <vt:lpwstr>Unrestricted</vt:lpwstr>
  </property>
  <property fmtid="{D5CDD505-2E9C-101B-9397-08002B2CF9AE}" pid="6" name="bjHeaderBothDocProperty">
    <vt:lpwstr> </vt:lpwstr>
  </property>
  <property fmtid="{D5CDD505-2E9C-101B-9397-08002B2CF9AE}" pid="7" name="bjHeaderFirstPageDocProperty">
    <vt:lpwstr> </vt:lpwstr>
  </property>
  <property fmtid="{D5CDD505-2E9C-101B-9397-08002B2CF9AE}" pid="8" name="bjHeaderEvenPageDocProperty">
    <vt:lpwstr> </vt:lpwstr>
  </property>
  <property fmtid="{D5CDD505-2E9C-101B-9397-08002B2CF9AE}" pid="9" name="bjSaver">
    <vt:lpwstr>nvGX0E4X6scdTxTFXGHNS7cIwW6+9niL</vt:lpwstr>
  </property>
</Properties>
</file>