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E4293" w14:textId="0E6FBF5F" w:rsidR="00DF5CBB" w:rsidRDefault="00DF5CBB">
      <w:pPr>
        <w:rPr>
          <w:b/>
        </w:rPr>
      </w:pPr>
      <w:bookmarkStart w:id="0" w:name="_GoBack"/>
      <w:bookmarkEnd w:id="0"/>
    </w:p>
    <w:tbl>
      <w:tblPr>
        <w:tblStyle w:val="TableGrid"/>
        <w:tblpPr w:leftFromText="180" w:rightFromText="180" w:horzAnchor="margin" w:tblpY="625"/>
        <w:tblW w:w="0" w:type="auto"/>
        <w:tblLook w:val="04A0" w:firstRow="1" w:lastRow="0" w:firstColumn="1" w:lastColumn="0" w:noHBand="0" w:noVBand="1"/>
      </w:tblPr>
      <w:tblGrid>
        <w:gridCol w:w="5083"/>
        <w:gridCol w:w="3933"/>
      </w:tblGrid>
      <w:tr w:rsidR="00DF5CBB" w:rsidRPr="003573A4" w14:paraId="18FEDAB3" w14:textId="77777777" w:rsidTr="007B29C6">
        <w:tc>
          <w:tcPr>
            <w:tcW w:w="5211" w:type="dxa"/>
          </w:tcPr>
          <w:p w14:paraId="65B81582" w14:textId="281B8FDE" w:rsidR="00DF5CBB" w:rsidRPr="003573A4" w:rsidRDefault="007B1BD1" w:rsidP="007B29C6">
            <w:pPr>
              <w:rPr>
                <w:rFonts w:cstheme="minorHAnsi"/>
              </w:rPr>
            </w:pPr>
            <w:r w:rsidRPr="003573A4">
              <w:rPr>
                <w:rFonts w:cstheme="minorHAnsi"/>
                <w:noProof/>
              </w:rPr>
              <w:lastRenderedPageBreak/>
              <mc:AlternateContent>
                <mc:Choice Requires="wps">
                  <w:drawing>
                    <wp:anchor distT="0" distB="0" distL="114300" distR="114300" simplePos="0" relativeHeight="251663360" behindDoc="0" locked="0" layoutInCell="1" allowOverlap="1" wp14:anchorId="6ABDD9EA" wp14:editId="1B0BA091">
                      <wp:simplePos x="0" y="0"/>
                      <wp:positionH relativeFrom="column">
                        <wp:posOffset>-69215</wp:posOffset>
                      </wp:positionH>
                      <wp:positionV relativeFrom="paragraph">
                        <wp:posOffset>-885825</wp:posOffset>
                      </wp:positionV>
                      <wp:extent cx="5849620" cy="664210"/>
                      <wp:effectExtent l="6985" t="12065" r="1079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9620" cy="664210"/>
                              </a:xfrm>
                              <a:prstGeom prst="rect">
                                <a:avLst/>
                              </a:prstGeom>
                              <a:solidFill>
                                <a:schemeClr val="bg2">
                                  <a:lumMod val="75000"/>
                                  <a:lumOff val="0"/>
                                </a:schemeClr>
                              </a:solidFill>
                              <a:ln w="9525">
                                <a:solidFill>
                                  <a:srgbClr val="000000"/>
                                </a:solidFill>
                                <a:miter lim="800000"/>
                                <a:headEnd/>
                                <a:tailEnd/>
                              </a:ln>
                            </wps:spPr>
                            <wps:txbx>
                              <w:txbxContent>
                                <w:p w14:paraId="105DCCAA" w14:textId="3CA19B58" w:rsidR="00DF5CBB" w:rsidRDefault="00DF5CBB" w:rsidP="00DF5CBB">
                                  <w:r>
                                    <w:t xml:space="preserve">Please fill in the table below setting out responses to each piece of information requested under Article 23(1) of the Alternative Investment </w:t>
                                  </w:r>
                                  <w:r w:rsidR="008359D9">
                                    <w:t>AIF</w:t>
                                  </w:r>
                                  <w:r>
                                    <w:t xml:space="preserve"> Managers Directive (“AIFMD”) and submit along with the notification letter and form to </w:t>
                                  </w:r>
                                  <w:hyperlink r:id="rId12" w:history="1">
                                    <w:r w:rsidR="007E4EB5" w:rsidRPr="00210D19">
                                      <w:rPr>
                                        <w:rStyle w:val="Hyperlink"/>
                                      </w:rPr>
                                      <w:t>aifmdpassportingout@centralbank.ie</w:t>
                                    </w:r>
                                  </w:hyperlink>
                                </w:p>
                                <w:p w14:paraId="79814363" w14:textId="77777777" w:rsidR="00DF5CBB" w:rsidRDefault="00DF5CBB" w:rsidP="00DF5C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BDD9EA" id="_x0000_t202" coordsize="21600,21600" o:spt="202" path="m,l,21600r21600,l21600,xe">
                      <v:stroke joinstyle="miter"/>
                      <v:path gradientshapeok="t" o:connecttype="rect"/>
                    </v:shapetype>
                    <v:shape id="Text Box 10" o:spid="_x0000_s1026" type="#_x0000_t202" style="position:absolute;margin-left:-5.45pt;margin-top:-69.75pt;width:460.6pt;height: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" fillcolor="#c4bc96 [2414]">
                      <v:textbox>
                        <w:txbxContent>
                          <w:p w14:paraId="105DCCAA" w14:textId="3CA19B58" w:rsidR="00DF5CBB" w:rsidRDefault="00DF5CBB" w:rsidP="00DF5CBB">
                            <w:r>
                              <w:t xml:space="preserve">Please fill in the table below setting out responses to each piece of information requested under Article 23(1) of the Alternative Investment </w:t>
                            </w:r>
                            <w:r w:rsidR="008359D9">
                              <w:t>AIF</w:t>
                            </w:r>
                            <w:r>
                              <w:t xml:space="preserve"> Managers Directive (“AIFMD”) and submit along with the notification letter and form to </w:t>
                            </w:r>
                            <w:hyperlink r:id="rId13" w:history="1">
                              <w:r w:rsidR="007E4EB5" w:rsidRPr="00210D19">
                                <w:rPr>
                                  <w:rStyle w:val="Hyperlink"/>
                                </w:rPr>
                                <w:t>aifmdpassportingout@centralbank.ie</w:t>
                              </w:r>
                            </w:hyperlink>
                          </w:p>
                          <w:p w14:paraId="79814363" w14:textId="77777777" w:rsidR="00DF5CBB" w:rsidRDefault="00DF5CBB" w:rsidP="00DF5CBB"/>
                        </w:txbxContent>
                      </v:textbox>
                    </v:shape>
                  </w:pict>
                </mc:Fallback>
              </mc:AlternateContent>
            </w:r>
            <w:r w:rsidR="00DF5CBB" w:rsidRPr="003573A4">
              <w:rPr>
                <w:rFonts w:cstheme="minorHAnsi"/>
              </w:rPr>
              <w:t>Article Disclosure Requirement Table</w:t>
            </w:r>
          </w:p>
          <w:p w14:paraId="621E1A08" w14:textId="77777777" w:rsidR="00DF5CBB" w:rsidRPr="003573A4" w:rsidRDefault="00DF5CBB" w:rsidP="007B29C6">
            <w:pPr>
              <w:rPr>
                <w:rFonts w:cstheme="minorHAnsi"/>
                <w:i/>
              </w:rPr>
            </w:pPr>
            <w:r w:rsidRPr="003573A4">
              <w:rPr>
                <w:rFonts w:cstheme="minorHAnsi"/>
                <w:i/>
              </w:rPr>
              <w:t>23(1) The AIFM will make available to investors the following information before they invest in the AIF, as well as any material changes thereof:</w:t>
            </w:r>
          </w:p>
          <w:p w14:paraId="37D97DC6" w14:textId="77777777" w:rsidR="00DF5CBB" w:rsidRPr="003573A4" w:rsidRDefault="00DF5CBB" w:rsidP="007B29C6">
            <w:pPr>
              <w:rPr>
                <w:rFonts w:cstheme="minorHAnsi"/>
              </w:rPr>
            </w:pPr>
          </w:p>
        </w:tc>
        <w:tc>
          <w:tcPr>
            <w:tcW w:w="4031" w:type="dxa"/>
          </w:tcPr>
          <w:p w14:paraId="2DBAD8BE" w14:textId="77777777" w:rsidR="00DF5CBB" w:rsidRPr="003573A4" w:rsidRDefault="00DF5CBB" w:rsidP="007B29C6">
            <w:pPr>
              <w:jc w:val="center"/>
              <w:rPr>
                <w:rFonts w:cstheme="minorHAnsi"/>
                <w:b/>
              </w:rPr>
            </w:pPr>
          </w:p>
          <w:p w14:paraId="2BDF815A" w14:textId="77777777" w:rsidR="00DF5CBB" w:rsidRPr="003573A4" w:rsidRDefault="00DF5CBB" w:rsidP="007B29C6">
            <w:pPr>
              <w:jc w:val="center"/>
              <w:rPr>
                <w:rFonts w:cstheme="minorHAnsi"/>
                <w:b/>
              </w:rPr>
            </w:pPr>
            <w:r w:rsidRPr="003573A4">
              <w:rPr>
                <w:rFonts w:cstheme="minorHAnsi"/>
                <w:b/>
              </w:rPr>
              <w:t>Statement of Disclosure in respect of AIF</w:t>
            </w:r>
          </w:p>
          <w:p w14:paraId="7419B342" w14:textId="5D96C370" w:rsidR="0096483A" w:rsidRPr="003573A4" w:rsidRDefault="0096483A" w:rsidP="0096483A">
            <w:pPr>
              <w:rPr>
                <w:rFonts w:cstheme="minorHAnsi"/>
                <w:b/>
              </w:rPr>
            </w:pPr>
            <w:r w:rsidRPr="003573A4">
              <w:rPr>
                <w:rFonts w:cstheme="minorHAnsi"/>
                <w:b/>
              </w:rPr>
              <w:t>(i.e. location in prospectus / reference document)</w:t>
            </w:r>
          </w:p>
        </w:tc>
      </w:tr>
      <w:tr w:rsidR="00DF5CBB" w:rsidRPr="003573A4" w14:paraId="36E50C47" w14:textId="77777777" w:rsidTr="007B29C6">
        <w:tc>
          <w:tcPr>
            <w:tcW w:w="5211" w:type="dxa"/>
          </w:tcPr>
          <w:p w14:paraId="0418B1EA" w14:textId="77777777" w:rsidR="00DF5CBB" w:rsidRPr="003573A4" w:rsidRDefault="00DF5CBB" w:rsidP="007B29C6">
            <w:pPr>
              <w:rPr>
                <w:rFonts w:cstheme="minorHAnsi"/>
              </w:rPr>
            </w:pPr>
            <w:r w:rsidRPr="003573A4">
              <w:rPr>
                <w:rFonts w:cstheme="minorHAnsi"/>
                <w:b/>
              </w:rPr>
              <w:t>23(1)(a)</w:t>
            </w:r>
            <w:r w:rsidRPr="003573A4">
              <w:rPr>
                <w:rFonts w:cstheme="minorHAnsi"/>
              </w:rPr>
              <w:t xml:space="preserve"> - a description of investment strategies and objectives of the AIF</w:t>
            </w:r>
          </w:p>
          <w:p w14:paraId="426E09EA" w14:textId="77777777" w:rsidR="00DF5CBB" w:rsidRPr="003573A4" w:rsidRDefault="00DF5CBB" w:rsidP="007B29C6">
            <w:pPr>
              <w:rPr>
                <w:rFonts w:cstheme="minorHAnsi"/>
              </w:rPr>
            </w:pPr>
          </w:p>
        </w:tc>
        <w:tc>
          <w:tcPr>
            <w:tcW w:w="4031" w:type="dxa"/>
          </w:tcPr>
          <w:p w14:paraId="127F40C9" w14:textId="15D78DFA" w:rsidR="00DF5CBB" w:rsidRPr="003573A4" w:rsidRDefault="00DF5CBB" w:rsidP="006434CD">
            <w:pPr>
              <w:pStyle w:val="Default"/>
              <w:jc w:val="both"/>
              <w:rPr>
                <w:rFonts w:cstheme="minorHAnsi"/>
              </w:rPr>
            </w:pPr>
          </w:p>
        </w:tc>
      </w:tr>
      <w:tr w:rsidR="00DF5CBB" w:rsidRPr="003573A4" w14:paraId="0008CF41" w14:textId="77777777" w:rsidTr="007B29C6">
        <w:tc>
          <w:tcPr>
            <w:tcW w:w="5211" w:type="dxa"/>
          </w:tcPr>
          <w:p w14:paraId="0C14CE8C" w14:textId="77777777" w:rsidR="00DF5CBB" w:rsidRPr="003573A4" w:rsidRDefault="00DF5CBB" w:rsidP="007B29C6">
            <w:pPr>
              <w:rPr>
                <w:rFonts w:cstheme="minorHAnsi"/>
              </w:rPr>
            </w:pPr>
            <w:r w:rsidRPr="003573A4">
              <w:rPr>
                <w:rFonts w:cstheme="minorHAnsi"/>
              </w:rPr>
              <w:t>- information on where any master AIF is established</w:t>
            </w:r>
          </w:p>
        </w:tc>
        <w:tc>
          <w:tcPr>
            <w:tcW w:w="4031" w:type="dxa"/>
          </w:tcPr>
          <w:p w14:paraId="154480AB" w14:textId="01E988AD" w:rsidR="00DF5CBB" w:rsidRPr="003573A4" w:rsidRDefault="00DF5CBB" w:rsidP="007B29C6">
            <w:pPr>
              <w:rPr>
                <w:rFonts w:cstheme="minorHAnsi"/>
              </w:rPr>
            </w:pPr>
          </w:p>
        </w:tc>
      </w:tr>
      <w:tr w:rsidR="00DF5CBB" w:rsidRPr="003573A4" w14:paraId="0F79C78B" w14:textId="77777777" w:rsidTr="007B29C6">
        <w:tc>
          <w:tcPr>
            <w:tcW w:w="5211" w:type="dxa"/>
          </w:tcPr>
          <w:p w14:paraId="6D03ADC1" w14:textId="0B844393" w:rsidR="00DF5CBB" w:rsidRPr="003573A4" w:rsidRDefault="00DF5CBB" w:rsidP="007B29C6">
            <w:pPr>
              <w:rPr>
                <w:rFonts w:cstheme="minorHAnsi"/>
              </w:rPr>
            </w:pPr>
            <w:r w:rsidRPr="003573A4">
              <w:rPr>
                <w:rFonts w:cstheme="minorHAnsi"/>
              </w:rPr>
              <w:t xml:space="preserve">- if AIF is a </w:t>
            </w:r>
            <w:r w:rsidR="008359D9" w:rsidRPr="003573A4">
              <w:rPr>
                <w:rFonts w:cstheme="minorHAnsi"/>
              </w:rPr>
              <w:t>AIF</w:t>
            </w:r>
            <w:r w:rsidRPr="003573A4">
              <w:rPr>
                <w:rFonts w:cstheme="minorHAnsi"/>
              </w:rPr>
              <w:t xml:space="preserve"> of </w:t>
            </w:r>
            <w:r w:rsidR="008359D9" w:rsidRPr="003573A4">
              <w:rPr>
                <w:rFonts w:cstheme="minorHAnsi"/>
              </w:rPr>
              <w:t>AIF</w:t>
            </w:r>
            <w:r w:rsidRPr="003573A4">
              <w:rPr>
                <w:rFonts w:cstheme="minorHAnsi"/>
              </w:rPr>
              <w:t xml:space="preserve">s, information on where underlying </w:t>
            </w:r>
            <w:r w:rsidR="008359D9" w:rsidRPr="003573A4">
              <w:rPr>
                <w:rFonts w:cstheme="minorHAnsi"/>
              </w:rPr>
              <w:t>AIF</w:t>
            </w:r>
            <w:r w:rsidRPr="003573A4">
              <w:rPr>
                <w:rFonts w:cstheme="minorHAnsi"/>
              </w:rPr>
              <w:t>s are established</w:t>
            </w:r>
          </w:p>
        </w:tc>
        <w:tc>
          <w:tcPr>
            <w:tcW w:w="4031" w:type="dxa"/>
          </w:tcPr>
          <w:p w14:paraId="412DA759" w14:textId="3FA68DE0" w:rsidR="00385737" w:rsidRPr="003573A4" w:rsidRDefault="00385737" w:rsidP="006434CD">
            <w:pPr>
              <w:jc w:val="both"/>
              <w:rPr>
                <w:rFonts w:cstheme="minorHAnsi"/>
              </w:rPr>
            </w:pPr>
          </w:p>
        </w:tc>
      </w:tr>
      <w:tr w:rsidR="00DF5CBB" w:rsidRPr="003573A4" w14:paraId="2BF2CE56" w14:textId="77777777" w:rsidTr="007B29C6">
        <w:tc>
          <w:tcPr>
            <w:tcW w:w="5211" w:type="dxa"/>
          </w:tcPr>
          <w:p w14:paraId="4DE8DA8A" w14:textId="77777777" w:rsidR="00DF5CBB" w:rsidRPr="003573A4" w:rsidRDefault="00DF5CBB" w:rsidP="007B29C6">
            <w:pPr>
              <w:rPr>
                <w:rFonts w:cstheme="minorHAnsi"/>
              </w:rPr>
            </w:pPr>
            <w:r w:rsidRPr="003573A4">
              <w:rPr>
                <w:rFonts w:cstheme="minorHAnsi"/>
              </w:rPr>
              <w:t>- a description of the types of assets in which the AIF may invest</w:t>
            </w:r>
          </w:p>
        </w:tc>
        <w:tc>
          <w:tcPr>
            <w:tcW w:w="4031" w:type="dxa"/>
          </w:tcPr>
          <w:p w14:paraId="7914BF10" w14:textId="61C3D959" w:rsidR="007D42D7" w:rsidRPr="003573A4" w:rsidRDefault="007D42D7" w:rsidP="006434CD">
            <w:pPr>
              <w:jc w:val="both"/>
              <w:rPr>
                <w:rFonts w:eastAsia="Calibri" w:cstheme="minorHAnsi"/>
                <w:lang w:val="en-US"/>
              </w:rPr>
            </w:pPr>
          </w:p>
        </w:tc>
      </w:tr>
      <w:tr w:rsidR="00DF5CBB" w:rsidRPr="003573A4" w14:paraId="03F95ADC" w14:textId="77777777" w:rsidTr="007B29C6">
        <w:tc>
          <w:tcPr>
            <w:tcW w:w="5211" w:type="dxa"/>
          </w:tcPr>
          <w:p w14:paraId="1CE28718" w14:textId="77777777" w:rsidR="00DF5CBB" w:rsidRPr="003573A4" w:rsidRDefault="00DF5CBB" w:rsidP="007B29C6">
            <w:pPr>
              <w:rPr>
                <w:rFonts w:cstheme="minorHAnsi"/>
              </w:rPr>
            </w:pPr>
            <w:r w:rsidRPr="003573A4">
              <w:rPr>
                <w:rFonts w:cstheme="minorHAnsi"/>
              </w:rPr>
              <w:t>- any applicable investment restrictions</w:t>
            </w:r>
          </w:p>
        </w:tc>
        <w:tc>
          <w:tcPr>
            <w:tcW w:w="4031" w:type="dxa"/>
          </w:tcPr>
          <w:p w14:paraId="396572FE" w14:textId="03D8B66A" w:rsidR="00DF5CBB" w:rsidRPr="003573A4" w:rsidRDefault="00DF5CBB" w:rsidP="006434CD">
            <w:pPr>
              <w:jc w:val="both"/>
              <w:rPr>
                <w:rFonts w:eastAsia="Calibri" w:cstheme="minorHAnsi"/>
                <w:lang w:val="en-US"/>
              </w:rPr>
            </w:pPr>
          </w:p>
        </w:tc>
      </w:tr>
      <w:tr w:rsidR="00DF5CBB" w:rsidRPr="003573A4" w14:paraId="0C7DBA6B" w14:textId="77777777" w:rsidTr="007B29C6">
        <w:tc>
          <w:tcPr>
            <w:tcW w:w="5211" w:type="dxa"/>
          </w:tcPr>
          <w:p w14:paraId="101F6292" w14:textId="77777777" w:rsidR="00DF5CBB" w:rsidRPr="003573A4" w:rsidRDefault="00DF5CBB" w:rsidP="007B29C6">
            <w:pPr>
              <w:rPr>
                <w:rFonts w:cstheme="minorHAnsi"/>
              </w:rPr>
            </w:pPr>
            <w:r w:rsidRPr="003573A4">
              <w:rPr>
                <w:rFonts w:cstheme="minorHAnsi"/>
              </w:rPr>
              <w:t>- the circumstances in which the AIF may use leverage</w:t>
            </w:r>
          </w:p>
        </w:tc>
        <w:tc>
          <w:tcPr>
            <w:tcW w:w="4031" w:type="dxa"/>
          </w:tcPr>
          <w:p w14:paraId="1F153ACE" w14:textId="6E944E9C" w:rsidR="00DF5CBB" w:rsidRPr="003573A4" w:rsidRDefault="00DF5CBB" w:rsidP="006434CD">
            <w:pPr>
              <w:pStyle w:val="Default"/>
              <w:jc w:val="both"/>
              <w:rPr>
                <w:rFonts w:eastAsia="Calibri" w:cstheme="minorHAnsi"/>
              </w:rPr>
            </w:pPr>
          </w:p>
        </w:tc>
      </w:tr>
      <w:tr w:rsidR="00DF5CBB" w:rsidRPr="003573A4" w14:paraId="355BD1DD" w14:textId="77777777" w:rsidTr="007B29C6">
        <w:tc>
          <w:tcPr>
            <w:tcW w:w="5211" w:type="dxa"/>
          </w:tcPr>
          <w:p w14:paraId="4E655C95" w14:textId="77777777" w:rsidR="00DF5CBB" w:rsidRPr="003573A4" w:rsidRDefault="00DF5CBB" w:rsidP="007B29C6">
            <w:pPr>
              <w:rPr>
                <w:rFonts w:cstheme="minorHAnsi"/>
              </w:rPr>
            </w:pPr>
            <w:r w:rsidRPr="003573A4">
              <w:rPr>
                <w:rFonts w:cstheme="minorHAnsi"/>
              </w:rPr>
              <w:t>- the types and sources of leverage permitted and the</w:t>
            </w:r>
          </w:p>
          <w:p w14:paraId="219DA56F" w14:textId="77777777" w:rsidR="00DF5CBB" w:rsidRPr="003573A4" w:rsidRDefault="00DF5CBB" w:rsidP="007B29C6">
            <w:pPr>
              <w:rPr>
                <w:rFonts w:cstheme="minorHAnsi"/>
              </w:rPr>
            </w:pPr>
            <w:r w:rsidRPr="003573A4">
              <w:rPr>
                <w:rFonts w:cstheme="minorHAnsi"/>
              </w:rPr>
              <w:t>associated risks</w:t>
            </w:r>
          </w:p>
        </w:tc>
        <w:tc>
          <w:tcPr>
            <w:tcW w:w="4031" w:type="dxa"/>
          </w:tcPr>
          <w:p w14:paraId="37E05CFB" w14:textId="636B2A7E" w:rsidR="00F85770" w:rsidRPr="003573A4" w:rsidRDefault="00F85770" w:rsidP="006434CD">
            <w:pPr>
              <w:pStyle w:val="Default"/>
              <w:jc w:val="both"/>
              <w:rPr>
                <w:rFonts w:cstheme="minorHAnsi"/>
              </w:rPr>
            </w:pPr>
          </w:p>
        </w:tc>
      </w:tr>
      <w:tr w:rsidR="00DF5CBB" w:rsidRPr="003573A4" w14:paraId="1D039C49" w14:textId="77777777" w:rsidTr="007B29C6">
        <w:tc>
          <w:tcPr>
            <w:tcW w:w="5211" w:type="dxa"/>
          </w:tcPr>
          <w:p w14:paraId="1E8EEC78" w14:textId="77777777" w:rsidR="00DF5CBB" w:rsidRPr="003573A4" w:rsidRDefault="00DF5CBB" w:rsidP="007B29C6">
            <w:pPr>
              <w:rPr>
                <w:rFonts w:cstheme="minorHAnsi"/>
              </w:rPr>
            </w:pPr>
            <w:r w:rsidRPr="003573A4">
              <w:rPr>
                <w:rFonts w:cstheme="minorHAnsi"/>
              </w:rPr>
              <w:t>- any restrictions on the use of leverage</w:t>
            </w:r>
          </w:p>
        </w:tc>
        <w:tc>
          <w:tcPr>
            <w:tcW w:w="4031" w:type="dxa"/>
          </w:tcPr>
          <w:p w14:paraId="6C12819F" w14:textId="09277CAA" w:rsidR="008E6585" w:rsidRPr="003573A4" w:rsidRDefault="008E6585" w:rsidP="006434CD">
            <w:pPr>
              <w:jc w:val="both"/>
              <w:rPr>
                <w:rFonts w:cstheme="minorHAnsi"/>
              </w:rPr>
            </w:pPr>
          </w:p>
        </w:tc>
      </w:tr>
      <w:tr w:rsidR="00DF5CBB" w:rsidRPr="003573A4" w14:paraId="19159A5B" w14:textId="77777777" w:rsidTr="007B29C6">
        <w:tc>
          <w:tcPr>
            <w:tcW w:w="5211" w:type="dxa"/>
          </w:tcPr>
          <w:p w14:paraId="2E8F692C" w14:textId="77777777" w:rsidR="00DF5CBB" w:rsidRPr="003573A4" w:rsidRDefault="00DF5CBB" w:rsidP="007B29C6">
            <w:pPr>
              <w:tabs>
                <w:tab w:val="left" w:pos="1046"/>
              </w:tabs>
              <w:rPr>
                <w:rFonts w:cstheme="minorHAnsi"/>
              </w:rPr>
            </w:pPr>
            <w:r w:rsidRPr="003573A4">
              <w:rPr>
                <w:rFonts w:cstheme="minorHAnsi"/>
              </w:rPr>
              <w:t>- any collateral and asset reuse arrangements</w:t>
            </w:r>
          </w:p>
        </w:tc>
        <w:tc>
          <w:tcPr>
            <w:tcW w:w="4031" w:type="dxa"/>
          </w:tcPr>
          <w:p w14:paraId="4EC28FDB" w14:textId="717FE7E4" w:rsidR="00DF5CBB" w:rsidRPr="003573A4" w:rsidRDefault="00DF5CBB" w:rsidP="006434CD">
            <w:pPr>
              <w:pStyle w:val="Default"/>
              <w:jc w:val="both"/>
              <w:rPr>
                <w:rFonts w:cstheme="minorHAnsi"/>
              </w:rPr>
            </w:pPr>
          </w:p>
        </w:tc>
      </w:tr>
      <w:tr w:rsidR="00DF5CBB" w:rsidRPr="003573A4" w14:paraId="5B5218B7" w14:textId="77777777" w:rsidTr="007B29C6">
        <w:tc>
          <w:tcPr>
            <w:tcW w:w="5211" w:type="dxa"/>
          </w:tcPr>
          <w:p w14:paraId="6CCF47B5" w14:textId="77777777" w:rsidR="00DF5CBB" w:rsidRPr="003573A4" w:rsidRDefault="00DF5CBB" w:rsidP="007B29C6">
            <w:pPr>
              <w:rPr>
                <w:rFonts w:cstheme="minorHAnsi"/>
              </w:rPr>
            </w:pPr>
            <w:r w:rsidRPr="003573A4">
              <w:rPr>
                <w:rFonts w:cstheme="minorHAnsi"/>
              </w:rPr>
              <w:t>- maximum level of leverage which the AIFM is entitled to employ on behalf of the AIF</w:t>
            </w:r>
          </w:p>
        </w:tc>
        <w:tc>
          <w:tcPr>
            <w:tcW w:w="4031" w:type="dxa"/>
          </w:tcPr>
          <w:p w14:paraId="341DB1BD" w14:textId="18B972AF" w:rsidR="008E6585" w:rsidRDefault="008E6585" w:rsidP="00F85770">
            <w:pPr>
              <w:pStyle w:val="Default"/>
              <w:jc w:val="both"/>
              <w:rPr>
                <w:rFonts w:asciiTheme="minorHAnsi" w:hAnsiTheme="minorHAnsi" w:cstheme="minorHAnsi"/>
                <w:sz w:val="22"/>
                <w:szCs w:val="22"/>
              </w:rPr>
            </w:pPr>
          </w:p>
          <w:p w14:paraId="66FEE2DD" w14:textId="6501F4DF" w:rsidR="00DF5CBB" w:rsidRPr="003573A4" w:rsidRDefault="00DF5CBB" w:rsidP="00F85770">
            <w:pPr>
              <w:jc w:val="both"/>
              <w:rPr>
                <w:rFonts w:cstheme="minorHAnsi"/>
              </w:rPr>
            </w:pPr>
          </w:p>
        </w:tc>
      </w:tr>
      <w:tr w:rsidR="00DF5CBB" w:rsidRPr="003573A4" w14:paraId="4F8C2825" w14:textId="77777777" w:rsidTr="007B29C6">
        <w:tc>
          <w:tcPr>
            <w:tcW w:w="5211" w:type="dxa"/>
          </w:tcPr>
          <w:p w14:paraId="778B1BEA" w14:textId="77777777" w:rsidR="00DF5CBB" w:rsidRPr="003573A4" w:rsidRDefault="00DF5CBB" w:rsidP="007B29C6">
            <w:pPr>
              <w:rPr>
                <w:rFonts w:cstheme="minorHAnsi"/>
              </w:rPr>
            </w:pPr>
            <w:r w:rsidRPr="003573A4">
              <w:rPr>
                <w:rFonts w:cstheme="minorHAnsi"/>
                <w:b/>
              </w:rPr>
              <w:t>23(1)(b)</w:t>
            </w:r>
            <w:r w:rsidRPr="003573A4">
              <w:rPr>
                <w:rFonts w:cstheme="minorHAnsi"/>
              </w:rPr>
              <w:t xml:space="preserve"> - description of the procedures by which the AIF may change its investment strategy or investment policy, or both</w:t>
            </w:r>
          </w:p>
        </w:tc>
        <w:tc>
          <w:tcPr>
            <w:tcW w:w="4031" w:type="dxa"/>
          </w:tcPr>
          <w:p w14:paraId="5E99B45D" w14:textId="270BB2B8" w:rsidR="00F85770" w:rsidRPr="003573A4" w:rsidRDefault="00F85770" w:rsidP="00F85770">
            <w:pPr>
              <w:rPr>
                <w:rFonts w:cstheme="minorHAnsi"/>
              </w:rPr>
            </w:pPr>
          </w:p>
          <w:p w14:paraId="2EBACE61" w14:textId="347E5363" w:rsidR="00DF5CBB" w:rsidRPr="003573A4" w:rsidRDefault="00DF5CBB" w:rsidP="002665EF">
            <w:pPr>
              <w:rPr>
                <w:rFonts w:cstheme="minorHAnsi"/>
              </w:rPr>
            </w:pPr>
          </w:p>
        </w:tc>
      </w:tr>
      <w:tr w:rsidR="00DF5CBB" w:rsidRPr="003573A4" w14:paraId="716E2B68" w14:textId="77777777" w:rsidTr="007B29C6">
        <w:tc>
          <w:tcPr>
            <w:tcW w:w="5211" w:type="dxa"/>
          </w:tcPr>
          <w:p w14:paraId="4EECE32A" w14:textId="77777777" w:rsidR="00DF5CBB" w:rsidRPr="003573A4" w:rsidRDefault="00DF5CBB" w:rsidP="007B29C6">
            <w:pPr>
              <w:rPr>
                <w:rFonts w:cstheme="minorHAnsi"/>
              </w:rPr>
            </w:pPr>
            <w:r w:rsidRPr="003573A4">
              <w:rPr>
                <w:rFonts w:cstheme="minorHAnsi"/>
                <w:b/>
              </w:rPr>
              <w:t xml:space="preserve">23(1)(c) </w:t>
            </w:r>
            <w:r w:rsidRPr="003573A4">
              <w:rPr>
                <w:rFonts w:cstheme="minorHAnsi"/>
              </w:rPr>
              <w:t>- description of the main legal implications of the contractual relationship entered into for the purpose</w:t>
            </w:r>
          </w:p>
          <w:p w14:paraId="70D3A649" w14:textId="77777777" w:rsidR="00DF5CBB" w:rsidRPr="003573A4" w:rsidRDefault="00DF5CBB" w:rsidP="007B29C6">
            <w:pPr>
              <w:rPr>
                <w:rFonts w:cstheme="minorHAnsi"/>
              </w:rPr>
            </w:pPr>
            <w:r w:rsidRPr="003573A4">
              <w:rPr>
                <w:rFonts w:cstheme="minorHAnsi"/>
              </w:rPr>
              <w:t>of investment, including: information on jurisdiction,</w:t>
            </w:r>
          </w:p>
          <w:p w14:paraId="029F2B2B" w14:textId="77777777" w:rsidR="00DF5CBB" w:rsidRPr="003573A4" w:rsidRDefault="00DF5CBB" w:rsidP="007B29C6">
            <w:pPr>
              <w:rPr>
                <w:rFonts w:cstheme="minorHAnsi"/>
              </w:rPr>
            </w:pPr>
            <w:r w:rsidRPr="003573A4">
              <w:rPr>
                <w:rFonts w:cstheme="minorHAnsi"/>
              </w:rPr>
              <w:t>on the applicable law and on the existence or not of any legal instruments providing for the recognition and enforcement of judgments in the territory where the AIF is established</w:t>
            </w:r>
          </w:p>
        </w:tc>
        <w:tc>
          <w:tcPr>
            <w:tcW w:w="4031" w:type="dxa"/>
          </w:tcPr>
          <w:p w14:paraId="2F47D2C9" w14:textId="1D716703" w:rsidR="00DF5CBB" w:rsidRPr="003573A4" w:rsidRDefault="00DF5CBB" w:rsidP="00F67AEE">
            <w:pPr>
              <w:pStyle w:val="Default"/>
              <w:jc w:val="both"/>
              <w:rPr>
                <w:rFonts w:cstheme="minorHAnsi"/>
              </w:rPr>
            </w:pPr>
          </w:p>
        </w:tc>
      </w:tr>
      <w:tr w:rsidR="00DF5CBB" w:rsidRPr="003573A4" w14:paraId="5B9C440F" w14:textId="77777777" w:rsidTr="007B29C6">
        <w:tc>
          <w:tcPr>
            <w:tcW w:w="5211" w:type="dxa"/>
          </w:tcPr>
          <w:p w14:paraId="2A842314" w14:textId="77777777" w:rsidR="00DF5CBB" w:rsidRPr="003573A4" w:rsidRDefault="00DF5CBB" w:rsidP="007B29C6">
            <w:pPr>
              <w:rPr>
                <w:rFonts w:cstheme="minorHAnsi"/>
              </w:rPr>
            </w:pPr>
            <w:r w:rsidRPr="003573A4">
              <w:rPr>
                <w:rFonts w:cstheme="minorHAnsi"/>
                <w:b/>
              </w:rPr>
              <w:t xml:space="preserve">23(1)(d) </w:t>
            </w:r>
            <w:r w:rsidRPr="003573A4">
              <w:rPr>
                <w:rFonts w:cstheme="minorHAnsi"/>
              </w:rPr>
              <w:t>- Identity of the AIFM, and a description of its</w:t>
            </w:r>
          </w:p>
          <w:p w14:paraId="2A427821" w14:textId="77777777" w:rsidR="00DF5CBB" w:rsidRPr="003573A4" w:rsidRDefault="00DF5CBB" w:rsidP="007B29C6">
            <w:pPr>
              <w:rPr>
                <w:rFonts w:cstheme="minorHAnsi"/>
              </w:rPr>
            </w:pPr>
            <w:r w:rsidRPr="003573A4">
              <w:rPr>
                <w:rFonts w:cstheme="minorHAnsi"/>
              </w:rPr>
              <w:t>duties</w:t>
            </w:r>
          </w:p>
        </w:tc>
        <w:tc>
          <w:tcPr>
            <w:tcW w:w="4031" w:type="dxa"/>
          </w:tcPr>
          <w:p w14:paraId="530756DD" w14:textId="2289A3DA" w:rsidR="00DF5CBB" w:rsidRPr="00BB63C7" w:rsidRDefault="00DF5CBB" w:rsidP="00BB63C7">
            <w:pPr>
              <w:pStyle w:val="Default"/>
              <w:rPr>
                <w:rFonts w:asciiTheme="minorHAnsi" w:hAnsiTheme="minorHAnsi" w:cstheme="minorHAnsi"/>
                <w:sz w:val="22"/>
                <w:szCs w:val="22"/>
              </w:rPr>
            </w:pPr>
          </w:p>
        </w:tc>
      </w:tr>
      <w:tr w:rsidR="00DF5CBB" w:rsidRPr="003573A4" w14:paraId="2C558FF1" w14:textId="77777777" w:rsidTr="007B29C6">
        <w:tc>
          <w:tcPr>
            <w:tcW w:w="5211" w:type="dxa"/>
          </w:tcPr>
          <w:p w14:paraId="14EBE33F" w14:textId="77777777" w:rsidR="00DF5CBB" w:rsidRPr="003573A4" w:rsidRDefault="00DF5CBB" w:rsidP="007B29C6">
            <w:pPr>
              <w:rPr>
                <w:rFonts w:cstheme="minorHAnsi"/>
              </w:rPr>
            </w:pPr>
            <w:r w:rsidRPr="003573A4">
              <w:rPr>
                <w:rFonts w:cstheme="minorHAnsi"/>
              </w:rPr>
              <w:lastRenderedPageBreak/>
              <w:t>- identity of the AIF’s depositary and a description of its duties</w:t>
            </w:r>
          </w:p>
        </w:tc>
        <w:tc>
          <w:tcPr>
            <w:tcW w:w="4031" w:type="dxa"/>
          </w:tcPr>
          <w:p w14:paraId="38799BAA" w14:textId="155F99CC" w:rsidR="00DF5CBB" w:rsidRPr="003573A4" w:rsidRDefault="00DF5CBB" w:rsidP="00015DB7">
            <w:pPr>
              <w:jc w:val="both"/>
              <w:rPr>
                <w:rFonts w:eastAsia="Calibri" w:cstheme="minorHAnsi"/>
                <w:lang w:val="en-US"/>
              </w:rPr>
            </w:pPr>
          </w:p>
        </w:tc>
      </w:tr>
      <w:tr w:rsidR="00DF5CBB" w:rsidRPr="003573A4" w14:paraId="15C1EE1A" w14:textId="77777777" w:rsidTr="007B29C6">
        <w:tc>
          <w:tcPr>
            <w:tcW w:w="5211" w:type="dxa"/>
          </w:tcPr>
          <w:p w14:paraId="697FD974" w14:textId="77777777" w:rsidR="00DF5CBB" w:rsidRPr="003573A4" w:rsidRDefault="00DF5CBB" w:rsidP="007B29C6">
            <w:pPr>
              <w:rPr>
                <w:rFonts w:cstheme="minorHAnsi"/>
              </w:rPr>
            </w:pPr>
            <w:r w:rsidRPr="003573A4">
              <w:rPr>
                <w:rFonts w:cstheme="minorHAnsi"/>
              </w:rPr>
              <w:t>- identity of the auditor, and a description of its duties</w:t>
            </w:r>
          </w:p>
        </w:tc>
        <w:tc>
          <w:tcPr>
            <w:tcW w:w="4031" w:type="dxa"/>
          </w:tcPr>
          <w:p w14:paraId="68C62D3A" w14:textId="3E6BFB99" w:rsidR="00015DB7" w:rsidRPr="003573A4" w:rsidRDefault="00015DB7" w:rsidP="006434CD">
            <w:pPr>
              <w:pStyle w:val="Default"/>
              <w:jc w:val="both"/>
              <w:rPr>
                <w:rFonts w:eastAsia="Calibri" w:cstheme="minorHAnsi"/>
              </w:rPr>
            </w:pPr>
          </w:p>
        </w:tc>
      </w:tr>
      <w:tr w:rsidR="00DF5CBB" w:rsidRPr="003573A4" w14:paraId="429A52BA" w14:textId="77777777" w:rsidTr="007B29C6">
        <w:tc>
          <w:tcPr>
            <w:tcW w:w="5211" w:type="dxa"/>
          </w:tcPr>
          <w:p w14:paraId="4BD821BA" w14:textId="77777777" w:rsidR="00DF5CBB" w:rsidRPr="003573A4" w:rsidRDefault="00DF5CBB" w:rsidP="007B29C6">
            <w:pPr>
              <w:rPr>
                <w:rFonts w:cstheme="minorHAnsi"/>
              </w:rPr>
            </w:pPr>
            <w:r w:rsidRPr="003573A4">
              <w:rPr>
                <w:rFonts w:cstheme="minorHAnsi"/>
              </w:rPr>
              <w:t>- identity of any other service provider and a description of its duties</w:t>
            </w:r>
          </w:p>
        </w:tc>
        <w:tc>
          <w:tcPr>
            <w:tcW w:w="4031" w:type="dxa"/>
          </w:tcPr>
          <w:p w14:paraId="3D92C4F2" w14:textId="45CB61FB" w:rsidR="00DF5CBB" w:rsidRPr="003573A4" w:rsidRDefault="00DF5CBB" w:rsidP="006434CD">
            <w:pPr>
              <w:pStyle w:val="Default"/>
              <w:jc w:val="both"/>
              <w:rPr>
                <w:rFonts w:cstheme="minorHAnsi"/>
              </w:rPr>
            </w:pPr>
          </w:p>
        </w:tc>
      </w:tr>
      <w:tr w:rsidR="00DF5CBB" w:rsidRPr="003573A4" w14:paraId="4C02AF01" w14:textId="77777777" w:rsidTr="007B29C6">
        <w:tc>
          <w:tcPr>
            <w:tcW w:w="5211" w:type="dxa"/>
          </w:tcPr>
          <w:p w14:paraId="3564891B" w14:textId="77777777" w:rsidR="00DF5CBB" w:rsidRPr="003573A4" w:rsidRDefault="00DF5CBB" w:rsidP="007B29C6">
            <w:pPr>
              <w:rPr>
                <w:rFonts w:cstheme="minorHAnsi"/>
              </w:rPr>
            </w:pPr>
            <w:r w:rsidRPr="003573A4">
              <w:rPr>
                <w:rFonts w:cstheme="minorHAnsi"/>
              </w:rPr>
              <w:t>- investors rights against all service providers, including AIFM</w:t>
            </w:r>
          </w:p>
        </w:tc>
        <w:tc>
          <w:tcPr>
            <w:tcW w:w="4031" w:type="dxa"/>
          </w:tcPr>
          <w:p w14:paraId="6CEC9AFC" w14:textId="042F965E" w:rsidR="009C355B" w:rsidRPr="003573A4" w:rsidRDefault="009C355B" w:rsidP="006434CD">
            <w:pPr>
              <w:pStyle w:val="Default"/>
              <w:jc w:val="both"/>
              <w:rPr>
                <w:rFonts w:eastAsia="Calibri" w:cstheme="minorHAnsi"/>
                <w:lang w:val="en-US"/>
              </w:rPr>
            </w:pPr>
          </w:p>
        </w:tc>
      </w:tr>
      <w:tr w:rsidR="00DF5CBB" w:rsidRPr="003573A4" w14:paraId="02EAFFFF" w14:textId="77777777" w:rsidTr="007B29C6">
        <w:tc>
          <w:tcPr>
            <w:tcW w:w="5211" w:type="dxa"/>
          </w:tcPr>
          <w:p w14:paraId="1E00A423" w14:textId="77777777" w:rsidR="00DF5CBB" w:rsidRPr="003573A4" w:rsidRDefault="00DF5CBB" w:rsidP="007B29C6">
            <w:pPr>
              <w:rPr>
                <w:rFonts w:cstheme="minorHAnsi"/>
              </w:rPr>
            </w:pPr>
            <w:r w:rsidRPr="003573A4">
              <w:rPr>
                <w:rFonts w:cstheme="minorHAnsi"/>
                <w:b/>
              </w:rPr>
              <w:t xml:space="preserve">23(1)(e) </w:t>
            </w:r>
            <w:r w:rsidRPr="003573A4">
              <w:rPr>
                <w:rFonts w:cstheme="minorHAnsi"/>
              </w:rPr>
              <w:t>- Description of how the AIFM is complying with the requirements of Article 9(7)</w:t>
            </w:r>
          </w:p>
        </w:tc>
        <w:tc>
          <w:tcPr>
            <w:tcW w:w="4031" w:type="dxa"/>
          </w:tcPr>
          <w:p w14:paraId="19A5A656" w14:textId="6BF1A7B9" w:rsidR="00DF5CBB" w:rsidRPr="003573A4" w:rsidRDefault="00DF5CBB" w:rsidP="006434CD">
            <w:pPr>
              <w:pStyle w:val="Default"/>
              <w:jc w:val="both"/>
              <w:rPr>
                <w:rFonts w:eastAsia="Calibri" w:cstheme="minorHAnsi"/>
                <w:lang w:val="en-US"/>
              </w:rPr>
            </w:pPr>
          </w:p>
        </w:tc>
      </w:tr>
      <w:tr w:rsidR="00DF5CBB" w:rsidRPr="003573A4" w14:paraId="3B9D93FF" w14:textId="77777777" w:rsidTr="007B29C6">
        <w:tc>
          <w:tcPr>
            <w:tcW w:w="5211" w:type="dxa"/>
          </w:tcPr>
          <w:p w14:paraId="0C6B8972" w14:textId="77777777" w:rsidR="00DF5CBB" w:rsidRPr="003573A4" w:rsidRDefault="00DF5CBB" w:rsidP="007B29C6">
            <w:pPr>
              <w:rPr>
                <w:rFonts w:cstheme="minorHAnsi"/>
              </w:rPr>
            </w:pPr>
            <w:r w:rsidRPr="003573A4">
              <w:rPr>
                <w:rFonts w:cstheme="minorHAnsi"/>
                <w:b/>
              </w:rPr>
              <w:t xml:space="preserve">23(1)(f) </w:t>
            </w:r>
            <w:r w:rsidRPr="003573A4">
              <w:rPr>
                <w:rFonts w:cstheme="minorHAnsi"/>
              </w:rPr>
              <w:t>– Description of any delegated management function as referred to in Annex I by the AIFM</w:t>
            </w:r>
          </w:p>
        </w:tc>
        <w:tc>
          <w:tcPr>
            <w:tcW w:w="4031" w:type="dxa"/>
          </w:tcPr>
          <w:p w14:paraId="1484898D" w14:textId="28595214" w:rsidR="00DF5CBB" w:rsidRPr="003573A4" w:rsidRDefault="00DF5CBB" w:rsidP="006434CD">
            <w:pPr>
              <w:pStyle w:val="Default"/>
              <w:jc w:val="both"/>
              <w:rPr>
                <w:rFonts w:eastAsia="Calibri" w:cstheme="minorHAnsi"/>
                <w:lang w:val="en-US"/>
              </w:rPr>
            </w:pPr>
          </w:p>
        </w:tc>
      </w:tr>
      <w:tr w:rsidR="00DF5CBB" w:rsidRPr="003573A4" w14:paraId="7596F7D4" w14:textId="77777777" w:rsidTr="007B29C6">
        <w:tc>
          <w:tcPr>
            <w:tcW w:w="5211" w:type="dxa"/>
          </w:tcPr>
          <w:p w14:paraId="2743678E" w14:textId="77777777" w:rsidR="00DF5CBB" w:rsidRPr="003573A4" w:rsidRDefault="00DF5CBB" w:rsidP="007B29C6">
            <w:pPr>
              <w:rPr>
                <w:rFonts w:cstheme="minorHAnsi"/>
              </w:rPr>
            </w:pPr>
            <w:r w:rsidRPr="003573A4">
              <w:rPr>
                <w:rFonts w:cstheme="minorHAnsi"/>
              </w:rPr>
              <w:t>- description of any safekeeping function delegated by the depositary, the identification of the delegate and any conflicts of interests that may arise from such delegations</w:t>
            </w:r>
          </w:p>
        </w:tc>
        <w:tc>
          <w:tcPr>
            <w:tcW w:w="4031" w:type="dxa"/>
          </w:tcPr>
          <w:p w14:paraId="5FE88082" w14:textId="51612248" w:rsidR="00DF5CBB" w:rsidRPr="003573A4" w:rsidRDefault="00DF5CBB" w:rsidP="002C2A0A">
            <w:pPr>
              <w:jc w:val="both"/>
              <w:rPr>
                <w:rFonts w:eastAsia="Calibri" w:cstheme="minorHAnsi"/>
                <w:lang w:val="en-US"/>
              </w:rPr>
            </w:pPr>
          </w:p>
        </w:tc>
      </w:tr>
      <w:tr w:rsidR="00DF5CBB" w:rsidRPr="003573A4" w14:paraId="72E54792" w14:textId="77777777" w:rsidTr="007B29C6">
        <w:tc>
          <w:tcPr>
            <w:tcW w:w="5211" w:type="dxa"/>
          </w:tcPr>
          <w:p w14:paraId="3BAE82D7" w14:textId="77777777" w:rsidR="00DF5CBB" w:rsidRPr="003573A4" w:rsidRDefault="00DF5CBB" w:rsidP="007B29C6">
            <w:pPr>
              <w:rPr>
                <w:rFonts w:cstheme="minorHAnsi"/>
              </w:rPr>
            </w:pPr>
            <w:r w:rsidRPr="003573A4">
              <w:rPr>
                <w:rFonts w:cstheme="minorHAnsi"/>
                <w:b/>
              </w:rPr>
              <w:t xml:space="preserve">23(1)(g) </w:t>
            </w:r>
            <w:r w:rsidRPr="003573A4">
              <w:rPr>
                <w:rFonts w:cstheme="minorHAnsi"/>
              </w:rPr>
              <w:t>- Description of the AIF’s valuation procedure</w:t>
            </w:r>
          </w:p>
          <w:p w14:paraId="30DE51A4" w14:textId="77777777" w:rsidR="00DF5CBB" w:rsidRPr="003573A4" w:rsidRDefault="00DF5CBB" w:rsidP="007B29C6">
            <w:pPr>
              <w:rPr>
                <w:rFonts w:cstheme="minorHAnsi"/>
              </w:rPr>
            </w:pPr>
            <w:r w:rsidRPr="003573A4">
              <w:rPr>
                <w:rFonts w:cstheme="minorHAnsi"/>
              </w:rPr>
              <w:t>and of the pricing methodology for valuing assets, including the methods used in valuing hard-to-value assets in accordance with Article 19.</w:t>
            </w:r>
          </w:p>
        </w:tc>
        <w:tc>
          <w:tcPr>
            <w:tcW w:w="4031" w:type="dxa"/>
          </w:tcPr>
          <w:p w14:paraId="5BEECAC1" w14:textId="549050FC" w:rsidR="005A05ED" w:rsidRPr="003573A4" w:rsidRDefault="005A05ED" w:rsidP="006434CD">
            <w:pPr>
              <w:pStyle w:val="Default"/>
              <w:jc w:val="both"/>
              <w:rPr>
                <w:rFonts w:asciiTheme="minorHAnsi" w:eastAsia="Calibri" w:hAnsiTheme="minorHAnsi" w:cstheme="minorHAnsi"/>
                <w:sz w:val="22"/>
                <w:szCs w:val="22"/>
                <w:lang w:val="en-US"/>
              </w:rPr>
            </w:pPr>
          </w:p>
        </w:tc>
      </w:tr>
      <w:tr w:rsidR="00DF5CBB" w:rsidRPr="003573A4" w14:paraId="79436C69" w14:textId="77777777" w:rsidTr="007B29C6">
        <w:tc>
          <w:tcPr>
            <w:tcW w:w="5211" w:type="dxa"/>
          </w:tcPr>
          <w:p w14:paraId="60F796BC" w14:textId="77777777" w:rsidR="00DF5CBB" w:rsidRPr="003573A4" w:rsidRDefault="00DF5CBB" w:rsidP="007B29C6">
            <w:pPr>
              <w:rPr>
                <w:rFonts w:cstheme="minorHAnsi"/>
              </w:rPr>
            </w:pPr>
            <w:r w:rsidRPr="003573A4">
              <w:rPr>
                <w:rFonts w:cstheme="minorHAnsi"/>
                <w:b/>
              </w:rPr>
              <w:t xml:space="preserve">23(1)(h) </w:t>
            </w:r>
            <w:r w:rsidRPr="003573A4">
              <w:rPr>
                <w:rFonts w:cstheme="minorHAnsi"/>
              </w:rPr>
              <w:t>- Description of the AIF’s liquidity risk management, including redemption rights both in</w:t>
            </w:r>
          </w:p>
          <w:p w14:paraId="155E9D51" w14:textId="77777777" w:rsidR="00DF5CBB" w:rsidRPr="003573A4" w:rsidRDefault="00DF5CBB" w:rsidP="007B29C6">
            <w:pPr>
              <w:rPr>
                <w:rFonts w:cstheme="minorHAnsi"/>
              </w:rPr>
            </w:pPr>
            <w:r w:rsidRPr="003573A4">
              <w:rPr>
                <w:rFonts w:cstheme="minorHAnsi"/>
              </w:rPr>
              <w:t>normal and exceptional circumstances, and the</w:t>
            </w:r>
          </w:p>
          <w:p w14:paraId="69C5D8EE" w14:textId="77777777" w:rsidR="00DF5CBB" w:rsidRPr="003573A4" w:rsidRDefault="00DF5CBB" w:rsidP="007B29C6">
            <w:pPr>
              <w:rPr>
                <w:rFonts w:cstheme="minorHAnsi"/>
              </w:rPr>
            </w:pPr>
            <w:r w:rsidRPr="003573A4">
              <w:rPr>
                <w:rFonts w:cstheme="minorHAnsi"/>
              </w:rPr>
              <w:t>existing redemption arrangements with investor</w:t>
            </w:r>
          </w:p>
        </w:tc>
        <w:tc>
          <w:tcPr>
            <w:tcW w:w="4031" w:type="dxa"/>
          </w:tcPr>
          <w:p w14:paraId="66201E9D" w14:textId="20483F58" w:rsidR="005A05ED" w:rsidRPr="003573A4" w:rsidRDefault="005A05ED" w:rsidP="006434CD">
            <w:pPr>
              <w:jc w:val="both"/>
              <w:rPr>
                <w:rFonts w:eastAsia="Calibri" w:cstheme="minorHAnsi"/>
                <w:lang w:val="en-US"/>
              </w:rPr>
            </w:pPr>
          </w:p>
        </w:tc>
      </w:tr>
      <w:tr w:rsidR="00DF5CBB" w:rsidRPr="003573A4" w14:paraId="22D8736F" w14:textId="77777777" w:rsidTr="007B29C6">
        <w:tc>
          <w:tcPr>
            <w:tcW w:w="5211" w:type="dxa"/>
          </w:tcPr>
          <w:p w14:paraId="2AA2F042" w14:textId="77777777" w:rsidR="00DF5CBB" w:rsidRPr="003573A4" w:rsidRDefault="00DF5CBB" w:rsidP="007B29C6">
            <w:pPr>
              <w:rPr>
                <w:rFonts w:cstheme="minorHAnsi"/>
              </w:rPr>
            </w:pPr>
            <w:r w:rsidRPr="003573A4">
              <w:rPr>
                <w:rFonts w:cstheme="minorHAnsi"/>
                <w:b/>
              </w:rPr>
              <w:t xml:space="preserve">23(1)(i) </w:t>
            </w:r>
            <w:r w:rsidRPr="003573A4">
              <w:rPr>
                <w:rFonts w:cstheme="minorHAnsi"/>
              </w:rPr>
              <w:t>- A description of all fees, charges and expenses and of the maximum amounts thereof which are directly or indirectly borne by investors</w:t>
            </w:r>
          </w:p>
        </w:tc>
        <w:tc>
          <w:tcPr>
            <w:tcW w:w="4031" w:type="dxa"/>
          </w:tcPr>
          <w:p w14:paraId="47E7CE0C" w14:textId="677745A3" w:rsidR="00DF5CBB" w:rsidRPr="003573A4" w:rsidRDefault="00DF5CBB" w:rsidP="006434CD">
            <w:pPr>
              <w:pStyle w:val="Default"/>
              <w:jc w:val="both"/>
              <w:rPr>
                <w:rFonts w:cstheme="minorHAnsi"/>
              </w:rPr>
            </w:pPr>
          </w:p>
        </w:tc>
      </w:tr>
      <w:tr w:rsidR="00DF5CBB" w:rsidRPr="003573A4" w14:paraId="7A5C1295" w14:textId="77777777" w:rsidTr="007B29C6">
        <w:tc>
          <w:tcPr>
            <w:tcW w:w="5211" w:type="dxa"/>
          </w:tcPr>
          <w:p w14:paraId="64D13154" w14:textId="77777777" w:rsidR="00DF5CBB" w:rsidRPr="003573A4" w:rsidRDefault="00DF5CBB" w:rsidP="007B29C6">
            <w:pPr>
              <w:rPr>
                <w:rFonts w:cstheme="minorHAnsi"/>
              </w:rPr>
            </w:pPr>
            <w:r w:rsidRPr="003573A4">
              <w:rPr>
                <w:rFonts w:cstheme="minorHAnsi"/>
                <w:b/>
              </w:rPr>
              <w:t xml:space="preserve">23(1)(j) </w:t>
            </w:r>
            <w:r w:rsidRPr="003573A4">
              <w:rPr>
                <w:rFonts w:cstheme="minorHAnsi"/>
              </w:rPr>
              <w:t>- Description of how the AIFM ensures a fair</w:t>
            </w:r>
          </w:p>
          <w:p w14:paraId="485E52B6" w14:textId="77777777" w:rsidR="00DF5CBB" w:rsidRPr="003573A4" w:rsidRDefault="00DF5CBB" w:rsidP="007B29C6">
            <w:pPr>
              <w:rPr>
                <w:rFonts w:cstheme="minorHAnsi"/>
              </w:rPr>
            </w:pPr>
            <w:r w:rsidRPr="003573A4">
              <w:rPr>
                <w:rFonts w:cstheme="minorHAnsi"/>
              </w:rPr>
              <w:t>treatment of investors and, whenever an investor</w:t>
            </w:r>
          </w:p>
          <w:p w14:paraId="6597D8DF" w14:textId="77777777" w:rsidR="00DF5CBB" w:rsidRPr="003573A4" w:rsidRDefault="00DF5CBB" w:rsidP="007B29C6">
            <w:pPr>
              <w:rPr>
                <w:rFonts w:cstheme="minorHAnsi"/>
              </w:rPr>
            </w:pPr>
            <w:r w:rsidRPr="003573A4">
              <w:rPr>
                <w:rFonts w:cstheme="minorHAnsi"/>
              </w:rPr>
              <w:t>obtains preferential treatment or the right to</w:t>
            </w:r>
          </w:p>
          <w:p w14:paraId="0D67CB2A" w14:textId="77777777" w:rsidR="00DF5CBB" w:rsidRPr="003573A4" w:rsidRDefault="00DF5CBB" w:rsidP="007B29C6">
            <w:pPr>
              <w:rPr>
                <w:rFonts w:cstheme="minorHAnsi"/>
              </w:rPr>
            </w:pPr>
            <w:r w:rsidRPr="003573A4">
              <w:rPr>
                <w:rFonts w:cstheme="minorHAnsi"/>
              </w:rPr>
              <w:t>obtain preferential treatment, a description of that</w:t>
            </w:r>
          </w:p>
          <w:p w14:paraId="61E9D02A" w14:textId="77777777" w:rsidR="00DF5CBB" w:rsidRPr="003573A4" w:rsidRDefault="00DF5CBB" w:rsidP="007B29C6">
            <w:pPr>
              <w:rPr>
                <w:rFonts w:cstheme="minorHAnsi"/>
              </w:rPr>
            </w:pPr>
            <w:r w:rsidRPr="003573A4">
              <w:rPr>
                <w:rFonts w:cstheme="minorHAnsi"/>
              </w:rPr>
              <w:t>preferential treatment, the type of investors who obtain such preferential treatment and, where relevant, their legal or economic links with the AIF or AIFM</w:t>
            </w:r>
          </w:p>
        </w:tc>
        <w:tc>
          <w:tcPr>
            <w:tcW w:w="4031" w:type="dxa"/>
          </w:tcPr>
          <w:p w14:paraId="0728C8F0" w14:textId="24AC5734" w:rsidR="007F3154" w:rsidRPr="003573A4" w:rsidRDefault="007F3154" w:rsidP="007F3154">
            <w:pPr>
              <w:jc w:val="both"/>
              <w:rPr>
                <w:rFonts w:eastAsia="Calibri" w:cstheme="minorHAnsi"/>
              </w:rPr>
            </w:pPr>
          </w:p>
          <w:p w14:paraId="61E3C727" w14:textId="1BA92BDF" w:rsidR="00DF5CBB" w:rsidRPr="003573A4" w:rsidRDefault="00DF5CBB" w:rsidP="001874EE">
            <w:pPr>
              <w:jc w:val="both"/>
              <w:rPr>
                <w:rFonts w:eastAsia="Calibri" w:cstheme="minorHAnsi"/>
              </w:rPr>
            </w:pPr>
          </w:p>
        </w:tc>
      </w:tr>
      <w:tr w:rsidR="00DF5CBB" w:rsidRPr="003573A4" w14:paraId="6E28B6C6" w14:textId="77777777" w:rsidTr="007B29C6">
        <w:tc>
          <w:tcPr>
            <w:tcW w:w="5211" w:type="dxa"/>
          </w:tcPr>
          <w:p w14:paraId="3941E227" w14:textId="77777777" w:rsidR="00DF5CBB" w:rsidRPr="003573A4" w:rsidRDefault="00DF5CBB" w:rsidP="007B29C6">
            <w:pPr>
              <w:rPr>
                <w:rFonts w:cstheme="minorHAnsi"/>
              </w:rPr>
            </w:pPr>
            <w:r w:rsidRPr="003573A4">
              <w:rPr>
                <w:rFonts w:cstheme="minorHAnsi"/>
                <w:b/>
              </w:rPr>
              <w:t>23(1)(k)</w:t>
            </w:r>
            <w:r w:rsidRPr="003573A4">
              <w:rPr>
                <w:rFonts w:cstheme="minorHAnsi"/>
              </w:rPr>
              <w:t xml:space="preserve"> - Latest annual report referred to in Article 22</w:t>
            </w:r>
          </w:p>
        </w:tc>
        <w:tc>
          <w:tcPr>
            <w:tcW w:w="4031" w:type="dxa"/>
          </w:tcPr>
          <w:p w14:paraId="2F8DCE1B" w14:textId="469BEDC4" w:rsidR="00DF5CBB" w:rsidRPr="003573A4" w:rsidRDefault="00DF5CBB" w:rsidP="006434CD">
            <w:pPr>
              <w:pStyle w:val="Default"/>
              <w:jc w:val="both"/>
              <w:rPr>
                <w:rFonts w:cstheme="minorHAnsi"/>
              </w:rPr>
            </w:pPr>
          </w:p>
        </w:tc>
      </w:tr>
      <w:tr w:rsidR="00DF5CBB" w:rsidRPr="003573A4" w14:paraId="0A450621" w14:textId="77777777" w:rsidTr="007B29C6">
        <w:tc>
          <w:tcPr>
            <w:tcW w:w="5211" w:type="dxa"/>
          </w:tcPr>
          <w:p w14:paraId="25528D65" w14:textId="3CF586B9" w:rsidR="00DF5CBB" w:rsidRPr="003573A4" w:rsidRDefault="00DF5CBB" w:rsidP="00AB6664">
            <w:pPr>
              <w:rPr>
                <w:rFonts w:cstheme="minorHAnsi"/>
              </w:rPr>
            </w:pPr>
            <w:r w:rsidRPr="003573A4">
              <w:rPr>
                <w:rFonts w:cstheme="minorHAnsi"/>
                <w:b/>
              </w:rPr>
              <w:t xml:space="preserve">23(1)(l) </w:t>
            </w:r>
            <w:r w:rsidRPr="003573A4">
              <w:rPr>
                <w:rFonts w:cstheme="minorHAnsi"/>
              </w:rPr>
              <w:t>- The procedure and conditions for the issue and</w:t>
            </w:r>
            <w:r w:rsidR="00AB6664">
              <w:rPr>
                <w:rFonts w:cstheme="minorHAnsi"/>
              </w:rPr>
              <w:t xml:space="preserve"> </w:t>
            </w:r>
            <w:r w:rsidRPr="003573A4">
              <w:rPr>
                <w:rFonts w:cstheme="minorHAnsi"/>
              </w:rPr>
              <w:t>sale of units or shares</w:t>
            </w:r>
          </w:p>
        </w:tc>
        <w:tc>
          <w:tcPr>
            <w:tcW w:w="4031" w:type="dxa"/>
          </w:tcPr>
          <w:p w14:paraId="6B071888" w14:textId="3B230C9C" w:rsidR="00DF5CBB" w:rsidRPr="003573A4" w:rsidRDefault="00DF5CBB" w:rsidP="006434CD">
            <w:pPr>
              <w:pStyle w:val="Default"/>
              <w:jc w:val="both"/>
              <w:rPr>
                <w:rFonts w:eastAsia="Calibri" w:cstheme="minorHAnsi"/>
                <w:lang w:val="en-US"/>
              </w:rPr>
            </w:pPr>
          </w:p>
        </w:tc>
      </w:tr>
      <w:tr w:rsidR="00DF5CBB" w:rsidRPr="003573A4" w14:paraId="397D8F52" w14:textId="77777777" w:rsidTr="007B29C6">
        <w:tc>
          <w:tcPr>
            <w:tcW w:w="5211" w:type="dxa"/>
          </w:tcPr>
          <w:p w14:paraId="1508E90C" w14:textId="77777777" w:rsidR="00DF5CBB" w:rsidRPr="003573A4" w:rsidRDefault="00DF5CBB" w:rsidP="007B29C6">
            <w:pPr>
              <w:rPr>
                <w:rFonts w:cstheme="minorHAnsi"/>
              </w:rPr>
            </w:pPr>
            <w:r w:rsidRPr="003573A4">
              <w:rPr>
                <w:rFonts w:cstheme="minorHAnsi"/>
                <w:b/>
              </w:rPr>
              <w:lastRenderedPageBreak/>
              <w:t xml:space="preserve">23(1)(m) </w:t>
            </w:r>
            <w:r w:rsidRPr="003573A4">
              <w:rPr>
                <w:rFonts w:cstheme="minorHAnsi"/>
              </w:rPr>
              <w:t>- The latest net asset value of the AIF or the latest market price of the unit or share of the AIF, in</w:t>
            </w:r>
          </w:p>
          <w:p w14:paraId="11E128A9" w14:textId="77777777" w:rsidR="00DF5CBB" w:rsidRPr="003573A4" w:rsidRDefault="00DF5CBB" w:rsidP="007B29C6">
            <w:pPr>
              <w:rPr>
                <w:rFonts w:cstheme="minorHAnsi"/>
              </w:rPr>
            </w:pPr>
            <w:r w:rsidRPr="003573A4">
              <w:rPr>
                <w:rFonts w:cstheme="minorHAnsi"/>
              </w:rPr>
              <w:t>accordance with Article 19</w:t>
            </w:r>
          </w:p>
        </w:tc>
        <w:tc>
          <w:tcPr>
            <w:tcW w:w="4031" w:type="dxa"/>
          </w:tcPr>
          <w:p w14:paraId="05E190D3" w14:textId="091D8680" w:rsidR="00DF5CBB" w:rsidRPr="003573A4" w:rsidRDefault="00DF5CBB" w:rsidP="006434CD">
            <w:pPr>
              <w:pStyle w:val="Default"/>
              <w:jc w:val="both"/>
              <w:rPr>
                <w:rFonts w:cstheme="minorHAnsi"/>
              </w:rPr>
            </w:pPr>
          </w:p>
        </w:tc>
      </w:tr>
      <w:tr w:rsidR="00DF5CBB" w:rsidRPr="003573A4" w14:paraId="090DC906" w14:textId="77777777" w:rsidTr="007B29C6">
        <w:tc>
          <w:tcPr>
            <w:tcW w:w="5211" w:type="dxa"/>
          </w:tcPr>
          <w:p w14:paraId="36C0633A" w14:textId="54BE2F6E" w:rsidR="00DF5CBB" w:rsidRPr="003573A4" w:rsidRDefault="00DF5CBB" w:rsidP="000C45B8">
            <w:pPr>
              <w:rPr>
                <w:rFonts w:cstheme="minorHAnsi"/>
              </w:rPr>
            </w:pPr>
            <w:r w:rsidRPr="003573A4">
              <w:rPr>
                <w:rFonts w:cstheme="minorHAnsi"/>
                <w:b/>
              </w:rPr>
              <w:t xml:space="preserve">23(1)(n) </w:t>
            </w:r>
            <w:r w:rsidRPr="003573A4">
              <w:rPr>
                <w:rFonts w:cstheme="minorHAnsi"/>
              </w:rPr>
              <w:t>- Where available, the historical performance of</w:t>
            </w:r>
            <w:r w:rsidR="000C45B8">
              <w:rPr>
                <w:rFonts w:cstheme="minorHAnsi"/>
              </w:rPr>
              <w:t xml:space="preserve"> </w:t>
            </w:r>
            <w:r w:rsidRPr="003573A4">
              <w:rPr>
                <w:rFonts w:cstheme="minorHAnsi"/>
              </w:rPr>
              <w:t>the AIF</w:t>
            </w:r>
          </w:p>
        </w:tc>
        <w:tc>
          <w:tcPr>
            <w:tcW w:w="4031" w:type="dxa"/>
          </w:tcPr>
          <w:p w14:paraId="0DAB8B5B" w14:textId="2B18599D" w:rsidR="00DF5CBB" w:rsidRPr="003573A4" w:rsidRDefault="00DF5CBB" w:rsidP="006434CD">
            <w:pPr>
              <w:pStyle w:val="Default"/>
              <w:jc w:val="both"/>
              <w:rPr>
                <w:rFonts w:cstheme="minorHAnsi"/>
              </w:rPr>
            </w:pPr>
          </w:p>
        </w:tc>
      </w:tr>
      <w:tr w:rsidR="00DF5CBB" w:rsidRPr="003573A4" w14:paraId="75F06F3D" w14:textId="77777777" w:rsidTr="007B29C6">
        <w:tc>
          <w:tcPr>
            <w:tcW w:w="5211" w:type="dxa"/>
          </w:tcPr>
          <w:p w14:paraId="70E5B009" w14:textId="77777777" w:rsidR="00DF5CBB" w:rsidRPr="003573A4" w:rsidRDefault="00DF5CBB" w:rsidP="007B29C6">
            <w:pPr>
              <w:rPr>
                <w:rFonts w:cstheme="minorHAnsi"/>
              </w:rPr>
            </w:pPr>
            <w:r w:rsidRPr="003573A4">
              <w:rPr>
                <w:rFonts w:cstheme="minorHAnsi"/>
                <w:b/>
              </w:rPr>
              <w:t xml:space="preserve">23(1)(o) </w:t>
            </w:r>
            <w:r w:rsidRPr="003573A4">
              <w:rPr>
                <w:rFonts w:cstheme="minorHAnsi"/>
              </w:rPr>
              <w:t>- The identity of the prime broker(s) and a description of any material arrangements of the AIF</w:t>
            </w:r>
          </w:p>
          <w:p w14:paraId="369F46B3" w14:textId="77777777" w:rsidR="00DF5CBB" w:rsidRPr="003573A4" w:rsidRDefault="00DF5CBB" w:rsidP="007B29C6">
            <w:pPr>
              <w:rPr>
                <w:rFonts w:cstheme="minorHAnsi"/>
              </w:rPr>
            </w:pPr>
            <w:r w:rsidRPr="003573A4">
              <w:rPr>
                <w:rFonts w:cstheme="minorHAnsi"/>
              </w:rPr>
              <w:t>with its prime brokers and the way the conflicts of</w:t>
            </w:r>
          </w:p>
          <w:p w14:paraId="17681D91" w14:textId="77777777" w:rsidR="00DF5CBB" w:rsidRPr="003573A4" w:rsidRDefault="00DF5CBB" w:rsidP="007B29C6">
            <w:pPr>
              <w:rPr>
                <w:rFonts w:cstheme="minorHAnsi"/>
              </w:rPr>
            </w:pPr>
            <w:r w:rsidRPr="003573A4">
              <w:rPr>
                <w:rFonts w:cstheme="minorHAnsi"/>
              </w:rPr>
              <w:t>interest in relation thereto are managed</w:t>
            </w:r>
          </w:p>
        </w:tc>
        <w:tc>
          <w:tcPr>
            <w:tcW w:w="4031" w:type="dxa"/>
          </w:tcPr>
          <w:p w14:paraId="104303AB" w14:textId="1AEA2A24" w:rsidR="001F0B33" w:rsidRPr="003573A4" w:rsidRDefault="001F0B33" w:rsidP="006434CD">
            <w:pPr>
              <w:jc w:val="both"/>
              <w:rPr>
                <w:rFonts w:cstheme="minorHAnsi"/>
              </w:rPr>
            </w:pPr>
          </w:p>
        </w:tc>
      </w:tr>
      <w:tr w:rsidR="00DF5CBB" w:rsidRPr="003573A4" w14:paraId="4BBD4529" w14:textId="77777777" w:rsidTr="007B29C6">
        <w:tc>
          <w:tcPr>
            <w:tcW w:w="5211" w:type="dxa"/>
          </w:tcPr>
          <w:p w14:paraId="23E8793D" w14:textId="77777777" w:rsidR="00DF5CBB" w:rsidRPr="003573A4" w:rsidRDefault="00DF5CBB" w:rsidP="007B29C6">
            <w:pPr>
              <w:rPr>
                <w:rFonts w:cstheme="minorHAnsi"/>
              </w:rPr>
            </w:pPr>
            <w:r w:rsidRPr="003573A4">
              <w:rPr>
                <w:rFonts w:cstheme="minorHAnsi"/>
              </w:rPr>
              <w:t>- the provision in the contract with the depositary on the possibility of transfer and reuse of AIF assets, and information on any transfer of liability to the prime broker that may exist.</w:t>
            </w:r>
          </w:p>
        </w:tc>
        <w:tc>
          <w:tcPr>
            <w:tcW w:w="4031" w:type="dxa"/>
          </w:tcPr>
          <w:p w14:paraId="287FD93A" w14:textId="6078D330" w:rsidR="001F0B33" w:rsidRPr="003573A4" w:rsidRDefault="001F0B33" w:rsidP="006434CD">
            <w:pPr>
              <w:jc w:val="both"/>
              <w:rPr>
                <w:rFonts w:cstheme="minorHAnsi"/>
              </w:rPr>
            </w:pPr>
          </w:p>
        </w:tc>
      </w:tr>
      <w:tr w:rsidR="00DF5CBB" w:rsidRPr="003573A4" w14:paraId="32DA0444" w14:textId="77777777" w:rsidTr="007B29C6">
        <w:tc>
          <w:tcPr>
            <w:tcW w:w="5211" w:type="dxa"/>
          </w:tcPr>
          <w:p w14:paraId="70F934D9" w14:textId="620DD7F7" w:rsidR="00DF5CBB" w:rsidRPr="003573A4" w:rsidRDefault="00DF5CBB" w:rsidP="00FE26EA">
            <w:pPr>
              <w:rPr>
                <w:rFonts w:cstheme="minorHAnsi"/>
              </w:rPr>
            </w:pPr>
            <w:r w:rsidRPr="003573A4">
              <w:rPr>
                <w:rFonts w:cstheme="minorHAnsi"/>
                <w:b/>
              </w:rPr>
              <w:t xml:space="preserve">23(1)(p) </w:t>
            </w:r>
            <w:r w:rsidRPr="003573A4">
              <w:rPr>
                <w:rFonts w:cstheme="minorHAnsi"/>
              </w:rPr>
              <w:t>- Description of how and when the information</w:t>
            </w:r>
            <w:r w:rsidR="00FE26EA">
              <w:rPr>
                <w:rFonts w:cstheme="minorHAnsi"/>
              </w:rPr>
              <w:t xml:space="preserve"> </w:t>
            </w:r>
            <w:r w:rsidRPr="003573A4">
              <w:rPr>
                <w:rFonts w:cstheme="minorHAnsi"/>
              </w:rPr>
              <w:t>required under 23(4) and 23(5) will be disclosed.</w:t>
            </w:r>
          </w:p>
        </w:tc>
        <w:tc>
          <w:tcPr>
            <w:tcW w:w="4031" w:type="dxa"/>
          </w:tcPr>
          <w:p w14:paraId="510AF665" w14:textId="0D79D413" w:rsidR="008359D9" w:rsidRPr="003573A4" w:rsidRDefault="008359D9" w:rsidP="008359D9">
            <w:pPr>
              <w:pStyle w:val="Default"/>
              <w:jc w:val="both"/>
              <w:rPr>
                <w:rFonts w:asciiTheme="minorHAnsi" w:hAnsiTheme="minorHAnsi" w:cstheme="minorHAnsi"/>
                <w:sz w:val="22"/>
                <w:szCs w:val="22"/>
              </w:rPr>
            </w:pPr>
          </w:p>
          <w:p w14:paraId="236D4AC4" w14:textId="26A41551" w:rsidR="00DF5CBB" w:rsidRPr="003573A4" w:rsidRDefault="00DF5CBB" w:rsidP="0036569C">
            <w:pPr>
              <w:spacing w:line="240" w:lineRule="atLeast"/>
              <w:jc w:val="both"/>
              <w:rPr>
                <w:rFonts w:eastAsia="Calibri" w:cstheme="minorHAnsi"/>
                <w:lang w:val="en-US"/>
              </w:rPr>
            </w:pPr>
          </w:p>
        </w:tc>
      </w:tr>
    </w:tbl>
    <w:p w14:paraId="7D2FAD32" w14:textId="4D680138" w:rsidR="007B1BD1" w:rsidRPr="003573A4" w:rsidRDefault="007B1BD1">
      <w:pPr>
        <w:rPr>
          <w:rFonts w:cstheme="minorHAnsi"/>
          <w:b/>
        </w:rPr>
      </w:pPr>
    </w:p>
    <w:p w14:paraId="1454DF8D" w14:textId="1CADA260" w:rsidR="007B1BD1" w:rsidRPr="003573A4" w:rsidRDefault="007B1BD1" w:rsidP="007B1BD1">
      <w:pPr>
        <w:rPr>
          <w:rFonts w:cstheme="minorHAnsi"/>
          <w:i/>
          <w:iCs/>
        </w:rPr>
      </w:pPr>
      <w:r w:rsidRPr="003573A4">
        <w:rPr>
          <w:rFonts w:cstheme="minorHAnsi"/>
          <w:i/>
          <w:iC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4" w:history="1">
        <w:r w:rsidRPr="003573A4">
          <w:rPr>
            <w:rStyle w:val="Hyperlink"/>
            <w:rFonts w:cstheme="minorHAnsi"/>
            <w:i/>
            <w:iCs/>
          </w:rPr>
          <w:t>dataprotection@centralbank.ie</w:t>
        </w:r>
      </w:hyperlink>
      <w:r w:rsidRPr="003573A4">
        <w:rPr>
          <w:rFonts w:cstheme="minorHAnsi"/>
          <w:i/>
          <w:iCs/>
        </w:rPr>
        <w:t xml:space="preserve">. A copy of the Central Bank’s Data Protection Notice is available at </w:t>
      </w:r>
      <w:hyperlink r:id="rId15" w:history="1">
        <w:r w:rsidRPr="003573A4">
          <w:rPr>
            <w:rStyle w:val="Hyperlink"/>
            <w:rFonts w:cstheme="minorHAnsi"/>
          </w:rPr>
          <w:t>www.centralbank.ie/fns/privacy-statement</w:t>
        </w:r>
      </w:hyperlink>
      <w:r w:rsidRPr="003573A4">
        <w:rPr>
          <w:rFonts w:cstheme="minorHAnsi"/>
          <w:i/>
          <w:iCs/>
        </w:rPr>
        <w:t>.</w:t>
      </w:r>
    </w:p>
    <w:p w14:paraId="0C8DE124" w14:textId="77777777" w:rsidR="007B1BD1" w:rsidRPr="003573A4" w:rsidRDefault="007B1BD1">
      <w:pPr>
        <w:rPr>
          <w:rFonts w:cstheme="minorHAnsi"/>
          <w:b/>
        </w:rPr>
      </w:pPr>
    </w:p>
    <w:sectPr w:rsidR="007B1BD1" w:rsidRPr="003573A4" w:rsidSect="00E76AE6">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784AA" w14:textId="77777777" w:rsidR="00B9266F" w:rsidRDefault="00B9266F" w:rsidP="00F71E51">
      <w:pPr>
        <w:spacing w:after="0" w:line="240" w:lineRule="auto"/>
      </w:pPr>
      <w:r>
        <w:separator/>
      </w:r>
    </w:p>
  </w:endnote>
  <w:endnote w:type="continuationSeparator" w:id="0">
    <w:p w14:paraId="26710AC6" w14:textId="77777777" w:rsidR="00B9266F" w:rsidRDefault="00B9266F" w:rsidP="00F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3AB39" w14:textId="77777777" w:rsidR="005C53AE" w:rsidRDefault="005C5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E49AB" w14:textId="77777777" w:rsidR="005C53AE" w:rsidRDefault="005C5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995A2" w14:textId="77777777" w:rsidR="005C53AE" w:rsidRDefault="005C5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1277B" w14:textId="77777777" w:rsidR="00B9266F" w:rsidRDefault="00B9266F" w:rsidP="00F71E51">
      <w:pPr>
        <w:spacing w:after="0" w:line="240" w:lineRule="auto"/>
      </w:pPr>
      <w:r>
        <w:separator/>
      </w:r>
    </w:p>
  </w:footnote>
  <w:footnote w:type="continuationSeparator" w:id="0">
    <w:p w14:paraId="2581C738" w14:textId="77777777" w:rsidR="00B9266F" w:rsidRDefault="00B9266F" w:rsidP="00F71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5CCE8" w14:textId="63FDAB37" w:rsidR="006434CD" w:rsidRDefault="005C53AE" w:rsidP="005C53AE">
    <w:pPr>
      <w:pStyle w:val="Header"/>
    </w:pPr>
    <w:fldSimple w:instr=" DOCPROPERTY bjHeaderEvenPageDocProperty \* MERGEFORMAT " w:fldLock="1">
      <w:r w:rsidRPr="005C53AE">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46DF" w14:textId="6882E815" w:rsidR="007B1BD1" w:rsidRDefault="005C53AE" w:rsidP="005C53AE">
    <w:pPr>
      <w:pStyle w:val="Header"/>
    </w:pPr>
    <w:fldSimple w:instr=" DOCPROPERTY bjHeaderBothDocProperty \* MERGEFORMAT " w:fldLock="1">
      <w:r w:rsidRPr="005C53AE">
        <w:rPr>
          <w:rFonts w:ascii="Times New Roman" w:hAnsi="Times New Roman" w:cs="Times New Roman"/>
          <w:color w:val="000000"/>
          <w:sz w:val="24"/>
        </w:rPr>
        <w:t xml:space="preserve"> </w:t>
      </w:r>
    </w:fldSimple>
  </w:p>
  <w:p w14:paraId="3DD739D5" w14:textId="50FAD83C" w:rsidR="00D5006B" w:rsidRDefault="00D5006B">
    <w:pPr>
      <w:pStyle w:val="Header"/>
    </w:pPr>
    <w:r>
      <w:tab/>
    </w:r>
    <w:r>
      <w:tab/>
      <w:t>FORM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2647B" w14:textId="748EE462" w:rsidR="006434CD" w:rsidRDefault="005C53AE" w:rsidP="005C53AE">
    <w:pPr>
      <w:pStyle w:val="Header"/>
    </w:pPr>
    <w:fldSimple w:instr=" DOCPROPERTY bjHeaderFirstPageDocProperty \* MERGEFORMAT " w:fldLock="1">
      <w:r w:rsidRPr="005C53AE">
        <w:rPr>
          <w:rFonts w:ascii="Times New Roman" w:hAnsi="Times New Roman" w:cs="Times New Roman"/>
          <w:color w:val="000000"/>
          <w:sz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17D31"/>
    <w:multiLevelType w:val="hybridMultilevel"/>
    <w:tmpl w:val="0F407E52"/>
    <w:lvl w:ilvl="0" w:tplc="029A10DC">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2637712"/>
    <w:multiLevelType w:val="hybridMultilevel"/>
    <w:tmpl w:val="5E8A2E7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55F5994"/>
    <w:multiLevelType w:val="hybridMultilevel"/>
    <w:tmpl w:val="4D3444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A1A5C18"/>
    <w:multiLevelType w:val="hybridMultilevel"/>
    <w:tmpl w:val="AE441662"/>
    <w:lvl w:ilvl="0" w:tplc="BA3E69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48165D"/>
    <w:multiLevelType w:val="hybridMultilevel"/>
    <w:tmpl w:val="01741AC4"/>
    <w:lvl w:ilvl="0" w:tplc="A80C7760">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36D70BA7"/>
    <w:multiLevelType w:val="hybridMultilevel"/>
    <w:tmpl w:val="4D3444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4261A85"/>
    <w:multiLevelType w:val="hybridMultilevel"/>
    <w:tmpl w:val="AE822CC2"/>
    <w:lvl w:ilvl="0" w:tplc="5FBAFED4">
      <w:start w:val="1"/>
      <w:numFmt w:val="decimal"/>
      <w:pStyle w:val="04aNumeration"/>
      <w:lvlText w:val="%1."/>
      <w:lvlJc w:val="left"/>
      <w:pPr>
        <w:tabs>
          <w:tab w:val="num" w:pos="284"/>
        </w:tabs>
        <w:ind w:left="284" w:hanging="284"/>
      </w:pPr>
      <w:rPr>
        <w:rFonts w:ascii="Georgia" w:hAnsi="Georgia" w:hint="default"/>
        <w:b w:val="0"/>
        <w:sz w:val="20"/>
      </w:rPr>
    </w:lvl>
    <w:lvl w:ilvl="1" w:tplc="CF12A106">
      <w:start w:val="1"/>
      <w:numFmt w:val="upp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6CA7598"/>
    <w:multiLevelType w:val="hybridMultilevel"/>
    <w:tmpl w:val="39CA5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8684DF0"/>
    <w:multiLevelType w:val="hybridMultilevel"/>
    <w:tmpl w:val="4D3444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37A6F01"/>
    <w:multiLevelType w:val="hybridMultilevel"/>
    <w:tmpl w:val="8DB0FE4A"/>
    <w:lvl w:ilvl="0" w:tplc="B58088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C924462"/>
    <w:multiLevelType w:val="hybridMultilevel"/>
    <w:tmpl w:val="34B0C49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7FE369A6"/>
    <w:multiLevelType w:val="hybridMultilevel"/>
    <w:tmpl w:val="8BB2B0D2"/>
    <w:lvl w:ilvl="0" w:tplc="1809001B">
      <w:start w:val="1"/>
      <w:numFmt w:val="lowerRoman"/>
      <w:lvlText w:val="%1."/>
      <w:lvlJc w:val="righ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8"/>
  </w:num>
  <w:num w:numId="4">
    <w:abstractNumId w:val="5"/>
  </w:num>
  <w:num w:numId="5">
    <w:abstractNumId w:val="2"/>
  </w:num>
  <w:num w:numId="6">
    <w:abstractNumId w:val="10"/>
  </w:num>
  <w:num w:numId="7">
    <w:abstractNumId w:val="0"/>
  </w:num>
  <w:num w:numId="8">
    <w:abstractNumId w:val="9"/>
  </w:num>
  <w:num w:numId="9">
    <w:abstractNumId w:val="6"/>
  </w:num>
  <w:num w:numId="10">
    <w:abstractNumId w:val="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58"/>
    <w:rsid w:val="00015DB7"/>
    <w:rsid w:val="0003640D"/>
    <w:rsid w:val="00091F40"/>
    <w:rsid w:val="000B677B"/>
    <w:rsid w:val="000C45B8"/>
    <w:rsid w:val="00122244"/>
    <w:rsid w:val="00127FB8"/>
    <w:rsid w:val="00147A12"/>
    <w:rsid w:val="001874EE"/>
    <w:rsid w:val="00196FF2"/>
    <w:rsid w:val="001E07EE"/>
    <w:rsid w:val="001E7B44"/>
    <w:rsid w:val="001F0B33"/>
    <w:rsid w:val="001F4D7F"/>
    <w:rsid w:val="002107CC"/>
    <w:rsid w:val="00220F97"/>
    <w:rsid w:val="0026581A"/>
    <w:rsid w:val="002661E9"/>
    <w:rsid w:val="002665EF"/>
    <w:rsid w:val="002C275D"/>
    <w:rsid w:val="002C2A0A"/>
    <w:rsid w:val="00332D2D"/>
    <w:rsid w:val="003573A4"/>
    <w:rsid w:val="00364B80"/>
    <w:rsid w:val="0036569C"/>
    <w:rsid w:val="00385737"/>
    <w:rsid w:val="0038632E"/>
    <w:rsid w:val="003E11B4"/>
    <w:rsid w:val="00487ECD"/>
    <w:rsid w:val="0049226F"/>
    <w:rsid w:val="004977AD"/>
    <w:rsid w:val="004A02B6"/>
    <w:rsid w:val="004C3728"/>
    <w:rsid w:val="00515997"/>
    <w:rsid w:val="0053784E"/>
    <w:rsid w:val="00594C28"/>
    <w:rsid w:val="005A0419"/>
    <w:rsid w:val="005A05ED"/>
    <w:rsid w:val="005A5E29"/>
    <w:rsid w:val="005B39F2"/>
    <w:rsid w:val="005C53AE"/>
    <w:rsid w:val="005E3758"/>
    <w:rsid w:val="00602B59"/>
    <w:rsid w:val="0061558E"/>
    <w:rsid w:val="006434CD"/>
    <w:rsid w:val="00645BCA"/>
    <w:rsid w:val="00664F96"/>
    <w:rsid w:val="00677FF2"/>
    <w:rsid w:val="006F1408"/>
    <w:rsid w:val="006F652E"/>
    <w:rsid w:val="007105CF"/>
    <w:rsid w:val="00775DBD"/>
    <w:rsid w:val="007840BF"/>
    <w:rsid w:val="00793568"/>
    <w:rsid w:val="007B1BD1"/>
    <w:rsid w:val="007B67DB"/>
    <w:rsid w:val="007C107D"/>
    <w:rsid w:val="007D42D7"/>
    <w:rsid w:val="007E4EB5"/>
    <w:rsid w:val="007F3154"/>
    <w:rsid w:val="008359D9"/>
    <w:rsid w:val="00841EDE"/>
    <w:rsid w:val="00845E73"/>
    <w:rsid w:val="0085129E"/>
    <w:rsid w:val="008819D4"/>
    <w:rsid w:val="00893E71"/>
    <w:rsid w:val="008946EF"/>
    <w:rsid w:val="008B4F7C"/>
    <w:rsid w:val="008E6585"/>
    <w:rsid w:val="008E6A56"/>
    <w:rsid w:val="008E6B9F"/>
    <w:rsid w:val="008F3F66"/>
    <w:rsid w:val="00902CBD"/>
    <w:rsid w:val="0093699C"/>
    <w:rsid w:val="00944446"/>
    <w:rsid w:val="0096483A"/>
    <w:rsid w:val="00971428"/>
    <w:rsid w:val="009A2D60"/>
    <w:rsid w:val="009A529B"/>
    <w:rsid w:val="009C355B"/>
    <w:rsid w:val="009C3745"/>
    <w:rsid w:val="00A206D2"/>
    <w:rsid w:val="00A72370"/>
    <w:rsid w:val="00A92AE7"/>
    <w:rsid w:val="00AB6664"/>
    <w:rsid w:val="00AC30F1"/>
    <w:rsid w:val="00B1675D"/>
    <w:rsid w:val="00B20696"/>
    <w:rsid w:val="00B36283"/>
    <w:rsid w:val="00B43674"/>
    <w:rsid w:val="00B9266F"/>
    <w:rsid w:val="00B95A25"/>
    <w:rsid w:val="00BB63C7"/>
    <w:rsid w:val="00C04B43"/>
    <w:rsid w:val="00C10B94"/>
    <w:rsid w:val="00C13758"/>
    <w:rsid w:val="00D3326A"/>
    <w:rsid w:val="00D5006B"/>
    <w:rsid w:val="00D86E46"/>
    <w:rsid w:val="00D9082D"/>
    <w:rsid w:val="00DD282B"/>
    <w:rsid w:val="00DF5CBB"/>
    <w:rsid w:val="00E07FB1"/>
    <w:rsid w:val="00E229EE"/>
    <w:rsid w:val="00E47EEA"/>
    <w:rsid w:val="00E662FA"/>
    <w:rsid w:val="00E71D3C"/>
    <w:rsid w:val="00E76AE6"/>
    <w:rsid w:val="00ED209E"/>
    <w:rsid w:val="00F016F0"/>
    <w:rsid w:val="00F07894"/>
    <w:rsid w:val="00F15485"/>
    <w:rsid w:val="00F34876"/>
    <w:rsid w:val="00F50EC9"/>
    <w:rsid w:val="00F67AEE"/>
    <w:rsid w:val="00F71E51"/>
    <w:rsid w:val="00F85770"/>
    <w:rsid w:val="00FB5F8D"/>
    <w:rsid w:val="00FD6692"/>
    <w:rsid w:val="00FE26EA"/>
    <w:rsid w:val="00FF3D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313E4"/>
  <w15:docId w15:val="{D285A1B4-6B22-4584-BD67-194C3455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370"/>
    <w:pPr>
      <w:ind w:left="720"/>
      <w:contextualSpacing/>
    </w:pPr>
  </w:style>
  <w:style w:type="character" w:styleId="Hyperlink">
    <w:name w:val="Hyperlink"/>
    <w:basedOn w:val="DefaultParagraphFont"/>
    <w:uiPriority w:val="99"/>
    <w:unhideWhenUsed/>
    <w:rsid w:val="00A72370"/>
    <w:rPr>
      <w:color w:val="0000FF" w:themeColor="hyperlink"/>
      <w:u w:val="single"/>
    </w:rPr>
  </w:style>
  <w:style w:type="character" w:styleId="CommentReference">
    <w:name w:val="annotation reference"/>
    <w:basedOn w:val="DefaultParagraphFont"/>
    <w:uiPriority w:val="99"/>
    <w:semiHidden/>
    <w:unhideWhenUsed/>
    <w:rsid w:val="00A72370"/>
    <w:rPr>
      <w:sz w:val="16"/>
      <w:szCs w:val="16"/>
    </w:rPr>
  </w:style>
  <w:style w:type="paragraph" w:styleId="CommentText">
    <w:name w:val="annotation text"/>
    <w:basedOn w:val="Normal"/>
    <w:link w:val="CommentTextChar"/>
    <w:uiPriority w:val="99"/>
    <w:semiHidden/>
    <w:unhideWhenUsed/>
    <w:rsid w:val="00A72370"/>
    <w:pPr>
      <w:spacing w:line="240" w:lineRule="auto"/>
    </w:pPr>
    <w:rPr>
      <w:sz w:val="20"/>
      <w:szCs w:val="20"/>
    </w:rPr>
  </w:style>
  <w:style w:type="character" w:customStyle="1" w:styleId="CommentTextChar">
    <w:name w:val="Comment Text Char"/>
    <w:basedOn w:val="DefaultParagraphFont"/>
    <w:link w:val="CommentText"/>
    <w:uiPriority w:val="99"/>
    <w:semiHidden/>
    <w:rsid w:val="00A72370"/>
    <w:rPr>
      <w:sz w:val="20"/>
      <w:szCs w:val="20"/>
    </w:rPr>
  </w:style>
  <w:style w:type="paragraph" w:styleId="CommentSubject">
    <w:name w:val="annotation subject"/>
    <w:basedOn w:val="CommentText"/>
    <w:next w:val="CommentText"/>
    <w:link w:val="CommentSubjectChar"/>
    <w:uiPriority w:val="99"/>
    <w:semiHidden/>
    <w:unhideWhenUsed/>
    <w:rsid w:val="00A72370"/>
    <w:rPr>
      <w:b/>
      <w:bCs/>
    </w:rPr>
  </w:style>
  <w:style w:type="character" w:customStyle="1" w:styleId="CommentSubjectChar">
    <w:name w:val="Comment Subject Char"/>
    <w:basedOn w:val="CommentTextChar"/>
    <w:link w:val="CommentSubject"/>
    <w:uiPriority w:val="99"/>
    <w:semiHidden/>
    <w:rsid w:val="00A72370"/>
    <w:rPr>
      <w:b/>
      <w:bCs/>
      <w:sz w:val="20"/>
      <w:szCs w:val="20"/>
    </w:rPr>
  </w:style>
  <w:style w:type="paragraph" w:styleId="BalloonText">
    <w:name w:val="Balloon Text"/>
    <w:basedOn w:val="Normal"/>
    <w:link w:val="BalloonTextChar"/>
    <w:uiPriority w:val="99"/>
    <w:semiHidden/>
    <w:unhideWhenUsed/>
    <w:rsid w:val="00A723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370"/>
    <w:rPr>
      <w:rFonts w:ascii="Tahoma" w:hAnsi="Tahoma" w:cs="Tahoma"/>
      <w:sz w:val="16"/>
      <w:szCs w:val="16"/>
    </w:rPr>
  </w:style>
  <w:style w:type="table" w:styleId="TableGrid">
    <w:name w:val="Table Grid"/>
    <w:basedOn w:val="TableNormal"/>
    <w:uiPriority w:val="59"/>
    <w:rsid w:val="00594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1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E51"/>
  </w:style>
  <w:style w:type="paragraph" w:styleId="Footer">
    <w:name w:val="footer"/>
    <w:basedOn w:val="Normal"/>
    <w:link w:val="FooterChar"/>
    <w:uiPriority w:val="99"/>
    <w:unhideWhenUsed/>
    <w:rsid w:val="00F71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E51"/>
  </w:style>
  <w:style w:type="character" w:styleId="FollowedHyperlink">
    <w:name w:val="FollowedHyperlink"/>
    <w:basedOn w:val="DefaultParagraphFont"/>
    <w:uiPriority w:val="99"/>
    <w:semiHidden/>
    <w:unhideWhenUsed/>
    <w:rsid w:val="00677FF2"/>
    <w:rPr>
      <w:color w:val="800080" w:themeColor="followedHyperlink"/>
      <w:u w:val="single"/>
    </w:rPr>
  </w:style>
  <w:style w:type="paragraph" w:customStyle="1" w:styleId="04aNumeration">
    <w:name w:val="04a_Numeration"/>
    <w:basedOn w:val="Normal"/>
    <w:uiPriority w:val="99"/>
    <w:rsid w:val="00D5006B"/>
    <w:pPr>
      <w:numPr>
        <w:numId w:val="9"/>
      </w:numPr>
      <w:spacing w:after="250"/>
      <w:jc w:val="both"/>
    </w:pPr>
    <w:rPr>
      <w:rFonts w:ascii="Georgia" w:eastAsia="Times New Roman" w:hAnsi="Georgia" w:cs="Times New Roman"/>
      <w:sz w:val="20"/>
      <w:szCs w:val="24"/>
      <w:lang w:val="en-GB" w:eastAsia="de-DE"/>
    </w:rPr>
  </w:style>
  <w:style w:type="paragraph" w:styleId="FootnoteText">
    <w:name w:val="footnote text"/>
    <w:basedOn w:val="Normal"/>
    <w:link w:val="FootnoteTextChar"/>
    <w:uiPriority w:val="99"/>
    <w:semiHidden/>
    <w:rsid w:val="00D5006B"/>
    <w:pPr>
      <w:spacing w:after="0" w:line="200" w:lineRule="exact"/>
    </w:pPr>
    <w:rPr>
      <w:rFonts w:ascii="Georgia" w:eastAsia="Times New Roman" w:hAnsi="Georgia" w:cs="Times New Roman"/>
      <w:sz w:val="16"/>
      <w:szCs w:val="20"/>
      <w:lang w:val="en-GB" w:eastAsia="de-DE"/>
    </w:rPr>
  </w:style>
  <w:style w:type="character" w:customStyle="1" w:styleId="FootnoteTextChar">
    <w:name w:val="Footnote Text Char"/>
    <w:basedOn w:val="DefaultParagraphFont"/>
    <w:link w:val="FootnoteText"/>
    <w:uiPriority w:val="99"/>
    <w:semiHidden/>
    <w:rsid w:val="00D5006B"/>
    <w:rPr>
      <w:rFonts w:ascii="Georgia" w:eastAsia="Times New Roman" w:hAnsi="Georgia" w:cs="Times New Roman"/>
      <w:sz w:val="16"/>
      <w:szCs w:val="20"/>
      <w:lang w:val="en-GB" w:eastAsia="de-DE"/>
    </w:rPr>
  </w:style>
  <w:style w:type="character" w:styleId="FootnoteReference">
    <w:name w:val="footnote reference"/>
    <w:uiPriority w:val="99"/>
    <w:semiHidden/>
    <w:rsid w:val="00D5006B"/>
    <w:rPr>
      <w:vertAlign w:val="superscript"/>
    </w:rPr>
  </w:style>
  <w:style w:type="paragraph" w:styleId="PlainText">
    <w:name w:val="Plain Text"/>
    <w:basedOn w:val="Normal"/>
    <w:link w:val="PlainTextChar"/>
    <w:uiPriority w:val="99"/>
    <w:semiHidden/>
    <w:unhideWhenUsed/>
    <w:rsid w:val="00FB5F8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B5F8D"/>
    <w:rPr>
      <w:rFonts w:ascii="Consolas" w:hAnsi="Consolas"/>
      <w:sz w:val="21"/>
      <w:szCs w:val="21"/>
    </w:rPr>
  </w:style>
  <w:style w:type="paragraph" w:customStyle="1" w:styleId="Default">
    <w:name w:val="Default"/>
    <w:rsid w:val="00ED209E"/>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6477">
      <w:bodyDiv w:val="1"/>
      <w:marLeft w:val="0"/>
      <w:marRight w:val="0"/>
      <w:marTop w:val="0"/>
      <w:marBottom w:val="0"/>
      <w:divBdr>
        <w:top w:val="none" w:sz="0" w:space="0" w:color="auto"/>
        <w:left w:val="none" w:sz="0" w:space="0" w:color="auto"/>
        <w:bottom w:val="none" w:sz="0" w:space="0" w:color="auto"/>
        <w:right w:val="none" w:sz="0" w:space="0" w:color="auto"/>
      </w:divBdr>
    </w:div>
    <w:div w:id="110199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ifmdpassportingout@centralbank.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aifmdpassportingout@centralbank.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entralbank.ie/fns/privacy-statemen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centralbank.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DD8FB60FC41A4CB05DAE11060CE4EC" ma:contentTypeVersion="6" ma:contentTypeDescription="Create a new document." ma:contentTypeScope="" ma:versionID="70c4d588f30299468ddeecd440e0da2e">
  <xsd:schema xmlns:xsd="http://www.w3.org/2001/XMLSchema" xmlns:xs="http://www.w3.org/2001/XMLSchema" xmlns:p="http://schemas.microsoft.com/office/2006/metadata/properties" xmlns:ns2="0a6fda95-62e8-46f4-8328-7d88c362df4a" targetNamespace="http://schemas.microsoft.com/office/2006/metadata/properties" ma:root="true" ma:fieldsID="4d2bdc6f17a0a593c35adac06c7704bc" ns2:_="">
    <xsd:import namespace="0a6fda95-62e8-46f4-8328-7d88c362df4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fda95-62e8-46f4-8328-7d88c362df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FE34-43B5-4C02-8DB0-63764A9FCEA1}">
  <ds:schemaRefs>
    <ds:schemaRef ds:uri="http://schemas.microsoft.com/sharepoint/v3/contenttype/forms"/>
  </ds:schemaRefs>
</ds:datastoreItem>
</file>

<file path=customXml/itemProps2.xml><?xml version="1.0" encoding="utf-8"?>
<ds:datastoreItem xmlns:ds="http://schemas.openxmlformats.org/officeDocument/2006/customXml" ds:itemID="{8FEA380F-2E73-4306-99FF-FAC92056D21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6fda95-62e8-46f4-8328-7d88c362df4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35EB52-B9FC-49A7-A157-AA186D36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fda95-62e8-46f4-8328-7d88c362d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CA6AD-25B4-44E5-B64F-1991A22C3E8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A7C8DFB-BEDE-483A-ABC9-0F9EF5F5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Marketing EU AIFs by Irish AIFM in another Member State</vt:lpstr>
    </vt:vector>
  </TitlesOfParts>
  <Company>Central Bank of Ireland</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EU AIFs by Irish AIFM in another Member State</dc:title>
  <dc:creator>Kelly Martina</dc:creator>
  <cp:keywords>Public</cp:keywords>
  <dc:description>Marketing EU AIFs by Irish AIFM in another Member State</dc:description>
  <cp:lastModifiedBy>McGuinness, Lucia</cp:lastModifiedBy>
  <cp:revision>2</cp:revision>
  <cp:lastPrinted>2014-04-17T13:50:00Z</cp:lastPrinted>
  <dcterms:created xsi:type="dcterms:W3CDTF">2021-08-12T09:44:00Z</dcterms:created>
  <dcterms:modified xsi:type="dcterms:W3CDTF">2021-08-12T09:44:00Z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0x0101005FDD8FB60FC41A4CB05DAE11060CE4EC</vt:lpwstr>
  </property>
  <property fmtid="{D5CDD505-2E9C-101B-9397-08002B2CF9AE}" pid="3" name="Orderable">
    <vt:bool>false</vt:bool>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docIndexRef">
    <vt:lpwstr>ff025602-aa1a-4ccf-8e09-95708b616314</vt:lpwstr>
  </property>
  <property fmtid="{D5CDD505-2E9C-101B-9397-08002B2CF9AE}" pid="10" name="bjSaver">
    <vt:lpwstr>3TLqVN1mbF8qT6wVR5w0L9YpcTHknqTu</vt:lpwstr>
  </property>
  <property fmtid="{D5CDD505-2E9C-101B-9397-08002B2CF9AE}" pid="11" name="_AdHocReviewCycleID">
    <vt:i4>-38931993</vt:i4>
  </property>
  <property fmtid="{D5CDD505-2E9C-101B-9397-08002B2CF9AE}" pid="12" name="_NewReviewCycle">
    <vt:lpwstr/>
  </property>
  <property fmtid="{D5CDD505-2E9C-101B-9397-08002B2CF9AE}" pid="13" name="_EmailSubject">
    <vt:lpwstr>RTD Webpage</vt:lpwstr>
  </property>
  <property fmtid="{D5CDD505-2E9C-101B-9397-08002B2CF9AE}" pid="14" name="_AuthorEmail">
    <vt:lpwstr>onlineauthorisation@centralbank.ie</vt:lpwstr>
  </property>
  <property fmtid="{D5CDD505-2E9C-101B-9397-08002B2CF9AE}" pid="15" name="_AuthorEmailDisplayName">
    <vt:lpwstr>onlineauthorisation</vt:lpwstr>
  </property>
  <property fmtid="{D5CDD505-2E9C-101B-9397-08002B2CF9AE}" pid="16" name="_ReviewingToolsShownOnce">
    <vt:lpwstr/>
  </property>
  <property fmtid="{D5CDD505-2E9C-101B-9397-08002B2CF9AE}" pid="17" name="bjDocumentSecurityLabel">
    <vt:lpwstr>Public</vt:lpwstr>
  </property>
  <property fmtid="{D5CDD505-2E9C-101B-9397-08002B2CF9AE}" pid="18"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9" name="bjDocumentLabelXML-0">
    <vt:lpwstr>ames.com/2008/01/sie/internal/label"&gt;&lt;element uid="33ed6465-8d2f-4fab-bbbc-787e2c148707" value="" /&gt;&lt;element uid="28c775dd-3fa7-40f2-8368-0e7fa48abc25" value="" /&gt;&lt;/sisl&gt;</vt:lpwstr>
  </property>
  <property fmtid="{D5CDD505-2E9C-101B-9397-08002B2CF9AE}" pid="20" name="bjHeaderBothDocProperty">
    <vt:lpwstr> </vt:lpwstr>
  </property>
  <property fmtid="{D5CDD505-2E9C-101B-9397-08002B2CF9AE}" pid="21" name="bjHeaderFirstPageDocProperty">
    <vt:lpwstr> </vt:lpwstr>
  </property>
  <property fmtid="{D5CDD505-2E9C-101B-9397-08002B2CF9AE}" pid="22" name="bjHeaderEvenPageDocProperty">
    <vt:lpwstr> </vt:lpwstr>
  </property>
</Properties>
</file>