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8B3E4" w14:textId="77777777" w:rsidR="00E0074D" w:rsidRPr="001362A6" w:rsidRDefault="00E0074D">
      <w:pPr>
        <w:pStyle w:val="Header"/>
        <w:tabs>
          <w:tab w:val="clear" w:pos="4320"/>
          <w:tab w:val="clear" w:pos="8640"/>
        </w:tabs>
        <w:spacing w:line="240" w:lineRule="auto"/>
        <w:rPr>
          <w:rFonts w:ascii="Lato" w:hAnsi="Lato"/>
        </w:rPr>
      </w:pPr>
      <w:bookmarkStart w:id="0" w:name="_GoBack"/>
      <w:bookmarkEnd w:id="0"/>
    </w:p>
    <w:p w14:paraId="6C09E946" w14:textId="77777777" w:rsidR="00E0074D" w:rsidRPr="001362A6" w:rsidRDefault="00E0074D">
      <w:pPr>
        <w:rPr>
          <w:rFonts w:ascii="Lato" w:hAnsi="Lato"/>
        </w:rPr>
      </w:pPr>
    </w:p>
    <w:p w14:paraId="53470C27" w14:textId="77777777" w:rsidR="00E0074D" w:rsidRPr="001362A6" w:rsidRDefault="00E0074D">
      <w:pPr>
        <w:rPr>
          <w:rFonts w:ascii="Lato" w:hAnsi="Lato"/>
        </w:rPr>
      </w:pPr>
    </w:p>
    <w:p w14:paraId="67AA1965" w14:textId="77777777" w:rsidR="00E0074D" w:rsidRPr="001362A6" w:rsidRDefault="00E0074D">
      <w:pPr>
        <w:rPr>
          <w:rFonts w:ascii="Lato" w:hAnsi="Lato"/>
        </w:rPr>
      </w:pPr>
    </w:p>
    <w:p w14:paraId="039D20BF" w14:textId="77777777" w:rsidR="00E0074D" w:rsidRPr="001362A6" w:rsidRDefault="00373FB0" w:rsidP="001362A6">
      <w:pPr>
        <w:tabs>
          <w:tab w:val="left" w:pos="5490"/>
        </w:tabs>
        <w:rPr>
          <w:rFonts w:ascii="Lato" w:hAnsi="Lato"/>
        </w:rPr>
      </w:pPr>
      <w:r w:rsidRPr="001362A6">
        <w:rPr>
          <w:rFonts w:ascii="Lato" w:hAnsi="Lato"/>
        </w:rPr>
        <w:tab/>
      </w:r>
    </w:p>
    <w:p w14:paraId="3DFDE5D3" w14:textId="77777777" w:rsidR="00E0074D" w:rsidRPr="001362A6" w:rsidRDefault="00E0074D">
      <w:pPr>
        <w:rPr>
          <w:rFonts w:ascii="Lato" w:hAnsi="Lato"/>
        </w:rPr>
      </w:pPr>
    </w:p>
    <w:p w14:paraId="5066B076" w14:textId="77777777" w:rsidR="00E0074D" w:rsidRPr="001362A6" w:rsidRDefault="00E0074D">
      <w:pPr>
        <w:rPr>
          <w:rFonts w:ascii="Lato" w:hAnsi="Lato"/>
        </w:rPr>
      </w:pPr>
    </w:p>
    <w:p w14:paraId="0E8C6C6C" w14:textId="77777777" w:rsidR="00E0074D" w:rsidRPr="001362A6" w:rsidRDefault="00E0074D">
      <w:pPr>
        <w:rPr>
          <w:rFonts w:ascii="Lato" w:hAnsi="Lato"/>
        </w:rPr>
      </w:pPr>
    </w:p>
    <w:p w14:paraId="3C281EA3" w14:textId="77777777" w:rsidR="00E0074D" w:rsidRPr="001362A6" w:rsidRDefault="00E0074D">
      <w:pPr>
        <w:rPr>
          <w:rFonts w:ascii="Lato" w:hAnsi="Lato"/>
        </w:rPr>
      </w:pPr>
    </w:p>
    <w:p w14:paraId="6A2C1DEB" w14:textId="77777777" w:rsidR="00E0074D" w:rsidRPr="001362A6" w:rsidRDefault="00E0074D">
      <w:pPr>
        <w:rPr>
          <w:rFonts w:ascii="Lato" w:hAnsi="Lato"/>
        </w:rPr>
      </w:pPr>
    </w:p>
    <w:p w14:paraId="39849DE2" w14:textId="77777777" w:rsidR="00E0074D" w:rsidRPr="001362A6" w:rsidRDefault="00E0074D">
      <w:pPr>
        <w:rPr>
          <w:rFonts w:ascii="Lato" w:hAnsi="Lato"/>
        </w:rPr>
      </w:pPr>
    </w:p>
    <w:p w14:paraId="2FA9B4F4" w14:textId="77777777" w:rsidR="00E0074D" w:rsidRPr="001362A6" w:rsidRDefault="00E0074D">
      <w:pPr>
        <w:rPr>
          <w:rFonts w:ascii="Lato" w:hAnsi="Lato"/>
        </w:rPr>
      </w:pPr>
    </w:p>
    <w:p w14:paraId="1C8FC3EB" w14:textId="77777777" w:rsidR="00E0074D" w:rsidRPr="001362A6" w:rsidRDefault="00E0074D">
      <w:pPr>
        <w:rPr>
          <w:rFonts w:ascii="Lato" w:hAnsi="Lato"/>
        </w:rPr>
      </w:pPr>
    </w:p>
    <w:p w14:paraId="525BC897" w14:textId="77777777" w:rsidR="00E0074D" w:rsidRPr="001362A6" w:rsidRDefault="00E0074D">
      <w:pPr>
        <w:rPr>
          <w:rFonts w:ascii="Lato" w:hAnsi="Lato"/>
        </w:rPr>
      </w:pPr>
    </w:p>
    <w:p w14:paraId="262B27DE" w14:textId="77777777" w:rsidR="00E0074D" w:rsidRPr="001362A6" w:rsidRDefault="00E0074D">
      <w:pPr>
        <w:rPr>
          <w:rFonts w:ascii="Lato" w:hAnsi="Lato"/>
        </w:rPr>
      </w:pPr>
    </w:p>
    <w:p w14:paraId="60A52F69" w14:textId="77777777" w:rsidR="00E0074D" w:rsidRPr="001362A6" w:rsidRDefault="00E0074D">
      <w:pPr>
        <w:rPr>
          <w:rFonts w:ascii="Lato" w:hAnsi="Lato"/>
        </w:rPr>
      </w:pPr>
    </w:p>
    <w:p w14:paraId="3C18BF17" w14:textId="77777777" w:rsidR="00E0074D" w:rsidRPr="001362A6" w:rsidRDefault="00E0074D">
      <w:pPr>
        <w:rPr>
          <w:rFonts w:ascii="Lato" w:hAnsi="Lato"/>
        </w:rPr>
      </w:pPr>
    </w:p>
    <w:p w14:paraId="1C679712" w14:textId="77777777" w:rsidR="00373FB0" w:rsidRPr="005B3769" w:rsidRDefault="00373FB0" w:rsidP="001362A6">
      <w:pPr>
        <w:pStyle w:val="CBCoverTitleWhite"/>
        <w:spacing w:after="0"/>
      </w:pPr>
      <w:r w:rsidRPr="002D62F2">
        <w:t>Qualifying Investor AIF</w:t>
      </w:r>
      <w:r w:rsidR="005B3769">
        <w:t xml:space="preserve"> </w:t>
      </w:r>
      <w:r w:rsidRPr="002D62F2">
        <w:t xml:space="preserve">Application Form </w:t>
      </w:r>
      <w:r w:rsidRPr="005B3769">
        <w:t xml:space="preserve">Sections 1 &amp; 2 </w:t>
      </w:r>
    </w:p>
    <w:p w14:paraId="4D1B4C7A" w14:textId="413205C6" w:rsidR="00373FB0" w:rsidRPr="00D95E9D" w:rsidRDefault="00C40D17" w:rsidP="001362A6">
      <w:pPr>
        <w:pStyle w:val="CBCoverSubtitleLightWhite"/>
        <w:spacing w:after="0"/>
        <w:rPr>
          <w:rFonts w:ascii="Lato" w:hAnsi="Lato"/>
        </w:rPr>
      </w:pPr>
      <w:r>
        <w:rPr>
          <w:rFonts w:ascii="Lato" w:hAnsi="Lato"/>
        </w:rPr>
        <w:t xml:space="preserve">November </w:t>
      </w:r>
      <w:r w:rsidR="00E131DC">
        <w:rPr>
          <w:rFonts w:ascii="Lato" w:hAnsi="Lato"/>
        </w:rPr>
        <w:t>2021</w:t>
      </w:r>
    </w:p>
    <w:p w14:paraId="2B51D457" w14:textId="77777777" w:rsidR="00E0074D" w:rsidRPr="001362A6" w:rsidRDefault="00E0074D">
      <w:pPr>
        <w:rPr>
          <w:rFonts w:ascii="Lato" w:hAnsi="Lato"/>
        </w:rPr>
      </w:pPr>
    </w:p>
    <w:p w14:paraId="7D4BD648" w14:textId="77777777" w:rsidR="00E0074D" w:rsidRPr="001362A6" w:rsidRDefault="00E0074D">
      <w:pPr>
        <w:rPr>
          <w:rFonts w:ascii="Lato" w:hAnsi="Lato"/>
        </w:rPr>
      </w:pPr>
    </w:p>
    <w:p w14:paraId="61688FB3" w14:textId="77777777" w:rsidR="00E0074D" w:rsidRPr="001362A6" w:rsidRDefault="00E0074D">
      <w:pPr>
        <w:rPr>
          <w:rFonts w:ascii="Lato" w:hAnsi="Lato"/>
        </w:rPr>
      </w:pPr>
    </w:p>
    <w:p w14:paraId="035DB680" w14:textId="77777777" w:rsidR="00E0074D" w:rsidRPr="001362A6" w:rsidRDefault="00E0074D">
      <w:pPr>
        <w:rPr>
          <w:rFonts w:ascii="Lato" w:hAnsi="Lato"/>
        </w:rPr>
      </w:pPr>
    </w:p>
    <w:p w14:paraId="3D2EF244" w14:textId="77777777" w:rsidR="00E0074D" w:rsidRPr="001362A6" w:rsidRDefault="00E0074D">
      <w:pPr>
        <w:rPr>
          <w:rFonts w:ascii="Lato" w:hAnsi="Lato"/>
        </w:rPr>
      </w:pPr>
    </w:p>
    <w:p w14:paraId="4D10E329" w14:textId="77777777" w:rsidR="00E0074D" w:rsidRPr="001362A6" w:rsidRDefault="00E0074D">
      <w:pPr>
        <w:rPr>
          <w:rFonts w:ascii="Lato" w:hAnsi="Lato"/>
        </w:rPr>
      </w:pPr>
    </w:p>
    <w:p w14:paraId="1BE7682D" w14:textId="77777777" w:rsidR="00E0074D" w:rsidRPr="001362A6" w:rsidRDefault="00E0074D">
      <w:pPr>
        <w:rPr>
          <w:rFonts w:ascii="Lato" w:hAnsi="Lato"/>
        </w:rPr>
      </w:pPr>
    </w:p>
    <w:p w14:paraId="17943661" w14:textId="77777777" w:rsidR="00E0074D" w:rsidRPr="001362A6" w:rsidRDefault="00E0074D">
      <w:pPr>
        <w:rPr>
          <w:rFonts w:ascii="Lato" w:hAnsi="Lato"/>
        </w:rPr>
      </w:pPr>
    </w:p>
    <w:p w14:paraId="2BF6EB46" w14:textId="77777777" w:rsidR="00E0074D" w:rsidRPr="001362A6" w:rsidRDefault="00E0074D">
      <w:pPr>
        <w:rPr>
          <w:rFonts w:ascii="Lato" w:hAnsi="Lato"/>
        </w:rPr>
      </w:pPr>
    </w:p>
    <w:p w14:paraId="3AACB392" w14:textId="77777777" w:rsidR="00E0074D" w:rsidRPr="001362A6" w:rsidRDefault="00E0074D">
      <w:pPr>
        <w:rPr>
          <w:rFonts w:ascii="Lato" w:hAnsi="Lato"/>
        </w:rPr>
      </w:pPr>
    </w:p>
    <w:p w14:paraId="0E71CB66" w14:textId="77777777" w:rsidR="00E0074D" w:rsidRPr="001362A6" w:rsidRDefault="00E0074D">
      <w:pPr>
        <w:rPr>
          <w:rFonts w:ascii="Lato" w:hAnsi="Lato"/>
        </w:rPr>
      </w:pPr>
    </w:p>
    <w:p w14:paraId="3E94B5FC" w14:textId="77777777" w:rsidR="00E0074D" w:rsidRPr="001362A6" w:rsidRDefault="00E0074D">
      <w:pPr>
        <w:rPr>
          <w:rFonts w:ascii="Lato" w:hAnsi="Lato"/>
        </w:rPr>
      </w:pPr>
    </w:p>
    <w:p w14:paraId="6A166BA5" w14:textId="77777777" w:rsidR="00E0074D" w:rsidRPr="001362A6" w:rsidRDefault="00E0074D">
      <w:pPr>
        <w:rPr>
          <w:rFonts w:ascii="Lato" w:hAnsi="Lato"/>
        </w:rPr>
      </w:pPr>
    </w:p>
    <w:p w14:paraId="792C96BE" w14:textId="77777777" w:rsidR="00E0074D" w:rsidRPr="001362A6" w:rsidRDefault="00E0074D">
      <w:pPr>
        <w:rPr>
          <w:rFonts w:ascii="Lato" w:hAnsi="Lato"/>
        </w:rPr>
      </w:pPr>
    </w:p>
    <w:p w14:paraId="3E9FF641" w14:textId="77777777" w:rsidR="00E0074D" w:rsidRPr="001362A6" w:rsidRDefault="00E0074D">
      <w:pPr>
        <w:rPr>
          <w:rFonts w:ascii="Lato" w:hAnsi="Lato"/>
        </w:rPr>
      </w:pPr>
    </w:p>
    <w:p w14:paraId="19B6DF93" w14:textId="77777777" w:rsidR="00E0074D" w:rsidRPr="001362A6" w:rsidRDefault="00E0074D">
      <w:pPr>
        <w:rPr>
          <w:rFonts w:ascii="Lato" w:hAnsi="Lato"/>
        </w:rPr>
      </w:pPr>
    </w:p>
    <w:p w14:paraId="17ABDA94" w14:textId="77777777" w:rsidR="00E0074D" w:rsidRPr="001362A6" w:rsidRDefault="00E0074D">
      <w:pPr>
        <w:rPr>
          <w:rFonts w:ascii="Lato" w:hAnsi="Lato"/>
        </w:rPr>
      </w:pPr>
    </w:p>
    <w:p w14:paraId="36ED20E1" w14:textId="77777777" w:rsidR="00E0074D" w:rsidRPr="001362A6" w:rsidRDefault="00946E34">
      <w:pPr>
        <w:rPr>
          <w:rFonts w:ascii="Lato" w:hAnsi="Lato"/>
        </w:rPr>
      </w:pPr>
      <w:r w:rsidRPr="001362A6">
        <w:rPr>
          <w:rFonts w:ascii="Lato" w:hAnsi="Lato"/>
          <w:noProof/>
          <w:lang w:val="en-IE" w:eastAsia="en-IE"/>
        </w:rPr>
        <mc:AlternateContent>
          <mc:Choice Requires="wps">
            <w:drawing>
              <wp:anchor distT="0" distB="0" distL="114300" distR="114300" simplePos="0" relativeHeight="251656192" behindDoc="0" locked="0" layoutInCell="1" allowOverlap="1" wp14:anchorId="2E5B71E1" wp14:editId="052C9F1B">
                <wp:simplePos x="0" y="0"/>
                <wp:positionH relativeFrom="column">
                  <wp:posOffset>2108835</wp:posOffset>
                </wp:positionH>
                <wp:positionV relativeFrom="paragraph">
                  <wp:posOffset>141605</wp:posOffset>
                </wp:positionV>
                <wp:extent cx="3543300" cy="2400300"/>
                <wp:effectExtent l="3810" t="635"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990DB" w14:textId="77777777" w:rsidR="00634B2B" w:rsidRPr="008F37E1" w:rsidRDefault="00634B2B" w:rsidP="008F37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6.05pt;margin-top:11.15pt;width:279pt;height:1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mhdtA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" filled="f" stroked="f">
                <v:textbox>
                  <w:txbxContent>
                    <w:p w:rsidR="00634B2B" w:rsidRPr="008F37E1" w:rsidRDefault="00634B2B" w:rsidP="008F37E1"/>
                  </w:txbxContent>
                </v:textbox>
              </v:shape>
            </w:pict>
          </mc:Fallback>
        </mc:AlternateContent>
      </w:r>
    </w:p>
    <w:p w14:paraId="42132BA8" w14:textId="77777777" w:rsidR="00E0074D" w:rsidRPr="001362A6" w:rsidRDefault="00946E34">
      <w:pPr>
        <w:rPr>
          <w:rFonts w:ascii="Lato" w:hAnsi="Lato"/>
        </w:rPr>
      </w:pPr>
      <w:r w:rsidRPr="001362A6">
        <w:rPr>
          <w:rFonts w:ascii="Lato" w:hAnsi="Lato"/>
          <w:noProof/>
          <w:lang w:val="en-IE" w:eastAsia="en-IE"/>
        </w:rPr>
        <mc:AlternateContent>
          <mc:Choice Requires="wps">
            <w:drawing>
              <wp:anchor distT="0" distB="0" distL="114300" distR="114300" simplePos="0" relativeHeight="251657216" behindDoc="0" locked="0" layoutInCell="1" allowOverlap="1" wp14:anchorId="1BE08489" wp14:editId="0F493851">
                <wp:simplePos x="0" y="0"/>
                <wp:positionH relativeFrom="column">
                  <wp:posOffset>2108835</wp:posOffset>
                </wp:positionH>
                <wp:positionV relativeFrom="paragraph">
                  <wp:posOffset>3295650</wp:posOffset>
                </wp:positionV>
                <wp:extent cx="4000500" cy="685800"/>
                <wp:effectExtent l="3810" t="381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C8D16" w14:textId="77777777" w:rsidR="00634B2B" w:rsidRDefault="00634B2B">
                            <w:pPr>
                              <w:rPr>
                                <w:b/>
                                <w:color w:val="FFFFFF"/>
                                <w:lang w:val="ga-IE"/>
                              </w:rPr>
                            </w:pPr>
                            <w:r>
                              <w:rPr>
                                <w:b/>
                                <w:color w:val="FFFFFF"/>
                                <w:lang w:val="ga-IE"/>
                              </w:rPr>
                              <w:t xml:space="preserve">Instructions Paper    </w:t>
                            </w:r>
                          </w:p>
                          <w:p w14:paraId="44CD7CCD" w14:textId="77777777" w:rsidR="00634B2B" w:rsidRDefault="00634B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66.05pt;margin-top:259.5pt;width:31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Rcmu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" filled="f" stroked="f">
                <v:textbox>
                  <w:txbxContent>
                    <w:p w:rsidR="00634B2B" w:rsidRDefault="00634B2B">
                      <w:pPr>
                        <w:rPr>
                          <w:b/>
                          <w:color w:val="FFFFFF"/>
                          <w:lang w:val="ga-IE"/>
                        </w:rPr>
                      </w:pPr>
                      <w:r>
                        <w:rPr>
                          <w:b/>
                          <w:color w:val="FFFFFF"/>
                          <w:lang w:val="ga-IE"/>
                        </w:rPr>
                        <w:t xml:space="preserve">Instructions Paper    </w:t>
                      </w:r>
                    </w:p>
                    <w:p w:rsidR="00634B2B" w:rsidRDefault="00634B2B"/>
                  </w:txbxContent>
                </v:textbox>
              </v:shape>
            </w:pict>
          </mc:Fallback>
        </mc:AlternateContent>
      </w:r>
    </w:p>
    <w:p w14:paraId="747EB6A7" w14:textId="77777777" w:rsidR="00E0074D" w:rsidRPr="001362A6" w:rsidRDefault="00E0074D">
      <w:pPr>
        <w:rPr>
          <w:rFonts w:ascii="Lato" w:hAnsi="Lato"/>
        </w:rPr>
        <w:sectPr w:rsidR="00E0074D" w:rsidRPr="001362A6">
          <w:headerReference w:type="even" r:id="rId9"/>
          <w:headerReference w:type="default" r:id="rId10"/>
          <w:footerReference w:type="even" r:id="rId11"/>
          <w:footerReference w:type="default" r:id="rId12"/>
          <w:headerReference w:type="first" r:id="rId13"/>
          <w:footerReference w:type="first" r:id="rId14"/>
          <w:pgSz w:w="11904" w:h="16834"/>
          <w:pgMar w:top="1440" w:right="1800" w:bottom="1440" w:left="1800" w:header="708" w:footer="708" w:gutter="0"/>
          <w:cols w:space="708"/>
        </w:sectPr>
      </w:pPr>
    </w:p>
    <w:p w14:paraId="3C3210B7" w14:textId="77777777" w:rsidR="00E0074D" w:rsidRPr="001362A6" w:rsidRDefault="00E0074D">
      <w:pPr>
        <w:pStyle w:val="Title"/>
        <w:rPr>
          <w:rFonts w:ascii="Lato" w:hAnsi="Lato"/>
          <w:sz w:val="22"/>
        </w:rPr>
      </w:pPr>
      <w:r w:rsidRPr="001362A6">
        <w:rPr>
          <w:rFonts w:ascii="Lato" w:hAnsi="Lato"/>
          <w:sz w:val="22"/>
        </w:rPr>
        <w:lastRenderedPageBreak/>
        <w:t>Qualifying Investor</w:t>
      </w:r>
      <w:r w:rsidR="00D6477D" w:rsidRPr="001362A6">
        <w:rPr>
          <w:rFonts w:ascii="Lato" w:hAnsi="Lato"/>
          <w:sz w:val="22"/>
        </w:rPr>
        <w:t xml:space="preserve"> Alternative Investment</w:t>
      </w:r>
      <w:r w:rsidRPr="001362A6">
        <w:rPr>
          <w:rFonts w:ascii="Lato" w:hAnsi="Lato"/>
          <w:sz w:val="22"/>
        </w:rPr>
        <w:t xml:space="preserve"> Funds</w:t>
      </w:r>
      <w:r w:rsidR="004E47D8" w:rsidRPr="001362A6">
        <w:rPr>
          <w:rFonts w:ascii="Lato" w:hAnsi="Lato"/>
          <w:sz w:val="22"/>
        </w:rPr>
        <w:t xml:space="preserve"> </w:t>
      </w:r>
      <w:r w:rsidRPr="001362A6">
        <w:rPr>
          <w:rFonts w:ascii="Lato" w:hAnsi="Lato"/>
          <w:sz w:val="22"/>
        </w:rPr>
        <w:t xml:space="preserve">- Application </w:t>
      </w:r>
      <w:r w:rsidR="00A153DD" w:rsidRPr="001362A6">
        <w:rPr>
          <w:rFonts w:ascii="Lato" w:hAnsi="Lato"/>
          <w:sz w:val="22"/>
        </w:rPr>
        <w:t>F</w:t>
      </w:r>
      <w:r w:rsidRPr="001362A6">
        <w:rPr>
          <w:rFonts w:ascii="Lato" w:hAnsi="Lato"/>
          <w:sz w:val="22"/>
        </w:rPr>
        <w:t>orm</w:t>
      </w:r>
    </w:p>
    <w:p w14:paraId="67B8139F" w14:textId="77777777" w:rsidR="00E0074D" w:rsidRPr="001362A6" w:rsidRDefault="00E0074D">
      <w:pPr>
        <w:jc w:val="center"/>
        <w:rPr>
          <w:rFonts w:ascii="Lato" w:hAnsi="Lato"/>
          <w:b/>
          <w:bCs/>
          <w:sz w:val="22"/>
          <w:lang w:val="en-IE"/>
        </w:rPr>
      </w:pPr>
    </w:p>
    <w:p w14:paraId="1BD59E1F" w14:textId="77777777" w:rsidR="00E0074D" w:rsidRPr="001362A6" w:rsidRDefault="00E0074D">
      <w:pPr>
        <w:jc w:val="center"/>
        <w:rPr>
          <w:rFonts w:ascii="Lato" w:hAnsi="Lato"/>
          <w:b/>
          <w:bCs/>
          <w:sz w:val="22"/>
          <w:lang w:val="en-IE"/>
        </w:rPr>
      </w:pPr>
      <w:r w:rsidRPr="001362A6">
        <w:rPr>
          <w:rFonts w:ascii="Lato" w:hAnsi="Lato"/>
          <w:b/>
          <w:bCs/>
          <w:sz w:val="22"/>
          <w:lang w:val="en-IE"/>
        </w:rPr>
        <w:t xml:space="preserve">Collective investment schemes other than UCITS - Schemes which market solely to Qualifying Investors in accordance with </w:t>
      </w:r>
      <w:r w:rsidR="004E47D8" w:rsidRPr="001362A6">
        <w:rPr>
          <w:rFonts w:ascii="Lato" w:hAnsi="Lato"/>
          <w:b/>
          <w:bCs/>
          <w:sz w:val="22"/>
          <w:lang w:val="en-IE"/>
        </w:rPr>
        <w:t xml:space="preserve">the </w:t>
      </w:r>
      <w:r w:rsidR="006C67E1" w:rsidRPr="001362A6">
        <w:rPr>
          <w:rFonts w:ascii="Lato" w:hAnsi="Lato"/>
          <w:b/>
          <w:bCs/>
          <w:sz w:val="22"/>
          <w:lang w:val="en-IE"/>
        </w:rPr>
        <w:t xml:space="preserve">AIF </w:t>
      </w:r>
      <w:r w:rsidR="00A70AEC" w:rsidRPr="001362A6">
        <w:rPr>
          <w:rFonts w:ascii="Lato" w:hAnsi="Lato"/>
          <w:b/>
          <w:bCs/>
          <w:sz w:val="22"/>
          <w:lang w:val="en-IE"/>
        </w:rPr>
        <w:t>Rulebook</w:t>
      </w:r>
    </w:p>
    <w:p w14:paraId="6D1FB931" w14:textId="77777777" w:rsidR="00E0074D" w:rsidRPr="001362A6" w:rsidRDefault="00E0074D">
      <w:pPr>
        <w:jc w:val="center"/>
        <w:rPr>
          <w:rFonts w:ascii="Lato" w:hAnsi="Lato"/>
          <w:b/>
          <w:bCs/>
          <w:sz w:val="22"/>
          <w:lang w:val="en-IE"/>
        </w:rPr>
      </w:pPr>
    </w:p>
    <w:p w14:paraId="751073E6" w14:textId="77777777" w:rsidR="00E0074D" w:rsidRPr="001362A6" w:rsidRDefault="00E0074D">
      <w:pPr>
        <w:jc w:val="center"/>
        <w:rPr>
          <w:rFonts w:ascii="Lato" w:hAnsi="Lato"/>
          <w:b/>
          <w:bCs/>
          <w:i/>
          <w:iCs/>
          <w:sz w:val="22"/>
          <w:lang w:val="en-IE"/>
        </w:rPr>
      </w:pPr>
      <w:r w:rsidRPr="001362A6">
        <w:rPr>
          <w:rFonts w:ascii="Lato" w:hAnsi="Lato"/>
          <w:b/>
          <w:bCs/>
          <w:i/>
          <w:iCs/>
          <w:sz w:val="22"/>
          <w:lang w:val="en-IE"/>
        </w:rPr>
        <w:t>Applications should be submitted to:</w:t>
      </w:r>
    </w:p>
    <w:p w14:paraId="133B3C5D" w14:textId="77777777" w:rsidR="00E0074D" w:rsidRPr="001362A6" w:rsidRDefault="00E0074D">
      <w:pPr>
        <w:jc w:val="center"/>
        <w:rPr>
          <w:rFonts w:ascii="Lato" w:hAnsi="Lato"/>
          <w:b/>
          <w:bCs/>
          <w:i/>
          <w:iCs/>
          <w:sz w:val="22"/>
          <w:lang w:val="en-IE"/>
        </w:rPr>
      </w:pPr>
      <w:r w:rsidRPr="001362A6">
        <w:rPr>
          <w:rFonts w:ascii="Lato" w:hAnsi="Lato"/>
          <w:b/>
          <w:bCs/>
          <w:i/>
          <w:iCs/>
          <w:sz w:val="22"/>
          <w:lang w:val="en-IE"/>
        </w:rPr>
        <w:t>The Manager</w:t>
      </w:r>
    </w:p>
    <w:p w14:paraId="62876E5C" w14:textId="77777777" w:rsidR="00DC7E5A" w:rsidRPr="001362A6" w:rsidRDefault="00E0074D">
      <w:pPr>
        <w:jc w:val="center"/>
        <w:rPr>
          <w:rFonts w:ascii="Lato" w:hAnsi="Lato"/>
          <w:b/>
          <w:bCs/>
          <w:i/>
          <w:iCs/>
          <w:sz w:val="22"/>
          <w:lang w:val="en-IE"/>
        </w:rPr>
      </w:pPr>
      <w:r w:rsidRPr="001362A6">
        <w:rPr>
          <w:rFonts w:ascii="Lato" w:hAnsi="Lato"/>
          <w:b/>
          <w:bCs/>
          <w:i/>
          <w:iCs/>
          <w:sz w:val="22"/>
          <w:lang w:val="en-IE"/>
        </w:rPr>
        <w:t>Funds Authorisation</w:t>
      </w:r>
      <w:r w:rsidR="00111AF6" w:rsidRPr="001362A6">
        <w:rPr>
          <w:rFonts w:ascii="Lato" w:hAnsi="Lato"/>
          <w:b/>
          <w:bCs/>
          <w:i/>
          <w:iCs/>
          <w:sz w:val="22"/>
          <w:lang w:val="en-IE"/>
        </w:rPr>
        <w:t xml:space="preserve"> </w:t>
      </w:r>
    </w:p>
    <w:p w14:paraId="00A1B091" w14:textId="77777777" w:rsidR="00E0074D" w:rsidRPr="001362A6" w:rsidRDefault="00DC7E5A">
      <w:pPr>
        <w:jc w:val="center"/>
        <w:rPr>
          <w:rFonts w:ascii="Lato" w:hAnsi="Lato"/>
          <w:b/>
          <w:bCs/>
          <w:i/>
          <w:iCs/>
          <w:sz w:val="22"/>
          <w:lang w:val="en-IE"/>
        </w:rPr>
      </w:pPr>
      <w:r w:rsidRPr="001362A6">
        <w:rPr>
          <w:rFonts w:ascii="Lato" w:hAnsi="Lato"/>
          <w:b/>
          <w:bCs/>
          <w:i/>
          <w:iCs/>
          <w:sz w:val="22"/>
          <w:lang w:val="en-IE"/>
        </w:rPr>
        <w:t xml:space="preserve">Securities and Markets Supervision </w:t>
      </w:r>
      <w:r w:rsidR="00111AF6" w:rsidRPr="001362A6">
        <w:rPr>
          <w:rFonts w:ascii="Lato" w:hAnsi="Lato"/>
          <w:b/>
          <w:bCs/>
          <w:i/>
          <w:iCs/>
          <w:sz w:val="22"/>
          <w:lang w:val="en-IE"/>
        </w:rPr>
        <w:t>Division</w:t>
      </w:r>
    </w:p>
    <w:p w14:paraId="55FF68CA" w14:textId="77777777" w:rsidR="008F37E1" w:rsidRPr="001362A6" w:rsidRDefault="008F37E1">
      <w:pPr>
        <w:jc w:val="center"/>
        <w:rPr>
          <w:rFonts w:ascii="Lato" w:hAnsi="Lato"/>
          <w:b/>
          <w:bCs/>
          <w:i/>
          <w:iCs/>
          <w:sz w:val="22"/>
          <w:lang w:val="en-IE"/>
        </w:rPr>
      </w:pPr>
      <w:r w:rsidRPr="001362A6">
        <w:rPr>
          <w:rFonts w:ascii="Lato" w:hAnsi="Lato"/>
          <w:b/>
          <w:bCs/>
          <w:i/>
          <w:iCs/>
          <w:sz w:val="22"/>
          <w:lang w:val="en-IE"/>
        </w:rPr>
        <w:t>Central Bank of Ireland</w:t>
      </w:r>
    </w:p>
    <w:p w14:paraId="4263FD7A" w14:textId="77777777" w:rsidR="00E0074D" w:rsidRPr="001362A6" w:rsidRDefault="00095E6E">
      <w:pPr>
        <w:jc w:val="center"/>
        <w:rPr>
          <w:rFonts w:ascii="Lato" w:hAnsi="Lato"/>
          <w:b/>
          <w:bCs/>
          <w:i/>
          <w:iCs/>
          <w:sz w:val="22"/>
          <w:lang w:val="en-IE"/>
        </w:rPr>
      </w:pPr>
      <w:r w:rsidRPr="001362A6">
        <w:rPr>
          <w:rFonts w:ascii="Lato" w:hAnsi="Lato"/>
          <w:b/>
          <w:bCs/>
          <w:i/>
          <w:iCs/>
          <w:sz w:val="22"/>
          <w:lang w:val="en-IE"/>
        </w:rPr>
        <w:t>PO Box 559</w:t>
      </w:r>
    </w:p>
    <w:p w14:paraId="11000C70" w14:textId="77777777" w:rsidR="00095E6E" w:rsidRPr="001362A6" w:rsidRDefault="00095E6E">
      <w:pPr>
        <w:jc w:val="center"/>
        <w:rPr>
          <w:rFonts w:ascii="Lato" w:hAnsi="Lato"/>
          <w:b/>
          <w:bCs/>
          <w:i/>
          <w:iCs/>
          <w:sz w:val="22"/>
          <w:lang w:val="en-IE"/>
        </w:rPr>
      </w:pPr>
      <w:r w:rsidRPr="001362A6">
        <w:rPr>
          <w:rFonts w:ascii="Lato" w:hAnsi="Lato"/>
          <w:b/>
          <w:bCs/>
          <w:i/>
          <w:iCs/>
          <w:sz w:val="22"/>
          <w:lang w:val="en-IE"/>
        </w:rPr>
        <w:t>Dublin 1</w:t>
      </w:r>
    </w:p>
    <w:p w14:paraId="49E9D35E" w14:textId="77777777" w:rsidR="00E0074D" w:rsidRPr="001362A6" w:rsidRDefault="00E0074D">
      <w:pPr>
        <w:jc w:val="center"/>
        <w:rPr>
          <w:rFonts w:ascii="Lato" w:hAnsi="Lato"/>
          <w:b/>
          <w:bCs/>
          <w:i/>
          <w:iCs/>
          <w:sz w:val="22"/>
          <w:lang w:val="en-IE"/>
        </w:rPr>
      </w:pPr>
    </w:p>
    <w:p w14:paraId="2A5E9D35" w14:textId="77777777" w:rsidR="00E0074D" w:rsidRPr="001362A6" w:rsidRDefault="00E0074D" w:rsidP="006A79BF">
      <w:pPr>
        <w:pStyle w:val="Heading7"/>
        <w:rPr>
          <w:rFonts w:ascii="Lato" w:hAnsi="Lato"/>
        </w:rPr>
      </w:pPr>
      <w:r w:rsidRPr="001362A6">
        <w:rPr>
          <w:rFonts w:ascii="Lato" w:hAnsi="Lato"/>
        </w:rPr>
        <w:t>All sections must be completed</w:t>
      </w:r>
      <w:r w:rsidR="004E47D8" w:rsidRPr="001362A6">
        <w:rPr>
          <w:rFonts w:ascii="Lato" w:hAnsi="Lato"/>
        </w:rPr>
        <w:t>,</w:t>
      </w:r>
      <w:r w:rsidRPr="001362A6">
        <w:rPr>
          <w:rFonts w:ascii="Lato" w:hAnsi="Lato"/>
        </w:rPr>
        <w:t xml:space="preserve"> or noted as not applicable</w:t>
      </w:r>
    </w:p>
    <w:p w14:paraId="0AC1CEDA" w14:textId="77777777" w:rsidR="00E0074D" w:rsidRPr="001362A6" w:rsidRDefault="00E0074D">
      <w:pPr>
        <w:jc w:val="center"/>
        <w:rPr>
          <w:rFonts w:ascii="Lato" w:hAnsi="Lato"/>
          <w:b/>
          <w:bCs/>
          <w:sz w:val="22"/>
          <w:lang w:val="en-IE"/>
        </w:rPr>
      </w:pPr>
    </w:p>
    <w:p w14:paraId="48293771" w14:textId="77777777" w:rsidR="00E0074D" w:rsidRPr="001362A6" w:rsidRDefault="00E0074D">
      <w:pPr>
        <w:jc w:val="center"/>
        <w:rPr>
          <w:rFonts w:ascii="Lato" w:hAnsi="Lato"/>
          <w:b/>
          <w:bCs/>
          <w:sz w:val="22"/>
          <w:lang w:val="en-IE"/>
        </w:rPr>
      </w:pPr>
      <w:r w:rsidRPr="001362A6">
        <w:rPr>
          <w:rFonts w:ascii="Lato" w:hAnsi="Lato"/>
          <w:b/>
          <w:bCs/>
          <w:sz w:val="22"/>
          <w:lang w:val="en-IE"/>
        </w:rPr>
        <w:t>SECTION 1</w:t>
      </w:r>
    </w:p>
    <w:tbl>
      <w:tblPr>
        <w:tblW w:w="10620" w:type="dxa"/>
        <w:tblInd w:w="-1166" w:type="dxa"/>
        <w:tblLook w:val="0000" w:firstRow="0" w:lastRow="0" w:firstColumn="0" w:lastColumn="0" w:noHBand="0" w:noVBand="0"/>
      </w:tblPr>
      <w:tblGrid>
        <w:gridCol w:w="31"/>
        <w:gridCol w:w="1003"/>
        <w:gridCol w:w="78"/>
        <w:gridCol w:w="1317"/>
        <w:gridCol w:w="14"/>
        <w:gridCol w:w="6774"/>
        <w:gridCol w:w="323"/>
        <w:gridCol w:w="22"/>
        <w:gridCol w:w="1038"/>
        <w:gridCol w:w="20"/>
      </w:tblGrid>
      <w:tr w:rsidR="00E0074D" w:rsidRPr="001362A6" w14:paraId="3A6C9E90" w14:textId="77777777" w:rsidTr="006A7F4F">
        <w:trPr>
          <w:gridBefore w:val="1"/>
          <w:gridAfter w:val="1"/>
          <w:wBefore w:w="31" w:type="dxa"/>
          <w:wAfter w:w="20" w:type="dxa"/>
          <w:cantSplit/>
          <w:trHeight w:val="854"/>
        </w:trPr>
        <w:tc>
          <w:tcPr>
            <w:tcW w:w="1081" w:type="dxa"/>
            <w:gridSpan w:val="2"/>
          </w:tcPr>
          <w:p w14:paraId="7040D75E" w14:textId="77777777" w:rsidR="00E0074D" w:rsidRPr="001362A6" w:rsidRDefault="00E0074D">
            <w:pPr>
              <w:rPr>
                <w:rFonts w:ascii="Lato" w:hAnsi="Lato"/>
                <w:sz w:val="22"/>
                <w:szCs w:val="22"/>
                <w:lang w:val="en-IE"/>
              </w:rPr>
            </w:pPr>
          </w:p>
        </w:tc>
        <w:tc>
          <w:tcPr>
            <w:tcW w:w="8428" w:type="dxa"/>
            <w:gridSpan w:val="4"/>
            <w:tcBorders>
              <w:bottom w:val="single" w:sz="4" w:space="0" w:color="auto"/>
            </w:tcBorders>
          </w:tcPr>
          <w:p w14:paraId="029331E1" w14:textId="77777777" w:rsidR="00E0074D" w:rsidRPr="001362A6" w:rsidRDefault="001723DC" w:rsidP="0042571B">
            <w:pPr>
              <w:jc w:val="both"/>
              <w:rPr>
                <w:rFonts w:ascii="Lato" w:hAnsi="Lato"/>
                <w:sz w:val="22"/>
                <w:szCs w:val="22"/>
              </w:rPr>
            </w:pPr>
            <w:r w:rsidRPr="001362A6">
              <w:rPr>
                <w:rFonts w:ascii="Lato" w:hAnsi="Lato"/>
                <w:sz w:val="22"/>
                <w:szCs w:val="22"/>
              </w:rPr>
              <w:t>Applicants are reminded of the provisions of Regulations 129 of the UCITS Regulations 2011 / Section 29 of the Investment Limited Partnerships Act 1994</w:t>
            </w:r>
            <w:r w:rsidR="001970B6">
              <w:rPr>
                <w:rFonts w:ascii="Lato" w:hAnsi="Lato"/>
                <w:sz w:val="22"/>
                <w:szCs w:val="22"/>
              </w:rPr>
              <w:t>, as amended,</w:t>
            </w:r>
            <w:r w:rsidRPr="001362A6">
              <w:rPr>
                <w:rFonts w:ascii="Lato" w:hAnsi="Lato"/>
                <w:sz w:val="22"/>
                <w:szCs w:val="22"/>
              </w:rPr>
              <w:t xml:space="preserve"> which allows the Central Bank to revoke authorisation issued to an alternative investment fund including in situations where the </w:t>
            </w:r>
            <w:r w:rsidR="00A153DD" w:rsidRPr="001362A6">
              <w:rPr>
                <w:rFonts w:ascii="Lato" w:hAnsi="Lato"/>
                <w:sz w:val="22"/>
                <w:szCs w:val="22"/>
              </w:rPr>
              <w:t>Cent</w:t>
            </w:r>
            <w:r w:rsidR="00095E6E" w:rsidRPr="001362A6">
              <w:rPr>
                <w:rFonts w:ascii="Lato" w:hAnsi="Lato"/>
                <w:sz w:val="22"/>
                <w:szCs w:val="22"/>
              </w:rPr>
              <w:t>r</w:t>
            </w:r>
            <w:r w:rsidR="00A153DD" w:rsidRPr="001362A6">
              <w:rPr>
                <w:rFonts w:ascii="Lato" w:hAnsi="Lato"/>
                <w:sz w:val="22"/>
                <w:szCs w:val="22"/>
              </w:rPr>
              <w:t xml:space="preserve">al </w:t>
            </w:r>
            <w:r w:rsidRPr="001362A6">
              <w:rPr>
                <w:rFonts w:ascii="Lato" w:hAnsi="Lato"/>
                <w:sz w:val="22"/>
                <w:szCs w:val="22"/>
              </w:rPr>
              <w:t>Bank has been furnished with false, inaccurate or misleading information.  Applicants are also advised that they should not omit information which is likely to be relevant to the Central Banks assessment of the application.  Issues arising within applications of this nature are likely to be relevant to any future assessment of individuals under the Fitness and Probity Standards.</w:t>
            </w:r>
          </w:p>
          <w:p w14:paraId="63ED3A9C" w14:textId="77777777" w:rsidR="0042571B" w:rsidRPr="001362A6" w:rsidRDefault="0042571B" w:rsidP="0042571B">
            <w:pPr>
              <w:jc w:val="both"/>
              <w:rPr>
                <w:rFonts w:ascii="Lato" w:hAnsi="Lato"/>
                <w:bCs/>
                <w:sz w:val="22"/>
                <w:szCs w:val="22"/>
                <w:lang w:val="en-IE"/>
              </w:rPr>
            </w:pPr>
          </w:p>
        </w:tc>
        <w:tc>
          <w:tcPr>
            <w:tcW w:w="1060" w:type="dxa"/>
            <w:gridSpan w:val="2"/>
          </w:tcPr>
          <w:p w14:paraId="1EEE6385" w14:textId="77777777" w:rsidR="00E0074D" w:rsidRPr="001362A6" w:rsidRDefault="00E0074D">
            <w:pPr>
              <w:pStyle w:val="Heading2"/>
              <w:spacing w:before="0" w:after="0" w:line="240" w:lineRule="auto"/>
              <w:rPr>
                <w:rFonts w:ascii="Lato" w:hAnsi="Lato"/>
                <w:color w:val="auto"/>
                <w:sz w:val="22"/>
                <w:szCs w:val="22"/>
              </w:rPr>
            </w:pPr>
          </w:p>
        </w:tc>
      </w:tr>
      <w:tr w:rsidR="00E0074D" w:rsidRPr="001362A6" w14:paraId="09BD4096" w14:textId="77777777" w:rsidTr="006A7F4F">
        <w:trPr>
          <w:gridBefore w:val="1"/>
          <w:gridAfter w:val="1"/>
          <w:wBefore w:w="31" w:type="dxa"/>
          <w:wAfter w:w="20" w:type="dxa"/>
        </w:trPr>
        <w:tc>
          <w:tcPr>
            <w:tcW w:w="1081" w:type="dxa"/>
            <w:gridSpan w:val="2"/>
            <w:tcBorders>
              <w:right w:val="single" w:sz="4" w:space="0" w:color="auto"/>
            </w:tcBorders>
          </w:tcPr>
          <w:p w14:paraId="740BCB75" w14:textId="77777777" w:rsidR="00E0074D" w:rsidRPr="001362A6" w:rsidRDefault="00E0074D">
            <w:pPr>
              <w:rPr>
                <w:rFonts w:ascii="Lato" w:hAnsi="Lato"/>
                <w:b/>
                <w:bCs/>
                <w:sz w:val="22"/>
                <w:szCs w:val="22"/>
                <w:lang w:val="en-IE"/>
              </w:rPr>
            </w:pPr>
            <w:r w:rsidRPr="001362A6">
              <w:rPr>
                <w:rFonts w:ascii="Lato" w:hAnsi="Lato"/>
                <w:b/>
                <w:bCs/>
                <w:sz w:val="22"/>
                <w:szCs w:val="22"/>
                <w:lang w:val="en-IE"/>
              </w:rPr>
              <w:t>1.1</w:t>
            </w:r>
          </w:p>
        </w:tc>
        <w:tc>
          <w:tcPr>
            <w:tcW w:w="8428" w:type="dxa"/>
            <w:gridSpan w:val="4"/>
            <w:tcBorders>
              <w:top w:val="single" w:sz="4" w:space="0" w:color="auto"/>
              <w:left w:val="single" w:sz="4" w:space="0" w:color="auto"/>
              <w:bottom w:val="single" w:sz="4" w:space="0" w:color="auto"/>
              <w:right w:val="single" w:sz="4" w:space="0" w:color="auto"/>
            </w:tcBorders>
          </w:tcPr>
          <w:p w14:paraId="03893CD8" w14:textId="77777777" w:rsidR="00E0074D" w:rsidRPr="001362A6" w:rsidRDefault="00E0074D">
            <w:pPr>
              <w:pStyle w:val="Heading2"/>
              <w:spacing w:before="0" w:after="0" w:line="240" w:lineRule="auto"/>
              <w:rPr>
                <w:rFonts w:ascii="Lato" w:hAnsi="Lato"/>
                <w:color w:val="auto"/>
                <w:sz w:val="22"/>
                <w:szCs w:val="22"/>
              </w:rPr>
            </w:pPr>
            <w:r w:rsidRPr="001362A6">
              <w:rPr>
                <w:rFonts w:ascii="Lato" w:hAnsi="Lato"/>
                <w:color w:val="auto"/>
                <w:sz w:val="22"/>
                <w:szCs w:val="22"/>
              </w:rPr>
              <w:t>TITLE</w:t>
            </w:r>
          </w:p>
        </w:tc>
        <w:tc>
          <w:tcPr>
            <w:tcW w:w="1060" w:type="dxa"/>
            <w:gridSpan w:val="2"/>
            <w:tcBorders>
              <w:left w:val="single" w:sz="4" w:space="0" w:color="auto"/>
            </w:tcBorders>
          </w:tcPr>
          <w:p w14:paraId="42EFEF54" w14:textId="77777777" w:rsidR="00E0074D" w:rsidRPr="001362A6" w:rsidRDefault="00E0074D">
            <w:pPr>
              <w:rPr>
                <w:rFonts w:ascii="Lato" w:hAnsi="Lato"/>
                <w:sz w:val="22"/>
                <w:szCs w:val="22"/>
                <w:lang w:val="en-IE"/>
              </w:rPr>
            </w:pPr>
          </w:p>
        </w:tc>
      </w:tr>
      <w:tr w:rsidR="00E0074D" w:rsidRPr="001362A6" w14:paraId="6592C856" w14:textId="77777777" w:rsidTr="006A7F4F">
        <w:trPr>
          <w:gridBefore w:val="1"/>
          <w:gridAfter w:val="1"/>
          <w:wBefore w:w="31" w:type="dxa"/>
          <w:wAfter w:w="20" w:type="dxa"/>
        </w:trPr>
        <w:tc>
          <w:tcPr>
            <w:tcW w:w="1081" w:type="dxa"/>
            <w:gridSpan w:val="2"/>
          </w:tcPr>
          <w:p w14:paraId="3C637084" w14:textId="77777777" w:rsidR="00E0074D" w:rsidRPr="001362A6" w:rsidRDefault="00E0074D">
            <w:pPr>
              <w:rPr>
                <w:rFonts w:ascii="Lato" w:hAnsi="Lato"/>
                <w:sz w:val="22"/>
                <w:szCs w:val="22"/>
                <w:lang w:val="en-IE"/>
              </w:rPr>
            </w:pPr>
          </w:p>
        </w:tc>
        <w:tc>
          <w:tcPr>
            <w:tcW w:w="8428" w:type="dxa"/>
            <w:gridSpan w:val="4"/>
            <w:tcBorders>
              <w:top w:val="single" w:sz="4" w:space="0" w:color="auto"/>
            </w:tcBorders>
          </w:tcPr>
          <w:p w14:paraId="4DE0505E" w14:textId="77777777" w:rsidR="00E0074D" w:rsidRPr="001362A6" w:rsidRDefault="00E0074D">
            <w:pPr>
              <w:rPr>
                <w:rFonts w:ascii="Lato" w:hAnsi="Lato"/>
                <w:sz w:val="22"/>
                <w:szCs w:val="22"/>
                <w:lang w:val="en-IE"/>
              </w:rPr>
            </w:pPr>
          </w:p>
        </w:tc>
        <w:tc>
          <w:tcPr>
            <w:tcW w:w="1060" w:type="dxa"/>
            <w:gridSpan w:val="2"/>
          </w:tcPr>
          <w:p w14:paraId="31780CE0" w14:textId="77777777" w:rsidR="00E0074D" w:rsidRPr="001362A6" w:rsidRDefault="00E0074D">
            <w:pPr>
              <w:rPr>
                <w:rFonts w:ascii="Lato" w:hAnsi="Lato"/>
                <w:sz w:val="22"/>
                <w:szCs w:val="22"/>
                <w:lang w:val="en-IE"/>
              </w:rPr>
            </w:pPr>
          </w:p>
        </w:tc>
      </w:tr>
      <w:tr w:rsidR="00E0074D" w:rsidRPr="001362A6" w14:paraId="291CB223" w14:textId="77777777" w:rsidTr="004E610C">
        <w:trPr>
          <w:gridBefore w:val="1"/>
          <w:gridAfter w:val="1"/>
          <w:wBefore w:w="31" w:type="dxa"/>
          <w:wAfter w:w="20" w:type="dxa"/>
        </w:trPr>
        <w:tc>
          <w:tcPr>
            <w:tcW w:w="1081" w:type="dxa"/>
            <w:gridSpan w:val="2"/>
          </w:tcPr>
          <w:p w14:paraId="4B1C78B6" w14:textId="77777777" w:rsidR="00E0074D" w:rsidRPr="001362A6" w:rsidRDefault="00E0074D">
            <w:pPr>
              <w:rPr>
                <w:rFonts w:ascii="Lato" w:hAnsi="Lato"/>
                <w:sz w:val="22"/>
                <w:szCs w:val="22"/>
                <w:lang w:val="en-IE"/>
              </w:rPr>
            </w:pPr>
            <w:r w:rsidRPr="001362A6">
              <w:rPr>
                <w:rFonts w:ascii="Lato" w:hAnsi="Lato"/>
                <w:sz w:val="22"/>
                <w:szCs w:val="22"/>
                <w:lang w:val="en-IE"/>
              </w:rPr>
              <w:t>1.1.1</w:t>
            </w:r>
          </w:p>
        </w:tc>
        <w:tc>
          <w:tcPr>
            <w:tcW w:w="8428" w:type="dxa"/>
            <w:gridSpan w:val="4"/>
            <w:tcBorders>
              <w:bottom w:val="single" w:sz="4" w:space="0" w:color="auto"/>
            </w:tcBorders>
          </w:tcPr>
          <w:p w14:paraId="1E4FC66B" w14:textId="77777777" w:rsidR="00E0074D" w:rsidRPr="001362A6" w:rsidRDefault="00E0074D">
            <w:pPr>
              <w:rPr>
                <w:rFonts w:ascii="Lato" w:hAnsi="Lato"/>
                <w:sz w:val="22"/>
                <w:szCs w:val="22"/>
                <w:lang w:val="en-IE"/>
              </w:rPr>
            </w:pPr>
            <w:r w:rsidRPr="001362A6">
              <w:rPr>
                <w:rFonts w:ascii="Lato" w:hAnsi="Lato"/>
                <w:sz w:val="22"/>
                <w:szCs w:val="22"/>
                <w:lang w:val="en-IE"/>
              </w:rPr>
              <w:t xml:space="preserve">Name of the </w:t>
            </w:r>
            <w:r w:rsidR="00D6477D" w:rsidRPr="001362A6">
              <w:rPr>
                <w:rFonts w:ascii="Lato" w:hAnsi="Lato"/>
                <w:sz w:val="22"/>
                <w:szCs w:val="22"/>
                <w:lang w:val="en-IE"/>
              </w:rPr>
              <w:t>Q</w:t>
            </w:r>
            <w:r w:rsidR="00E300EA" w:rsidRPr="001362A6">
              <w:rPr>
                <w:rFonts w:ascii="Lato" w:hAnsi="Lato"/>
                <w:sz w:val="22"/>
                <w:szCs w:val="22"/>
                <w:lang w:val="en-IE"/>
              </w:rPr>
              <w:t>ualifyin</w:t>
            </w:r>
            <w:r w:rsidR="004E610C" w:rsidRPr="001362A6">
              <w:rPr>
                <w:rFonts w:ascii="Lato" w:hAnsi="Lato"/>
                <w:sz w:val="22"/>
                <w:szCs w:val="22"/>
                <w:lang w:val="en-IE"/>
              </w:rPr>
              <w:t>g</w:t>
            </w:r>
            <w:r w:rsidR="00E300EA" w:rsidRPr="001362A6">
              <w:rPr>
                <w:rFonts w:ascii="Lato" w:hAnsi="Lato"/>
                <w:sz w:val="22"/>
                <w:szCs w:val="22"/>
                <w:lang w:val="en-IE"/>
              </w:rPr>
              <w:t xml:space="preserve"> </w:t>
            </w:r>
            <w:r w:rsidR="00D6477D" w:rsidRPr="001362A6">
              <w:rPr>
                <w:rFonts w:ascii="Lato" w:hAnsi="Lato"/>
                <w:sz w:val="22"/>
                <w:szCs w:val="22"/>
                <w:lang w:val="en-IE"/>
              </w:rPr>
              <w:t>I</w:t>
            </w:r>
            <w:r w:rsidR="00E300EA" w:rsidRPr="001362A6">
              <w:rPr>
                <w:rFonts w:ascii="Lato" w:hAnsi="Lato"/>
                <w:sz w:val="22"/>
                <w:szCs w:val="22"/>
                <w:lang w:val="en-IE"/>
              </w:rPr>
              <w:t xml:space="preserve">nvestor </w:t>
            </w:r>
            <w:r w:rsidR="00D6477D" w:rsidRPr="001362A6">
              <w:rPr>
                <w:rFonts w:ascii="Lato" w:hAnsi="Lato"/>
                <w:sz w:val="22"/>
                <w:szCs w:val="22"/>
                <w:lang w:val="en-IE"/>
              </w:rPr>
              <w:t>AIF</w:t>
            </w:r>
          </w:p>
        </w:tc>
        <w:tc>
          <w:tcPr>
            <w:tcW w:w="1060" w:type="dxa"/>
            <w:gridSpan w:val="2"/>
          </w:tcPr>
          <w:p w14:paraId="757BCAB7" w14:textId="77777777" w:rsidR="00E0074D" w:rsidRPr="001362A6" w:rsidRDefault="00E0074D">
            <w:pPr>
              <w:rPr>
                <w:rFonts w:ascii="Lato" w:hAnsi="Lato"/>
                <w:sz w:val="22"/>
                <w:szCs w:val="22"/>
                <w:lang w:val="en-IE"/>
              </w:rPr>
            </w:pPr>
          </w:p>
        </w:tc>
      </w:tr>
      <w:tr w:rsidR="00E0074D" w:rsidRPr="001362A6" w14:paraId="06998D64" w14:textId="77777777" w:rsidTr="004E610C">
        <w:trPr>
          <w:gridBefore w:val="1"/>
          <w:gridAfter w:val="1"/>
          <w:wBefore w:w="31" w:type="dxa"/>
          <w:wAfter w:w="20" w:type="dxa"/>
        </w:trPr>
        <w:tc>
          <w:tcPr>
            <w:tcW w:w="1081" w:type="dxa"/>
            <w:gridSpan w:val="2"/>
            <w:tcBorders>
              <w:right w:val="single" w:sz="4" w:space="0" w:color="auto"/>
            </w:tcBorders>
          </w:tcPr>
          <w:p w14:paraId="4CEAB2AB" w14:textId="77777777" w:rsidR="00E0074D" w:rsidRPr="001362A6" w:rsidRDefault="00E0074D">
            <w:pPr>
              <w:rPr>
                <w:rFonts w:ascii="Lato" w:hAnsi="Lato"/>
                <w:sz w:val="22"/>
                <w:szCs w:val="22"/>
                <w:lang w:val="en-IE"/>
              </w:rPr>
            </w:pPr>
          </w:p>
        </w:tc>
        <w:tc>
          <w:tcPr>
            <w:tcW w:w="8428" w:type="dxa"/>
            <w:gridSpan w:val="4"/>
            <w:tcBorders>
              <w:top w:val="single" w:sz="4" w:space="0" w:color="auto"/>
              <w:left w:val="single" w:sz="4" w:space="0" w:color="auto"/>
              <w:bottom w:val="single" w:sz="4" w:space="0" w:color="auto"/>
              <w:right w:val="single" w:sz="4" w:space="0" w:color="auto"/>
            </w:tcBorders>
          </w:tcPr>
          <w:p w14:paraId="62D52EAC" w14:textId="77777777" w:rsidR="00E0074D" w:rsidRPr="001362A6" w:rsidRDefault="00E0074D">
            <w:pPr>
              <w:rPr>
                <w:rFonts w:ascii="Lato" w:hAnsi="Lato"/>
                <w:sz w:val="22"/>
                <w:szCs w:val="22"/>
                <w:lang w:val="en-IE"/>
              </w:rPr>
            </w:pPr>
          </w:p>
        </w:tc>
        <w:tc>
          <w:tcPr>
            <w:tcW w:w="1060" w:type="dxa"/>
            <w:gridSpan w:val="2"/>
            <w:tcBorders>
              <w:left w:val="single" w:sz="4" w:space="0" w:color="auto"/>
            </w:tcBorders>
          </w:tcPr>
          <w:p w14:paraId="276C738C" w14:textId="77777777" w:rsidR="00E0074D" w:rsidRPr="001362A6" w:rsidRDefault="00E0074D">
            <w:pPr>
              <w:rPr>
                <w:rFonts w:ascii="Lato" w:hAnsi="Lato"/>
                <w:sz w:val="22"/>
                <w:szCs w:val="22"/>
                <w:lang w:val="en-IE"/>
              </w:rPr>
            </w:pPr>
          </w:p>
        </w:tc>
      </w:tr>
      <w:tr w:rsidR="00E0074D" w:rsidRPr="001362A6" w14:paraId="7740C15A" w14:textId="77777777" w:rsidTr="004E610C">
        <w:trPr>
          <w:gridBefore w:val="1"/>
          <w:gridAfter w:val="1"/>
          <w:wBefore w:w="31" w:type="dxa"/>
          <w:wAfter w:w="20" w:type="dxa"/>
        </w:trPr>
        <w:tc>
          <w:tcPr>
            <w:tcW w:w="1081" w:type="dxa"/>
            <w:gridSpan w:val="2"/>
          </w:tcPr>
          <w:p w14:paraId="4BD1EC66" w14:textId="77777777" w:rsidR="00E0074D" w:rsidRPr="001362A6" w:rsidRDefault="00E0074D">
            <w:pPr>
              <w:rPr>
                <w:rFonts w:ascii="Lato" w:hAnsi="Lato"/>
                <w:sz w:val="22"/>
                <w:szCs w:val="22"/>
                <w:lang w:val="en-IE"/>
              </w:rPr>
            </w:pPr>
          </w:p>
        </w:tc>
        <w:tc>
          <w:tcPr>
            <w:tcW w:w="8428" w:type="dxa"/>
            <w:gridSpan w:val="4"/>
            <w:tcBorders>
              <w:top w:val="single" w:sz="4" w:space="0" w:color="auto"/>
            </w:tcBorders>
          </w:tcPr>
          <w:p w14:paraId="4F66F24D" w14:textId="77777777" w:rsidR="00E0074D" w:rsidRPr="001362A6" w:rsidRDefault="00E0074D">
            <w:pPr>
              <w:rPr>
                <w:rFonts w:ascii="Lato" w:hAnsi="Lato"/>
                <w:sz w:val="22"/>
                <w:szCs w:val="22"/>
                <w:lang w:val="en-IE"/>
              </w:rPr>
            </w:pPr>
          </w:p>
        </w:tc>
        <w:tc>
          <w:tcPr>
            <w:tcW w:w="1060" w:type="dxa"/>
            <w:gridSpan w:val="2"/>
          </w:tcPr>
          <w:p w14:paraId="3B6A475E" w14:textId="77777777" w:rsidR="00E0074D" w:rsidRPr="001362A6" w:rsidRDefault="00E0074D">
            <w:pPr>
              <w:rPr>
                <w:rFonts w:ascii="Lato" w:hAnsi="Lato"/>
                <w:sz w:val="22"/>
                <w:szCs w:val="22"/>
                <w:lang w:val="en-IE"/>
              </w:rPr>
            </w:pPr>
          </w:p>
        </w:tc>
      </w:tr>
      <w:tr w:rsidR="004E610C" w:rsidRPr="001362A6" w14:paraId="3F36AE81" w14:textId="77777777" w:rsidTr="004E610C">
        <w:trPr>
          <w:gridBefore w:val="1"/>
          <w:gridAfter w:val="1"/>
          <w:wBefore w:w="31" w:type="dxa"/>
          <w:wAfter w:w="20" w:type="dxa"/>
        </w:trPr>
        <w:tc>
          <w:tcPr>
            <w:tcW w:w="1081" w:type="dxa"/>
            <w:gridSpan w:val="2"/>
          </w:tcPr>
          <w:p w14:paraId="0A46A298" w14:textId="77777777" w:rsidR="004E610C" w:rsidRPr="001362A6" w:rsidRDefault="004E610C">
            <w:pPr>
              <w:rPr>
                <w:rFonts w:ascii="Lato" w:hAnsi="Lato"/>
                <w:sz w:val="22"/>
                <w:szCs w:val="22"/>
                <w:lang w:val="en-IE"/>
              </w:rPr>
            </w:pPr>
            <w:r w:rsidRPr="001362A6">
              <w:rPr>
                <w:rFonts w:ascii="Lato" w:hAnsi="Lato"/>
                <w:sz w:val="22"/>
                <w:szCs w:val="22"/>
                <w:lang w:val="en-IE"/>
              </w:rPr>
              <w:t>1.1.2</w:t>
            </w:r>
          </w:p>
        </w:tc>
        <w:tc>
          <w:tcPr>
            <w:tcW w:w="8428" w:type="dxa"/>
            <w:gridSpan w:val="4"/>
          </w:tcPr>
          <w:p w14:paraId="52D84F4D" w14:textId="77777777" w:rsidR="004E610C" w:rsidRPr="001362A6" w:rsidRDefault="004E610C" w:rsidP="004E610C">
            <w:pPr>
              <w:rPr>
                <w:rFonts w:ascii="Lato" w:hAnsi="Lato"/>
                <w:sz w:val="22"/>
                <w:szCs w:val="22"/>
                <w:lang w:val="en-IE"/>
              </w:rPr>
            </w:pPr>
            <w:r w:rsidRPr="001362A6">
              <w:rPr>
                <w:rFonts w:ascii="Lato" w:hAnsi="Lato"/>
                <w:sz w:val="22"/>
                <w:szCs w:val="22"/>
              </w:rPr>
              <w:t xml:space="preserve">Where applicable state the address of the registered office and the principal place of business  </w:t>
            </w:r>
          </w:p>
        </w:tc>
        <w:tc>
          <w:tcPr>
            <w:tcW w:w="1060" w:type="dxa"/>
            <w:gridSpan w:val="2"/>
          </w:tcPr>
          <w:p w14:paraId="4F670BA6" w14:textId="77777777" w:rsidR="004E610C" w:rsidRPr="001362A6" w:rsidRDefault="004E610C">
            <w:pPr>
              <w:rPr>
                <w:rFonts w:ascii="Lato" w:hAnsi="Lato"/>
                <w:sz w:val="22"/>
                <w:szCs w:val="22"/>
                <w:lang w:val="en-IE"/>
              </w:rPr>
            </w:pPr>
          </w:p>
        </w:tc>
      </w:tr>
      <w:tr w:rsidR="004E610C" w:rsidRPr="001362A6" w14:paraId="4267E282" w14:textId="77777777" w:rsidTr="004E610C">
        <w:trPr>
          <w:gridBefore w:val="1"/>
          <w:gridAfter w:val="1"/>
          <w:wBefore w:w="31" w:type="dxa"/>
          <w:wAfter w:w="20" w:type="dxa"/>
        </w:trPr>
        <w:tc>
          <w:tcPr>
            <w:tcW w:w="1081" w:type="dxa"/>
            <w:gridSpan w:val="2"/>
          </w:tcPr>
          <w:p w14:paraId="2FD1647B" w14:textId="77777777" w:rsidR="004E610C" w:rsidRPr="001362A6" w:rsidRDefault="004E610C">
            <w:pPr>
              <w:rPr>
                <w:rFonts w:ascii="Lato" w:hAnsi="Lato"/>
                <w:sz w:val="22"/>
                <w:szCs w:val="22"/>
                <w:lang w:val="en-IE"/>
              </w:rPr>
            </w:pPr>
          </w:p>
        </w:tc>
        <w:tc>
          <w:tcPr>
            <w:tcW w:w="8428" w:type="dxa"/>
            <w:gridSpan w:val="4"/>
            <w:tcBorders>
              <w:bottom w:val="single" w:sz="4" w:space="0" w:color="auto"/>
            </w:tcBorders>
          </w:tcPr>
          <w:p w14:paraId="0F087F74" w14:textId="77777777" w:rsidR="004E610C" w:rsidRPr="001362A6" w:rsidRDefault="004E610C">
            <w:pPr>
              <w:rPr>
                <w:rFonts w:ascii="Lato" w:hAnsi="Lato"/>
                <w:sz w:val="22"/>
                <w:szCs w:val="22"/>
              </w:rPr>
            </w:pPr>
            <w:r w:rsidRPr="001362A6">
              <w:rPr>
                <w:rFonts w:ascii="Lato" w:hAnsi="Lato"/>
                <w:sz w:val="22"/>
                <w:szCs w:val="22"/>
              </w:rPr>
              <w:t>of the ILP</w:t>
            </w:r>
          </w:p>
        </w:tc>
        <w:tc>
          <w:tcPr>
            <w:tcW w:w="1060" w:type="dxa"/>
            <w:gridSpan w:val="2"/>
          </w:tcPr>
          <w:p w14:paraId="540E4487" w14:textId="77777777" w:rsidR="004E610C" w:rsidRPr="001362A6" w:rsidRDefault="004E610C">
            <w:pPr>
              <w:rPr>
                <w:rFonts w:ascii="Lato" w:hAnsi="Lato"/>
                <w:sz w:val="22"/>
                <w:szCs w:val="22"/>
                <w:lang w:val="en-IE"/>
              </w:rPr>
            </w:pPr>
          </w:p>
        </w:tc>
      </w:tr>
      <w:tr w:rsidR="004E610C" w:rsidRPr="001362A6" w14:paraId="3101F567" w14:textId="77777777" w:rsidTr="004E610C">
        <w:trPr>
          <w:gridBefore w:val="1"/>
          <w:gridAfter w:val="1"/>
          <w:wBefore w:w="31" w:type="dxa"/>
          <w:wAfter w:w="20" w:type="dxa"/>
        </w:trPr>
        <w:tc>
          <w:tcPr>
            <w:tcW w:w="1081" w:type="dxa"/>
            <w:gridSpan w:val="2"/>
            <w:tcBorders>
              <w:right w:val="single" w:sz="4" w:space="0" w:color="auto"/>
            </w:tcBorders>
          </w:tcPr>
          <w:p w14:paraId="26696B8C" w14:textId="77777777" w:rsidR="004E610C" w:rsidRPr="001362A6" w:rsidRDefault="004E610C">
            <w:pPr>
              <w:rPr>
                <w:rFonts w:ascii="Lato" w:hAnsi="Lato"/>
                <w:sz w:val="22"/>
                <w:szCs w:val="22"/>
                <w:lang w:val="en-IE"/>
              </w:rPr>
            </w:pPr>
          </w:p>
        </w:tc>
        <w:tc>
          <w:tcPr>
            <w:tcW w:w="8428" w:type="dxa"/>
            <w:gridSpan w:val="4"/>
            <w:tcBorders>
              <w:top w:val="single" w:sz="4" w:space="0" w:color="auto"/>
              <w:left w:val="single" w:sz="4" w:space="0" w:color="auto"/>
              <w:bottom w:val="single" w:sz="4" w:space="0" w:color="auto"/>
              <w:right w:val="single" w:sz="4" w:space="0" w:color="auto"/>
            </w:tcBorders>
          </w:tcPr>
          <w:p w14:paraId="354F96ED" w14:textId="77777777" w:rsidR="004E610C" w:rsidRPr="001362A6" w:rsidRDefault="004E610C">
            <w:pPr>
              <w:rPr>
                <w:rFonts w:ascii="Lato" w:hAnsi="Lato"/>
                <w:sz w:val="22"/>
                <w:szCs w:val="22"/>
              </w:rPr>
            </w:pPr>
          </w:p>
        </w:tc>
        <w:tc>
          <w:tcPr>
            <w:tcW w:w="1060" w:type="dxa"/>
            <w:gridSpan w:val="2"/>
            <w:tcBorders>
              <w:left w:val="single" w:sz="4" w:space="0" w:color="auto"/>
            </w:tcBorders>
          </w:tcPr>
          <w:p w14:paraId="495DDD5C" w14:textId="77777777" w:rsidR="004E610C" w:rsidRPr="001362A6" w:rsidRDefault="004E610C">
            <w:pPr>
              <w:rPr>
                <w:rFonts w:ascii="Lato" w:hAnsi="Lato"/>
                <w:sz w:val="22"/>
                <w:szCs w:val="22"/>
                <w:lang w:val="en-IE"/>
              </w:rPr>
            </w:pPr>
          </w:p>
        </w:tc>
      </w:tr>
      <w:tr w:rsidR="004E610C" w:rsidRPr="001362A6" w14:paraId="037BC96B" w14:textId="77777777" w:rsidTr="004E610C">
        <w:trPr>
          <w:gridBefore w:val="1"/>
          <w:gridAfter w:val="1"/>
          <w:wBefore w:w="31" w:type="dxa"/>
          <w:wAfter w:w="20" w:type="dxa"/>
        </w:trPr>
        <w:tc>
          <w:tcPr>
            <w:tcW w:w="1081" w:type="dxa"/>
            <w:gridSpan w:val="2"/>
          </w:tcPr>
          <w:p w14:paraId="3330483C" w14:textId="77777777" w:rsidR="004E610C" w:rsidRPr="001362A6" w:rsidRDefault="004E610C">
            <w:pPr>
              <w:rPr>
                <w:rFonts w:ascii="Lato" w:hAnsi="Lato"/>
                <w:sz w:val="22"/>
                <w:szCs w:val="22"/>
                <w:lang w:val="en-IE"/>
              </w:rPr>
            </w:pPr>
          </w:p>
        </w:tc>
        <w:tc>
          <w:tcPr>
            <w:tcW w:w="8428" w:type="dxa"/>
            <w:gridSpan w:val="4"/>
            <w:tcBorders>
              <w:top w:val="single" w:sz="4" w:space="0" w:color="auto"/>
              <w:bottom w:val="single" w:sz="4" w:space="0" w:color="auto"/>
            </w:tcBorders>
          </w:tcPr>
          <w:p w14:paraId="5E4FFB24" w14:textId="77777777" w:rsidR="004E610C" w:rsidRPr="001362A6" w:rsidRDefault="004E610C">
            <w:pPr>
              <w:rPr>
                <w:rFonts w:ascii="Lato" w:hAnsi="Lato"/>
                <w:sz w:val="22"/>
                <w:szCs w:val="22"/>
                <w:lang w:val="en-IE"/>
              </w:rPr>
            </w:pPr>
          </w:p>
        </w:tc>
        <w:tc>
          <w:tcPr>
            <w:tcW w:w="1060" w:type="dxa"/>
            <w:gridSpan w:val="2"/>
          </w:tcPr>
          <w:p w14:paraId="3D6269A6" w14:textId="77777777" w:rsidR="004E610C" w:rsidRPr="001362A6" w:rsidRDefault="004E610C">
            <w:pPr>
              <w:rPr>
                <w:rFonts w:ascii="Lato" w:hAnsi="Lato"/>
                <w:sz w:val="22"/>
                <w:szCs w:val="22"/>
                <w:lang w:val="en-IE"/>
              </w:rPr>
            </w:pPr>
          </w:p>
        </w:tc>
      </w:tr>
      <w:tr w:rsidR="00E0074D" w:rsidRPr="001362A6" w14:paraId="3C2965E6" w14:textId="77777777" w:rsidTr="006A7F4F">
        <w:trPr>
          <w:gridBefore w:val="1"/>
          <w:gridAfter w:val="1"/>
          <w:wBefore w:w="31" w:type="dxa"/>
          <w:wAfter w:w="20" w:type="dxa"/>
        </w:trPr>
        <w:tc>
          <w:tcPr>
            <w:tcW w:w="1081" w:type="dxa"/>
            <w:gridSpan w:val="2"/>
            <w:tcBorders>
              <w:right w:val="single" w:sz="4" w:space="0" w:color="auto"/>
            </w:tcBorders>
          </w:tcPr>
          <w:p w14:paraId="3EEAC59E" w14:textId="77777777" w:rsidR="00E0074D" w:rsidRPr="001362A6" w:rsidRDefault="00E0074D">
            <w:pPr>
              <w:rPr>
                <w:rFonts w:ascii="Lato" w:hAnsi="Lato"/>
                <w:b/>
                <w:bCs/>
                <w:sz w:val="22"/>
                <w:szCs w:val="22"/>
                <w:lang w:val="en-IE"/>
              </w:rPr>
            </w:pPr>
            <w:r w:rsidRPr="001362A6">
              <w:rPr>
                <w:rFonts w:ascii="Lato" w:hAnsi="Lato"/>
                <w:b/>
                <w:bCs/>
                <w:sz w:val="22"/>
                <w:szCs w:val="22"/>
                <w:lang w:val="en-IE"/>
              </w:rPr>
              <w:t>1.2</w:t>
            </w:r>
          </w:p>
        </w:tc>
        <w:tc>
          <w:tcPr>
            <w:tcW w:w="8428" w:type="dxa"/>
            <w:gridSpan w:val="4"/>
            <w:tcBorders>
              <w:top w:val="single" w:sz="4" w:space="0" w:color="auto"/>
              <w:left w:val="single" w:sz="4" w:space="0" w:color="auto"/>
              <w:bottom w:val="single" w:sz="4" w:space="0" w:color="auto"/>
              <w:right w:val="single" w:sz="4" w:space="0" w:color="auto"/>
            </w:tcBorders>
          </w:tcPr>
          <w:p w14:paraId="4FAC1DA2" w14:textId="77777777" w:rsidR="00E0074D" w:rsidRPr="001362A6" w:rsidRDefault="00E0074D">
            <w:pPr>
              <w:pStyle w:val="Heading2"/>
              <w:spacing w:before="0" w:after="0" w:line="240" w:lineRule="auto"/>
              <w:rPr>
                <w:rFonts w:ascii="Lato" w:hAnsi="Lato"/>
                <w:color w:val="auto"/>
                <w:sz w:val="22"/>
                <w:szCs w:val="22"/>
              </w:rPr>
            </w:pPr>
            <w:r w:rsidRPr="001362A6">
              <w:rPr>
                <w:rFonts w:ascii="Lato" w:hAnsi="Lato"/>
                <w:color w:val="auto"/>
                <w:sz w:val="22"/>
                <w:szCs w:val="22"/>
              </w:rPr>
              <w:t>LEGAL STRUCTURE</w:t>
            </w:r>
          </w:p>
        </w:tc>
        <w:tc>
          <w:tcPr>
            <w:tcW w:w="1060" w:type="dxa"/>
            <w:gridSpan w:val="2"/>
            <w:tcBorders>
              <w:left w:val="single" w:sz="4" w:space="0" w:color="auto"/>
            </w:tcBorders>
          </w:tcPr>
          <w:p w14:paraId="18F9A486" w14:textId="77777777" w:rsidR="00E0074D" w:rsidRPr="001362A6" w:rsidRDefault="00E0074D">
            <w:pPr>
              <w:rPr>
                <w:rFonts w:ascii="Lato" w:hAnsi="Lato"/>
                <w:sz w:val="22"/>
                <w:szCs w:val="22"/>
                <w:lang w:val="en-IE"/>
              </w:rPr>
            </w:pPr>
          </w:p>
        </w:tc>
      </w:tr>
      <w:tr w:rsidR="00E0074D" w:rsidRPr="001362A6" w14:paraId="18DA0154" w14:textId="77777777" w:rsidTr="006A7F4F">
        <w:trPr>
          <w:gridBefore w:val="1"/>
          <w:gridAfter w:val="1"/>
          <w:wBefore w:w="31" w:type="dxa"/>
          <w:wAfter w:w="20" w:type="dxa"/>
        </w:trPr>
        <w:tc>
          <w:tcPr>
            <w:tcW w:w="1081" w:type="dxa"/>
            <w:gridSpan w:val="2"/>
          </w:tcPr>
          <w:p w14:paraId="1B36EB65" w14:textId="77777777" w:rsidR="00E0074D" w:rsidRPr="001362A6" w:rsidRDefault="00E0074D">
            <w:pPr>
              <w:rPr>
                <w:rFonts w:ascii="Lato" w:hAnsi="Lato"/>
                <w:sz w:val="22"/>
                <w:szCs w:val="22"/>
                <w:lang w:val="en-IE"/>
              </w:rPr>
            </w:pPr>
          </w:p>
        </w:tc>
        <w:tc>
          <w:tcPr>
            <w:tcW w:w="8428" w:type="dxa"/>
            <w:gridSpan w:val="4"/>
            <w:tcBorders>
              <w:top w:val="single" w:sz="4" w:space="0" w:color="auto"/>
            </w:tcBorders>
          </w:tcPr>
          <w:p w14:paraId="24F13611" w14:textId="77777777" w:rsidR="00E0074D" w:rsidRPr="001362A6" w:rsidRDefault="00E0074D">
            <w:pPr>
              <w:pStyle w:val="Heading2"/>
              <w:spacing w:before="0" w:after="0" w:line="240" w:lineRule="auto"/>
              <w:rPr>
                <w:rFonts w:ascii="Lato" w:hAnsi="Lato"/>
                <w:color w:val="auto"/>
                <w:sz w:val="22"/>
                <w:szCs w:val="22"/>
              </w:rPr>
            </w:pPr>
          </w:p>
        </w:tc>
        <w:tc>
          <w:tcPr>
            <w:tcW w:w="1060" w:type="dxa"/>
            <w:gridSpan w:val="2"/>
          </w:tcPr>
          <w:p w14:paraId="54B402BD" w14:textId="77777777" w:rsidR="00E0074D" w:rsidRPr="001362A6" w:rsidRDefault="00E0074D">
            <w:pPr>
              <w:rPr>
                <w:rFonts w:ascii="Lato" w:hAnsi="Lato"/>
                <w:sz w:val="22"/>
                <w:szCs w:val="22"/>
                <w:lang w:val="en-IE"/>
              </w:rPr>
            </w:pPr>
          </w:p>
        </w:tc>
      </w:tr>
      <w:tr w:rsidR="00E0074D" w:rsidRPr="001362A6" w14:paraId="6AE70B2B" w14:textId="77777777" w:rsidTr="006A7F4F">
        <w:trPr>
          <w:gridBefore w:val="1"/>
          <w:gridAfter w:val="1"/>
          <w:wBefore w:w="31" w:type="dxa"/>
          <w:wAfter w:w="20" w:type="dxa"/>
          <w:cantSplit/>
        </w:trPr>
        <w:tc>
          <w:tcPr>
            <w:tcW w:w="1081" w:type="dxa"/>
            <w:gridSpan w:val="2"/>
          </w:tcPr>
          <w:p w14:paraId="7E719FDF" w14:textId="77777777" w:rsidR="00E0074D" w:rsidRPr="001362A6" w:rsidRDefault="00E0074D">
            <w:pPr>
              <w:rPr>
                <w:rFonts w:ascii="Lato" w:hAnsi="Lato"/>
                <w:sz w:val="22"/>
                <w:szCs w:val="22"/>
                <w:lang w:val="en-IE"/>
              </w:rPr>
            </w:pPr>
            <w:r w:rsidRPr="001362A6">
              <w:rPr>
                <w:rFonts w:ascii="Lato" w:hAnsi="Lato"/>
                <w:sz w:val="22"/>
                <w:szCs w:val="22"/>
                <w:lang w:val="en-IE"/>
              </w:rPr>
              <w:t>1.2.1</w:t>
            </w:r>
          </w:p>
        </w:tc>
        <w:tc>
          <w:tcPr>
            <w:tcW w:w="8428" w:type="dxa"/>
            <w:gridSpan w:val="4"/>
            <w:vMerge w:val="restart"/>
          </w:tcPr>
          <w:p w14:paraId="680F1C3B" w14:textId="77777777" w:rsidR="00E0074D" w:rsidRPr="001362A6" w:rsidRDefault="00E0074D" w:rsidP="00902894">
            <w:pPr>
              <w:rPr>
                <w:rFonts w:ascii="Lato" w:hAnsi="Lato"/>
                <w:sz w:val="22"/>
                <w:szCs w:val="22"/>
                <w:lang w:val="en-IE"/>
              </w:rPr>
            </w:pPr>
            <w:r w:rsidRPr="001362A6">
              <w:rPr>
                <w:rFonts w:ascii="Lato" w:hAnsi="Lato"/>
                <w:sz w:val="22"/>
                <w:szCs w:val="22"/>
                <w:lang w:val="en-IE"/>
              </w:rPr>
              <w:t xml:space="preserve">Legal structure (i.e. Investment Company, </w:t>
            </w:r>
            <w:r w:rsidR="00D144C7" w:rsidRPr="001362A6">
              <w:rPr>
                <w:rFonts w:ascii="Lato" w:hAnsi="Lato"/>
                <w:sz w:val="22"/>
                <w:szCs w:val="22"/>
                <w:lang w:val="en-IE"/>
              </w:rPr>
              <w:t>Irish Collective Asset-</w:t>
            </w:r>
            <w:r w:rsidR="00902894" w:rsidRPr="001362A6">
              <w:rPr>
                <w:rFonts w:ascii="Lato" w:hAnsi="Lato"/>
                <w:sz w:val="22"/>
                <w:szCs w:val="22"/>
                <w:lang w:val="en-IE"/>
              </w:rPr>
              <w:t>m</w:t>
            </w:r>
            <w:r w:rsidR="00D144C7" w:rsidRPr="001362A6">
              <w:rPr>
                <w:rFonts w:ascii="Lato" w:hAnsi="Lato"/>
                <w:sz w:val="22"/>
                <w:szCs w:val="22"/>
                <w:lang w:val="en-IE"/>
              </w:rPr>
              <w:t xml:space="preserve">anagement Vehicle (‘ICAV’), </w:t>
            </w:r>
            <w:r w:rsidRPr="001362A6">
              <w:rPr>
                <w:rFonts w:ascii="Lato" w:hAnsi="Lato"/>
                <w:sz w:val="22"/>
                <w:szCs w:val="22"/>
                <w:lang w:val="en-IE"/>
              </w:rPr>
              <w:t>Unit Trust, Investment Limited Partnership  (‘ILP’) or Common Contractual Fund (‘CCF’))</w:t>
            </w:r>
          </w:p>
        </w:tc>
        <w:tc>
          <w:tcPr>
            <w:tcW w:w="1060" w:type="dxa"/>
            <w:gridSpan w:val="2"/>
          </w:tcPr>
          <w:p w14:paraId="26BAE4C4" w14:textId="77777777" w:rsidR="00E0074D" w:rsidRPr="001362A6" w:rsidRDefault="00E0074D">
            <w:pPr>
              <w:rPr>
                <w:rFonts w:ascii="Lato" w:hAnsi="Lato"/>
                <w:sz w:val="22"/>
                <w:szCs w:val="22"/>
                <w:lang w:val="en-IE"/>
              </w:rPr>
            </w:pPr>
          </w:p>
        </w:tc>
      </w:tr>
      <w:tr w:rsidR="00E0074D" w:rsidRPr="001362A6" w14:paraId="54A6C358" w14:textId="77777777" w:rsidTr="006A7F4F">
        <w:trPr>
          <w:gridBefore w:val="1"/>
          <w:gridAfter w:val="1"/>
          <w:wBefore w:w="31" w:type="dxa"/>
          <w:wAfter w:w="20" w:type="dxa"/>
          <w:cantSplit/>
        </w:trPr>
        <w:tc>
          <w:tcPr>
            <w:tcW w:w="1081" w:type="dxa"/>
            <w:gridSpan w:val="2"/>
          </w:tcPr>
          <w:p w14:paraId="3CA453E7" w14:textId="77777777" w:rsidR="00E0074D" w:rsidRPr="001362A6" w:rsidRDefault="00E0074D">
            <w:pPr>
              <w:rPr>
                <w:rFonts w:ascii="Lato" w:hAnsi="Lato"/>
                <w:sz w:val="22"/>
                <w:szCs w:val="22"/>
                <w:lang w:val="en-IE"/>
              </w:rPr>
            </w:pPr>
          </w:p>
        </w:tc>
        <w:tc>
          <w:tcPr>
            <w:tcW w:w="8428" w:type="dxa"/>
            <w:gridSpan w:val="4"/>
            <w:vMerge/>
            <w:tcBorders>
              <w:bottom w:val="single" w:sz="4" w:space="0" w:color="auto"/>
            </w:tcBorders>
          </w:tcPr>
          <w:p w14:paraId="07339253" w14:textId="77777777" w:rsidR="00E0074D" w:rsidRPr="001362A6" w:rsidRDefault="00E0074D">
            <w:pPr>
              <w:rPr>
                <w:rFonts w:ascii="Lato" w:hAnsi="Lato"/>
                <w:sz w:val="22"/>
                <w:szCs w:val="22"/>
                <w:lang w:val="en-IE"/>
              </w:rPr>
            </w:pPr>
          </w:p>
        </w:tc>
        <w:tc>
          <w:tcPr>
            <w:tcW w:w="1060" w:type="dxa"/>
            <w:gridSpan w:val="2"/>
          </w:tcPr>
          <w:p w14:paraId="60811F9D" w14:textId="77777777" w:rsidR="00E0074D" w:rsidRPr="001362A6" w:rsidRDefault="00E0074D">
            <w:pPr>
              <w:rPr>
                <w:rFonts w:ascii="Lato" w:hAnsi="Lato"/>
                <w:sz w:val="22"/>
                <w:szCs w:val="22"/>
                <w:lang w:val="en-IE"/>
              </w:rPr>
            </w:pPr>
          </w:p>
        </w:tc>
      </w:tr>
      <w:tr w:rsidR="00E0074D" w:rsidRPr="001362A6" w14:paraId="14308F8E" w14:textId="77777777" w:rsidTr="006A7F4F">
        <w:trPr>
          <w:gridBefore w:val="1"/>
          <w:gridAfter w:val="1"/>
          <w:wBefore w:w="31" w:type="dxa"/>
          <w:wAfter w:w="20" w:type="dxa"/>
        </w:trPr>
        <w:tc>
          <w:tcPr>
            <w:tcW w:w="1081" w:type="dxa"/>
            <w:gridSpan w:val="2"/>
            <w:tcBorders>
              <w:right w:val="single" w:sz="4" w:space="0" w:color="auto"/>
            </w:tcBorders>
          </w:tcPr>
          <w:p w14:paraId="1CA0E3BC" w14:textId="77777777" w:rsidR="00E0074D" w:rsidRPr="001362A6" w:rsidRDefault="00E0074D">
            <w:pPr>
              <w:rPr>
                <w:rFonts w:ascii="Lato" w:hAnsi="Lato"/>
                <w:sz w:val="22"/>
                <w:szCs w:val="22"/>
                <w:lang w:val="en-IE"/>
              </w:rPr>
            </w:pPr>
          </w:p>
        </w:tc>
        <w:tc>
          <w:tcPr>
            <w:tcW w:w="8428" w:type="dxa"/>
            <w:gridSpan w:val="4"/>
            <w:tcBorders>
              <w:top w:val="single" w:sz="4" w:space="0" w:color="auto"/>
              <w:left w:val="single" w:sz="4" w:space="0" w:color="auto"/>
              <w:bottom w:val="single" w:sz="4" w:space="0" w:color="auto"/>
              <w:right w:val="single" w:sz="4" w:space="0" w:color="auto"/>
            </w:tcBorders>
          </w:tcPr>
          <w:p w14:paraId="634D51D3" w14:textId="77777777" w:rsidR="00E0074D" w:rsidRPr="001362A6" w:rsidRDefault="00E0074D">
            <w:pPr>
              <w:rPr>
                <w:rFonts w:ascii="Lato" w:hAnsi="Lato"/>
                <w:sz w:val="22"/>
                <w:szCs w:val="22"/>
                <w:lang w:val="en-IE"/>
              </w:rPr>
            </w:pPr>
          </w:p>
        </w:tc>
        <w:tc>
          <w:tcPr>
            <w:tcW w:w="1060" w:type="dxa"/>
            <w:gridSpan w:val="2"/>
            <w:tcBorders>
              <w:left w:val="single" w:sz="4" w:space="0" w:color="auto"/>
            </w:tcBorders>
          </w:tcPr>
          <w:p w14:paraId="28490424" w14:textId="77777777" w:rsidR="00E0074D" w:rsidRPr="001362A6" w:rsidRDefault="00E0074D">
            <w:pPr>
              <w:rPr>
                <w:rFonts w:ascii="Lato" w:hAnsi="Lato"/>
                <w:sz w:val="22"/>
                <w:szCs w:val="22"/>
                <w:lang w:val="en-IE"/>
              </w:rPr>
            </w:pPr>
          </w:p>
        </w:tc>
      </w:tr>
      <w:tr w:rsidR="00E0074D" w:rsidRPr="001362A6" w14:paraId="5665D763" w14:textId="77777777" w:rsidTr="006A7F4F">
        <w:trPr>
          <w:gridBefore w:val="1"/>
          <w:gridAfter w:val="1"/>
          <w:wBefore w:w="31" w:type="dxa"/>
          <w:wAfter w:w="20" w:type="dxa"/>
        </w:trPr>
        <w:tc>
          <w:tcPr>
            <w:tcW w:w="1081" w:type="dxa"/>
            <w:gridSpan w:val="2"/>
          </w:tcPr>
          <w:p w14:paraId="25FFF016" w14:textId="77777777" w:rsidR="00E0074D" w:rsidRPr="001362A6" w:rsidRDefault="00E0074D">
            <w:pPr>
              <w:rPr>
                <w:rFonts w:ascii="Lato" w:hAnsi="Lato"/>
                <w:sz w:val="22"/>
                <w:szCs w:val="22"/>
                <w:lang w:val="en-IE"/>
              </w:rPr>
            </w:pPr>
          </w:p>
        </w:tc>
        <w:tc>
          <w:tcPr>
            <w:tcW w:w="8428" w:type="dxa"/>
            <w:gridSpan w:val="4"/>
            <w:tcBorders>
              <w:top w:val="single" w:sz="4" w:space="0" w:color="auto"/>
            </w:tcBorders>
          </w:tcPr>
          <w:p w14:paraId="66AA49FE" w14:textId="77777777" w:rsidR="00E0074D" w:rsidRPr="001362A6" w:rsidRDefault="00E0074D">
            <w:pPr>
              <w:rPr>
                <w:rFonts w:ascii="Lato" w:hAnsi="Lato"/>
                <w:sz w:val="22"/>
                <w:szCs w:val="22"/>
                <w:lang w:val="en-IE"/>
              </w:rPr>
            </w:pPr>
          </w:p>
        </w:tc>
        <w:tc>
          <w:tcPr>
            <w:tcW w:w="1060" w:type="dxa"/>
            <w:gridSpan w:val="2"/>
            <w:tcBorders>
              <w:bottom w:val="single" w:sz="4" w:space="0" w:color="auto"/>
            </w:tcBorders>
          </w:tcPr>
          <w:p w14:paraId="2DE5727C" w14:textId="77777777" w:rsidR="00E0074D" w:rsidRPr="001362A6" w:rsidRDefault="00E0074D">
            <w:pPr>
              <w:rPr>
                <w:rFonts w:ascii="Lato" w:hAnsi="Lato"/>
                <w:sz w:val="22"/>
                <w:szCs w:val="22"/>
                <w:lang w:val="en-IE"/>
              </w:rPr>
            </w:pPr>
            <w:r w:rsidRPr="001362A6">
              <w:rPr>
                <w:rFonts w:ascii="Lato" w:hAnsi="Lato"/>
                <w:sz w:val="22"/>
                <w:szCs w:val="22"/>
                <w:lang w:val="en-IE"/>
              </w:rPr>
              <w:t>Yes/No</w:t>
            </w:r>
          </w:p>
        </w:tc>
      </w:tr>
      <w:tr w:rsidR="00E0074D" w:rsidRPr="001362A6" w14:paraId="750CE1A4" w14:textId="77777777" w:rsidTr="00A34B20">
        <w:trPr>
          <w:gridBefore w:val="1"/>
          <w:gridAfter w:val="1"/>
          <w:wBefore w:w="31" w:type="dxa"/>
          <w:wAfter w:w="20" w:type="dxa"/>
        </w:trPr>
        <w:tc>
          <w:tcPr>
            <w:tcW w:w="1081" w:type="dxa"/>
            <w:gridSpan w:val="2"/>
          </w:tcPr>
          <w:p w14:paraId="1C04D0BA" w14:textId="77777777" w:rsidR="00E0074D" w:rsidRPr="001362A6" w:rsidRDefault="00E0074D">
            <w:pPr>
              <w:rPr>
                <w:rFonts w:ascii="Lato" w:hAnsi="Lato"/>
                <w:sz w:val="22"/>
                <w:szCs w:val="22"/>
                <w:lang w:val="en-IE"/>
              </w:rPr>
            </w:pPr>
            <w:r w:rsidRPr="001362A6">
              <w:rPr>
                <w:rFonts w:ascii="Lato" w:hAnsi="Lato"/>
                <w:sz w:val="22"/>
                <w:szCs w:val="22"/>
                <w:lang w:val="en-IE"/>
              </w:rPr>
              <w:t>1.2.2</w:t>
            </w:r>
          </w:p>
        </w:tc>
        <w:tc>
          <w:tcPr>
            <w:tcW w:w="8428" w:type="dxa"/>
            <w:gridSpan w:val="4"/>
            <w:tcBorders>
              <w:right w:val="single" w:sz="4" w:space="0" w:color="auto"/>
            </w:tcBorders>
          </w:tcPr>
          <w:p w14:paraId="7FC8284A" w14:textId="77777777" w:rsidR="00E0074D" w:rsidRPr="001362A6" w:rsidRDefault="00E0074D">
            <w:pPr>
              <w:rPr>
                <w:rFonts w:ascii="Lato" w:hAnsi="Lato"/>
                <w:sz w:val="22"/>
                <w:szCs w:val="22"/>
                <w:lang w:val="en-IE"/>
              </w:rPr>
            </w:pPr>
            <w:r w:rsidRPr="001362A6">
              <w:rPr>
                <w:rFonts w:ascii="Lato" w:hAnsi="Lato"/>
                <w:sz w:val="22"/>
                <w:szCs w:val="22"/>
                <w:lang w:val="en-IE"/>
              </w:rPr>
              <w:t xml:space="preserve">Is the </w:t>
            </w:r>
            <w:r w:rsidR="00D6477D" w:rsidRPr="001362A6">
              <w:rPr>
                <w:rFonts w:ascii="Lato" w:hAnsi="Lato"/>
                <w:sz w:val="22"/>
                <w:szCs w:val="22"/>
                <w:lang w:val="en-IE"/>
              </w:rPr>
              <w:t>Q</w:t>
            </w:r>
            <w:r w:rsidR="00E300EA" w:rsidRPr="001362A6">
              <w:rPr>
                <w:rFonts w:ascii="Lato" w:hAnsi="Lato"/>
                <w:sz w:val="22"/>
                <w:szCs w:val="22"/>
                <w:lang w:val="en-IE"/>
              </w:rPr>
              <w:t xml:space="preserve">ualifying </w:t>
            </w:r>
            <w:r w:rsidR="00D6477D" w:rsidRPr="001362A6">
              <w:rPr>
                <w:rFonts w:ascii="Lato" w:hAnsi="Lato"/>
                <w:sz w:val="22"/>
                <w:szCs w:val="22"/>
                <w:lang w:val="en-IE"/>
              </w:rPr>
              <w:t>I</w:t>
            </w:r>
            <w:r w:rsidR="00E300EA" w:rsidRPr="001362A6">
              <w:rPr>
                <w:rFonts w:ascii="Lato" w:hAnsi="Lato"/>
                <w:sz w:val="22"/>
                <w:szCs w:val="22"/>
                <w:lang w:val="en-IE"/>
              </w:rPr>
              <w:t xml:space="preserve">nvestor </w:t>
            </w:r>
            <w:r w:rsidR="00D6477D" w:rsidRPr="001362A6">
              <w:rPr>
                <w:rFonts w:ascii="Lato" w:hAnsi="Lato"/>
                <w:sz w:val="22"/>
                <w:szCs w:val="22"/>
                <w:lang w:val="en-IE"/>
              </w:rPr>
              <w:t>AIF</w:t>
            </w:r>
            <w:r w:rsidRPr="001362A6">
              <w:rPr>
                <w:rFonts w:ascii="Lato" w:hAnsi="Lato"/>
                <w:sz w:val="22"/>
                <w:szCs w:val="22"/>
                <w:lang w:val="en-IE"/>
              </w:rPr>
              <w:t xml:space="preserve"> an umbrella scheme?</w:t>
            </w:r>
          </w:p>
        </w:tc>
        <w:tc>
          <w:tcPr>
            <w:tcW w:w="1060" w:type="dxa"/>
            <w:gridSpan w:val="2"/>
            <w:tcBorders>
              <w:top w:val="single" w:sz="4" w:space="0" w:color="auto"/>
              <w:left w:val="single" w:sz="4" w:space="0" w:color="auto"/>
              <w:bottom w:val="single" w:sz="4" w:space="0" w:color="auto"/>
              <w:right w:val="single" w:sz="4" w:space="0" w:color="auto"/>
            </w:tcBorders>
          </w:tcPr>
          <w:p w14:paraId="3CBE8BFB" w14:textId="77777777" w:rsidR="00E0074D" w:rsidRPr="001362A6" w:rsidRDefault="00E0074D">
            <w:pPr>
              <w:rPr>
                <w:rFonts w:ascii="Lato" w:hAnsi="Lato"/>
                <w:sz w:val="22"/>
                <w:szCs w:val="22"/>
                <w:lang w:val="en-IE"/>
              </w:rPr>
            </w:pPr>
          </w:p>
        </w:tc>
      </w:tr>
      <w:tr w:rsidR="00E0074D" w:rsidRPr="001362A6" w14:paraId="0C4D9304" w14:textId="77777777" w:rsidTr="006A7F4F">
        <w:trPr>
          <w:gridBefore w:val="1"/>
          <w:gridAfter w:val="1"/>
          <w:wBefore w:w="31" w:type="dxa"/>
          <w:wAfter w:w="20" w:type="dxa"/>
        </w:trPr>
        <w:tc>
          <w:tcPr>
            <w:tcW w:w="1081" w:type="dxa"/>
            <w:gridSpan w:val="2"/>
          </w:tcPr>
          <w:p w14:paraId="0A393908" w14:textId="77777777" w:rsidR="00E0074D" w:rsidRPr="001362A6" w:rsidRDefault="00E0074D">
            <w:pPr>
              <w:rPr>
                <w:rFonts w:ascii="Lato" w:hAnsi="Lato"/>
                <w:sz w:val="22"/>
                <w:szCs w:val="22"/>
                <w:lang w:val="en-IE"/>
              </w:rPr>
            </w:pPr>
          </w:p>
        </w:tc>
        <w:tc>
          <w:tcPr>
            <w:tcW w:w="8428" w:type="dxa"/>
            <w:gridSpan w:val="4"/>
          </w:tcPr>
          <w:p w14:paraId="504DA379" w14:textId="77777777" w:rsidR="00E0074D" w:rsidRPr="001362A6" w:rsidRDefault="00E0074D">
            <w:pPr>
              <w:rPr>
                <w:rFonts w:ascii="Lato" w:hAnsi="Lato"/>
                <w:sz w:val="22"/>
                <w:szCs w:val="22"/>
                <w:lang w:val="en-IE"/>
              </w:rPr>
            </w:pPr>
          </w:p>
        </w:tc>
        <w:tc>
          <w:tcPr>
            <w:tcW w:w="1060" w:type="dxa"/>
            <w:gridSpan w:val="2"/>
            <w:tcBorders>
              <w:top w:val="single" w:sz="4" w:space="0" w:color="auto"/>
            </w:tcBorders>
          </w:tcPr>
          <w:p w14:paraId="4D85424E" w14:textId="77777777" w:rsidR="00E0074D" w:rsidRPr="001362A6" w:rsidRDefault="00E0074D">
            <w:pPr>
              <w:rPr>
                <w:rFonts w:ascii="Lato" w:hAnsi="Lato"/>
                <w:sz w:val="22"/>
                <w:szCs w:val="22"/>
                <w:lang w:val="en-IE"/>
              </w:rPr>
            </w:pPr>
          </w:p>
        </w:tc>
      </w:tr>
      <w:tr w:rsidR="00E0074D" w:rsidRPr="001362A6" w14:paraId="5051E580" w14:textId="77777777" w:rsidTr="006A7F4F">
        <w:trPr>
          <w:gridBefore w:val="1"/>
          <w:gridAfter w:val="1"/>
          <w:wBefore w:w="31" w:type="dxa"/>
          <w:wAfter w:w="20" w:type="dxa"/>
        </w:trPr>
        <w:tc>
          <w:tcPr>
            <w:tcW w:w="1081" w:type="dxa"/>
            <w:gridSpan w:val="2"/>
          </w:tcPr>
          <w:p w14:paraId="170DAA6A" w14:textId="77777777" w:rsidR="00E0074D" w:rsidRPr="001362A6" w:rsidRDefault="00E0074D">
            <w:pPr>
              <w:rPr>
                <w:rFonts w:ascii="Lato" w:hAnsi="Lato"/>
                <w:sz w:val="22"/>
                <w:szCs w:val="22"/>
                <w:lang w:val="en-IE"/>
              </w:rPr>
            </w:pPr>
          </w:p>
        </w:tc>
        <w:tc>
          <w:tcPr>
            <w:tcW w:w="8428" w:type="dxa"/>
            <w:gridSpan w:val="4"/>
            <w:tcBorders>
              <w:bottom w:val="single" w:sz="4" w:space="0" w:color="auto"/>
            </w:tcBorders>
          </w:tcPr>
          <w:p w14:paraId="024F7390" w14:textId="77777777" w:rsidR="00E0074D" w:rsidRPr="001362A6" w:rsidRDefault="00E0074D">
            <w:pPr>
              <w:rPr>
                <w:rFonts w:ascii="Lato" w:hAnsi="Lato"/>
                <w:sz w:val="22"/>
                <w:szCs w:val="22"/>
                <w:lang w:val="en-IE"/>
              </w:rPr>
            </w:pPr>
            <w:r w:rsidRPr="001362A6">
              <w:rPr>
                <w:rFonts w:ascii="Lato" w:hAnsi="Lato"/>
                <w:sz w:val="22"/>
                <w:szCs w:val="22"/>
                <w:lang w:val="en-IE"/>
              </w:rPr>
              <w:t>If yes, provide names of sub-Fund(s)</w:t>
            </w:r>
          </w:p>
        </w:tc>
        <w:tc>
          <w:tcPr>
            <w:tcW w:w="1060" w:type="dxa"/>
            <w:gridSpan w:val="2"/>
          </w:tcPr>
          <w:p w14:paraId="3D1100A1" w14:textId="77777777" w:rsidR="00E0074D" w:rsidRPr="001362A6" w:rsidRDefault="00E0074D">
            <w:pPr>
              <w:rPr>
                <w:rFonts w:ascii="Lato" w:hAnsi="Lato"/>
                <w:sz w:val="22"/>
                <w:szCs w:val="22"/>
                <w:lang w:val="en-IE"/>
              </w:rPr>
            </w:pPr>
          </w:p>
        </w:tc>
      </w:tr>
      <w:tr w:rsidR="00E0074D" w:rsidRPr="001362A6" w14:paraId="455986B0" w14:textId="77777777" w:rsidTr="006A7F4F">
        <w:trPr>
          <w:gridBefore w:val="1"/>
          <w:gridAfter w:val="1"/>
          <w:wBefore w:w="31" w:type="dxa"/>
          <w:wAfter w:w="20" w:type="dxa"/>
        </w:trPr>
        <w:tc>
          <w:tcPr>
            <w:tcW w:w="1081" w:type="dxa"/>
            <w:gridSpan w:val="2"/>
            <w:tcBorders>
              <w:right w:val="single" w:sz="4" w:space="0" w:color="auto"/>
            </w:tcBorders>
          </w:tcPr>
          <w:p w14:paraId="70DE3524" w14:textId="77777777" w:rsidR="00E0074D" w:rsidRPr="001362A6" w:rsidRDefault="00E0074D">
            <w:pPr>
              <w:rPr>
                <w:rFonts w:ascii="Lato" w:hAnsi="Lato"/>
                <w:sz w:val="22"/>
                <w:szCs w:val="22"/>
                <w:lang w:val="en-IE"/>
              </w:rPr>
            </w:pPr>
          </w:p>
        </w:tc>
        <w:tc>
          <w:tcPr>
            <w:tcW w:w="8428" w:type="dxa"/>
            <w:gridSpan w:val="4"/>
            <w:tcBorders>
              <w:top w:val="single" w:sz="4" w:space="0" w:color="auto"/>
              <w:left w:val="single" w:sz="4" w:space="0" w:color="auto"/>
              <w:right w:val="single" w:sz="4" w:space="0" w:color="auto"/>
            </w:tcBorders>
          </w:tcPr>
          <w:p w14:paraId="17A99786" w14:textId="77777777" w:rsidR="00E0074D" w:rsidRPr="001362A6" w:rsidRDefault="00E0074D">
            <w:pPr>
              <w:rPr>
                <w:rFonts w:ascii="Lato" w:hAnsi="Lato"/>
                <w:sz w:val="22"/>
                <w:szCs w:val="22"/>
                <w:lang w:val="en-IE"/>
              </w:rPr>
            </w:pPr>
          </w:p>
        </w:tc>
        <w:tc>
          <w:tcPr>
            <w:tcW w:w="1060" w:type="dxa"/>
            <w:gridSpan w:val="2"/>
            <w:tcBorders>
              <w:left w:val="single" w:sz="4" w:space="0" w:color="auto"/>
            </w:tcBorders>
          </w:tcPr>
          <w:p w14:paraId="6026A374" w14:textId="77777777" w:rsidR="00E0074D" w:rsidRPr="001362A6" w:rsidRDefault="00E0074D">
            <w:pPr>
              <w:rPr>
                <w:rFonts w:ascii="Lato" w:hAnsi="Lato"/>
                <w:sz w:val="22"/>
                <w:szCs w:val="22"/>
                <w:lang w:val="en-IE"/>
              </w:rPr>
            </w:pPr>
          </w:p>
        </w:tc>
      </w:tr>
      <w:tr w:rsidR="00E0074D" w:rsidRPr="001362A6" w14:paraId="6FBB6CA9" w14:textId="77777777" w:rsidTr="006A7F4F">
        <w:trPr>
          <w:gridBefore w:val="1"/>
          <w:gridAfter w:val="1"/>
          <w:wBefore w:w="31" w:type="dxa"/>
          <w:wAfter w:w="20" w:type="dxa"/>
        </w:trPr>
        <w:tc>
          <w:tcPr>
            <w:tcW w:w="1081" w:type="dxa"/>
            <w:gridSpan w:val="2"/>
            <w:tcBorders>
              <w:right w:val="single" w:sz="4" w:space="0" w:color="auto"/>
            </w:tcBorders>
          </w:tcPr>
          <w:p w14:paraId="1690D6D8" w14:textId="77777777" w:rsidR="00E0074D" w:rsidRPr="001362A6" w:rsidRDefault="00E0074D">
            <w:pPr>
              <w:rPr>
                <w:rFonts w:ascii="Lato" w:hAnsi="Lato"/>
                <w:sz w:val="22"/>
                <w:szCs w:val="22"/>
                <w:lang w:val="en-IE"/>
              </w:rPr>
            </w:pPr>
          </w:p>
        </w:tc>
        <w:tc>
          <w:tcPr>
            <w:tcW w:w="8428" w:type="dxa"/>
            <w:gridSpan w:val="4"/>
            <w:tcBorders>
              <w:left w:val="single" w:sz="4" w:space="0" w:color="auto"/>
              <w:bottom w:val="single" w:sz="4" w:space="0" w:color="auto"/>
              <w:right w:val="single" w:sz="4" w:space="0" w:color="auto"/>
            </w:tcBorders>
          </w:tcPr>
          <w:p w14:paraId="4D8EEC31" w14:textId="77777777" w:rsidR="00E0074D" w:rsidRPr="001362A6" w:rsidRDefault="00E0074D">
            <w:pPr>
              <w:rPr>
                <w:rFonts w:ascii="Lato" w:hAnsi="Lato"/>
                <w:sz w:val="22"/>
                <w:szCs w:val="22"/>
                <w:lang w:val="en-IE"/>
              </w:rPr>
            </w:pPr>
          </w:p>
        </w:tc>
        <w:tc>
          <w:tcPr>
            <w:tcW w:w="1060" w:type="dxa"/>
            <w:gridSpan w:val="2"/>
            <w:tcBorders>
              <w:left w:val="single" w:sz="4" w:space="0" w:color="auto"/>
            </w:tcBorders>
          </w:tcPr>
          <w:p w14:paraId="7F07F7D4" w14:textId="77777777" w:rsidR="00E0074D" w:rsidRPr="001362A6" w:rsidRDefault="00E0074D">
            <w:pPr>
              <w:rPr>
                <w:rFonts w:ascii="Lato" w:hAnsi="Lato"/>
                <w:sz w:val="22"/>
                <w:szCs w:val="22"/>
                <w:lang w:val="en-IE"/>
              </w:rPr>
            </w:pPr>
          </w:p>
        </w:tc>
      </w:tr>
      <w:tr w:rsidR="00E0074D" w:rsidRPr="001362A6" w14:paraId="5EE1FB67" w14:textId="77777777" w:rsidTr="006A7F4F">
        <w:trPr>
          <w:gridBefore w:val="1"/>
          <w:gridAfter w:val="1"/>
          <w:wBefore w:w="31" w:type="dxa"/>
          <w:wAfter w:w="20" w:type="dxa"/>
        </w:trPr>
        <w:tc>
          <w:tcPr>
            <w:tcW w:w="1081" w:type="dxa"/>
            <w:gridSpan w:val="2"/>
          </w:tcPr>
          <w:p w14:paraId="044477EC" w14:textId="77777777" w:rsidR="00E0074D" w:rsidRPr="001362A6" w:rsidRDefault="00E0074D">
            <w:pPr>
              <w:rPr>
                <w:rFonts w:ascii="Lato" w:hAnsi="Lato"/>
                <w:sz w:val="22"/>
                <w:szCs w:val="22"/>
                <w:lang w:val="en-IE"/>
              </w:rPr>
            </w:pPr>
          </w:p>
        </w:tc>
        <w:tc>
          <w:tcPr>
            <w:tcW w:w="8428" w:type="dxa"/>
            <w:gridSpan w:val="4"/>
            <w:tcBorders>
              <w:top w:val="single" w:sz="4" w:space="0" w:color="auto"/>
            </w:tcBorders>
          </w:tcPr>
          <w:p w14:paraId="51B95B32" w14:textId="77777777" w:rsidR="00E0074D" w:rsidRPr="001362A6" w:rsidRDefault="00E0074D">
            <w:pPr>
              <w:rPr>
                <w:rFonts w:ascii="Lato" w:hAnsi="Lato"/>
                <w:sz w:val="22"/>
                <w:szCs w:val="22"/>
                <w:lang w:val="en-IE"/>
              </w:rPr>
            </w:pPr>
          </w:p>
        </w:tc>
        <w:tc>
          <w:tcPr>
            <w:tcW w:w="1060" w:type="dxa"/>
            <w:gridSpan w:val="2"/>
          </w:tcPr>
          <w:p w14:paraId="4EEC6B6C" w14:textId="77777777" w:rsidR="00E0074D" w:rsidRPr="001362A6" w:rsidRDefault="00E0074D">
            <w:pPr>
              <w:rPr>
                <w:rFonts w:ascii="Lato" w:hAnsi="Lato"/>
                <w:sz w:val="22"/>
                <w:szCs w:val="22"/>
                <w:lang w:val="en-IE"/>
              </w:rPr>
            </w:pPr>
          </w:p>
        </w:tc>
      </w:tr>
      <w:tr w:rsidR="00E0074D" w:rsidRPr="001362A6" w14:paraId="7D1B7868" w14:textId="77777777" w:rsidTr="00A34B20">
        <w:trPr>
          <w:gridBefore w:val="1"/>
          <w:gridAfter w:val="1"/>
          <w:wBefore w:w="31" w:type="dxa"/>
          <w:wAfter w:w="20" w:type="dxa"/>
        </w:trPr>
        <w:tc>
          <w:tcPr>
            <w:tcW w:w="1081" w:type="dxa"/>
            <w:gridSpan w:val="2"/>
          </w:tcPr>
          <w:p w14:paraId="1E769136" w14:textId="77777777" w:rsidR="00E0074D" w:rsidRPr="001362A6" w:rsidRDefault="00E0074D">
            <w:pPr>
              <w:rPr>
                <w:rFonts w:ascii="Lato" w:hAnsi="Lato"/>
                <w:sz w:val="22"/>
                <w:szCs w:val="22"/>
                <w:lang w:val="en-IE"/>
              </w:rPr>
            </w:pPr>
            <w:r w:rsidRPr="001362A6">
              <w:rPr>
                <w:rFonts w:ascii="Lato" w:hAnsi="Lato"/>
                <w:sz w:val="22"/>
                <w:szCs w:val="22"/>
                <w:lang w:val="en-IE"/>
              </w:rPr>
              <w:t>1.2.3</w:t>
            </w:r>
          </w:p>
        </w:tc>
        <w:tc>
          <w:tcPr>
            <w:tcW w:w="8428" w:type="dxa"/>
            <w:gridSpan w:val="4"/>
            <w:tcBorders>
              <w:bottom w:val="single" w:sz="4" w:space="0" w:color="auto"/>
            </w:tcBorders>
          </w:tcPr>
          <w:p w14:paraId="45AD8295" w14:textId="77777777" w:rsidR="00E0074D" w:rsidRPr="001362A6" w:rsidRDefault="002055EC" w:rsidP="00B6546C">
            <w:pPr>
              <w:rPr>
                <w:rFonts w:ascii="Lato" w:hAnsi="Lato"/>
                <w:sz w:val="22"/>
                <w:szCs w:val="22"/>
                <w:lang w:val="en-IE"/>
              </w:rPr>
            </w:pPr>
            <w:r w:rsidRPr="001362A6">
              <w:rPr>
                <w:rFonts w:ascii="Lato" w:hAnsi="Lato"/>
                <w:sz w:val="22"/>
                <w:szCs w:val="22"/>
                <w:lang w:val="en-IE"/>
              </w:rPr>
              <w:t xml:space="preserve">State whether </w:t>
            </w:r>
            <w:r w:rsidR="00E0074D" w:rsidRPr="001362A6">
              <w:rPr>
                <w:rFonts w:ascii="Lato" w:hAnsi="Lato"/>
                <w:sz w:val="22"/>
                <w:szCs w:val="22"/>
                <w:lang w:val="en-IE"/>
              </w:rPr>
              <w:t xml:space="preserve">the </w:t>
            </w:r>
            <w:r w:rsidR="00D6477D" w:rsidRPr="001362A6">
              <w:rPr>
                <w:rFonts w:ascii="Lato" w:hAnsi="Lato"/>
                <w:sz w:val="22"/>
                <w:szCs w:val="22"/>
                <w:lang w:val="en-IE"/>
              </w:rPr>
              <w:t>Q</w:t>
            </w:r>
            <w:r w:rsidR="00E300EA" w:rsidRPr="001362A6">
              <w:rPr>
                <w:rFonts w:ascii="Lato" w:hAnsi="Lato"/>
                <w:sz w:val="22"/>
                <w:szCs w:val="22"/>
                <w:lang w:val="en-IE"/>
              </w:rPr>
              <w:t xml:space="preserve">ualifying </w:t>
            </w:r>
            <w:r w:rsidR="00D6477D" w:rsidRPr="001362A6">
              <w:rPr>
                <w:rFonts w:ascii="Lato" w:hAnsi="Lato"/>
                <w:sz w:val="22"/>
                <w:szCs w:val="22"/>
                <w:lang w:val="en-IE"/>
              </w:rPr>
              <w:t>I</w:t>
            </w:r>
            <w:r w:rsidR="00E300EA" w:rsidRPr="001362A6">
              <w:rPr>
                <w:rFonts w:ascii="Lato" w:hAnsi="Lato"/>
                <w:sz w:val="22"/>
                <w:szCs w:val="22"/>
                <w:lang w:val="en-IE"/>
              </w:rPr>
              <w:t>nvestor</w:t>
            </w:r>
            <w:r w:rsidR="00D6477D" w:rsidRPr="001362A6">
              <w:rPr>
                <w:rFonts w:ascii="Lato" w:hAnsi="Lato"/>
                <w:sz w:val="22"/>
                <w:szCs w:val="22"/>
                <w:lang w:val="en-IE"/>
              </w:rPr>
              <w:t>AIF</w:t>
            </w:r>
            <w:r w:rsidR="00E0074D" w:rsidRPr="001362A6">
              <w:rPr>
                <w:rFonts w:ascii="Lato" w:hAnsi="Lato"/>
                <w:sz w:val="22"/>
                <w:szCs w:val="22"/>
                <w:lang w:val="en-IE"/>
              </w:rPr>
              <w:t xml:space="preserve"> </w:t>
            </w:r>
            <w:r w:rsidRPr="001362A6">
              <w:rPr>
                <w:rFonts w:ascii="Lato" w:hAnsi="Lato"/>
                <w:sz w:val="22"/>
                <w:szCs w:val="22"/>
                <w:lang w:val="en-IE"/>
              </w:rPr>
              <w:t xml:space="preserve">is </w:t>
            </w:r>
            <w:r w:rsidR="00E0074D" w:rsidRPr="001362A6">
              <w:rPr>
                <w:rFonts w:ascii="Lato" w:hAnsi="Lato"/>
                <w:sz w:val="22"/>
                <w:szCs w:val="22"/>
                <w:lang w:val="en-IE"/>
              </w:rPr>
              <w:t xml:space="preserve">open-ended </w:t>
            </w:r>
            <w:r w:rsidRPr="001362A6">
              <w:rPr>
                <w:rFonts w:ascii="Lato" w:hAnsi="Lato"/>
                <w:sz w:val="22"/>
                <w:szCs w:val="22"/>
                <w:lang w:val="en-IE"/>
              </w:rPr>
              <w:t>or</w:t>
            </w:r>
            <w:r w:rsidR="00E0074D" w:rsidRPr="001362A6">
              <w:rPr>
                <w:rFonts w:ascii="Lato" w:hAnsi="Lato"/>
                <w:sz w:val="22"/>
                <w:szCs w:val="22"/>
                <w:lang w:val="en-IE"/>
              </w:rPr>
              <w:t xml:space="preserve"> closed-ended or </w:t>
            </w:r>
            <w:r w:rsidRPr="001362A6">
              <w:rPr>
                <w:rFonts w:ascii="Lato" w:hAnsi="Lato"/>
                <w:sz w:val="22"/>
                <w:szCs w:val="22"/>
                <w:lang w:val="en-IE"/>
              </w:rPr>
              <w:t xml:space="preserve">open-ended with </w:t>
            </w:r>
            <w:r w:rsidR="00E0074D" w:rsidRPr="001362A6">
              <w:rPr>
                <w:rFonts w:ascii="Lato" w:hAnsi="Lato"/>
                <w:sz w:val="22"/>
                <w:szCs w:val="22"/>
                <w:lang w:val="en-IE"/>
              </w:rPr>
              <w:t xml:space="preserve">limited liquidity? (If the </w:t>
            </w:r>
            <w:r w:rsidR="00D6477D" w:rsidRPr="001362A6">
              <w:rPr>
                <w:rFonts w:ascii="Lato" w:hAnsi="Lato"/>
                <w:sz w:val="22"/>
                <w:szCs w:val="22"/>
                <w:lang w:val="en-IE"/>
              </w:rPr>
              <w:t>Q</w:t>
            </w:r>
            <w:r w:rsidR="00E300EA" w:rsidRPr="001362A6">
              <w:rPr>
                <w:rFonts w:ascii="Lato" w:hAnsi="Lato"/>
                <w:sz w:val="22"/>
                <w:szCs w:val="22"/>
                <w:lang w:val="en-IE"/>
              </w:rPr>
              <w:t xml:space="preserve">ualifying </w:t>
            </w:r>
            <w:r w:rsidR="00D6477D" w:rsidRPr="001362A6">
              <w:rPr>
                <w:rFonts w:ascii="Lato" w:hAnsi="Lato"/>
                <w:sz w:val="22"/>
                <w:szCs w:val="22"/>
                <w:lang w:val="en-IE"/>
              </w:rPr>
              <w:t>I</w:t>
            </w:r>
            <w:r w:rsidR="00E300EA" w:rsidRPr="001362A6">
              <w:rPr>
                <w:rFonts w:ascii="Lato" w:hAnsi="Lato"/>
                <w:sz w:val="22"/>
                <w:szCs w:val="22"/>
                <w:lang w:val="en-IE"/>
              </w:rPr>
              <w:t xml:space="preserve">nvestor </w:t>
            </w:r>
            <w:r w:rsidR="00D6477D" w:rsidRPr="001362A6">
              <w:rPr>
                <w:rFonts w:ascii="Lato" w:hAnsi="Lato"/>
                <w:sz w:val="22"/>
                <w:szCs w:val="22"/>
                <w:lang w:val="en-IE"/>
              </w:rPr>
              <w:t>AIF</w:t>
            </w:r>
            <w:r w:rsidR="00E0074D" w:rsidRPr="001362A6">
              <w:rPr>
                <w:rFonts w:ascii="Lato" w:hAnsi="Lato"/>
                <w:sz w:val="22"/>
                <w:szCs w:val="22"/>
                <w:lang w:val="en-IE"/>
              </w:rPr>
              <w:t xml:space="preserve"> is an umbrella state for each sub-fund)</w:t>
            </w:r>
          </w:p>
        </w:tc>
        <w:tc>
          <w:tcPr>
            <w:tcW w:w="1060" w:type="dxa"/>
            <w:gridSpan w:val="2"/>
            <w:tcBorders>
              <w:left w:val="nil"/>
            </w:tcBorders>
          </w:tcPr>
          <w:p w14:paraId="2C777049" w14:textId="77777777" w:rsidR="00E0074D" w:rsidRPr="001362A6" w:rsidRDefault="00E0074D">
            <w:pPr>
              <w:rPr>
                <w:rFonts w:ascii="Lato" w:hAnsi="Lato"/>
                <w:sz w:val="22"/>
                <w:szCs w:val="22"/>
                <w:lang w:val="en-IE"/>
              </w:rPr>
            </w:pPr>
          </w:p>
        </w:tc>
      </w:tr>
      <w:tr w:rsidR="00E0074D" w:rsidRPr="001362A6" w14:paraId="09CD009D" w14:textId="77777777" w:rsidTr="006A7F4F">
        <w:trPr>
          <w:gridBefore w:val="1"/>
          <w:gridAfter w:val="1"/>
          <w:wBefore w:w="31" w:type="dxa"/>
          <w:wAfter w:w="20" w:type="dxa"/>
        </w:trPr>
        <w:tc>
          <w:tcPr>
            <w:tcW w:w="1081" w:type="dxa"/>
            <w:gridSpan w:val="2"/>
            <w:tcBorders>
              <w:right w:val="single" w:sz="4" w:space="0" w:color="auto"/>
            </w:tcBorders>
          </w:tcPr>
          <w:p w14:paraId="21E73075" w14:textId="77777777" w:rsidR="00E0074D" w:rsidRPr="001362A6" w:rsidRDefault="00E0074D">
            <w:pPr>
              <w:rPr>
                <w:rFonts w:ascii="Lato" w:hAnsi="Lato"/>
                <w:sz w:val="22"/>
                <w:szCs w:val="22"/>
                <w:lang w:val="en-IE"/>
              </w:rPr>
            </w:pPr>
          </w:p>
        </w:tc>
        <w:tc>
          <w:tcPr>
            <w:tcW w:w="8428" w:type="dxa"/>
            <w:gridSpan w:val="4"/>
            <w:tcBorders>
              <w:top w:val="single" w:sz="4" w:space="0" w:color="auto"/>
              <w:left w:val="single" w:sz="4" w:space="0" w:color="auto"/>
              <w:bottom w:val="single" w:sz="4" w:space="0" w:color="auto"/>
              <w:right w:val="single" w:sz="4" w:space="0" w:color="auto"/>
            </w:tcBorders>
          </w:tcPr>
          <w:p w14:paraId="3D3AC9F4" w14:textId="77777777" w:rsidR="00E0074D" w:rsidRPr="001362A6" w:rsidRDefault="00E0074D">
            <w:pPr>
              <w:rPr>
                <w:rFonts w:ascii="Lato" w:hAnsi="Lato"/>
                <w:sz w:val="22"/>
                <w:szCs w:val="22"/>
                <w:lang w:val="en-IE"/>
              </w:rPr>
            </w:pPr>
          </w:p>
          <w:p w14:paraId="13625A21" w14:textId="77777777" w:rsidR="0042571B" w:rsidRPr="001362A6" w:rsidRDefault="0042571B">
            <w:pPr>
              <w:rPr>
                <w:rFonts w:ascii="Lato" w:hAnsi="Lato"/>
                <w:sz w:val="22"/>
                <w:szCs w:val="22"/>
                <w:lang w:val="en-IE"/>
              </w:rPr>
            </w:pPr>
          </w:p>
        </w:tc>
        <w:tc>
          <w:tcPr>
            <w:tcW w:w="1060" w:type="dxa"/>
            <w:gridSpan w:val="2"/>
            <w:tcBorders>
              <w:left w:val="single" w:sz="4" w:space="0" w:color="auto"/>
            </w:tcBorders>
          </w:tcPr>
          <w:p w14:paraId="3F285837" w14:textId="77777777" w:rsidR="00E0074D" w:rsidRPr="001362A6" w:rsidRDefault="00E0074D">
            <w:pPr>
              <w:rPr>
                <w:rFonts w:ascii="Lato" w:hAnsi="Lato"/>
                <w:sz w:val="22"/>
                <w:szCs w:val="22"/>
                <w:lang w:val="en-IE"/>
              </w:rPr>
            </w:pPr>
          </w:p>
        </w:tc>
      </w:tr>
      <w:tr w:rsidR="00E0074D" w:rsidRPr="001362A6" w14:paraId="73D0EF3C" w14:textId="77777777" w:rsidTr="00A34B20">
        <w:trPr>
          <w:gridBefore w:val="1"/>
          <w:gridAfter w:val="1"/>
          <w:wBefore w:w="31" w:type="dxa"/>
          <w:wAfter w:w="20" w:type="dxa"/>
        </w:trPr>
        <w:tc>
          <w:tcPr>
            <w:tcW w:w="1081" w:type="dxa"/>
            <w:gridSpan w:val="2"/>
          </w:tcPr>
          <w:p w14:paraId="189D3737" w14:textId="77777777" w:rsidR="006A79BF" w:rsidRPr="001362A6" w:rsidRDefault="006A79BF">
            <w:pPr>
              <w:rPr>
                <w:rFonts w:ascii="Lato" w:hAnsi="Lato"/>
                <w:sz w:val="22"/>
                <w:szCs w:val="22"/>
                <w:lang w:val="en-IE"/>
              </w:rPr>
            </w:pPr>
          </w:p>
        </w:tc>
        <w:tc>
          <w:tcPr>
            <w:tcW w:w="8428" w:type="dxa"/>
            <w:gridSpan w:val="4"/>
            <w:tcBorders>
              <w:top w:val="single" w:sz="4" w:space="0" w:color="auto"/>
            </w:tcBorders>
          </w:tcPr>
          <w:p w14:paraId="625C0AF3" w14:textId="77777777" w:rsidR="00E0074D" w:rsidRPr="001362A6" w:rsidRDefault="00E0074D">
            <w:pPr>
              <w:rPr>
                <w:rFonts w:ascii="Lato" w:hAnsi="Lato"/>
                <w:sz w:val="22"/>
                <w:szCs w:val="22"/>
                <w:lang w:val="en-IE"/>
              </w:rPr>
            </w:pPr>
          </w:p>
        </w:tc>
        <w:tc>
          <w:tcPr>
            <w:tcW w:w="1060" w:type="dxa"/>
            <w:gridSpan w:val="2"/>
            <w:tcBorders>
              <w:left w:val="nil"/>
            </w:tcBorders>
          </w:tcPr>
          <w:p w14:paraId="001D018B" w14:textId="77777777" w:rsidR="00E0074D" w:rsidRPr="001362A6" w:rsidRDefault="00E0074D">
            <w:pPr>
              <w:rPr>
                <w:rFonts w:ascii="Lato" w:hAnsi="Lato"/>
                <w:sz w:val="22"/>
                <w:szCs w:val="22"/>
                <w:lang w:val="en-IE"/>
              </w:rPr>
            </w:pPr>
          </w:p>
        </w:tc>
      </w:tr>
      <w:tr w:rsidR="006A7F4F" w:rsidRPr="001362A6" w14:paraId="5CC8836F" w14:textId="77777777" w:rsidTr="00441CAE">
        <w:trPr>
          <w:gridBefore w:val="1"/>
          <w:gridAfter w:val="1"/>
          <w:wBefore w:w="31" w:type="dxa"/>
          <w:wAfter w:w="20" w:type="dxa"/>
        </w:trPr>
        <w:tc>
          <w:tcPr>
            <w:tcW w:w="1081" w:type="dxa"/>
            <w:gridSpan w:val="2"/>
          </w:tcPr>
          <w:p w14:paraId="3176C46A" w14:textId="77777777" w:rsidR="006A7F4F" w:rsidRPr="001362A6" w:rsidRDefault="006A7F4F" w:rsidP="00624C41">
            <w:pPr>
              <w:rPr>
                <w:rFonts w:ascii="Lato" w:hAnsi="Lato"/>
                <w:sz w:val="22"/>
                <w:szCs w:val="22"/>
                <w:lang w:val="en-IE"/>
              </w:rPr>
            </w:pPr>
            <w:r w:rsidRPr="001362A6">
              <w:rPr>
                <w:rFonts w:ascii="Lato" w:hAnsi="Lato"/>
                <w:sz w:val="22"/>
                <w:szCs w:val="22"/>
                <w:lang w:val="en-IE"/>
              </w:rPr>
              <w:t>1.2.</w:t>
            </w:r>
            <w:r w:rsidR="00624C41" w:rsidRPr="001362A6">
              <w:rPr>
                <w:rFonts w:ascii="Lato" w:hAnsi="Lato"/>
                <w:sz w:val="22"/>
                <w:szCs w:val="22"/>
                <w:lang w:val="en-IE"/>
              </w:rPr>
              <w:t>4</w:t>
            </w:r>
          </w:p>
        </w:tc>
        <w:tc>
          <w:tcPr>
            <w:tcW w:w="8428" w:type="dxa"/>
            <w:gridSpan w:val="4"/>
            <w:tcBorders>
              <w:left w:val="nil"/>
              <w:right w:val="single" w:sz="4" w:space="0" w:color="auto"/>
            </w:tcBorders>
          </w:tcPr>
          <w:p w14:paraId="3459E2DC" w14:textId="77777777" w:rsidR="006A7F4F" w:rsidRPr="001362A6" w:rsidRDefault="00441CAE" w:rsidP="00D95E9D">
            <w:pPr>
              <w:rPr>
                <w:rFonts w:ascii="Lato" w:hAnsi="Lato"/>
                <w:sz w:val="22"/>
                <w:szCs w:val="22"/>
                <w:lang w:val="en-IE"/>
              </w:rPr>
            </w:pPr>
            <w:r w:rsidRPr="001362A6">
              <w:rPr>
                <w:rFonts w:ascii="Lato" w:hAnsi="Lato"/>
                <w:sz w:val="22"/>
                <w:szCs w:val="22"/>
                <w:lang w:val="en-IE"/>
              </w:rPr>
              <w:t xml:space="preserve">If the performance fee is greater than 25%  attach a letter from the Directors </w:t>
            </w:r>
          </w:p>
        </w:tc>
        <w:tc>
          <w:tcPr>
            <w:tcW w:w="1060" w:type="dxa"/>
            <w:gridSpan w:val="2"/>
            <w:tcBorders>
              <w:top w:val="single" w:sz="4" w:space="0" w:color="auto"/>
              <w:left w:val="single" w:sz="4" w:space="0" w:color="auto"/>
              <w:bottom w:val="single" w:sz="4" w:space="0" w:color="auto"/>
              <w:right w:val="single" w:sz="4" w:space="0" w:color="auto"/>
            </w:tcBorders>
          </w:tcPr>
          <w:p w14:paraId="7760EF48" w14:textId="77777777" w:rsidR="006A7F4F" w:rsidRPr="001362A6" w:rsidRDefault="006A7F4F">
            <w:pPr>
              <w:rPr>
                <w:rFonts w:ascii="Lato" w:hAnsi="Lato"/>
                <w:sz w:val="22"/>
                <w:szCs w:val="22"/>
                <w:lang w:val="en-IE"/>
              </w:rPr>
            </w:pPr>
          </w:p>
        </w:tc>
      </w:tr>
      <w:tr w:rsidR="00441CAE" w:rsidRPr="001362A6" w14:paraId="1ED6056A" w14:textId="77777777" w:rsidTr="00441CAE">
        <w:trPr>
          <w:gridBefore w:val="1"/>
          <w:gridAfter w:val="1"/>
          <w:wBefore w:w="31" w:type="dxa"/>
          <w:wAfter w:w="20" w:type="dxa"/>
        </w:trPr>
        <w:tc>
          <w:tcPr>
            <w:tcW w:w="1081" w:type="dxa"/>
            <w:gridSpan w:val="2"/>
          </w:tcPr>
          <w:p w14:paraId="136710EB" w14:textId="77777777" w:rsidR="00441CAE" w:rsidRPr="001362A6" w:rsidRDefault="00441CAE">
            <w:pPr>
              <w:rPr>
                <w:rFonts w:ascii="Lato" w:hAnsi="Lato"/>
                <w:sz w:val="22"/>
                <w:szCs w:val="22"/>
                <w:lang w:val="en-IE"/>
              </w:rPr>
            </w:pPr>
          </w:p>
        </w:tc>
        <w:tc>
          <w:tcPr>
            <w:tcW w:w="8428" w:type="dxa"/>
            <w:gridSpan w:val="4"/>
            <w:tcBorders>
              <w:left w:val="nil"/>
            </w:tcBorders>
          </w:tcPr>
          <w:p w14:paraId="7400C7CE" w14:textId="77777777" w:rsidR="00441CAE" w:rsidRPr="001362A6" w:rsidRDefault="005B3769">
            <w:pPr>
              <w:rPr>
                <w:rFonts w:ascii="Lato" w:hAnsi="Lato"/>
                <w:sz w:val="22"/>
                <w:szCs w:val="22"/>
                <w:lang w:val="en-IE"/>
              </w:rPr>
            </w:pPr>
            <w:r w:rsidRPr="00590C6D">
              <w:rPr>
                <w:rFonts w:ascii="Lato" w:hAnsi="Lato"/>
                <w:sz w:val="22"/>
                <w:szCs w:val="22"/>
                <w:lang w:val="en-IE"/>
              </w:rPr>
              <w:t xml:space="preserve">confirming they </w:t>
            </w:r>
            <w:r w:rsidR="00441CAE" w:rsidRPr="001362A6">
              <w:rPr>
                <w:rFonts w:ascii="Lato" w:hAnsi="Lato"/>
                <w:sz w:val="22"/>
                <w:szCs w:val="22"/>
                <w:lang w:val="en-IE"/>
              </w:rPr>
              <w:t>have reviewed the amount and basis of payment of the performance fee and consider this to be in the interests of shareholders</w:t>
            </w:r>
          </w:p>
        </w:tc>
        <w:tc>
          <w:tcPr>
            <w:tcW w:w="1060" w:type="dxa"/>
            <w:gridSpan w:val="2"/>
            <w:tcBorders>
              <w:top w:val="single" w:sz="4" w:space="0" w:color="auto"/>
              <w:left w:val="nil"/>
            </w:tcBorders>
          </w:tcPr>
          <w:p w14:paraId="5CFE3221" w14:textId="77777777" w:rsidR="00441CAE" w:rsidRPr="001362A6" w:rsidRDefault="00441CAE">
            <w:pPr>
              <w:rPr>
                <w:rFonts w:ascii="Lato" w:hAnsi="Lato"/>
                <w:sz w:val="22"/>
                <w:szCs w:val="22"/>
                <w:lang w:val="en-IE"/>
              </w:rPr>
            </w:pPr>
          </w:p>
        </w:tc>
      </w:tr>
      <w:tr w:rsidR="00441CAE" w:rsidRPr="001362A6" w14:paraId="4A194987" w14:textId="77777777" w:rsidTr="006A7F4F">
        <w:trPr>
          <w:gridBefore w:val="1"/>
          <w:gridAfter w:val="1"/>
          <w:wBefore w:w="31" w:type="dxa"/>
          <w:wAfter w:w="20" w:type="dxa"/>
        </w:trPr>
        <w:tc>
          <w:tcPr>
            <w:tcW w:w="1081" w:type="dxa"/>
            <w:gridSpan w:val="2"/>
          </w:tcPr>
          <w:p w14:paraId="139A7CCA" w14:textId="77777777" w:rsidR="00441CAE" w:rsidRPr="001362A6" w:rsidRDefault="00441CAE">
            <w:pPr>
              <w:rPr>
                <w:rFonts w:ascii="Lato" w:hAnsi="Lato"/>
                <w:sz w:val="22"/>
                <w:szCs w:val="22"/>
                <w:lang w:val="en-IE"/>
              </w:rPr>
            </w:pPr>
          </w:p>
        </w:tc>
        <w:tc>
          <w:tcPr>
            <w:tcW w:w="8428" w:type="dxa"/>
            <w:gridSpan w:val="4"/>
            <w:tcBorders>
              <w:left w:val="nil"/>
            </w:tcBorders>
          </w:tcPr>
          <w:p w14:paraId="28B21D96" w14:textId="77777777" w:rsidR="00441CAE" w:rsidRPr="001362A6" w:rsidRDefault="00441CAE">
            <w:pPr>
              <w:rPr>
                <w:rFonts w:ascii="Lato" w:hAnsi="Lato"/>
                <w:sz w:val="22"/>
                <w:szCs w:val="22"/>
                <w:lang w:val="en-IE"/>
              </w:rPr>
            </w:pPr>
          </w:p>
        </w:tc>
        <w:tc>
          <w:tcPr>
            <w:tcW w:w="1060" w:type="dxa"/>
            <w:gridSpan w:val="2"/>
            <w:tcBorders>
              <w:left w:val="nil"/>
            </w:tcBorders>
          </w:tcPr>
          <w:p w14:paraId="5425D2EA" w14:textId="77777777" w:rsidR="00441CAE" w:rsidRPr="001362A6" w:rsidRDefault="00441CAE">
            <w:pPr>
              <w:rPr>
                <w:rFonts w:ascii="Lato" w:hAnsi="Lato"/>
                <w:sz w:val="22"/>
                <w:szCs w:val="22"/>
                <w:lang w:val="en-IE"/>
              </w:rPr>
            </w:pPr>
          </w:p>
        </w:tc>
      </w:tr>
      <w:tr w:rsidR="00E0074D" w:rsidRPr="001362A6" w14:paraId="4833F4B3" w14:textId="77777777" w:rsidTr="00A34B20">
        <w:trPr>
          <w:cantSplit/>
        </w:trPr>
        <w:tc>
          <w:tcPr>
            <w:tcW w:w="1034" w:type="dxa"/>
            <w:gridSpan w:val="2"/>
            <w:tcBorders>
              <w:right w:val="single" w:sz="4" w:space="0" w:color="auto"/>
            </w:tcBorders>
          </w:tcPr>
          <w:p w14:paraId="472696CF" w14:textId="77777777" w:rsidR="00E0074D" w:rsidRPr="001362A6" w:rsidRDefault="00E0074D">
            <w:pPr>
              <w:rPr>
                <w:rFonts w:ascii="Lato" w:hAnsi="Lato"/>
                <w:sz w:val="22"/>
                <w:szCs w:val="22"/>
                <w:lang w:val="en-IE"/>
              </w:rPr>
            </w:pPr>
            <w:r w:rsidRPr="001362A6">
              <w:rPr>
                <w:rFonts w:ascii="Lato" w:hAnsi="Lato"/>
                <w:b/>
                <w:bCs/>
                <w:sz w:val="22"/>
                <w:szCs w:val="22"/>
              </w:rPr>
              <w:t>1.3</w:t>
            </w:r>
          </w:p>
        </w:tc>
        <w:tc>
          <w:tcPr>
            <w:tcW w:w="8528" w:type="dxa"/>
            <w:gridSpan w:val="6"/>
            <w:tcBorders>
              <w:top w:val="single" w:sz="4" w:space="0" w:color="auto"/>
              <w:left w:val="single" w:sz="4" w:space="0" w:color="auto"/>
              <w:bottom w:val="single" w:sz="4" w:space="0" w:color="auto"/>
              <w:right w:val="single" w:sz="4" w:space="0" w:color="auto"/>
            </w:tcBorders>
          </w:tcPr>
          <w:p w14:paraId="2E746A14" w14:textId="77777777" w:rsidR="00E0074D" w:rsidRPr="001362A6" w:rsidRDefault="00E0074D">
            <w:pPr>
              <w:rPr>
                <w:rFonts w:ascii="Lato" w:hAnsi="Lato"/>
                <w:sz w:val="22"/>
                <w:szCs w:val="22"/>
                <w:lang w:val="en-IE"/>
              </w:rPr>
            </w:pPr>
            <w:r w:rsidRPr="001362A6">
              <w:rPr>
                <w:rFonts w:ascii="Lato" w:hAnsi="Lato"/>
                <w:b/>
                <w:bCs/>
                <w:sz w:val="22"/>
                <w:szCs w:val="22"/>
              </w:rPr>
              <w:t xml:space="preserve">PARTIES TO THE </w:t>
            </w:r>
            <w:r w:rsidR="00D6477D" w:rsidRPr="001362A6">
              <w:rPr>
                <w:rFonts w:ascii="Lato" w:hAnsi="Lato"/>
                <w:b/>
                <w:bCs/>
                <w:sz w:val="22"/>
                <w:szCs w:val="22"/>
              </w:rPr>
              <w:t>Q</w:t>
            </w:r>
            <w:r w:rsidR="00825284" w:rsidRPr="001362A6">
              <w:rPr>
                <w:rFonts w:ascii="Lato" w:hAnsi="Lato"/>
                <w:b/>
                <w:bCs/>
                <w:sz w:val="22"/>
                <w:szCs w:val="22"/>
              </w:rPr>
              <w:t xml:space="preserve">UALIFYING </w:t>
            </w:r>
            <w:r w:rsidR="00D6477D" w:rsidRPr="001362A6">
              <w:rPr>
                <w:rFonts w:ascii="Lato" w:hAnsi="Lato"/>
                <w:b/>
                <w:bCs/>
                <w:sz w:val="22"/>
                <w:szCs w:val="22"/>
              </w:rPr>
              <w:t>I</w:t>
            </w:r>
            <w:r w:rsidR="00825284" w:rsidRPr="001362A6">
              <w:rPr>
                <w:rFonts w:ascii="Lato" w:hAnsi="Lato"/>
                <w:b/>
                <w:bCs/>
                <w:sz w:val="22"/>
                <w:szCs w:val="22"/>
              </w:rPr>
              <w:t xml:space="preserve">NVESTOR </w:t>
            </w:r>
            <w:r w:rsidR="00D6477D" w:rsidRPr="001362A6">
              <w:rPr>
                <w:rFonts w:ascii="Lato" w:hAnsi="Lato"/>
                <w:b/>
                <w:bCs/>
                <w:sz w:val="22"/>
                <w:szCs w:val="22"/>
              </w:rPr>
              <w:t>AIF</w:t>
            </w:r>
          </w:p>
        </w:tc>
        <w:tc>
          <w:tcPr>
            <w:tcW w:w="1058" w:type="dxa"/>
            <w:gridSpan w:val="2"/>
            <w:tcBorders>
              <w:left w:val="single" w:sz="4" w:space="0" w:color="auto"/>
            </w:tcBorders>
          </w:tcPr>
          <w:p w14:paraId="431643CD" w14:textId="77777777" w:rsidR="00E0074D" w:rsidRPr="001362A6" w:rsidRDefault="00E0074D">
            <w:pPr>
              <w:rPr>
                <w:rFonts w:ascii="Lato" w:hAnsi="Lato"/>
                <w:sz w:val="22"/>
                <w:szCs w:val="22"/>
                <w:lang w:val="en-IE"/>
              </w:rPr>
            </w:pPr>
          </w:p>
        </w:tc>
      </w:tr>
      <w:tr w:rsidR="00E0074D" w:rsidRPr="001362A6" w14:paraId="35D96DD9" w14:textId="77777777" w:rsidTr="00A34B20">
        <w:tc>
          <w:tcPr>
            <w:tcW w:w="2429" w:type="dxa"/>
            <w:gridSpan w:val="4"/>
          </w:tcPr>
          <w:p w14:paraId="0C3F6015" w14:textId="77777777" w:rsidR="00E0074D" w:rsidRPr="001362A6" w:rsidRDefault="00E0074D">
            <w:pPr>
              <w:rPr>
                <w:rFonts w:ascii="Lato" w:hAnsi="Lato"/>
                <w:sz w:val="22"/>
                <w:szCs w:val="22"/>
                <w:lang w:val="en-IE"/>
              </w:rPr>
            </w:pPr>
          </w:p>
        </w:tc>
        <w:tc>
          <w:tcPr>
            <w:tcW w:w="6788" w:type="dxa"/>
            <w:gridSpan w:val="2"/>
          </w:tcPr>
          <w:p w14:paraId="7655AC10" w14:textId="77777777" w:rsidR="00E0074D" w:rsidRPr="001362A6" w:rsidRDefault="00E0074D">
            <w:pPr>
              <w:rPr>
                <w:rFonts w:ascii="Lato" w:hAnsi="Lato"/>
                <w:sz w:val="22"/>
                <w:szCs w:val="22"/>
                <w:lang w:val="en-IE"/>
              </w:rPr>
            </w:pPr>
          </w:p>
        </w:tc>
        <w:tc>
          <w:tcPr>
            <w:tcW w:w="345" w:type="dxa"/>
            <w:gridSpan w:val="2"/>
          </w:tcPr>
          <w:p w14:paraId="4FB6E8FC" w14:textId="77777777" w:rsidR="00E0074D" w:rsidRPr="001362A6" w:rsidRDefault="00E0074D">
            <w:pPr>
              <w:rPr>
                <w:rFonts w:ascii="Lato" w:hAnsi="Lato"/>
                <w:sz w:val="22"/>
                <w:szCs w:val="22"/>
                <w:lang w:val="en-IE"/>
              </w:rPr>
            </w:pPr>
          </w:p>
        </w:tc>
        <w:tc>
          <w:tcPr>
            <w:tcW w:w="1058" w:type="dxa"/>
            <w:gridSpan w:val="2"/>
          </w:tcPr>
          <w:p w14:paraId="3714D919" w14:textId="77777777" w:rsidR="00E0074D" w:rsidRPr="001362A6" w:rsidRDefault="00E0074D">
            <w:pPr>
              <w:rPr>
                <w:rFonts w:ascii="Lato" w:hAnsi="Lato"/>
                <w:sz w:val="22"/>
                <w:szCs w:val="22"/>
                <w:lang w:val="en-IE"/>
              </w:rPr>
            </w:pPr>
          </w:p>
        </w:tc>
      </w:tr>
      <w:tr w:rsidR="00E0074D" w:rsidRPr="001362A6" w14:paraId="3E61C595" w14:textId="77777777" w:rsidTr="00A34B20">
        <w:tc>
          <w:tcPr>
            <w:tcW w:w="2429" w:type="dxa"/>
            <w:gridSpan w:val="4"/>
            <w:tcBorders>
              <w:right w:val="single" w:sz="4" w:space="0" w:color="auto"/>
            </w:tcBorders>
          </w:tcPr>
          <w:p w14:paraId="7157E888" w14:textId="77777777" w:rsidR="00E0074D" w:rsidRPr="001362A6" w:rsidRDefault="00E0074D">
            <w:pPr>
              <w:rPr>
                <w:rFonts w:ascii="Lato" w:hAnsi="Lato"/>
                <w:sz w:val="22"/>
                <w:szCs w:val="22"/>
                <w:lang w:val="en-IE"/>
              </w:rPr>
            </w:pPr>
          </w:p>
        </w:tc>
        <w:tc>
          <w:tcPr>
            <w:tcW w:w="6788" w:type="dxa"/>
            <w:gridSpan w:val="2"/>
            <w:tcBorders>
              <w:top w:val="single" w:sz="4" w:space="0" w:color="auto"/>
              <w:left w:val="single" w:sz="4" w:space="0" w:color="auto"/>
              <w:right w:val="single" w:sz="4" w:space="0" w:color="auto"/>
            </w:tcBorders>
          </w:tcPr>
          <w:p w14:paraId="5480AD47" w14:textId="77777777" w:rsidR="00E0074D" w:rsidRPr="001362A6" w:rsidRDefault="00E0074D" w:rsidP="00BF3803">
            <w:pPr>
              <w:rPr>
                <w:rFonts w:ascii="Lato" w:hAnsi="Lato"/>
                <w:sz w:val="22"/>
                <w:szCs w:val="22"/>
                <w:lang w:val="en-IE"/>
              </w:rPr>
            </w:pPr>
            <w:r w:rsidRPr="001362A6">
              <w:rPr>
                <w:rFonts w:ascii="Lato" w:hAnsi="Lato"/>
                <w:sz w:val="22"/>
                <w:szCs w:val="22"/>
                <w:lang w:val="en-IE"/>
              </w:rPr>
              <w:t>Name and Address</w:t>
            </w:r>
            <w:r w:rsidR="000F1C41" w:rsidRPr="001362A6">
              <w:rPr>
                <w:rFonts w:ascii="Lato" w:hAnsi="Lato"/>
                <w:sz w:val="22"/>
                <w:szCs w:val="22"/>
                <w:lang w:val="en-IE"/>
              </w:rPr>
              <w:t xml:space="preserve"> </w:t>
            </w:r>
            <w:r w:rsidR="00572154" w:rsidRPr="001362A6">
              <w:rPr>
                <w:rFonts w:ascii="Lato" w:hAnsi="Lato"/>
                <w:sz w:val="22"/>
                <w:szCs w:val="22"/>
                <w:lang w:val="en-IE"/>
              </w:rPr>
              <w:t>(Indicate if this is a change of address to that previously notified to the Central Bank</w:t>
            </w:r>
            <w:r w:rsidR="00BF3803" w:rsidRPr="001362A6">
              <w:rPr>
                <w:rFonts w:ascii="Lato" w:hAnsi="Lato"/>
                <w:sz w:val="22"/>
                <w:szCs w:val="22"/>
                <w:lang w:val="en-IE"/>
              </w:rPr>
              <w:t xml:space="preserve">.   </w:t>
            </w:r>
            <w:r w:rsidR="00342F03" w:rsidRPr="001362A6">
              <w:rPr>
                <w:rFonts w:ascii="Lato" w:hAnsi="Lato"/>
                <w:sz w:val="22"/>
                <w:szCs w:val="22"/>
              </w:rPr>
              <w:t>In the case of a change of address of any of the above service providers the completion of this form will be regarded as formal notification in this regard.</w:t>
            </w:r>
            <w:r w:rsidR="00BF3803" w:rsidRPr="001362A6">
              <w:rPr>
                <w:rFonts w:ascii="Lato" w:hAnsi="Lato"/>
                <w:sz w:val="22"/>
                <w:szCs w:val="22"/>
                <w:lang w:val="en-IE"/>
              </w:rPr>
              <w:t xml:space="preserve"> </w:t>
            </w:r>
            <w:r w:rsidR="00572154" w:rsidRPr="001362A6">
              <w:rPr>
                <w:rFonts w:ascii="Lato" w:hAnsi="Lato"/>
                <w:sz w:val="22"/>
                <w:szCs w:val="22"/>
                <w:lang w:val="en-IE"/>
              </w:rPr>
              <w:t>)</w:t>
            </w:r>
          </w:p>
        </w:tc>
        <w:tc>
          <w:tcPr>
            <w:tcW w:w="345" w:type="dxa"/>
            <w:gridSpan w:val="2"/>
          </w:tcPr>
          <w:p w14:paraId="67847101" w14:textId="77777777" w:rsidR="00E0074D" w:rsidRPr="001362A6" w:rsidRDefault="00E0074D">
            <w:pPr>
              <w:rPr>
                <w:rFonts w:ascii="Lato" w:hAnsi="Lato"/>
                <w:sz w:val="22"/>
                <w:szCs w:val="22"/>
                <w:lang w:val="en-IE"/>
              </w:rPr>
            </w:pPr>
          </w:p>
        </w:tc>
        <w:tc>
          <w:tcPr>
            <w:tcW w:w="1058" w:type="dxa"/>
            <w:gridSpan w:val="2"/>
          </w:tcPr>
          <w:p w14:paraId="5EF02900" w14:textId="77777777" w:rsidR="00E0074D" w:rsidRPr="001362A6" w:rsidRDefault="00E0074D">
            <w:pPr>
              <w:rPr>
                <w:rFonts w:ascii="Lato" w:hAnsi="Lato"/>
                <w:sz w:val="22"/>
                <w:szCs w:val="22"/>
                <w:lang w:val="en-IE"/>
              </w:rPr>
            </w:pPr>
          </w:p>
        </w:tc>
      </w:tr>
      <w:tr w:rsidR="00E0074D" w:rsidRPr="001362A6" w14:paraId="27150BB4" w14:textId="77777777" w:rsidTr="00A34B20">
        <w:tc>
          <w:tcPr>
            <w:tcW w:w="2429" w:type="dxa"/>
            <w:gridSpan w:val="4"/>
            <w:tcBorders>
              <w:right w:val="single" w:sz="4" w:space="0" w:color="auto"/>
            </w:tcBorders>
          </w:tcPr>
          <w:p w14:paraId="47E5C423" w14:textId="77777777" w:rsidR="00E0074D" w:rsidRPr="001362A6" w:rsidRDefault="00E0074D">
            <w:pPr>
              <w:rPr>
                <w:rFonts w:ascii="Lato" w:hAnsi="Lato"/>
                <w:sz w:val="22"/>
                <w:szCs w:val="22"/>
                <w:lang w:val="en-IE"/>
              </w:rPr>
            </w:pPr>
          </w:p>
        </w:tc>
        <w:tc>
          <w:tcPr>
            <w:tcW w:w="6788" w:type="dxa"/>
            <w:gridSpan w:val="2"/>
            <w:tcBorders>
              <w:left w:val="single" w:sz="4" w:space="0" w:color="auto"/>
              <w:bottom w:val="single" w:sz="4" w:space="0" w:color="auto"/>
              <w:right w:val="single" w:sz="4" w:space="0" w:color="auto"/>
            </w:tcBorders>
          </w:tcPr>
          <w:p w14:paraId="54A258D7" w14:textId="77777777" w:rsidR="00E0074D" w:rsidRPr="001362A6" w:rsidRDefault="00E0074D">
            <w:pPr>
              <w:rPr>
                <w:rFonts w:ascii="Lato" w:hAnsi="Lato"/>
                <w:sz w:val="22"/>
                <w:szCs w:val="22"/>
                <w:lang w:val="en-IE"/>
              </w:rPr>
            </w:pPr>
          </w:p>
        </w:tc>
        <w:tc>
          <w:tcPr>
            <w:tcW w:w="345" w:type="dxa"/>
            <w:gridSpan w:val="2"/>
          </w:tcPr>
          <w:p w14:paraId="7337200C" w14:textId="77777777" w:rsidR="00E0074D" w:rsidRPr="001362A6" w:rsidRDefault="00E0074D">
            <w:pPr>
              <w:rPr>
                <w:rFonts w:ascii="Lato" w:hAnsi="Lato"/>
                <w:sz w:val="22"/>
                <w:szCs w:val="22"/>
                <w:lang w:val="en-IE"/>
              </w:rPr>
            </w:pPr>
          </w:p>
        </w:tc>
        <w:tc>
          <w:tcPr>
            <w:tcW w:w="1058" w:type="dxa"/>
            <w:gridSpan w:val="2"/>
          </w:tcPr>
          <w:p w14:paraId="24D55470" w14:textId="77777777" w:rsidR="00E0074D" w:rsidRPr="001362A6" w:rsidRDefault="00E0074D">
            <w:pPr>
              <w:rPr>
                <w:rFonts w:ascii="Lato" w:hAnsi="Lato"/>
                <w:sz w:val="22"/>
                <w:szCs w:val="22"/>
                <w:lang w:val="en-IE"/>
              </w:rPr>
            </w:pPr>
          </w:p>
        </w:tc>
      </w:tr>
      <w:tr w:rsidR="00E0074D" w:rsidRPr="001362A6" w14:paraId="3A429D5F" w14:textId="77777777" w:rsidTr="00A34B20">
        <w:tc>
          <w:tcPr>
            <w:tcW w:w="2429" w:type="dxa"/>
            <w:gridSpan w:val="4"/>
            <w:tcBorders>
              <w:right w:val="single" w:sz="4" w:space="0" w:color="auto"/>
            </w:tcBorders>
          </w:tcPr>
          <w:p w14:paraId="6D6EC903" w14:textId="77777777" w:rsidR="00E0074D" w:rsidRPr="001362A6" w:rsidRDefault="00E0074D">
            <w:pPr>
              <w:rPr>
                <w:rFonts w:ascii="Lato" w:hAnsi="Lato"/>
                <w:sz w:val="22"/>
                <w:szCs w:val="22"/>
                <w:lang w:val="en-IE"/>
              </w:rPr>
            </w:pPr>
          </w:p>
        </w:tc>
        <w:tc>
          <w:tcPr>
            <w:tcW w:w="6788" w:type="dxa"/>
            <w:gridSpan w:val="2"/>
            <w:tcBorders>
              <w:top w:val="single" w:sz="4" w:space="0" w:color="auto"/>
              <w:left w:val="single" w:sz="4" w:space="0" w:color="auto"/>
              <w:right w:val="single" w:sz="4" w:space="0" w:color="auto"/>
            </w:tcBorders>
          </w:tcPr>
          <w:p w14:paraId="4E226303" w14:textId="77777777" w:rsidR="00E0074D" w:rsidRPr="001362A6" w:rsidRDefault="00E0074D">
            <w:pPr>
              <w:rPr>
                <w:rFonts w:ascii="Lato" w:hAnsi="Lato"/>
                <w:sz w:val="22"/>
                <w:szCs w:val="22"/>
                <w:lang w:val="en-IE"/>
              </w:rPr>
            </w:pPr>
          </w:p>
        </w:tc>
        <w:tc>
          <w:tcPr>
            <w:tcW w:w="345" w:type="dxa"/>
            <w:gridSpan w:val="2"/>
          </w:tcPr>
          <w:p w14:paraId="183D4BB9" w14:textId="77777777" w:rsidR="00E0074D" w:rsidRPr="001362A6" w:rsidRDefault="00E0074D">
            <w:pPr>
              <w:rPr>
                <w:rFonts w:ascii="Lato" w:hAnsi="Lato"/>
                <w:sz w:val="22"/>
                <w:szCs w:val="22"/>
                <w:lang w:val="en-IE"/>
              </w:rPr>
            </w:pPr>
          </w:p>
        </w:tc>
        <w:tc>
          <w:tcPr>
            <w:tcW w:w="1058" w:type="dxa"/>
            <w:gridSpan w:val="2"/>
          </w:tcPr>
          <w:p w14:paraId="028EC5B0" w14:textId="77777777" w:rsidR="00E0074D" w:rsidRPr="001362A6" w:rsidRDefault="00E0074D">
            <w:pPr>
              <w:rPr>
                <w:rFonts w:ascii="Lato" w:hAnsi="Lato"/>
                <w:sz w:val="22"/>
                <w:szCs w:val="22"/>
                <w:lang w:val="en-IE"/>
              </w:rPr>
            </w:pPr>
          </w:p>
        </w:tc>
      </w:tr>
      <w:tr w:rsidR="00E0074D" w:rsidRPr="001362A6" w14:paraId="46CFA02E" w14:textId="77777777" w:rsidTr="00A34B20">
        <w:tc>
          <w:tcPr>
            <w:tcW w:w="2429" w:type="dxa"/>
            <w:gridSpan w:val="4"/>
            <w:tcBorders>
              <w:right w:val="single" w:sz="4" w:space="0" w:color="auto"/>
            </w:tcBorders>
          </w:tcPr>
          <w:p w14:paraId="289C1457" w14:textId="77777777" w:rsidR="00E0074D" w:rsidRPr="001362A6" w:rsidRDefault="000F1C41" w:rsidP="00A34B20">
            <w:pPr>
              <w:rPr>
                <w:rFonts w:ascii="Lato" w:hAnsi="Lato"/>
                <w:sz w:val="22"/>
                <w:szCs w:val="22"/>
                <w:lang w:val="en-IE"/>
              </w:rPr>
            </w:pPr>
            <w:r w:rsidRPr="001362A6">
              <w:rPr>
                <w:rFonts w:ascii="Lato" w:hAnsi="Lato"/>
                <w:sz w:val="22"/>
                <w:szCs w:val="22"/>
                <w:lang w:val="en-IE"/>
              </w:rPr>
              <w:t>Alternative Investment</w:t>
            </w:r>
          </w:p>
        </w:tc>
        <w:tc>
          <w:tcPr>
            <w:tcW w:w="6788" w:type="dxa"/>
            <w:gridSpan w:val="2"/>
            <w:tcBorders>
              <w:left w:val="single" w:sz="4" w:space="0" w:color="auto"/>
              <w:right w:val="single" w:sz="4" w:space="0" w:color="auto"/>
            </w:tcBorders>
          </w:tcPr>
          <w:p w14:paraId="06C51B63" w14:textId="77777777" w:rsidR="00E0074D" w:rsidRPr="001362A6" w:rsidRDefault="00E0074D">
            <w:pPr>
              <w:rPr>
                <w:rFonts w:ascii="Lato" w:hAnsi="Lato"/>
                <w:sz w:val="22"/>
                <w:szCs w:val="22"/>
                <w:lang w:val="en-IE"/>
              </w:rPr>
            </w:pPr>
          </w:p>
        </w:tc>
        <w:tc>
          <w:tcPr>
            <w:tcW w:w="345" w:type="dxa"/>
            <w:gridSpan w:val="2"/>
          </w:tcPr>
          <w:p w14:paraId="52B846E8" w14:textId="77777777" w:rsidR="00E0074D" w:rsidRPr="001362A6" w:rsidRDefault="00E0074D">
            <w:pPr>
              <w:rPr>
                <w:rFonts w:ascii="Lato" w:hAnsi="Lato"/>
                <w:sz w:val="22"/>
                <w:szCs w:val="22"/>
                <w:lang w:val="en-IE"/>
              </w:rPr>
            </w:pPr>
          </w:p>
        </w:tc>
        <w:tc>
          <w:tcPr>
            <w:tcW w:w="1058" w:type="dxa"/>
            <w:gridSpan w:val="2"/>
          </w:tcPr>
          <w:p w14:paraId="028516FD" w14:textId="77777777" w:rsidR="00E0074D" w:rsidRPr="001362A6" w:rsidRDefault="00E0074D">
            <w:pPr>
              <w:rPr>
                <w:rFonts w:ascii="Lato" w:hAnsi="Lato"/>
                <w:sz w:val="22"/>
                <w:szCs w:val="22"/>
                <w:lang w:val="en-IE"/>
              </w:rPr>
            </w:pPr>
          </w:p>
        </w:tc>
      </w:tr>
      <w:tr w:rsidR="00E0074D" w:rsidRPr="001362A6" w14:paraId="300A6C12" w14:textId="77777777" w:rsidTr="00A34B20">
        <w:tc>
          <w:tcPr>
            <w:tcW w:w="2429" w:type="dxa"/>
            <w:gridSpan w:val="4"/>
            <w:tcBorders>
              <w:right w:val="single" w:sz="4" w:space="0" w:color="auto"/>
            </w:tcBorders>
          </w:tcPr>
          <w:p w14:paraId="2640EE5D" w14:textId="77777777" w:rsidR="00E0074D" w:rsidRPr="001362A6" w:rsidRDefault="000F1C41" w:rsidP="00A34B20">
            <w:pPr>
              <w:rPr>
                <w:rFonts w:ascii="Lato" w:hAnsi="Lato"/>
                <w:sz w:val="22"/>
                <w:szCs w:val="22"/>
                <w:lang w:val="en-IE"/>
              </w:rPr>
            </w:pPr>
            <w:r w:rsidRPr="001362A6">
              <w:rPr>
                <w:rFonts w:ascii="Lato" w:hAnsi="Lato"/>
                <w:sz w:val="22"/>
                <w:szCs w:val="22"/>
                <w:lang w:val="en-IE"/>
              </w:rPr>
              <w:t>Fund Manager (“AIFM”)</w:t>
            </w:r>
          </w:p>
        </w:tc>
        <w:tc>
          <w:tcPr>
            <w:tcW w:w="6788" w:type="dxa"/>
            <w:gridSpan w:val="2"/>
            <w:tcBorders>
              <w:left w:val="single" w:sz="4" w:space="0" w:color="auto"/>
              <w:right w:val="single" w:sz="4" w:space="0" w:color="auto"/>
            </w:tcBorders>
          </w:tcPr>
          <w:p w14:paraId="2405349D" w14:textId="77777777" w:rsidR="00E0074D" w:rsidRPr="001362A6" w:rsidRDefault="00E0074D">
            <w:pPr>
              <w:rPr>
                <w:rFonts w:ascii="Lato" w:hAnsi="Lato"/>
                <w:sz w:val="22"/>
                <w:szCs w:val="22"/>
                <w:lang w:val="en-IE"/>
              </w:rPr>
            </w:pPr>
          </w:p>
        </w:tc>
        <w:tc>
          <w:tcPr>
            <w:tcW w:w="345" w:type="dxa"/>
            <w:gridSpan w:val="2"/>
          </w:tcPr>
          <w:p w14:paraId="76C021CE" w14:textId="77777777" w:rsidR="00E0074D" w:rsidRPr="001362A6" w:rsidRDefault="00E0074D">
            <w:pPr>
              <w:rPr>
                <w:rFonts w:ascii="Lato" w:hAnsi="Lato"/>
                <w:sz w:val="22"/>
                <w:szCs w:val="22"/>
                <w:lang w:val="en-IE"/>
              </w:rPr>
            </w:pPr>
          </w:p>
        </w:tc>
        <w:tc>
          <w:tcPr>
            <w:tcW w:w="1058" w:type="dxa"/>
            <w:gridSpan w:val="2"/>
          </w:tcPr>
          <w:p w14:paraId="43DDD392" w14:textId="77777777" w:rsidR="00E0074D" w:rsidRPr="001362A6" w:rsidRDefault="00E0074D">
            <w:pPr>
              <w:rPr>
                <w:rFonts w:ascii="Lato" w:hAnsi="Lato"/>
                <w:sz w:val="22"/>
                <w:szCs w:val="22"/>
                <w:lang w:val="en-IE"/>
              </w:rPr>
            </w:pPr>
          </w:p>
        </w:tc>
      </w:tr>
      <w:tr w:rsidR="00E0074D" w:rsidRPr="001362A6" w14:paraId="151B5996" w14:textId="77777777" w:rsidTr="00A34B20">
        <w:tc>
          <w:tcPr>
            <w:tcW w:w="2429" w:type="dxa"/>
            <w:gridSpan w:val="4"/>
            <w:tcBorders>
              <w:right w:val="single" w:sz="4" w:space="0" w:color="auto"/>
            </w:tcBorders>
          </w:tcPr>
          <w:p w14:paraId="1AE0B4D3" w14:textId="77777777" w:rsidR="00E0074D" w:rsidRPr="001362A6" w:rsidRDefault="00AE5616" w:rsidP="00E300EA">
            <w:pPr>
              <w:rPr>
                <w:rFonts w:ascii="Lato" w:hAnsi="Lato"/>
                <w:sz w:val="22"/>
                <w:szCs w:val="22"/>
                <w:lang w:val="en-IE"/>
              </w:rPr>
            </w:pPr>
            <w:r w:rsidRPr="001362A6">
              <w:rPr>
                <w:rFonts w:ascii="Lato" w:hAnsi="Lato"/>
                <w:sz w:val="22"/>
                <w:szCs w:val="22"/>
                <w:lang w:val="en-IE"/>
              </w:rPr>
              <w:t>(</w:t>
            </w:r>
            <w:r w:rsidR="00B6546C" w:rsidRPr="001362A6">
              <w:rPr>
                <w:rFonts w:ascii="Lato" w:hAnsi="Lato"/>
                <w:sz w:val="22"/>
                <w:szCs w:val="22"/>
                <w:lang w:val="en-IE"/>
              </w:rPr>
              <w:t>r</w:t>
            </w:r>
            <w:r w:rsidRPr="001362A6">
              <w:rPr>
                <w:rFonts w:ascii="Lato" w:hAnsi="Lato"/>
                <w:sz w:val="22"/>
                <w:szCs w:val="22"/>
                <w:lang w:val="en-IE"/>
              </w:rPr>
              <w:t xml:space="preserve">egistered </w:t>
            </w:r>
            <w:r w:rsidR="00B6546C" w:rsidRPr="001362A6">
              <w:rPr>
                <w:rFonts w:ascii="Lato" w:hAnsi="Lato"/>
                <w:sz w:val="22"/>
                <w:szCs w:val="22"/>
                <w:lang w:val="en-IE"/>
              </w:rPr>
              <w:t>o</w:t>
            </w:r>
            <w:r w:rsidRPr="001362A6">
              <w:rPr>
                <w:rFonts w:ascii="Lato" w:hAnsi="Lato"/>
                <w:sz w:val="22"/>
                <w:szCs w:val="22"/>
                <w:lang w:val="en-IE"/>
              </w:rPr>
              <w:t xml:space="preserve">ffice and </w:t>
            </w:r>
            <w:r w:rsidR="00B6546C" w:rsidRPr="001362A6">
              <w:rPr>
                <w:rFonts w:ascii="Lato" w:hAnsi="Lato"/>
                <w:sz w:val="22"/>
                <w:szCs w:val="22"/>
                <w:lang w:val="en-IE"/>
              </w:rPr>
              <w:t>h</w:t>
            </w:r>
            <w:r w:rsidRPr="001362A6">
              <w:rPr>
                <w:rFonts w:ascii="Lato" w:hAnsi="Lato"/>
                <w:sz w:val="22"/>
                <w:szCs w:val="22"/>
                <w:lang w:val="en-IE"/>
              </w:rPr>
              <w:t xml:space="preserve">ead </w:t>
            </w:r>
            <w:r w:rsidR="00B6546C" w:rsidRPr="001362A6">
              <w:rPr>
                <w:rFonts w:ascii="Lato" w:hAnsi="Lato"/>
                <w:sz w:val="22"/>
                <w:szCs w:val="22"/>
                <w:lang w:val="en-IE"/>
              </w:rPr>
              <w:t>o</w:t>
            </w:r>
            <w:r w:rsidRPr="001362A6">
              <w:rPr>
                <w:rFonts w:ascii="Lato" w:hAnsi="Lato"/>
                <w:sz w:val="22"/>
                <w:szCs w:val="22"/>
                <w:lang w:val="en-IE"/>
              </w:rPr>
              <w:t xml:space="preserve">ffice (if different from </w:t>
            </w:r>
            <w:r w:rsidR="00B6546C" w:rsidRPr="001362A6">
              <w:rPr>
                <w:rFonts w:ascii="Lato" w:hAnsi="Lato"/>
                <w:sz w:val="22"/>
                <w:szCs w:val="22"/>
                <w:lang w:val="en-IE"/>
              </w:rPr>
              <w:t>r</w:t>
            </w:r>
            <w:r w:rsidRPr="001362A6">
              <w:rPr>
                <w:rFonts w:ascii="Lato" w:hAnsi="Lato"/>
                <w:sz w:val="22"/>
                <w:szCs w:val="22"/>
                <w:lang w:val="en-IE"/>
              </w:rPr>
              <w:t>egistered)</w:t>
            </w:r>
          </w:p>
        </w:tc>
        <w:tc>
          <w:tcPr>
            <w:tcW w:w="6788" w:type="dxa"/>
            <w:gridSpan w:val="2"/>
            <w:tcBorders>
              <w:left w:val="single" w:sz="4" w:space="0" w:color="auto"/>
              <w:right w:val="single" w:sz="4" w:space="0" w:color="auto"/>
            </w:tcBorders>
          </w:tcPr>
          <w:p w14:paraId="3985C4AA" w14:textId="77777777" w:rsidR="00E0074D" w:rsidRPr="001362A6" w:rsidRDefault="00E0074D">
            <w:pPr>
              <w:rPr>
                <w:rFonts w:ascii="Lato" w:hAnsi="Lato"/>
                <w:sz w:val="22"/>
                <w:szCs w:val="22"/>
                <w:lang w:val="en-IE"/>
              </w:rPr>
            </w:pPr>
          </w:p>
        </w:tc>
        <w:tc>
          <w:tcPr>
            <w:tcW w:w="345" w:type="dxa"/>
            <w:gridSpan w:val="2"/>
          </w:tcPr>
          <w:p w14:paraId="5BD68892" w14:textId="77777777" w:rsidR="00E0074D" w:rsidRPr="001362A6" w:rsidRDefault="00E0074D">
            <w:pPr>
              <w:rPr>
                <w:rFonts w:ascii="Lato" w:hAnsi="Lato"/>
                <w:sz w:val="22"/>
                <w:szCs w:val="22"/>
                <w:lang w:val="en-IE"/>
              </w:rPr>
            </w:pPr>
          </w:p>
        </w:tc>
        <w:tc>
          <w:tcPr>
            <w:tcW w:w="1058" w:type="dxa"/>
            <w:gridSpan w:val="2"/>
          </w:tcPr>
          <w:p w14:paraId="50422892" w14:textId="77777777" w:rsidR="00E0074D" w:rsidRPr="001362A6" w:rsidRDefault="00E0074D">
            <w:pPr>
              <w:rPr>
                <w:rFonts w:ascii="Lato" w:hAnsi="Lato"/>
                <w:sz w:val="22"/>
                <w:szCs w:val="22"/>
                <w:lang w:val="en-IE"/>
              </w:rPr>
            </w:pPr>
          </w:p>
        </w:tc>
      </w:tr>
      <w:tr w:rsidR="00AE5616" w:rsidRPr="001362A6" w14:paraId="33AD4BF5" w14:textId="77777777" w:rsidTr="005E49F6">
        <w:tc>
          <w:tcPr>
            <w:tcW w:w="2429" w:type="dxa"/>
            <w:gridSpan w:val="4"/>
            <w:tcBorders>
              <w:right w:val="single" w:sz="4" w:space="0" w:color="auto"/>
            </w:tcBorders>
          </w:tcPr>
          <w:p w14:paraId="55487C39" w14:textId="77777777" w:rsidR="00AE5616" w:rsidRPr="001362A6" w:rsidRDefault="00AE5616" w:rsidP="00AE5616">
            <w:pPr>
              <w:rPr>
                <w:rFonts w:ascii="Lato" w:hAnsi="Lato"/>
                <w:sz w:val="22"/>
                <w:szCs w:val="22"/>
                <w:lang w:val="en-IE"/>
              </w:rPr>
            </w:pPr>
          </w:p>
        </w:tc>
        <w:tc>
          <w:tcPr>
            <w:tcW w:w="6788" w:type="dxa"/>
            <w:gridSpan w:val="2"/>
            <w:tcBorders>
              <w:left w:val="single" w:sz="4" w:space="0" w:color="auto"/>
              <w:bottom w:val="single" w:sz="4" w:space="0" w:color="auto"/>
              <w:right w:val="single" w:sz="4" w:space="0" w:color="auto"/>
            </w:tcBorders>
          </w:tcPr>
          <w:p w14:paraId="58D28167" w14:textId="77777777" w:rsidR="00AE5616" w:rsidRPr="001362A6" w:rsidRDefault="00AE5616">
            <w:pPr>
              <w:rPr>
                <w:rFonts w:ascii="Lato" w:hAnsi="Lato"/>
                <w:sz w:val="22"/>
                <w:szCs w:val="22"/>
                <w:lang w:val="en-IE"/>
              </w:rPr>
            </w:pPr>
          </w:p>
        </w:tc>
        <w:tc>
          <w:tcPr>
            <w:tcW w:w="345" w:type="dxa"/>
            <w:gridSpan w:val="2"/>
          </w:tcPr>
          <w:p w14:paraId="1EBB3F6F" w14:textId="77777777" w:rsidR="00AE5616" w:rsidRPr="001362A6" w:rsidRDefault="00AE5616">
            <w:pPr>
              <w:rPr>
                <w:rFonts w:ascii="Lato" w:hAnsi="Lato"/>
                <w:sz w:val="22"/>
                <w:szCs w:val="22"/>
                <w:lang w:val="en-IE"/>
              </w:rPr>
            </w:pPr>
          </w:p>
        </w:tc>
        <w:tc>
          <w:tcPr>
            <w:tcW w:w="1058" w:type="dxa"/>
            <w:gridSpan w:val="2"/>
          </w:tcPr>
          <w:p w14:paraId="107D5833" w14:textId="77777777" w:rsidR="00AE5616" w:rsidRPr="001362A6" w:rsidRDefault="00AE5616">
            <w:pPr>
              <w:rPr>
                <w:rFonts w:ascii="Lato" w:hAnsi="Lato"/>
                <w:sz w:val="22"/>
                <w:szCs w:val="22"/>
                <w:lang w:val="en-IE"/>
              </w:rPr>
            </w:pPr>
          </w:p>
        </w:tc>
      </w:tr>
      <w:tr w:rsidR="00E0074D" w:rsidRPr="001362A6" w14:paraId="57ABA4FB" w14:textId="77777777" w:rsidTr="00A34B20">
        <w:tc>
          <w:tcPr>
            <w:tcW w:w="2429" w:type="dxa"/>
            <w:gridSpan w:val="4"/>
            <w:tcBorders>
              <w:right w:val="single" w:sz="4" w:space="0" w:color="auto"/>
            </w:tcBorders>
          </w:tcPr>
          <w:p w14:paraId="1A47CF05" w14:textId="77777777" w:rsidR="00E0074D" w:rsidRPr="001362A6" w:rsidRDefault="00E0074D" w:rsidP="00AE5616">
            <w:pPr>
              <w:rPr>
                <w:rFonts w:ascii="Lato" w:hAnsi="Lato"/>
                <w:sz w:val="22"/>
                <w:szCs w:val="22"/>
                <w:lang w:val="en-IE"/>
              </w:rPr>
            </w:pPr>
          </w:p>
        </w:tc>
        <w:tc>
          <w:tcPr>
            <w:tcW w:w="6788" w:type="dxa"/>
            <w:gridSpan w:val="2"/>
            <w:tcBorders>
              <w:top w:val="single" w:sz="4" w:space="0" w:color="auto"/>
              <w:left w:val="single" w:sz="4" w:space="0" w:color="auto"/>
              <w:right w:val="single" w:sz="4" w:space="0" w:color="auto"/>
            </w:tcBorders>
          </w:tcPr>
          <w:p w14:paraId="4FDDC490" w14:textId="77777777" w:rsidR="00E0074D" w:rsidRPr="001362A6" w:rsidRDefault="00E0074D">
            <w:pPr>
              <w:rPr>
                <w:rFonts w:ascii="Lato" w:hAnsi="Lato"/>
                <w:sz w:val="22"/>
                <w:szCs w:val="22"/>
                <w:lang w:val="en-IE"/>
              </w:rPr>
            </w:pPr>
          </w:p>
        </w:tc>
        <w:tc>
          <w:tcPr>
            <w:tcW w:w="345" w:type="dxa"/>
            <w:gridSpan w:val="2"/>
          </w:tcPr>
          <w:p w14:paraId="09CAA8AD" w14:textId="77777777" w:rsidR="00E0074D" w:rsidRPr="001362A6" w:rsidRDefault="00E0074D">
            <w:pPr>
              <w:rPr>
                <w:rFonts w:ascii="Lato" w:hAnsi="Lato"/>
                <w:sz w:val="22"/>
                <w:szCs w:val="22"/>
                <w:lang w:val="en-IE"/>
              </w:rPr>
            </w:pPr>
          </w:p>
        </w:tc>
        <w:tc>
          <w:tcPr>
            <w:tcW w:w="1058" w:type="dxa"/>
            <w:gridSpan w:val="2"/>
          </w:tcPr>
          <w:p w14:paraId="3EB59897" w14:textId="77777777" w:rsidR="00E0074D" w:rsidRPr="001362A6" w:rsidRDefault="00E0074D">
            <w:pPr>
              <w:rPr>
                <w:rFonts w:ascii="Lato" w:hAnsi="Lato"/>
                <w:sz w:val="22"/>
                <w:szCs w:val="22"/>
                <w:lang w:val="en-IE"/>
              </w:rPr>
            </w:pPr>
          </w:p>
        </w:tc>
      </w:tr>
      <w:tr w:rsidR="00E0074D" w:rsidRPr="001362A6" w14:paraId="60FA1BD8" w14:textId="77777777" w:rsidTr="00A34B20">
        <w:tc>
          <w:tcPr>
            <w:tcW w:w="2429" w:type="dxa"/>
            <w:gridSpan w:val="4"/>
            <w:tcBorders>
              <w:right w:val="single" w:sz="4" w:space="0" w:color="auto"/>
            </w:tcBorders>
          </w:tcPr>
          <w:p w14:paraId="6EE52000" w14:textId="77777777" w:rsidR="00E0074D" w:rsidRPr="001362A6" w:rsidRDefault="00A34B20" w:rsidP="00A34B20">
            <w:pPr>
              <w:ind w:left="32"/>
              <w:rPr>
                <w:rFonts w:ascii="Lato" w:hAnsi="Lato"/>
                <w:sz w:val="22"/>
                <w:szCs w:val="22"/>
                <w:lang w:val="en-IE"/>
              </w:rPr>
            </w:pPr>
            <w:r w:rsidRPr="001362A6">
              <w:rPr>
                <w:rFonts w:ascii="Lato" w:hAnsi="Lato"/>
                <w:sz w:val="22"/>
                <w:szCs w:val="22"/>
                <w:lang w:val="en-IE"/>
              </w:rPr>
              <w:t>Management</w:t>
            </w:r>
          </w:p>
        </w:tc>
        <w:tc>
          <w:tcPr>
            <w:tcW w:w="6788" w:type="dxa"/>
            <w:gridSpan w:val="2"/>
            <w:tcBorders>
              <w:left w:val="single" w:sz="4" w:space="0" w:color="auto"/>
              <w:right w:val="single" w:sz="4" w:space="0" w:color="auto"/>
            </w:tcBorders>
          </w:tcPr>
          <w:p w14:paraId="670992A3" w14:textId="77777777" w:rsidR="00E0074D" w:rsidRPr="001362A6" w:rsidRDefault="00E0074D" w:rsidP="00A34B20">
            <w:pPr>
              <w:rPr>
                <w:rFonts w:ascii="Lato" w:hAnsi="Lato"/>
                <w:sz w:val="22"/>
                <w:szCs w:val="22"/>
                <w:lang w:val="en-IE"/>
              </w:rPr>
            </w:pPr>
          </w:p>
        </w:tc>
        <w:tc>
          <w:tcPr>
            <w:tcW w:w="345" w:type="dxa"/>
            <w:gridSpan w:val="2"/>
          </w:tcPr>
          <w:p w14:paraId="754B741E" w14:textId="77777777" w:rsidR="00E0074D" w:rsidRPr="001362A6" w:rsidRDefault="00E0074D" w:rsidP="00A34B20">
            <w:pPr>
              <w:rPr>
                <w:rFonts w:ascii="Lato" w:hAnsi="Lato"/>
                <w:sz w:val="22"/>
                <w:szCs w:val="22"/>
                <w:lang w:val="en-IE"/>
              </w:rPr>
            </w:pPr>
          </w:p>
        </w:tc>
        <w:tc>
          <w:tcPr>
            <w:tcW w:w="1058" w:type="dxa"/>
            <w:gridSpan w:val="2"/>
          </w:tcPr>
          <w:p w14:paraId="6AB29B3B" w14:textId="77777777" w:rsidR="00E0074D" w:rsidRPr="001362A6" w:rsidRDefault="00E0074D" w:rsidP="00A34B20">
            <w:pPr>
              <w:rPr>
                <w:rFonts w:ascii="Lato" w:hAnsi="Lato"/>
                <w:sz w:val="22"/>
                <w:szCs w:val="22"/>
                <w:lang w:val="en-IE"/>
              </w:rPr>
            </w:pPr>
          </w:p>
        </w:tc>
      </w:tr>
      <w:tr w:rsidR="00E0074D" w:rsidRPr="001362A6" w14:paraId="33DC3545" w14:textId="77777777" w:rsidTr="00A34B20">
        <w:tc>
          <w:tcPr>
            <w:tcW w:w="2429" w:type="dxa"/>
            <w:gridSpan w:val="4"/>
            <w:tcBorders>
              <w:right w:val="single" w:sz="4" w:space="0" w:color="auto"/>
            </w:tcBorders>
          </w:tcPr>
          <w:p w14:paraId="760B1F82" w14:textId="77777777" w:rsidR="00E0074D" w:rsidRPr="001362A6" w:rsidRDefault="00E0074D" w:rsidP="00572154">
            <w:pPr>
              <w:ind w:left="32"/>
              <w:rPr>
                <w:rFonts w:ascii="Lato" w:hAnsi="Lato"/>
                <w:sz w:val="22"/>
                <w:szCs w:val="22"/>
                <w:lang w:val="en-IE"/>
              </w:rPr>
            </w:pPr>
            <w:r w:rsidRPr="001362A6">
              <w:rPr>
                <w:rFonts w:ascii="Lato" w:hAnsi="Lato"/>
                <w:sz w:val="22"/>
                <w:szCs w:val="22"/>
                <w:lang w:val="en-IE"/>
              </w:rPr>
              <w:t>Company</w:t>
            </w:r>
          </w:p>
        </w:tc>
        <w:tc>
          <w:tcPr>
            <w:tcW w:w="6788" w:type="dxa"/>
            <w:gridSpan w:val="2"/>
            <w:tcBorders>
              <w:left w:val="single" w:sz="4" w:space="0" w:color="auto"/>
              <w:right w:val="single" w:sz="4" w:space="0" w:color="auto"/>
            </w:tcBorders>
          </w:tcPr>
          <w:p w14:paraId="23C4A99A" w14:textId="77777777" w:rsidR="00E0074D" w:rsidRPr="001362A6" w:rsidRDefault="00E0074D" w:rsidP="00A34B20">
            <w:pPr>
              <w:rPr>
                <w:rFonts w:ascii="Lato" w:hAnsi="Lato"/>
                <w:sz w:val="22"/>
                <w:szCs w:val="22"/>
                <w:lang w:val="en-IE"/>
              </w:rPr>
            </w:pPr>
          </w:p>
        </w:tc>
        <w:tc>
          <w:tcPr>
            <w:tcW w:w="345" w:type="dxa"/>
            <w:gridSpan w:val="2"/>
          </w:tcPr>
          <w:p w14:paraId="4AAB37A9" w14:textId="77777777" w:rsidR="00E0074D" w:rsidRPr="001362A6" w:rsidRDefault="00E0074D" w:rsidP="00A34B20">
            <w:pPr>
              <w:rPr>
                <w:rFonts w:ascii="Lato" w:hAnsi="Lato"/>
                <w:sz w:val="22"/>
                <w:szCs w:val="22"/>
                <w:lang w:val="en-IE"/>
              </w:rPr>
            </w:pPr>
          </w:p>
        </w:tc>
        <w:tc>
          <w:tcPr>
            <w:tcW w:w="1058" w:type="dxa"/>
            <w:gridSpan w:val="2"/>
          </w:tcPr>
          <w:p w14:paraId="25832982" w14:textId="77777777" w:rsidR="00E0074D" w:rsidRPr="001362A6" w:rsidRDefault="00E0074D" w:rsidP="00A34B20">
            <w:pPr>
              <w:rPr>
                <w:rFonts w:ascii="Lato" w:hAnsi="Lato"/>
                <w:sz w:val="22"/>
                <w:szCs w:val="22"/>
                <w:lang w:val="en-IE"/>
              </w:rPr>
            </w:pPr>
          </w:p>
        </w:tc>
      </w:tr>
      <w:tr w:rsidR="00E0074D" w:rsidRPr="001362A6" w14:paraId="49DF78BB" w14:textId="77777777" w:rsidTr="00A34B20">
        <w:tc>
          <w:tcPr>
            <w:tcW w:w="2429" w:type="dxa"/>
            <w:gridSpan w:val="4"/>
            <w:tcBorders>
              <w:right w:val="single" w:sz="4" w:space="0" w:color="auto"/>
            </w:tcBorders>
          </w:tcPr>
          <w:p w14:paraId="21F47820" w14:textId="77777777" w:rsidR="00E0074D" w:rsidRPr="001362A6" w:rsidRDefault="00E0074D" w:rsidP="00572154">
            <w:pPr>
              <w:tabs>
                <w:tab w:val="left" w:pos="207"/>
              </w:tabs>
              <w:ind w:left="32"/>
              <w:rPr>
                <w:rFonts w:ascii="Lato" w:hAnsi="Lato"/>
                <w:sz w:val="22"/>
                <w:szCs w:val="22"/>
                <w:lang w:val="en-IE"/>
              </w:rPr>
            </w:pPr>
          </w:p>
        </w:tc>
        <w:tc>
          <w:tcPr>
            <w:tcW w:w="6788" w:type="dxa"/>
            <w:gridSpan w:val="2"/>
            <w:tcBorders>
              <w:left w:val="single" w:sz="4" w:space="0" w:color="auto"/>
              <w:right w:val="single" w:sz="4" w:space="0" w:color="auto"/>
            </w:tcBorders>
          </w:tcPr>
          <w:p w14:paraId="3AB13838" w14:textId="77777777" w:rsidR="00E0074D" w:rsidRPr="001362A6" w:rsidRDefault="00E0074D" w:rsidP="00A34B20">
            <w:pPr>
              <w:rPr>
                <w:rFonts w:ascii="Lato" w:hAnsi="Lato"/>
                <w:sz w:val="22"/>
                <w:szCs w:val="22"/>
                <w:lang w:val="en-IE"/>
              </w:rPr>
            </w:pPr>
          </w:p>
        </w:tc>
        <w:tc>
          <w:tcPr>
            <w:tcW w:w="345" w:type="dxa"/>
            <w:gridSpan w:val="2"/>
          </w:tcPr>
          <w:p w14:paraId="3BC698F5" w14:textId="77777777" w:rsidR="00E0074D" w:rsidRPr="001362A6" w:rsidRDefault="00E0074D" w:rsidP="00A34B20">
            <w:pPr>
              <w:rPr>
                <w:rFonts w:ascii="Lato" w:hAnsi="Lato"/>
                <w:sz w:val="22"/>
                <w:szCs w:val="22"/>
                <w:lang w:val="en-IE"/>
              </w:rPr>
            </w:pPr>
          </w:p>
        </w:tc>
        <w:tc>
          <w:tcPr>
            <w:tcW w:w="1058" w:type="dxa"/>
            <w:gridSpan w:val="2"/>
          </w:tcPr>
          <w:p w14:paraId="4CE6B5F6" w14:textId="77777777" w:rsidR="00E0074D" w:rsidRPr="001362A6" w:rsidRDefault="00E0074D" w:rsidP="00A34B20">
            <w:pPr>
              <w:rPr>
                <w:rFonts w:ascii="Lato" w:hAnsi="Lato"/>
                <w:sz w:val="22"/>
                <w:szCs w:val="22"/>
                <w:lang w:val="en-IE"/>
              </w:rPr>
            </w:pPr>
          </w:p>
        </w:tc>
      </w:tr>
      <w:tr w:rsidR="00E0074D" w:rsidRPr="001362A6" w14:paraId="0156FE6C" w14:textId="77777777" w:rsidTr="00A34B20">
        <w:tc>
          <w:tcPr>
            <w:tcW w:w="2429" w:type="dxa"/>
            <w:gridSpan w:val="4"/>
            <w:tcBorders>
              <w:right w:val="single" w:sz="4" w:space="0" w:color="auto"/>
            </w:tcBorders>
          </w:tcPr>
          <w:p w14:paraId="1D277A06" w14:textId="77777777" w:rsidR="00E0074D" w:rsidRPr="001362A6" w:rsidRDefault="00E0074D" w:rsidP="00572154">
            <w:pPr>
              <w:ind w:left="32"/>
              <w:rPr>
                <w:rFonts w:ascii="Lato" w:hAnsi="Lato"/>
                <w:sz w:val="22"/>
                <w:szCs w:val="22"/>
                <w:lang w:val="en-IE"/>
              </w:rPr>
            </w:pPr>
          </w:p>
        </w:tc>
        <w:tc>
          <w:tcPr>
            <w:tcW w:w="6788" w:type="dxa"/>
            <w:gridSpan w:val="2"/>
            <w:tcBorders>
              <w:left w:val="single" w:sz="4" w:space="0" w:color="auto"/>
              <w:right w:val="single" w:sz="4" w:space="0" w:color="auto"/>
            </w:tcBorders>
          </w:tcPr>
          <w:p w14:paraId="0E80F4BA" w14:textId="77777777" w:rsidR="00AF064C" w:rsidRPr="001362A6" w:rsidRDefault="00AF064C" w:rsidP="00A34B20">
            <w:pPr>
              <w:rPr>
                <w:rFonts w:ascii="Lato" w:hAnsi="Lato"/>
                <w:sz w:val="22"/>
                <w:szCs w:val="22"/>
                <w:lang w:val="en-IE"/>
              </w:rPr>
            </w:pPr>
          </w:p>
        </w:tc>
        <w:tc>
          <w:tcPr>
            <w:tcW w:w="345" w:type="dxa"/>
            <w:gridSpan w:val="2"/>
          </w:tcPr>
          <w:p w14:paraId="04392E0F" w14:textId="77777777" w:rsidR="00E0074D" w:rsidRPr="001362A6" w:rsidRDefault="00E0074D" w:rsidP="00A34B20">
            <w:pPr>
              <w:rPr>
                <w:rFonts w:ascii="Lato" w:hAnsi="Lato"/>
                <w:sz w:val="22"/>
                <w:szCs w:val="22"/>
                <w:lang w:val="en-IE"/>
              </w:rPr>
            </w:pPr>
          </w:p>
        </w:tc>
        <w:tc>
          <w:tcPr>
            <w:tcW w:w="1058" w:type="dxa"/>
            <w:gridSpan w:val="2"/>
          </w:tcPr>
          <w:p w14:paraId="20A8A88D" w14:textId="77777777" w:rsidR="00E0074D" w:rsidRPr="001362A6" w:rsidRDefault="00E0074D" w:rsidP="00A34B20">
            <w:pPr>
              <w:rPr>
                <w:rFonts w:ascii="Lato" w:hAnsi="Lato"/>
                <w:sz w:val="22"/>
                <w:szCs w:val="22"/>
                <w:lang w:val="en-IE"/>
              </w:rPr>
            </w:pPr>
          </w:p>
        </w:tc>
      </w:tr>
      <w:tr w:rsidR="00ED5E22" w:rsidRPr="001362A6" w14:paraId="390BB883" w14:textId="77777777" w:rsidTr="00ED5E22">
        <w:tc>
          <w:tcPr>
            <w:tcW w:w="2429" w:type="dxa"/>
            <w:gridSpan w:val="4"/>
            <w:tcBorders>
              <w:right w:val="single" w:sz="4" w:space="0" w:color="auto"/>
            </w:tcBorders>
          </w:tcPr>
          <w:p w14:paraId="016B1682" w14:textId="77777777" w:rsidR="00ED5E22" w:rsidRPr="001362A6" w:rsidRDefault="00ED5E22" w:rsidP="00A34B20">
            <w:pPr>
              <w:ind w:left="32"/>
              <w:rPr>
                <w:rFonts w:ascii="Lato" w:hAnsi="Lato"/>
                <w:sz w:val="22"/>
                <w:szCs w:val="22"/>
                <w:lang w:val="en-IE"/>
              </w:rPr>
            </w:pPr>
          </w:p>
        </w:tc>
        <w:tc>
          <w:tcPr>
            <w:tcW w:w="6788" w:type="dxa"/>
            <w:gridSpan w:val="2"/>
            <w:tcBorders>
              <w:left w:val="single" w:sz="4" w:space="0" w:color="auto"/>
              <w:bottom w:val="single" w:sz="4" w:space="0" w:color="auto"/>
              <w:right w:val="single" w:sz="4" w:space="0" w:color="auto"/>
            </w:tcBorders>
          </w:tcPr>
          <w:p w14:paraId="044B1F38" w14:textId="77777777" w:rsidR="00ED5E22" w:rsidRPr="001362A6" w:rsidRDefault="00ED5E22" w:rsidP="00A34B20">
            <w:pPr>
              <w:rPr>
                <w:rFonts w:ascii="Lato" w:hAnsi="Lato"/>
                <w:sz w:val="22"/>
                <w:szCs w:val="22"/>
                <w:lang w:val="en-IE"/>
              </w:rPr>
            </w:pPr>
          </w:p>
        </w:tc>
        <w:tc>
          <w:tcPr>
            <w:tcW w:w="345" w:type="dxa"/>
            <w:gridSpan w:val="2"/>
          </w:tcPr>
          <w:p w14:paraId="50F969D7" w14:textId="77777777" w:rsidR="00ED5E22" w:rsidRPr="001362A6" w:rsidRDefault="00ED5E22" w:rsidP="00A34B20">
            <w:pPr>
              <w:rPr>
                <w:rFonts w:ascii="Lato" w:hAnsi="Lato"/>
                <w:sz w:val="22"/>
                <w:szCs w:val="22"/>
                <w:lang w:val="en-IE"/>
              </w:rPr>
            </w:pPr>
          </w:p>
        </w:tc>
        <w:tc>
          <w:tcPr>
            <w:tcW w:w="1058" w:type="dxa"/>
            <w:gridSpan w:val="2"/>
          </w:tcPr>
          <w:p w14:paraId="0B5E3B0A" w14:textId="77777777" w:rsidR="00ED5E22" w:rsidRPr="001362A6" w:rsidRDefault="00ED5E22" w:rsidP="00A34B20">
            <w:pPr>
              <w:rPr>
                <w:rFonts w:ascii="Lato" w:hAnsi="Lato"/>
                <w:sz w:val="22"/>
                <w:szCs w:val="22"/>
                <w:lang w:val="en-IE"/>
              </w:rPr>
            </w:pPr>
          </w:p>
        </w:tc>
      </w:tr>
      <w:tr w:rsidR="0076316F" w:rsidRPr="001362A6" w14:paraId="12A5D4F5" w14:textId="77777777" w:rsidTr="00A34B20">
        <w:tc>
          <w:tcPr>
            <w:tcW w:w="2429" w:type="dxa"/>
            <w:gridSpan w:val="4"/>
            <w:tcBorders>
              <w:right w:val="single" w:sz="4" w:space="0" w:color="auto"/>
            </w:tcBorders>
          </w:tcPr>
          <w:p w14:paraId="11B2572E" w14:textId="77777777" w:rsidR="0076316F" w:rsidRPr="001362A6" w:rsidRDefault="0076316F" w:rsidP="00A34B20">
            <w:pPr>
              <w:ind w:left="32"/>
              <w:rPr>
                <w:rFonts w:ascii="Lato" w:hAnsi="Lato"/>
                <w:sz w:val="22"/>
                <w:szCs w:val="22"/>
                <w:lang w:val="en-IE"/>
              </w:rPr>
            </w:pPr>
            <w:r w:rsidRPr="001362A6">
              <w:rPr>
                <w:rFonts w:ascii="Lato" w:hAnsi="Lato"/>
                <w:sz w:val="22"/>
                <w:szCs w:val="22"/>
                <w:lang w:val="en-IE"/>
              </w:rPr>
              <w:t>General Partner</w:t>
            </w:r>
          </w:p>
        </w:tc>
        <w:tc>
          <w:tcPr>
            <w:tcW w:w="6788" w:type="dxa"/>
            <w:gridSpan w:val="2"/>
            <w:tcBorders>
              <w:left w:val="single" w:sz="4" w:space="0" w:color="auto"/>
              <w:right w:val="single" w:sz="4" w:space="0" w:color="auto"/>
            </w:tcBorders>
          </w:tcPr>
          <w:p w14:paraId="01C72E2C" w14:textId="77777777" w:rsidR="0076316F" w:rsidRPr="001362A6" w:rsidRDefault="0076316F">
            <w:pPr>
              <w:rPr>
                <w:rFonts w:ascii="Lato" w:hAnsi="Lato"/>
                <w:sz w:val="22"/>
                <w:szCs w:val="22"/>
                <w:lang w:val="en-IE"/>
              </w:rPr>
            </w:pPr>
          </w:p>
        </w:tc>
        <w:tc>
          <w:tcPr>
            <w:tcW w:w="345" w:type="dxa"/>
            <w:gridSpan w:val="2"/>
          </w:tcPr>
          <w:p w14:paraId="5142F2C6" w14:textId="77777777" w:rsidR="0076316F" w:rsidRPr="001362A6" w:rsidRDefault="0076316F">
            <w:pPr>
              <w:rPr>
                <w:rFonts w:ascii="Lato" w:hAnsi="Lato"/>
                <w:sz w:val="22"/>
                <w:szCs w:val="22"/>
                <w:lang w:val="en-IE"/>
              </w:rPr>
            </w:pPr>
          </w:p>
        </w:tc>
        <w:tc>
          <w:tcPr>
            <w:tcW w:w="1058" w:type="dxa"/>
            <w:gridSpan w:val="2"/>
          </w:tcPr>
          <w:p w14:paraId="106876E4" w14:textId="77777777" w:rsidR="0076316F" w:rsidRPr="001362A6" w:rsidRDefault="0076316F">
            <w:pPr>
              <w:rPr>
                <w:rFonts w:ascii="Lato" w:hAnsi="Lato"/>
                <w:sz w:val="22"/>
                <w:szCs w:val="22"/>
                <w:lang w:val="en-IE"/>
              </w:rPr>
            </w:pPr>
          </w:p>
        </w:tc>
      </w:tr>
      <w:tr w:rsidR="00FA5D19" w:rsidRPr="001362A6" w14:paraId="0A116138" w14:textId="77777777" w:rsidTr="00A34B20">
        <w:tc>
          <w:tcPr>
            <w:tcW w:w="2429" w:type="dxa"/>
            <w:gridSpan w:val="4"/>
            <w:tcBorders>
              <w:right w:val="single" w:sz="4" w:space="0" w:color="auto"/>
            </w:tcBorders>
          </w:tcPr>
          <w:p w14:paraId="7EE78375" w14:textId="77777777" w:rsidR="00FA5D19" w:rsidRPr="001362A6" w:rsidRDefault="00FA5D19" w:rsidP="00A34B20">
            <w:pPr>
              <w:ind w:left="32"/>
              <w:rPr>
                <w:rFonts w:ascii="Lato" w:hAnsi="Lato"/>
                <w:sz w:val="22"/>
                <w:szCs w:val="22"/>
                <w:lang w:val="en-IE"/>
              </w:rPr>
            </w:pPr>
          </w:p>
        </w:tc>
        <w:tc>
          <w:tcPr>
            <w:tcW w:w="6788" w:type="dxa"/>
            <w:gridSpan w:val="2"/>
            <w:tcBorders>
              <w:left w:val="single" w:sz="4" w:space="0" w:color="auto"/>
              <w:right w:val="single" w:sz="4" w:space="0" w:color="auto"/>
            </w:tcBorders>
          </w:tcPr>
          <w:p w14:paraId="12AB1226" w14:textId="77777777" w:rsidR="00FA5D19" w:rsidRPr="001362A6" w:rsidRDefault="00FA5D19">
            <w:pPr>
              <w:rPr>
                <w:rFonts w:ascii="Lato" w:hAnsi="Lato"/>
                <w:sz w:val="22"/>
                <w:szCs w:val="22"/>
                <w:lang w:val="en-IE"/>
              </w:rPr>
            </w:pPr>
          </w:p>
        </w:tc>
        <w:tc>
          <w:tcPr>
            <w:tcW w:w="345" w:type="dxa"/>
            <w:gridSpan w:val="2"/>
          </w:tcPr>
          <w:p w14:paraId="47E3EBFC" w14:textId="77777777" w:rsidR="00FA5D19" w:rsidRPr="001362A6" w:rsidRDefault="00FA5D19">
            <w:pPr>
              <w:rPr>
                <w:rFonts w:ascii="Lato" w:hAnsi="Lato"/>
                <w:sz w:val="22"/>
                <w:szCs w:val="22"/>
                <w:lang w:val="en-IE"/>
              </w:rPr>
            </w:pPr>
          </w:p>
        </w:tc>
        <w:tc>
          <w:tcPr>
            <w:tcW w:w="1058" w:type="dxa"/>
            <w:gridSpan w:val="2"/>
          </w:tcPr>
          <w:p w14:paraId="0DE0F486" w14:textId="77777777" w:rsidR="00FA5D19" w:rsidRPr="001362A6" w:rsidRDefault="00FA5D19">
            <w:pPr>
              <w:rPr>
                <w:rFonts w:ascii="Lato" w:hAnsi="Lato"/>
                <w:sz w:val="22"/>
                <w:szCs w:val="22"/>
                <w:lang w:val="en-IE"/>
              </w:rPr>
            </w:pPr>
          </w:p>
        </w:tc>
      </w:tr>
      <w:tr w:rsidR="00FA5D19" w:rsidRPr="001362A6" w14:paraId="5BC84DB2" w14:textId="77777777" w:rsidTr="00A34B20">
        <w:tc>
          <w:tcPr>
            <w:tcW w:w="2429" w:type="dxa"/>
            <w:gridSpan w:val="4"/>
            <w:tcBorders>
              <w:right w:val="single" w:sz="4" w:space="0" w:color="auto"/>
            </w:tcBorders>
          </w:tcPr>
          <w:p w14:paraId="57CB5F15" w14:textId="77777777" w:rsidR="00FA5D19" w:rsidRPr="001362A6" w:rsidRDefault="00FA5D19" w:rsidP="00A34B20">
            <w:pPr>
              <w:ind w:left="32"/>
              <w:rPr>
                <w:rFonts w:ascii="Lato" w:hAnsi="Lato"/>
                <w:sz w:val="22"/>
                <w:szCs w:val="22"/>
                <w:lang w:val="en-IE"/>
              </w:rPr>
            </w:pPr>
          </w:p>
        </w:tc>
        <w:tc>
          <w:tcPr>
            <w:tcW w:w="6788" w:type="dxa"/>
            <w:gridSpan w:val="2"/>
            <w:tcBorders>
              <w:left w:val="single" w:sz="4" w:space="0" w:color="auto"/>
              <w:right w:val="single" w:sz="4" w:space="0" w:color="auto"/>
            </w:tcBorders>
          </w:tcPr>
          <w:p w14:paraId="300B9C3F" w14:textId="77777777" w:rsidR="00FA5D19" w:rsidRPr="001362A6" w:rsidRDefault="00FA5D19">
            <w:pPr>
              <w:rPr>
                <w:rFonts w:ascii="Lato" w:hAnsi="Lato"/>
                <w:sz w:val="22"/>
                <w:szCs w:val="22"/>
                <w:lang w:val="en-IE"/>
              </w:rPr>
            </w:pPr>
          </w:p>
        </w:tc>
        <w:tc>
          <w:tcPr>
            <w:tcW w:w="345" w:type="dxa"/>
            <w:gridSpan w:val="2"/>
          </w:tcPr>
          <w:p w14:paraId="4875DAC7" w14:textId="77777777" w:rsidR="00FA5D19" w:rsidRPr="001362A6" w:rsidRDefault="00FA5D19">
            <w:pPr>
              <w:rPr>
                <w:rFonts w:ascii="Lato" w:hAnsi="Lato"/>
                <w:sz w:val="22"/>
                <w:szCs w:val="22"/>
                <w:lang w:val="en-IE"/>
              </w:rPr>
            </w:pPr>
          </w:p>
        </w:tc>
        <w:tc>
          <w:tcPr>
            <w:tcW w:w="1058" w:type="dxa"/>
            <w:gridSpan w:val="2"/>
          </w:tcPr>
          <w:p w14:paraId="6C56DF7A" w14:textId="77777777" w:rsidR="00FA5D19" w:rsidRPr="001362A6" w:rsidRDefault="00FA5D19">
            <w:pPr>
              <w:rPr>
                <w:rFonts w:ascii="Lato" w:hAnsi="Lato"/>
                <w:sz w:val="22"/>
                <w:szCs w:val="22"/>
                <w:lang w:val="en-IE"/>
              </w:rPr>
            </w:pPr>
          </w:p>
        </w:tc>
      </w:tr>
      <w:tr w:rsidR="00FA5D19" w:rsidRPr="001362A6" w14:paraId="7BE9DC58" w14:textId="77777777" w:rsidTr="00A34B20">
        <w:tc>
          <w:tcPr>
            <w:tcW w:w="2429" w:type="dxa"/>
            <w:gridSpan w:val="4"/>
            <w:tcBorders>
              <w:right w:val="single" w:sz="4" w:space="0" w:color="auto"/>
            </w:tcBorders>
          </w:tcPr>
          <w:p w14:paraId="2E59819A" w14:textId="77777777" w:rsidR="00FA5D19" w:rsidRPr="001362A6" w:rsidRDefault="00FA5D19" w:rsidP="00A34B20">
            <w:pPr>
              <w:ind w:left="32"/>
              <w:rPr>
                <w:rFonts w:ascii="Lato" w:hAnsi="Lato"/>
                <w:sz w:val="22"/>
                <w:szCs w:val="22"/>
                <w:lang w:val="en-IE"/>
              </w:rPr>
            </w:pPr>
          </w:p>
        </w:tc>
        <w:tc>
          <w:tcPr>
            <w:tcW w:w="6788" w:type="dxa"/>
            <w:gridSpan w:val="2"/>
            <w:tcBorders>
              <w:left w:val="single" w:sz="4" w:space="0" w:color="auto"/>
              <w:right w:val="single" w:sz="4" w:space="0" w:color="auto"/>
            </w:tcBorders>
          </w:tcPr>
          <w:p w14:paraId="3ACDC5EA" w14:textId="77777777" w:rsidR="00FA5D19" w:rsidRPr="001362A6" w:rsidRDefault="00FA5D19">
            <w:pPr>
              <w:rPr>
                <w:rFonts w:ascii="Lato" w:hAnsi="Lato"/>
                <w:sz w:val="22"/>
                <w:szCs w:val="22"/>
                <w:lang w:val="en-IE"/>
              </w:rPr>
            </w:pPr>
          </w:p>
        </w:tc>
        <w:tc>
          <w:tcPr>
            <w:tcW w:w="345" w:type="dxa"/>
            <w:gridSpan w:val="2"/>
          </w:tcPr>
          <w:p w14:paraId="032E7B1A" w14:textId="77777777" w:rsidR="00FA5D19" w:rsidRPr="001362A6" w:rsidRDefault="00FA5D19">
            <w:pPr>
              <w:rPr>
                <w:rFonts w:ascii="Lato" w:hAnsi="Lato"/>
                <w:sz w:val="22"/>
                <w:szCs w:val="22"/>
                <w:lang w:val="en-IE"/>
              </w:rPr>
            </w:pPr>
          </w:p>
        </w:tc>
        <w:tc>
          <w:tcPr>
            <w:tcW w:w="1058" w:type="dxa"/>
            <w:gridSpan w:val="2"/>
          </w:tcPr>
          <w:p w14:paraId="293546CD" w14:textId="77777777" w:rsidR="00FA5D19" w:rsidRPr="001362A6" w:rsidRDefault="00FA5D19">
            <w:pPr>
              <w:rPr>
                <w:rFonts w:ascii="Lato" w:hAnsi="Lato"/>
                <w:sz w:val="22"/>
                <w:szCs w:val="22"/>
                <w:lang w:val="en-IE"/>
              </w:rPr>
            </w:pPr>
          </w:p>
        </w:tc>
      </w:tr>
      <w:tr w:rsidR="00FA5D19" w:rsidRPr="001362A6" w14:paraId="2A0A2276" w14:textId="77777777" w:rsidTr="00A34B20">
        <w:tc>
          <w:tcPr>
            <w:tcW w:w="2429" w:type="dxa"/>
            <w:gridSpan w:val="4"/>
            <w:tcBorders>
              <w:right w:val="single" w:sz="4" w:space="0" w:color="auto"/>
            </w:tcBorders>
          </w:tcPr>
          <w:p w14:paraId="55B723D0" w14:textId="77777777" w:rsidR="00FA5D19" w:rsidRPr="001362A6" w:rsidRDefault="00FA5D19" w:rsidP="00A34B20">
            <w:pPr>
              <w:ind w:left="32"/>
              <w:rPr>
                <w:rFonts w:ascii="Lato" w:hAnsi="Lato"/>
                <w:sz w:val="22"/>
                <w:szCs w:val="22"/>
                <w:lang w:val="en-IE"/>
              </w:rPr>
            </w:pPr>
          </w:p>
        </w:tc>
        <w:tc>
          <w:tcPr>
            <w:tcW w:w="6788" w:type="dxa"/>
            <w:gridSpan w:val="2"/>
            <w:tcBorders>
              <w:left w:val="single" w:sz="4" w:space="0" w:color="auto"/>
              <w:right w:val="single" w:sz="4" w:space="0" w:color="auto"/>
            </w:tcBorders>
          </w:tcPr>
          <w:p w14:paraId="6DE5C88A" w14:textId="77777777" w:rsidR="00FA5D19" w:rsidRPr="001362A6" w:rsidRDefault="00FA5D19">
            <w:pPr>
              <w:rPr>
                <w:rFonts w:ascii="Lato" w:hAnsi="Lato"/>
                <w:sz w:val="22"/>
                <w:szCs w:val="22"/>
                <w:lang w:val="en-IE"/>
              </w:rPr>
            </w:pPr>
          </w:p>
        </w:tc>
        <w:tc>
          <w:tcPr>
            <w:tcW w:w="345" w:type="dxa"/>
            <w:gridSpan w:val="2"/>
          </w:tcPr>
          <w:p w14:paraId="234B3824" w14:textId="77777777" w:rsidR="00FA5D19" w:rsidRPr="001362A6" w:rsidRDefault="00FA5D19">
            <w:pPr>
              <w:rPr>
                <w:rFonts w:ascii="Lato" w:hAnsi="Lato"/>
                <w:sz w:val="22"/>
                <w:szCs w:val="22"/>
                <w:lang w:val="en-IE"/>
              </w:rPr>
            </w:pPr>
          </w:p>
        </w:tc>
        <w:tc>
          <w:tcPr>
            <w:tcW w:w="1058" w:type="dxa"/>
            <w:gridSpan w:val="2"/>
          </w:tcPr>
          <w:p w14:paraId="17B58709" w14:textId="77777777" w:rsidR="00FA5D19" w:rsidRPr="001362A6" w:rsidRDefault="00FA5D19">
            <w:pPr>
              <w:rPr>
                <w:rFonts w:ascii="Lato" w:hAnsi="Lato"/>
                <w:sz w:val="22"/>
                <w:szCs w:val="22"/>
                <w:lang w:val="en-IE"/>
              </w:rPr>
            </w:pPr>
          </w:p>
        </w:tc>
      </w:tr>
      <w:tr w:rsidR="0076316F" w:rsidRPr="001362A6" w14:paraId="46159473" w14:textId="77777777" w:rsidTr="00A34B20">
        <w:tc>
          <w:tcPr>
            <w:tcW w:w="2429" w:type="dxa"/>
            <w:gridSpan w:val="4"/>
            <w:tcBorders>
              <w:right w:val="single" w:sz="4" w:space="0" w:color="auto"/>
            </w:tcBorders>
          </w:tcPr>
          <w:p w14:paraId="61D8D990" w14:textId="77777777" w:rsidR="0076316F" w:rsidRPr="001362A6" w:rsidRDefault="0076316F" w:rsidP="00572154">
            <w:pPr>
              <w:ind w:left="32"/>
              <w:rPr>
                <w:rFonts w:ascii="Lato" w:hAnsi="Lato"/>
                <w:sz w:val="22"/>
                <w:szCs w:val="22"/>
                <w:lang w:val="en-IE"/>
              </w:rPr>
            </w:pPr>
          </w:p>
        </w:tc>
        <w:tc>
          <w:tcPr>
            <w:tcW w:w="6788" w:type="dxa"/>
            <w:gridSpan w:val="2"/>
            <w:tcBorders>
              <w:left w:val="single" w:sz="4" w:space="0" w:color="auto"/>
              <w:right w:val="single" w:sz="4" w:space="0" w:color="auto"/>
            </w:tcBorders>
          </w:tcPr>
          <w:p w14:paraId="571F5B34" w14:textId="77777777" w:rsidR="0076316F" w:rsidRPr="001362A6" w:rsidRDefault="0076316F">
            <w:pPr>
              <w:rPr>
                <w:rFonts w:ascii="Lato" w:hAnsi="Lato"/>
                <w:sz w:val="22"/>
                <w:szCs w:val="22"/>
                <w:lang w:val="en-IE"/>
              </w:rPr>
            </w:pPr>
          </w:p>
        </w:tc>
        <w:tc>
          <w:tcPr>
            <w:tcW w:w="345" w:type="dxa"/>
            <w:gridSpan w:val="2"/>
          </w:tcPr>
          <w:p w14:paraId="68FAB753" w14:textId="77777777" w:rsidR="0076316F" w:rsidRPr="001362A6" w:rsidRDefault="0076316F">
            <w:pPr>
              <w:rPr>
                <w:rFonts w:ascii="Lato" w:hAnsi="Lato"/>
                <w:sz w:val="22"/>
                <w:szCs w:val="22"/>
                <w:lang w:val="en-IE"/>
              </w:rPr>
            </w:pPr>
          </w:p>
        </w:tc>
        <w:tc>
          <w:tcPr>
            <w:tcW w:w="1058" w:type="dxa"/>
            <w:gridSpan w:val="2"/>
          </w:tcPr>
          <w:p w14:paraId="7557D865" w14:textId="77777777" w:rsidR="0076316F" w:rsidRPr="001362A6" w:rsidRDefault="0076316F">
            <w:pPr>
              <w:rPr>
                <w:rFonts w:ascii="Lato" w:hAnsi="Lato"/>
                <w:sz w:val="22"/>
                <w:szCs w:val="22"/>
                <w:lang w:val="en-IE"/>
              </w:rPr>
            </w:pPr>
          </w:p>
        </w:tc>
      </w:tr>
      <w:tr w:rsidR="00E0074D" w:rsidRPr="001362A6" w14:paraId="3E08E46D" w14:textId="77777777" w:rsidTr="00A34B20">
        <w:tc>
          <w:tcPr>
            <w:tcW w:w="2429" w:type="dxa"/>
            <w:gridSpan w:val="4"/>
            <w:tcBorders>
              <w:right w:val="single" w:sz="4" w:space="0" w:color="auto"/>
            </w:tcBorders>
          </w:tcPr>
          <w:p w14:paraId="44ECE00F" w14:textId="77777777" w:rsidR="00E0074D" w:rsidRPr="001362A6" w:rsidRDefault="00E0074D">
            <w:pPr>
              <w:rPr>
                <w:rFonts w:ascii="Lato" w:hAnsi="Lato"/>
                <w:sz w:val="22"/>
                <w:szCs w:val="22"/>
                <w:lang w:val="en-IE"/>
              </w:rPr>
            </w:pPr>
          </w:p>
        </w:tc>
        <w:tc>
          <w:tcPr>
            <w:tcW w:w="6788" w:type="dxa"/>
            <w:gridSpan w:val="2"/>
            <w:tcBorders>
              <w:top w:val="single" w:sz="4" w:space="0" w:color="auto"/>
              <w:left w:val="single" w:sz="4" w:space="0" w:color="auto"/>
              <w:right w:val="single" w:sz="4" w:space="0" w:color="auto"/>
            </w:tcBorders>
          </w:tcPr>
          <w:p w14:paraId="4E5C88F3" w14:textId="77777777" w:rsidR="00E0074D" w:rsidRPr="001362A6" w:rsidRDefault="00E0074D">
            <w:pPr>
              <w:rPr>
                <w:rFonts w:ascii="Lato" w:hAnsi="Lato"/>
                <w:sz w:val="22"/>
                <w:szCs w:val="22"/>
                <w:lang w:val="en-IE"/>
              </w:rPr>
            </w:pPr>
          </w:p>
        </w:tc>
        <w:tc>
          <w:tcPr>
            <w:tcW w:w="345" w:type="dxa"/>
            <w:gridSpan w:val="2"/>
          </w:tcPr>
          <w:p w14:paraId="4EFEA286" w14:textId="77777777" w:rsidR="00E0074D" w:rsidRPr="001362A6" w:rsidRDefault="00E0074D">
            <w:pPr>
              <w:rPr>
                <w:rFonts w:ascii="Lato" w:hAnsi="Lato"/>
                <w:sz w:val="22"/>
                <w:szCs w:val="22"/>
                <w:lang w:val="en-IE"/>
              </w:rPr>
            </w:pPr>
          </w:p>
        </w:tc>
        <w:tc>
          <w:tcPr>
            <w:tcW w:w="1058" w:type="dxa"/>
            <w:gridSpan w:val="2"/>
          </w:tcPr>
          <w:p w14:paraId="19ADDD20" w14:textId="77777777" w:rsidR="00E0074D" w:rsidRPr="001362A6" w:rsidRDefault="00E0074D">
            <w:pPr>
              <w:rPr>
                <w:rFonts w:ascii="Lato" w:hAnsi="Lato"/>
                <w:sz w:val="22"/>
                <w:szCs w:val="22"/>
                <w:lang w:val="en-IE"/>
              </w:rPr>
            </w:pPr>
          </w:p>
        </w:tc>
      </w:tr>
      <w:tr w:rsidR="00E0074D" w:rsidRPr="001362A6" w14:paraId="2F6181C0" w14:textId="77777777" w:rsidTr="00A34B20">
        <w:tc>
          <w:tcPr>
            <w:tcW w:w="2429" w:type="dxa"/>
            <w:gridSpan w:val="4"/>
            <w:tcBorders>
              <w:right w:val="single" w:sz="4" w:space="0" w:color="auto"/>
            </w:tcBorders>
          </w:tcPr>
          <w:p w14:paraId="762FEE3B" w14:textId="77777777" w:rsidR="00E0074D" w:rsidRPr="001362A6" w:rsidRDefault="004B2276" w:rsidP="00A34B20">
            <w:pPr>
              <w:ind w:left="32"/>
              <w:rPr>
                <w:rFonts w:ascii="Lato" w:hAnsi="Lato"/>
                <w:sz w:val="22"/>
                <w:szCs w:val="22"/>
                <w:lang w:val="en-IE"/>
              </w:rPr>
            </w:pPr>
            <w:r w:rsidRPr="001362A6">
              <w:rPr>
                <w:rFonts w:ascii="Lato" w:hAnsi="Lato"/>
                <w:sz w:val="22"/>
                <w:szCs w:val="22"/>
                <w:lang w:val="en-IE"/>
              </w:rPr>
              <w:t>Depositary</w:t>
            </w:r>
          </w:p>
        </w:tc>
        <w:tc>
          <w:tcPr>
            <w:tcW w:w="6788" w:type="dxa"/>
            <w:gridSpan w:val="2"/>
            <w:tcBorders>
              <w:left w:val="single" w:sz="4" w:space="0" w:color="auto"/>
              <w:right w:val="single" w:sz="4" w:space="0" w:color="auto"/>
            </w:tcBorders>
          </w:tcPr>
          <w:p w14:paraId="27D335F6" w14:textId="77777777" w:rsidR="00E0074D" w:rsidRPr="001362A6" w:rsidRDefault="00E0074D">
            <w:pPr>
              <w:rPr>
                <w:rFonts w:ascii="Lato" w:hAnsi="Lato"/>
                <w:sz w:val="22"/>
                <w:szCs w:val="22"/>
                <w:lang w:val="en-IE"/>
              </w:rPr>
            </w:pPr>
          </w:p>
        </w:tc>
        <w:tc>
          <w:tcPr>
            <w:tcW w:w="345" w:type="dxa"/>
            <w:gridSpan w:val="2"/>
          </w:tcPr>
          <w:p w14:paraId="6CC9E0D4" w14:textId="77777777" w:rsidR="00E0074D" w:rsidRPr="001362A6" w:rsidRDefault="00E0074D">
            <w:pPr>
              <w:rPr>
                <w:rFonts w:ascii="Lato" w:hAnsi="Lato"/>
                <w:sz w:val="22"/>
                <w:szCs w:val="22"/>
                <w:lang w:val="en-IE"/>
              </w:rPr>
            </w:pPr>
          </w:p>
        </w:tc>
        <w:tc>
          <w:tcPr>
            <w:tcW w:w="1058" w:type="dxa"/>
            <w:gridSpan w:val="2"/>
          </w:tcPr>
          <w:p w14:paraId="17C30347" w14:textId="77777777" w:rsidR="00E0074D" w:rsidRPr="001362A6" w:rsidRDefault="00E0074D">
            <w:pPr>
              <w:rPr>
                <w:rFonts w:ascii="Lato" w:hAnsi="Lato"/>
                <w:sz w:val="22"/>
                <w:szCs w:val="22"/>
                <w:lang w:val="en-IE"/>
              </w:rPr>
            </w:pPr>
          </w:p>
        </w:tc>
      </w:tr>
      <w:tr w:rsidR="00E0074D" w:rsidRPr="001362A6" w14:paraId="474BAA8F" w14:textId="77777777" w:rsidTr="00A34B20">
        <w:tc>
          <w:tcPr>
            <w:tcW w:w="2429" w:type="dxa"/>
            <w:gridSpan w:val="4"/>
            <w:tcBorders>
              <w:right w:val="single" w:sz="4" w:space="0" w:color="auto"/>
            </w:tcBorders>
          </w:tcPr>
          <w:p w14:paraId="4ABB7D1D" w14:textId="77777777" w:rsidR="00E0074D" w:rsidRPr="001362A6" w:rsidRDefault="00E0074D">
            <w:pPr>
              <w:rPr>
                <w:rFonts w:ascii="Lato" w:hAnsi="Lato"/>
                <w:sz w:val="22"/>
                <w:szCs w:val="22"/>
                <w:lang w:val="en-IE"/>
              </w:rPr>
            </w:pPr>
          </w:p>
        </w:tc>
        <w:tc>
          <w:tcPr>
            <w:tcW w:w="6788" w:type="dxa"/>
            <w:gridSpan w:val="2"/>
            <w:tcBorders>
              <w:left w:val="single" w:sz="4" w:space="0" w:color="auto"/>
              <w:right w:val="single" w:sz="4" w:space="0" w:color="auto"/>
            </w:tcBorders>
          </w:tcPr>
          <w:p w14:paraId="15BB9DA0" w14:textId="77777777" w:rsidR="00E0074D" w:rsidRPr="001362A6" w:rsidRDefault="00E0074D">
            <w:pPr>
              <w:rPr>
                <w:rFonts w:ascii="Lato" w:hAnsi="Lato"/>
                <w:sz w:val="22"/>
                <w:szCs w:val="22"/>
                <w:lang w:val="en-IE"/>
              </w:rPr>
            </w:pPr>
          </w:p>
        </w:tc>
        <w:tc>
          <w:tcPr>
            <w:tcW w:w="345" w:type="dxa"/>
            <w:gridSpan w:val="2"/>
          </w:tcPr>
          <w:p w14:paraId="599ABFAA" w14:textId="77777777" w:rsidR="00E0074D" w:rsidRPr="001362A6" w:rsidRDefault="00E0074D">
            <w:pPr>
              <w:rPr>
                <w:rFonts w:ascii="Lato" w:hAnsi="Lato"/>
                <w:sz w:val="22"/>
                <w:szCs w:val="22"/>
                <w:lang w:val="en-IE"/>
              </w:rPr>
            </w:pPr>
          </w:p>
        </w:tc>
        <w:tc>
          <w:tcPr>
            <w:tcW w:w="1058" w:type="dxa"/>
            <w:gridSpan w:val="2"/>
          </w:tcPr>
          <w:p w14:paraId="20B7D3F9" w14:textId="77777777" w:rsidR="00E0074D" w:rsidRPr="001362A6" w:rsidRDefault="00E0074D">
            <w:pPr>
              <w:rPr>
                <w:rFonts w:ascii="Lato" w:hAnsi="Lato"/>
                <w:sz w:val="22"/>
                <w:szCs w:val="22"/>
                <w:lang w:val="en-IE"/>
              </w:rPr>
            </w:pPr>
          </w:p>
        </w:tc>
      </w:tr>
      <w:tr w:rsidR="00FA5D19" w:rsidRPr="001362A6" w14:paraId="636369BB" w14:textId="77777777" w:rsidTr="00A34B20">
        <w:tc>
          <w:tcPr>
            <w:tcW w:w="2429" w:type="dxa"/>
            <w:gridSpan w:val="4"/>
            <w:tcBorders>
              <w:right w:val="single" w:sz="4" w:space="0" w:color="auto"/>
            </w:tcBorders>
          </w:tcPr>
          <w:p w14:paraId="3CDB0525" w14:textId="77777777" w:rsidR="00FA5D19" w:rsidRPr="001362A6" w:rsidRDefault="00FA5D19">
            <w:pPr>
              <w:rPr>
                <w:rFonts w:ascii="Lato" w:hAnsi="Lato"/>
                <w:sz w:val="22"/>
                <w:szCs w:val="22"/>
                <w:lang w:val="en-IE"/>
              </w:rPr>
            </w:pPr>
          </w:p>
        </w:tc>
        <w:tc>
          <w:tcPr>
            <w:tcW w:w="6788" w:type="dxa"/>
            <w:gridSpan w:val="2"/>
            <w:tcBorders>
              <w:left w:val="single" w:sz="4" w:space="0" w:color="auto"/>
              <w:right w:val="single" w:sz="4" w:space="0" w:color="auto"/>
            </w:tcBorders>
          </w:tcPr>
          <w:p w14:paraId="39612413" w14:textId="77777777" w:rsidR="00FA5D19" w:rsidRPr="001362A6" w:rsidRDefault="00FA5D19">
            <w:pPr>
              <w:rPr>
                <w:rFonts w:ascii="Lato" w:hAnsi="Lato"/>
                <w:sz w:val="22"/>
                <w:szCs w:val="22"/>
                <w:lang w:val="en-IE"/>
              </w:rPr>
            </w:pPr>
          </w:p>
        </w:tc>
        <w:tc>
          <w:tcPr>
            <w:tcW w:w="345" w:type="dxa"/>
            <w:gridSpan w:val="2"/>
          </w:tcPr>
          <w:p w14:paraId="5EB1B941" w14:textId="77777777" w:rsidR="00FA5D19" w:rsidRPr="001362A6" w:rsidRDefault="00FA5D19">
            <w:pPr>
              <w:rPr>
                <w:rFonts w:ascii="Lato" w:hAnsi="Lato"/>
                <w:sz w:val="22"/>
                <w:szCs w:val="22"/>
                <w:lang w:val="en-IE"/>
              </w:rPr>
            </w:pPr>
          </w:p>
        </w:tc>
        <w:tc>
          <w:tcPr>
            <w:tcW w:w="1058" w:type="dxa"/>
            <w:gridSpan w:val="2"/>
          </w:tcPr>
          <w:p w14:paraId="631CCFF9" w14:textId="77777777" w:rsidR="00FA5D19" w:rsidRPr="001362A6" w:rsidRDefault="00FA5D19">
            <w:pPr>
              <w:rPr>
                <w:rFonts w:ascii="Lato" w:hAnsi="Lato"/>
                <w:sz w:val="22"/>
                <w:szCs w:val="22"/>
                <w:lang w:val="en-IE"/>
              </w:rPr>
            </w:pPr>
          </w:p>
        </w:tc>
      </w:tr>
      <w:tr w:rsidR="00E0074D" w:rsidRPr="001362A6" w14:paraId="6F1AF0B9" w14:textId="77777777" w:rsidTr="00A34B20">
        <w:tc>
          <w:tcPr>
            <w:tcW w:w="2429" w:type="dxa"/>
            <w:gridSpan w:val="4"/>
            <w:tcBorders>
              <w:right w:val="single" w:sz="4" w:space="0" w:color="auto"/>
            </w:tcBorders>
          </w:tcPr>
          <w:p w14:paraId="77DC28CF" w14:textId="77777777" w:rsidR="00E0074D" w:rsidRPr="001362A6" w:rsidRDefault="00E0074D">
            <w:pPr>
              <w:rPr>
                <w:rFonts w:ascii="Lato" w:hAnsi="Lato"/>
                <w:sz w:val="22"/>
                <w:szCs w:val="22"/>
                <w:lang w:val="en-IE"/>
              </w:rPr>
            </w:pPr>
          </w:p>
        </w:tc>
        <w:tc>
          <w:tcPr>
            <w:tcW w:w="6788" w:type="dxa"/>
            <w:gridSpan w:val="2"/>
            <w:tcBorders>
              <w:left w:val="single" w:sz="4" w:space="0" w:color="auto"/>
              <w:right w:val="single" w:sz="4" w:space="0" w:color="auto"/>
            </w:tcBorders>
          </w:tcPr>
          <w:p w14:paraId="54169365" w14:textId="77777777" w:rsidR="00E0074D" w:rsidRPr="001362A6" w:rsidRDefault="00E0074D">
            <w:pPr>
              <w:rPr>
                <w:rFonts w:ascii="Lato" w:hAnsi="Lato"/>
                <w:sz w:val="22"/>
                <w:szCs w:val="22"/>
                <w:lang w:val="en-IE"/>
              </w:rPr>
            </w:pPr>
          </w:p>
        </w:tc>
        <w:tc>
          <w:tcPr>
            <w:tcW w:w="345" w:type="dxa"/>
            <w:gridSpan w:val="2"/>
          </w:tcPr>
          <w:p w14:paraId="01216FD3" w14:textId="77777777" w:rsidR="00E0074D" w:rsidRPr="001362A6" w:rsidRDefault="00E0074D">
            <w:pPr>
              <w:rPr>
                <w:rFonts w:ascii="Lato" w:hAnsi="Lato"/>
                <w:sz w:val="22"/>
                <w:szCs w:val="22"/>
                <w:lang w:val="en-IE"/>
              </w:rPr>
            </w:pPr>
          </w:p>
        </w:tc>
        <w:tc>
          <w:tcPr>
            <w:tcW w:w="1058" w:type="dxa"/>
            <w:gridSpan w:val="2"/>
          </w:tcPr>
          <w:p w14:paraId="7ACB94DE" w14:textId="77777777" w:rsidR="00E0074D" w:rsidRPr="001362A6" w:rsidRDefault="00E0074D">
            <w:pPr>
              <w:rPr>
                <w:rFonts w:ascii="Lato" w:hAnsi="Lato"/>
                <w:sz w:val="22"/>
                <w:szCs w:val="22"/>
                <w:lang w:val="en-IE"/>
              </w:rPr>
            </w:pPr>
          </w:p>
        </w:tc>
      </w:tr>
      <w:tr w:rsidR="00E0074D" w:rsidRPr="001362A6" w14:paraId="5664373D" w14:textId="77777777" w:rsidTr="00A34B20">
        <w:tc>
          <w:tcPr>
            <w:tcW w:w="2429" w:type="dxa"/>
            <w:gridSpan w:val="4"/>
            <w:tcBorders>
              <w:right w:val="single" w:sz="4" w:space="0" w:color="auto"/>
            </w:tcBorders>
          </w:tcPr>
          <w:p w14:paraId="7791DA1F" w14:textId="77777777" w:rsidR="00E0074D" w:rsidRPr="001362A6" w:rsidRDefault="00E0074D">
            <w:pPr>
              <w:rPr>
                <w:rFonts w:ascii="Lato" w:hAnsi="Lato"/>
                <w:sz w:val="22"/>
                <w:szCs w:val="22"/>
                <w:lang w:val="en-IE"/>
              </w:rPr>
            </w:pPr>
          </w:p>
        </w:tc>
        <w:tc>
          <w:tcPr>
            <w:tcW w:w="6788" w:type="dxa"/>
            <w:gridSpan w:val="2"/>
            <w:tcBorders>
              <w:left w:val="single" w:sz="4" w:space="0" w:color="auto"/>
              <w:bottom w:val="single" w:sz="4" w:space="0" w:color="auto"/>
              <w:right w:val="single" w:sz="4" w:space="0" w:color="auto"/>
            </w:tcBorders>
          </w:tcPr>
          <w:p w14:paraId="3169CD46" w14:textId="77777777" w:rsidR="00E0074D" w:rsidRPr="001362A6" w:rsidRDefault="00E0074D">
            <w:pPr>
              <w:rPr>
                <w:rFonts w:ascii="Lato" w:hAnsi="Lato"/>
                <w:sz w:val="22"/>
                <w:szCs w:val="22"/>
                <w:lang w:val="en-IE"/>
              </w:rPr>
            </w:pPr>
          </w:p>
        </w:tc>
        <w:tc>
          <w:tcPr>
            <w:tcW w:w="345" w:type="dxa"/>
            <w:gridSpan w:val="2"/>
          </w:tcPr>
          <w:p w14:paraId="42F4D391" w14:textId="77777777" w:rsidR="00E0074D" w:rsidRPr="001362A6" w:rsidRDefault="00E0074D">
            <w:pPr>
              <w:rPr>
                <w:rFonts w:ascii="Lato" w:hAnsi="Lato"/>
                <w:sz w:val="22"/>
                <w:szCs w:val="22"/>
                <w:lang w:val="en-IE"/>
              </w:rPr>
            </w:pPr>
          </w:p>
        </w:tc>
        <w:tc>
          <w:tcPr>
            <w:tcW w:w="1058" w:type="dxa"/>
            <w:gridSpan w:val="2"/>
          </w:tcPr>
          <w:p w14:paraId="4565330C" w14:textId="77777777" w:rsidR="00E0074D" w:rsidRPr="001362A6" w:rsidRDefault="00E0074D">
            <w:pPr>
              <w:rPr>
                <w:rFonts w:ascii="Lato" w:hAnsi="Lato"/>
                <w:sz w:val="22"/>
                <w:szCs w:val="22"/>
                <w:lang w:val="en-IE"/>
              </w:rPr>
            </w:pPr>
          </w:p>
        </w:tc>
      </w:tr>
      <w:tr w:rsidR="00E0074D" w:rsidRPr="001362A6" w14:paraId="7A7C46AE" w14:textId="77777777" w:rsidTr="00A34B20">
        <w:tc>
          <w:tcPr>
            <w:tcW w:w="2429" w:type="dxa"/>
            <w:gridSpan w:val="4"/>
            <w:tcBorders>
              <w:right w:val="single" w:sz="4" w:space="0" w:color="auto"/>
            </w:tcBorders>
          </w:tcPr>
          <w:p w14:paraId="5DA7FDDE" w14:textId="77777777" w:rsidR="00E0074D" w:rsidRPr="001362A6" w:rsidRDefault="00E0074D">
            <w:pPr>
              <w:rPr>
                <w:rFonts w:ascii="Lato" w:hAnsi="Lato"/>
                <w:sz w:val="22"/>
                <w:szCs w:val="22"/>
                <w:lang w:val="en-IE"/>
              </w:rPr>
            </w:pPr>
          </w:p>
        </w:tc>
        <w:tc>
          <w:tcPr>
            <w:tcW w:w="6788" w:type="dxa"/>
            <w:gridSpan w:val="2"/>
            <w:tcBorders>
              <w:top w:val="single" w:sz="4" w:space="0" w:color="auto"/>
              <w:left w:val="single" w:sz="4" w:space="0" w:color="auto"/>
              <w:right w:val="single" w:sz="4" w:space="0" w:color="auto"/>
            </w:tcBorders>
          </w:tcPr>
          <w:p w14:paraId="10C31E45" w14:textId="77777777" w:rsidR="00E0074D" w:rsidRPr="001362A6" w:rsidRDefault="00E0074D">
            <w:pPr>
              <w:rPr>
                <w:rFonts w:ascii="Lato" w:hAnsi="Lato"/>
                <w:sz w:val="22"/>
                <w:szCs w:val="22"/>
                <w:lang w:val="en-IE"/>
              </w:rPr>
            </w:pPr>
          </w:p>
        </w:tc>
        <w:tc>
          <w:tcPr>
            <w:tcW w:w="345" w:type="dxa"/>
            <w:gridSpan w:val="2"/>
          </w:tcPr>
          <w:p w14:paraId="286CF0C5" w14:textId="77777777" w:rsidR="00E0074D" w:rsidRPr="001362A6" w:rsidRDefault="00E0074D">
            <w:pPr>
              <w:rPr>
                <w:rFonts w:ascii="Lato" w:hAnsi="Lato"/>
                <w:sz w:val="22"/>
                <w:szCs w:val="22"/>
                <w:lang w:val="en-IE"/>
              </w:rPr>
            </w:pPr>
          </w:p>
        </w:tc>
        <w:tc>
          <w:tcPr>
            <w:tcW w:w="1058" w:type="dxa"/>
            <w:gridSpan w:val="2"/>
          </w:tcPr>
          <w:p w14:paraId="765D75C7" w14:textId="77777777" w:rsidR="00E0074D" w:rsidRPr="001362A6" w:rsidRDefault="00E0074D">
            <w:pPr>
              <w:rPr>
                <w:rFonts w:ascii="Lato" w:hAnsi="Lato"/>
                <w:sz w:val="22"/>
                <w:szCs w:val="22"/>
                <w:lang w:val="en-IE"/>
              </w:rPr>
            </w:pPr>
          </w:p>
        </w:tc>
      </w:tr>
      <w:tr w:rsidR="00E0074D" w:rsidRPr="001362A6" w14:paraId="361624DB" w14:textId="77777777" w:rsidTr="00A34B20">
        <w:tc>
          <w:tcPr>
            <w:tcW w:w="2429" w:type="dxa"/>
            <w:gridSpan w:val="4"/>
            <w:tcBorders>
              <w:right w:val="single" w:sz="4" w:space="0" w:color="auto"/>
            </w:tcBorders>
          </w:tcPr>
          <w:p w14:paraId="0CB076ED" w14:textId="77777777" w:rsidR="00E0074D" w:rsidRPr="001362A6" w:rsidRDefault="00E0074D" w:rsidP="00A34B20">
            <w:pPr>
              <w:ind w:left="32"/>
              <w:rPr>
                <w:rFonts w:ascii="Lato" w:hAnsi="Lato"/>
                <w:sz w:val="22"/>
                <w:szCs w:val="22"/>
                <w:lang w:val="en-IE"/>
              </w:rPr>
            </w:pPr>
            <w:r w:rsidRPr="001362A6">
              <w:rPr>
                <w:rFonts w:ascii="Lato" w:hAnsi="Lato"/>
                <w:sz w:val="22"/>
                <w:szCs w:val="22"/>
                <w:lang w:val="en-IE"/>
              </w:rPr>
              <w:t>Sub-</w:t>
            </w:r>
          </w:p>
        </w:tc>
        <w:tc>
          <w:tcPr>
            <w:tcW w:w="6788" w:type="dxa"/>
            <w:gridSpan w:val="2"/>
            <w:tcBorders>
              <w:left w:val="single" w:sz="4" w:space="0" w:color="auto"/>
              <w:right w:val="single" w:sz="4" w:space="0" w:color="auto"/>
            </w:tcBorders>
          </w:tcPr>
          <w:p w14:paraId="68CF235C" w14:textId="77777777" w:rsidR="00E0074D" w:rsidRPr="001362A6" w:rsidRDefault="00E0074D">
            <w:pPr>
              <w:rPr>
                <w:rFonts w:ascii="Lato" w:hAnsi="Lato"/>
                <w:sz w:val="22"/>
                <w:szCs w:val="22"/>
                <w:lang w:val="en-IE"/>
              </w:rPr>
            </w:pPr>
          </w:p>
        </w:tc>
        <w:tc>
          <w:tcPr>
            <w:tcW w:w="345" w:type="dxa"/>
            <w:gridSpan w:val="2"/>
            <w:tcBorders>
              <w:left w:val="single" w:sz="4" w:space="0" w:color="auto"/>
            </w:tcBorders>
          </w:tcPr>
          <w:p w14:paraId="6D8C6247" w14:textId="77777777" w:rsidR="00E0074D" w:rsidRPr="001362A6" w:rsidRDefault="00E0074D">
            <w:pPr>
              <w:rPr>
                <w:rFonts w:ascii="Lato" w:hAnsi="Lato"/>
                <w:sz w:val="22"/>
                <w:szCs w:val="22"/>
                <w:lang w:val="en-IE"/>
              </w:rPr>
            </w:pPr>
          </w:p>
        </w:tc>
        <w:tc>
          <w:tcPr>
            <w:tcW w:w="1058" w:type="dxa"/>
            <w:gridSpan w:val="2"/>
          </w:tcPr>
          <w:p w14:paraId="3DA3202D" w14:textId="77777777" w:rsidR="00E0074D" w:rsidRPr="001362A6" w:rsidRDefault="00E0074D">
            <w:pPr>
              <w:rPr>
                <w:rFonts w:ascii="Lato" w:hAnsi="Lato"/>
                <w:sz w:val="22"/>
                <w:szCs w:val="22"/>
                <w:lang w:val="en-IE"/>
              </w:rPr>
            </w:pPr>
          </w:p>
        </w:tc>
      </w:tr>
      <w:tr w:rsidR="00E0074D" w:rsidRPr="001362A6" w14:paraId="2AC78B66" w14:textId="77777777" w:rsidTr="00A34B20">
        <w:tc>
          <w:tcPr>
            <w:tcW w:w="2429" w:type="dxa"/>
            <w:gridSpan w:val="4"/>
            <w:tcBorders>
              <w:right w:val="single" w:sz="4" w:space="0" w:color="auto"/>
            </w:tcBorders>
          </w:tcPr>
          <w:p w14:paraId="0A90BC7B" w14:textId="77777777" w:rsidR="00E0074D" w:rsidRPr="001362A6" w:rsidRDefault="004B2276" w:rsidP="00A34B20">
            <w:pPr>
              <w:ind w:left="32"/>
              <w:rPr>
                <w:rFonts w:ascii="Lato" w:hAnsi="Lato"/>
                <w:sz w:val="22"/>
                <w:szCs w:val="22"/>
                <w:lang w:val="en-IE"/>
              </w:rPr>
            </w:pPr>
            <w:r w:rsidRPr="001362A6">
              <w:rPr>
                <w:rFonts w:ascii="Lato" w:hAnsi="Lato"/>
                <w:sz w:val="22"/>
                <w:szCs w:val="22"/>
                <w:lang w:val="en-IE"/>
              </w:rPr>
              <w:t>Depositary</w:t>
            </w:r>
            <w:r w:rsidR="00E0074D" w:rsidRPr="001362A6">
              <w:rPr>
                <w:rStyle w:val="FootnoteReference"/>
                <w:rFonts w:ascii="Lato" w:hAnsi="Lato"/>
                <w:sz w:val="22"/>
                <w:szCs w:val="22"/>
                <w:lang w:val="en-IE"/>
              </w:rPr>
              <w:footnoteReference w:id="1"/>
            </w:r>
          </w:p>
        </w:tc>
        <w:tc>
          <w:tcPr>
            <w:tcW w:w="6788" w:type="dxa"/>
            <w:gridSpan w:val="2"/>
            <w:tcBorders>
              <w:left w:val="single" w:sz="4" w:space="0" w:color="auto"/>
              <w:right w:val="single" w:sz="4" w:space="0" w:color="auto"/>
            </w:tcBorders>
          </w:tcPr>
          <w:p w14:paraId="6D9B62C5" w14:textId="77777777" w:rsidR="00E0074D" w:rsidRPr="001362A6" w:rsidRDefault="00E0074D">
            <w:pPr>
              <w:rPr>
                <w:rFonts w:ascii="Lato" w:hAnsi="Lato"/>
                <w:sz w:val="22"/>
                <w:szCs w:val="22"/>
                <w:lang w:val="en-IE"/>
              </w:rPr>
            </w:pPr>
          </w:p>
        </w:tc>
        <w:tc>
          <w:tcPr>
            <w:tcW w:w="345" w:type="dxa"/>
            <w:gridSpan w:val="2"/>
          </w:tcPr>
          <w:p w14:paraId="7D290038" w14:textId="77777777" w:rsidR="00E0074D" w:rsidRPr="001362A6" w:rsidRDefault="00E0074D">
            <w:pPr>
              <w:rPr>
                <w:rFonts w:ascii="Lato" w:hAnsi="Lato"/>
                <w:sz w:val="22"/>
                <w:szCs w:val="22"/>
                <w:lang w:val="en-IE"/>
              </w:rPr>
            </w:pPr>
          </w:p>
        </w:tc>
        <w:tc>
          <w:tcPr>
            <w:tcW w:w="1058" w:type="dxa"/>
            <w:gridSpan w:val="2"/>
          </w:tcPr>
          <w:p w14:paraId="28FA70D6" w14:textId="77777777" w:rsidR="00E0074D" w:rsidRPr="001362A6" w:rsidRDefault="00E0074D">
            <w:pPr>
              <w:rPr>
                <w:rFonts w:ascii="Lato" w:hAnsi="Lato"/>
                <w:sz w:val="22"/>
                <w:szCs w:val="22"/>
                <w:lang w:val="en-IE"/>
              </w:rPr>
            </w:pPr>
          </w:p>
        </w:tc>
      </w:tr>
      <w:tr w:rsidR="00E0074D" w:rsidRPr="001362A6" w14:paraId="0C65F629" w14:textId="77777777" w:rsidTr="00A34B20">
        <w:tc>
          <w:tcPr>
            <w:tcW w:w="2429" w:type="dxa"/>
            <w:gridSpan w:val="4"/>
            <w:tcBorders>
              <w:right w:val="single" w:sz="4" w:space="0" w:color="auto"/>
            </w:tcBorders>
          </w:tcPr>
          <w:p w14:paraId="443B90BC" w14:textId="77777777" w:rsidR="00E0074D" w:rsidRPr="001362A6" w:rsidRDefault="00E0074D">
            <w:pPr>
              <w:rPr>
                <w:rFonts w:ascii="Lato" w:hAnsi="Lato"/>
                <w:sz w:val="22"/>
                <w:szCs w:val="22"/>
                <w:lang w:val="en-IE"/>
              </w:rPr>
            </w:pPr>
          </w:p>
        </w:tc>
        <w:tc>
          <w:tcPr>
            <w:tcW w:w="6788" w:type="dxa"/>
            <w:gridSpan w:val="2"/>
            <w:tcBorders>
              <w:left w:val="single" w:sz="4" w:space="0" w:color="auto"/>
              <w:right w:val="single" w:sz="4" w:space="0" w:color="auto"/>
            </w:tcBorders>
          </w:tcPr>
          <w:p w14:paraId="3C2C5D7B" w14:textId="77777777" w:rsidR="00E0074D" w:rsidRPr="001362A6" w:rsidRDefault="00E0074D">
            <w:pPr>
              <w:rPr>
                <w:rFonts w:ascii="Lato" w:hAnsi="Lato"/>
                <w:sz w:val="22"/>
                <w:szCs w:val="22"/>
                <w:lang w:val="en-IE"/>
              </w:rPr>
            </w:pPr>
          </w:p>
        </w:tc>
        <w:tc>
          <w:tcPr>
            <w:tcW w:w="345" w:type="dxa"/>
            <w:gridSpan w:val="2"/>
          </w:tcPr>
          <w:p w14:paraId="0D0B01B7" w14:textId="77777777" w:rsidR="00E0074D" w:rsidRPr="001362A6" w:rsidRDefault="00E0074D">
            <w:pPr>
              <w:rPr>
                <w:rFonts w:ascii="Lato" w:hAnsi="Lato"/>
                <w:sz w:val="22"/>
                <w:szCs w:val="22"/>
                <w:lang w:val="en-IE"/>
              </w:rPr>
            </w:pPr>
          </w:p>
        </w:tc>
        <w:tc>
          <w:tcPr>
            <w:tcW w:w="1058" w:type="dxa"/>
            <w:gridSpan w:val="2"/>
          </w:tcPr>
          <w:p w14:paraId="7A4D8EA3" w14:textId="77777777" w:rsidR="00E0074D" w:rsidRPr="001362A6" w:rsidRDefault="00E0074D">
            <w:pPr>
              <w:rPr>
                <w:rFonts w:ascii="Lato" w:hAnsi="Lato"/>
                <w:sz w:val="22"/>
                <w:szCs w:val="22"/>
                <w:lang w:val="en-IE"/>
              </w:rPr>
            </w:pPr>
          </w:p>
        </w:tc>
      </w:tr>
      <w:tr w:rsidR="00E0074D" w:rsidRPr="001362A6" w14:paraId="3E971F5D" w14:textId="77777777" w:rsidTr="00A34B20">
        <w:tc>
          <w:tcPr>
            <w:tcW w:w="2429" w:type="dxa"/>
            <w:gridSpan w:val="4"/>
            <w:tcBorders>
              <w:right w:val="single" w:sz="4" w:space="0" w:color="auto"/>
            </w:tcBorders>
          </w:tcPr>
          <w:p w14:paraId="3EA12895" w14:textId="77777777" w:rsidR="00E0074D" w:rsidRPr="001362A6" w:rsidRDefault="00E0074D">
            <w:pPr>
              <w:rPr>
                <w:rFonts w:ascii="Lato" w:hAnsi="Lato"/>
                <w:sz w:val="22"/>
                <w:szCs w:val="22"/>
                <w:lang w:val="en-IE"/>
              </w:rPr>
            </w:pPr>
          </w:p>
        </w:tc>
        <w:tc>
          <w:tcPr>
            <w:tcW w:w="6788" w:type="dxa"/>
            <w:gridSpan w:val="2"/>
            <w:tcBorders>
              <w:left w:val="single" w:sz="4" w:space="0" w:color="auto"/>
              <w:right w:val="single" w:sz="4" w:space="0" w:color="auto"/>
            </w:tcBorders>
          </w:tcPr>
          <w:p w14:paraId="479EC3FB" w14:textId="77777777" w:rsidR="00AF064C" w:rsidRPr="001362A6" w:rsidRDefault="00AF064C">
            <w:pPr>
              <w:rPr>
                <w:rFonts w:ascii="Lato" w:hAnsi="Lato"/>
                <w:sz w:val="22"/>
                <w:szCs w:val="22"/>
                <w:lang w:val="en-IE"/>
              </w:rPr>
            </w:pPr>
          </w:p>
        </w:tc>
        <w:tc>
          <w:tcPr>
            <w:tcW w:w="345" w:type="dxa"/>
            <w:gridSpan w:val="2"/>
          </w:tcPr>
          <w:p w14:paraId="30D14495" w14:textId="77777777" w:rsidR="00E0074D" w:rsidRPr="001362A6" w:rsidRDefault="00E0074D">
            <w:pPr>
              <w:rPr>
                <w:rFonts w:ascii="Lato" w:hAnsi="Lato"/>
                <w:sz w:val="22"/>
                <w:szCs w:val="22"/>
                <w:lang w:val="en-IE"/>
              </w:rPr>
            </w:pPr>
          </w:p>
        </w:tc>
        <w:tc>
          <w:tcPr>
            <w:tcW w:w="1058" w:type="dxa"/>
            <w:gridSpan w:val="2"/>
          </w:tcPr>
          <w:p w14:paraId="6740DE25" w14:textId="77777777" w:rsidR="00E0074D" w:rsidRPr="001362A6" w:rsidRDefault="00E0074D">
            <w:pPr>
              <w:rPr>
                <w:rFonts w:ascii="Lato" w:hAnsi="Lato"/>
                <w:sz w:val="22"/>
                <w:szCs w:val="22"/>
                <w:lang w:val="en-IE"/>
              </w:rPr>
            </w:pPr>
          </w:p>
        </w:tc>
      </w:tr>
      <w:tr w:rsidR="00E0074D" w:rsidRPr="001362A6" w14:paraId="79785195" w14:textId="77777777" w:rsidTr="00A34B20">
        <w:tc>
          <w:tcPr>
            <w:tcW w:w="2429" w:type="dxa"/>
            <w:gridSpan w:val="4"/>
            <w:tcBorders>
              <w:right w:val="single" w:sz="4" w:space="0" w:color="auto"/>
            </w:tcBorders>
          </w:tcPr>
          <w:p w14:paraId="469AF82B" w14:textId="77777777" w:rsidR="00E0074D" w:rsidRPr="001362A6" w:rsidRDefault="00E0074D">
            <w:pPr>
              <w:rPr>
                <w:rFonts w:ascii="Lato" w:hAnsi="Lato"/>
                <w:sz w:val="22"/>
                <w:szCs w:val="22"/>
                <w:lang w:val="en-IE"/>
              </w:rPr>
            </w:pPr>
          </w:p>
        </w:tc>
        <w:tc>
          <w:tcPr>
            <w:tcW w:w="6788" w:type="dxa"/>
            <w:gridSpan w:val="2"/>
            <w:tcBorders>
              <w:left w:val="single" w:sz="4" w:space="0" w:color="auto"/>
              <w:bottom w:val="single" w:sz="4" w:space="0" w:color="auto"/>
              <w:right w:val="single" w:sz="4" w:space="0" w:color="auto"/>
            </w:tcBorders>
          </w:tcPr>
          <w:p w14:paraId="422F6B1A" w14:textId="77777777" w:rsidR="00E0074D" w:rsidRPr="001362A6" w:rsidRDefault="00E0074D">
            <w:pPr>
              <w:rPr>
                <w:rFonts w:ascii="Lato" w:hAnsi="Lato"/>
                <w:sz w:val="22"/>
                <w:szCs w:val="22"/>
                <w:lang w:val="en-IE"/>
              </w:rPr>
            </w:pPr>
          </w:p>
        </w:tc>
        <w:tc>
          <w:tcPr>
            <w:tcW w:w="345" w:type="dxa"/>
            <w:gridSpan w:val="2"/>
          </w:tcPr>
          <w:p w14:paraId="302CAA59" w14:textId="77777777" w:rsidR="00E0074D" w:rsidRPr="001362A6" w:rsidRDefault="00E0074D">
            <w:pPr>
              <w:rPr>
                <w:rFonts w:ascii="Lato" w:hAnsi="Lato"/>
                <w:sz w:val="22"/>
                <w:szCs w:val="22"/>
                <w:lang w:val="en-IE"/>
              </w:rPr>
            </w:pPr>
          </w:p>
        </w:tc>
        <w:tc>
          <w:tcPr>
            <w:tcW w:w="1058" w:type="dxa"/>
            <w:gridSpan w:val="2"/>
          </w:tcPr>
          <w:p w14:paraId="3C8FF35F" w14:textId="77777777" w:rsidR="00E0074D" w:rsidRPr="001362A6" w:rsidRDefault="00E0074D">
            <w:pPr>
              <w:rPr>
                <w:rFonts w:ascii="Lato" w:hAnsi="Lato"/>
                <w:sz w:val="22"/>
                <w:szCs w:val="22"/>
                <w:lang w:val="en-IE"/>
              </w:rPr>
            </w:pPr>
          </w:p>
        </w:tc>
      </w:tr>
      <w:tr w:rsidR="00E0074D" w:rsidRPr="001362A6" w14:paraId="2019C138" w14:textId="77777777" w:rsidTr="00A34B20">
        <w:tc>
          <w:tcPr>
            <w:tcW w:w="2429" w:type="dxa"/>
            <w:gridSpan w:val="4"/>
            <w:tcBorders>
              <w:right w:val="single" w:sz="4" w:space="0" w:color="auto"/>
            </w:tcBorders>
          </w:tcPr>
          <w:p w14:paraId="17DECBAD" w14:textId="77777777" w:rsidR="00E0074D" w:rsidRPr="001362A6" w:rsidRDefault="00E0074D">
            <w:pPr>
              <w:rPr>
                <w:rFonts w:ascii="Lato" w:hAnsi="Lato"/>
                <w:sz w:val="22"/>
                <w:szCs w:val="22"/>
                <w:lang w:val="en-IE"/>
              </w:rPr>
            </w:pPr>
          </w:p>
        </w:tc>
        <w:tc>
          <w:tcPr>
            <w:tcW w:w="6788" w:type="dxa"/>
            <w:gridSpan w:val="2"/>
            <w:tcBorders>
              <w:top w:val="single" w:sz="4" w:space="0" w:color="auto"/>
              <w:left w:val="single" w:sz="4" w:space="0" w:color="auto"/>
              <w:right w:val="single" w:sz="4" w:space="0" w:color="auto"/>
            </w:tcBorders>
          </w:tcPr>
          <w:p w14:paraId="593859C7" w14:textId="77777777" w:rsidR="00E0074D" w:rsidRPr="001362A6" w:rsidRDefault="00E0074D">
            <w:pPr>
              <w:rPr>
                <w:rFonts w:ascii="Lato" w:hAnsi="Lato"/>
                <w:sz w:val="22"/>
                <w:szCs w:val="22"/>
                <w:lang w:val="en-IE"/>
              </w:rPr>
            </w:pPr>
          </w:p>
        </w:tc>
        <w:tc>
          <w:tcPr>
            <w:tcW w:w="345" w:type="dxa"/>
            <w:gridSpan w:val="2"/>
          </w:tcPr>
          <w:p w14:paraId="61D90E64" w14:textId="77777777" w:rsidR="00E0074D" w:rsidRPr="001362A6" w:rsidRDefault="00E0074D">
            <w:pPr>
              <w:rPr>
                <w:rFonts w:ascii="Lato" w:hAnsi="Lato"/>
                <w:sz w:val="22"/>
                <w:szCs w:val="22"/>
                <w:lang w:val="en-IE"/>
              </w:rPr>
            </w:pPr>
          </w:p>
        </w:tc>
        <w:tc>
          <w:tcPr>
            <w:tcW w:w="1058" w:type="dxa"/>
            <w:gridSpan w:val="2"/>
          </w:tcPr>
          <w:p w14:paraId="5F0A1022" w14:textId="77777777" w:rsidR="00E0074D" w:rsidRPr="001362A6" w:rsidRDefault="00E0074D">
            <w:pPr>
              <w:rPr>
                <w:rFonts w:ascii="Lato" w:hAnsi="Lato"/>
                <w:sz w:val="22"/>
                <w:szCs w:val="22"/>
                <w:lang w:val="en-IE"/>
              </w:rPr>
            </w:pPr>
          </w:p>
        </w:tc>
      </w:tr>
      <w:tr w:rsidR="00E0074D" w:rsidRPr="001362A6" w14:paraId="40ED5296" w14:textId="77777777" w:rsidTr="00A34B20">
        <w:tc>
          <w:tcPr>
            <w:tcW w:w="2429" w:type="dxa"/>
            <w:gridSpan w:val="4"/>
            <w:tcBorders>
              <w:right w:val="single" w:sz="4" w:space="0" w:color="auto"/>
            </w:tcBorders>
          </w:tcPr>
          <w:p w14:paraId="17164528" w14:textId="77777777" w:rsidR="00E0074D" w:rsidRPr="001362A6" w:rsidRDefault="00E0074D" w:rsidP="00A34B20">
            <w:pPr>
              <w:ind w:left="32"/>
              <w:rPr>
                <w:rFonts w:ascii="Lato" w:hAnsi="Lato"/>
                <w:sz w:val="22"/>
                <w:szCs w:val="22"/>
                <w:lang w:val="en-IE"/>
              </w:rPr>
            </w:pPr>
            <w:r w:rsidRPr="001362A6">
              <w:rPr>
                <w:rFonts w:ascii="Lato" w:hAnsi="Lato"/>
                <w:sz w:val="22"/>
                <w:szCs w:val="22"/>
                <w:lang w:val="en-IE"/>
              </w:rPr>
              <w:t>Administrator</w:t>
            </w:r>
          </w:p>
        </w:tc>
        <w:tc>
          <w:tcPr>
            <w:tcW w:w="6788" w:type="dxa"/>
            <w:gridSpan w:val="2"/>
            <w:tcBorders>
              <w:left w:val="single" w:sz="4" w:space="0" w:color="auto"/>
              <w:right w:val="single" w:sz="4" w:space="0" w:color="auto"/>
            </w:tcBorders>
          </w:tcPr>
          <w:p w14:paraId="4C67D1C4" w14:textId="77777777" w:rsidR="00E0074D" w:rsidRPr="001362A6" w:rsidRDefault="00E0074D">
            <w:pPr>
              <w:rPr>
                <w:rFonts w:ascii="Lato" w:hAnsi="Lato"/>
                <w:sz w:val="22"/>
                <w:szCs w:val="22"/>
                <w:lang w:val="en-IE"/>
              </w:rPr>
            </w:pPr>
          </w:p>
        </w:tc>
        <w:tc>
          <w:tcPr>
            <w:tcW w:w="345" w:type="dxa"/>
            <w:gridSpan w:val="2"/>
          </w:tcPr>
          <w:p w14:paraId="45E73BEC" w14:textId="77777777" w:rsidR="00E0074D" w:rsidRPr="001362A6" w:rsidRDefault="00E0074D">
            <w:pPr>
              <w:rPr>
                <w:rFonts w:ascii="Lato" w:hAnsi="Lato"/>
                <w:sz w:val="22"/>
                <w:szCs w:val="22"/>
                <w:lang w:val="en-IE"/>
              </w:rPr>
            </w:pPr>
          </w:p>
        </w:tc>
        <w:tc>
          <w:tcPr>
            <w:tcW w:w="1058" w:type="dxa"/>
            <w:gridSpan w:val="2"/>
          </w:tcPr>
          <w:p w14:paraId="52F29FE7" w14:textId="77777777" w:rsidR="00E0074D" w:rsidRPr="001362A6" w:rsidRDefault="00E0074D">
            <w:pPr>
              <w:rPr>
                <w:rFonts w:ascii="Lato" w:hAnsi="Lato"/>
                <w:sz w:val="22"/>
                <w:szCs w:val="22"/>
                <w:lang w:val="en-IE"/>
              </w:rPr>
            </w:pPr>
          </w:p>
        </w:tc>
      </w:tr>
      <w:tr w:rsidR="00E0074D" w:rsidRPr="001362A6" w14:paraId="3F4B58BF" w14:textId="77777777" w:rsidTr="00A34B20">
        <w:tc>
          <w:tcPr>
            <w:tcW w:w="2429" w:type="dxa"/>
            <w:gridSpan w:val="4"/>
            <w:tcBorders>
              <w:right w:val="single" w:sz="4" w:space="0" w:color="auto"/>
            </w:tcBorders>
          </w:tcPr>
          <w:p w14:paraId="6B860D05" w14:textId="77777777" w:rsidR="00E0074D" w:rsidRPr="001362A6" w:rsidRDefault="00E0074D">
            <w:pPr>
              <w:rPr>
                <w:rFonts w:ascii="Lato" w:hAnsi="Lato"/>
                <w:sz w:val="22"/>
                <w:szCs w:val="22"/>
                <w:lang w:val="en-IE"/>
              </w:rPr>
            </w:pPr>
          </w:p>
        </w:tc>
        <w:tc>
          <w:tcPr>
            <w:tcW w:w="6788" w:type="dxa"/>
            <w:gridSpan w:val="2"/>
            <w:tcBorders>
              <w:left w:val="single" w:sz="4" w:space="0" w:color="auto"/>
              <w:right w:val="single" w:sz="4" w:space="0" w:color="auto"/>
            </w:tcBorders>
          </w:tcPr>
          <w:p w14:paraId="10AE726E" w14:textId="77777777" w:rsidR="00E0074D" w:rsidRPr="001362A6" w:rsidRDefault="00E0074D">
            <w:pPr>
              <w:rPr>
                <w:rFonts w:ascii="Lato" w:hAnsi="Lato"/>
                <w:sz w:val="22"/>
                <w:szCs w:val="22"/>
                <w:lang w:val="en-IE"/>
              </w:rPr>
            </w:pPr>
          </w:p>
        </w:tc>
        <w:tc>
          <w:tcPr>
            <w:tcW w:w="345" w:type="dxa"/>
            <w:gridSpan w:val="2"/>
          </w:tcPr>
          <w:p w14:paraId="0F6891F2" w14:textId="77777777" w:rsidR="00E0074D" w:rsidRPr="001362A6" w:rsidRDefault="00E0074D">
            <w:pPr>
              <w:rPr>
                <w:rFonts w:ascii="Lato" w:hAnsi="Lato"/>
                <w:sz w:val="22"/>
                <w:szCs w:val="22"/>
                <w:lang w:val="en-IE"/>
              </w:rPr>
            </w:pPr>
          </w:p>
        </w:tc>
        <w:tc>
          <w:tcPr>
            <w:tcW w:w="1058" w:type="dxa"/>
            <w:gridSpan w:val="2"/>
          </w:tcPr>
          <w:p w14:paraId="39B3BC4B" w14:textId="77777777" w:rsidR="00E0074D" w:rsidRPr="001362A6" w:rsidRDefault="00E0074D">
            <w:pPr>
              <w:rPr>
                <w:rFonts w:ascii="Lato" w:hAnsi="Lato"/>
                <w:sz w:val="22"/>
                <w:szCs w:val="22"/>
                <w:lang w:val="en-IE"/>
              </w:rPr>
            </w:pPr>
          </w:p>
        </w:tc>
      </w:tr>
      <w:tr w:rsidR="00E0074D" w:rsidRPr="001362A6" w14:paraId="3ABEC749" w14:textId="77777777" w:rsidTr="00A34B20">
        <w:tc>
          <w:tcPr>
            <w:tcW w:w="2429" w:type="dxa"/>
            <w:gridSpan w:val="4"/>
            <w:tcBorders>
              <w:right w:val="single" w:sz="4" w:space="0" w:color="auto"/>
            </w:tcBorders>
          </w:tcPr>
          <w:p w14:paraId="48986683" w14:textId="77777777" w:rsidR="00E0074D" w:rsidRPr="001362A6" w:rsidRDefault="00E0074D">
            <w:pPr>
              <w:rPr>
                <w:rFonts w:ascii="Lato" w:hAnsi="Lato"/>
                <w:sz w:val="22"/>
                <w:szCs w:val="22"/>
                <w:lang w:val="en-IE"/>
              </w:rPr>
            </w:pPr>
          </w:p>
        </w:tc>
        <w:tc>
          <w:tcPr>
            <w:tcW w:w="6788" w:type="dxa"/>
            <w:gridSpan w:val="2"/>
            <w:tcBorders>
              <w:left w:val="single" w:sz="4" w:space="0" w:color="auto"/>
              <w:right w:val="single" w:sz="4" w:space="0" w:color="auto"/>
            </w:tcBorders>
          </w:tcPr>
          <w:p w14:paraId="19A1823D" w14:textId="77777777" w:rsidR="00E0074D" w:rsidRPr="001362A6" w:rsidRDefault="00E0074D">
            <w:pPr>
              <w:rPr>
                <w:rFonts w:ascii="Lato" w:hAnsi="Lato"/>
                <w:sz w:val="22"/>
                <w:szCs w:val="22"/>
                <w:lang w:val="en-IE"/>
              </w:rPr>
            </w:pPr>
          </w:p>
        </w:tc>
        <w:tc>
          <w:tcPr>
            <w:tcW w:w="345" w:type="dxa"/>
            <w:gridSpan w:val="2"/>
          </w:tcPr>
          <w:p w14:paraId="640E1F0C" w14:textId="77777777" w:rsidR="00E0074D" w:rsidRPr="001362A6" w:rsidRDefault="00E0074D">
            <w:pPr>
              <w:rPr>
                <w:rFonts w:ascii="Lato" w:hAnsi="Lato"/>
                <w:sz w:val="22"/>
                <w:szCs w:val="22"/>
                <w:lang w:val="en-IE"/>
              </w:rPr>
            </w:pPr>
          </w:p>
        </w:tc>
        <w:tc>
          <w:tcPr>
            <w:tcW w:w="1058" w:type="dxa"/>
            <w:gridSpan w:val="2"/>
          </w:tcPr>
          <w:p w14:paraId="0CC9F4BE" w14:textId="77777777" w:rsidR="00E0074D" w:rsidRPr="001362A6" w:rsidRDefault="00E0074D">
            <w:pPr>
              <w:rPr>
                <w:rFonts w:ascii="Lato" w:hAnsi="Lato"/>
                <w:sz w:val="22"/>
                <w:szCs w:val="22"/>
                <w:lang w:val="en-IE"/>
              </w:rPr>
            </w:pPr>
          </w:p>
        </w:tc>
      </w:tr>
      <w:tr w:rsidR="00E0074D" w:rsidRPr="001362A6" w14:paraId="4EFED603" w14:textId="77777777" w:rsidTr="00A34B20">
        <w:tc>
          <w:tcPr>
            <w:tcW w:w="2429" w:type="dxa"/>
            <w:gridSpan w:val="4"/>
            <w:tcBorders>
              <w:right w:val="single" w:sz="4" w:space="0" w:color="auto"/>
            </w:tcBorders>
          </w:tcPr>
          <w:p w14:paraId="43F00014" w14:textId="77777777" w:rsidR="00E0074D" w:rsidRPr="001362A6" w:rsidRDefault="00E0074D">
            <w:pPr>
              <w:rPr>
                <w:rFonts w:ascii="Lato" w:hAnsi="Lato"/>
                <w:sz w:val="22"/>
                <w:szCs w:val="22"/>
                <w:lang w:val="en-IE"/>
              </w:rPr>
            </w:pPr>
          </w:p>
        </w:tc>
        <w:tc>
          <w:tcPr>
            <w:tcW w:w="6788" w:type="dxa"/>
            <w:gridSpan w:val="2"/>
            <w:tcBorders>
              <w:left w:val="single" w:sz="4" w:space="0" w:color="auto"/>
              <w:bottom w:val="single" w:sz="4" w:space="0" w:color="auto"/>
              <w:right w:val="single" w:sz="4" w:space="0" w:color="auto"/>
            </w:tcBorders>
          </w:tcPr>
          <w:p w14:paraId="693FE0D2" w14:textId="77777777" w:rsidR="00E0074D" w:rsidRPr="001362A6" w:rsidRDefault="00E0074D">
            <w:pPr>
              <w:rPr>
                <w:rFonts w:ascii="Lato" w:hAnsi="Lato"/>
                <w:sz w:val="22"/>
                <w:szCs w:val="22"/>
                <w:lang w:val="en-IE"/>
              </w:rPr>
            </w:pPr>
          </w:p>
        </w:tc>
        <w:tc>
          <w:tcPr>
            <w:tcW w:w="345" w:type="dxa"/>
            <w:gridSpan w:val="2"/>
          </w:tcPr>
          <w:p w14:paraId="52A0C529" w14:textId="77777777" w:rsidR="00E0074D" w:rsidRPr="001362A6" w:rsidRDefault="00E0074D">
            <w:pPr>
              <w:rPr>
                <w:rFonts w:ascii="Lato" w:hAnsi="Lato"/>
                <w:sz w:val="22"/>
                <w:szCs w:val="22"/>
                <w:lang w:val="en-IE"/>
              </w:rPr>
            </w:pPr>
          </w:p>
        </w:tc>
        <w:tc>
          <w:tcPr>
            <w:tcW w:w="1058" w:type="dxa"/>
            <w:gridSpan w:val="2"/>
          </w:tcPr>
          <w:p w14:paraId="7CB88CCF" w14:textId="77777777" w:rsidR="00E0074D" w:rsidRPr="001362A6" w:rsidRDefault="00E0074D">
            <w:pPr>
              <w:rPr>
                <w:rFonts w:ascii="Lato" w:hAnsi="Lato"/>
                <w:sz w:val="22"/>
                <w:szCs w:val="22"/>
                <w:lang w:val="en-IE"/>
              </w:rPr>
            </w:pPr>
          </w:p>
        </w:tc>
      </w:tr>
      <w:tr w:rsidR="00E0074D" w:rsidRPr="001362A6" w14:paraId="11C562F4" w14:textId="77777777" w:rsidTr="00A34B20">
        <w:tc>
          <w:tcPr>
            <w:tcW w:w="2429" w:type="dxa"/>
            <w:gridSpan w:val="4"/>
            <w:tcBorders>
              <w:right w:val="single" w:sz="4" w:space="0" w:color="auto"/>
            </w:tcBorders>
          </w:tcPr>
          <w:p w14:paraId="216511D3" w14:textId="77777777" w:rsidR="00E0074D" w:rsidRPr="001362A6" w:rsidRDefault="00E0074D">
            <w:pPr>
              <w:rPr>
                <w:rFonts w:ascii="Lato" w:hAnsi="Lato"/>
                <w:sz w:val="22"/>
                <w:szCs w:val="22"/>
                <w:lang w:val="en-IE"/>
              </w:rPr>
            </w:pPr>
          </w:p>
        </w:tc>
        <w:tc>
          <w:tcPr>
            <w:tcW w:w="6788" w:type="dxa"/>
            <w:gridSpan w:val="2"/>
            <w:tcBorders>
              <w:top w:val="single" w:sz="4" w:space="0" w:color="auto"/>
              <w:left w:val="single" w:sz="4" w:space="0" w:color="auto"/>
              <w:right w:val="single" w:sz="4" w:space="0" w:color="auto"/>
            </w:tcBorders>
          </w:tcPr>
          <w:p w14:paraId="3D69923C" w14:textId="77777777" w:rsidR="00E0074D" w:rsidRPr="001362A6" w:rsidRDefault="00E0074D">
            <w:pPr>
              <w:rPr>
                <w:rFonts w:ascii="Lato" w:hAnsi="Lato"/>
                <w:sz w:val="22"/>
                <w:szCs w:val="22"/>
                <w:lang w:val="en-IE"/>
              </w:rPr>
            </w:pPr>
          </w:p>
        </w:tc>
        <w:tc>
          <w:tcPr>
            <w:tcW w:w="345" w:type="dxa"/>
            <w:gridSpan w:val="2"/>
          </w:tcPr>
          <w:p w14:paraId="161BE5AF" w14:textId="77777777" w:rsidR="00E0074D" w:rsidRPr="001362A6" w:rsidRDefault="00E0074D">
            <w:pPr>
              <w:rPr>
                <w:rFonts w:ascii="Lato" w:hAnsi="Lato"/>
                <w:sz w:val="22"/>
                <w:szCs w:val="22"/>
                <w:lang w:val="en-IE"/>
              </w:rPr>
            </w:pPr>
          </w:p>
        </w:tc>
        <w:tc>
          <w:tcPr>
            <w:tcW w:w="1058" w:type="dxa"/>
            <w:gridSpan w:val="2"/>
          </w:tcPr>
          <w:p w14:paraId="474734E7" w14:textId="77777777" w:rsidR="00E0074D" w:rsidRPr="001362A6" w:rsidRDefault="00E0074D">
            <w:pPr>
              <w:rPr>
                <w:rFonts w:ascii="Lato" w:hAnsi="Lato"/>
                <w:sz w:val="22"/>
                <w:szCs w:val="22"/>
                <w:lang w:val="en-IE"/>
              </w:rPr>
            </w:pPr>
          </w:p>
        </w:tc>
      </w:tr>
      <w:tr w:rsidR="00E0074D" w:rsidRPr="001362A6" w14:paraId="06A976A1" w14:textId="77777777" w:rsidTr="00A34B20">
        <w:tc>
          <w:tcPr>
            <w:tcW w:w="2429" w:type="dxa"/>
            <w:gridSpan w:val="4"/>
            <w:tcBorders>
              <w:right w:val="single" w:sz="4" w:space="0" w:color="auto"/>
            </w:tcBorders>
          </w:tcPr>
          <w:p w14:paraId="5C71E6BB" w14:textId="77777777" w:rsidR="00E0074D" w:rsidRPr="001362A6" w:rsidRDefault="00E0074D" w:rsidP="00A34B20">
            <w:pPr>
              <w:ind w:left="32"/>
              <w:rPr>
                <w:rFonts w:ascii="Lato" w:hAnsi="Lato"/>
                <w:sz w:val="22"/>
                <w:szCs w:val="22"/>
                <w:lang w:val="en-IE"/>
              </w:rPr>
            </w:pPr>
            <w:r w:rsidRPr="001362A6">
              <w:rPr>
                <w:rFonts w:ascii="Lato" w:hAnsi="Lato"/>
                <w:sz w:val="22"/>
                <w:szCs w:val="22"/>
                <w:lang w:val="en-IE"/>
              </w:rPr>
              <w:t>Transfer</w:t>
            </w:r>
          </w:p>
        </w:tc>
        <w:tc>
          <w:tcPr>
            <w:tcW w:w="6788" w:type="dxa"/>
            <w:gridSpan w:val="2"/>
            <w:tcBorders>
              <w:left w:val="single" w:sz="4" w:space="0" w:color="auto"/>
              <w:right w:val="single" w:sz="4" w:space="0" w:color="auto"/>
            </w:tcBorders>
          </w:tcPr>
          <w:p w14:paraId="18AD87B3" w14:textId="77777777" w:rsidR="00E0074D" w:rsidRPr="001362A6" w:rsidRDefault="00E0074D">
            <w:pPr>
              <w:rPr>
                <w:rFonts w:ascii="Lato" w:hAnsi="Lato"/>
                <w:sz w:val="22"/>
                <w:szCs w:val="22"/>
                <w:lang w:val="en-IE"/>
              </w:rPr>
            </w:pPr>
          </w:p>
        </w:tc>
        <w:tc>
          <w:tcPr>
            <w:tcW w:w="345" w:type="dxa"/>
            <w:gridSpan w:val="2"/>
          </w:tcPr>
          <w:p w14:paraId="543BA9DB" w14:textId="77777777" w:rsidR="00E0074D" w:rsidRPr="001362A6" w:rsidRDefault="00E0074D">
            <w:pPr>
              <w:rPr>
                <w:rFonts w:ascii="Lato" w:hAnsi="Lato"/>
                <w:sz w:val="22"/>
                <w:szCs w:val="22"/>
                <w:lang w:val="en-IE"/>
              </w:rPr>
            </w:pPr>
          </w:p>
        </w:tc>
        <w:tc>
          <w:tcPr>
            <w:tcW w:w="1058" w:type="dxa"/>
            <w:gridSpan w:val="2"/>
          </w:tcPr>
          <w:p w14:paraId="0FF00982" w14:textId="77777777" w:rsidR="00E0074D" w:rsidRPr="001362A6" w:rsidRDefault="00E0074D">
            <w:pPr>
              <w:rPr>
                <w:rFonts w:ascii="Lato" w:hAnsi="Lato"/>
                <w:sz w:val="22"/>
                <w:szCs w:val="22"/>
                <w:lang w:val="en-IE"/>
              </w:rPr>
            </w:pPr>
          </w:p>
        </w:tc>
      </w:tr>
      <w:tr w:rsidR="00E0074D" w:rsidRPr="001362A6" w14:paraId="592073FF" w14:textId="77777777" w:rsidTr="00A34B20">
        <w:tc>
          <w:tcPr>
            <w:tcW w:w="2429" w:type="dxa"/>
            <w:gridSpan w:val="4"/>
            <w:tcBorders>
              <w:right w:val="single" w:sz="4" w:space="0" w:color="auto"/>
            </w:tcBorders>
          </w:tcPr>
          <w:p w14:paraId="2E38AD05" w14:textId="77777777" w:rsidR="00E0074D" w:rsidRPr="001362A6" w:rsidRDefault="00E0074D" w:rsidP="00A34B20">
            <w:pPr>
              <w:ind w:left="32"/>
              <w:rPr>
                <w:rFonts w:ascii="Lato" w:hAnsi="Lato"/>
                <w:sz w:val="22"/>
                <w:szCs w:val="22"/>
                <w:lang w:val="en-IE"/>
              </w:rPr>
            </w:pPr>
            <w:r w:rsidRPr="001362A6">
              <w:rPr>
                <w:rFonts w:ascii="Lato" w:hAnsi="Lato"/>
                <w:sz w:val="22"/>
                <w:szCs w:val="22"/>
                <w:lang w:val="en-IE"/>
              </w:rPr>
              <w:t>Agent</w:t>
            </w:r>
            <w:r w:rsidRPr="001362A6">
              <w:rPr>
                <w:rStyle w:val="FootnoteReference"/>
                <w:rFonts w:ascii="Lato" w:hAnsi="Lato"/>
                <w:sz w:val="22"/>
                <w:szCs w:val="22"/>
                <w:lang w:val="en-IE"/>
              </w:rPr>
              <w:footnoteReference w:id="2"/>
            </w:r>
          </w:p>
        </w:tc>
        <w:tc>
          <w:tcPr>
            <w:tcW w:w="6788" w:type="dxa"/>
            <w:gridSpan w:val="2"/>
            <w:tcBorders>
              <w:left w:val="single" w:sz="4" w:space="0" w:color="auto"/>
              <w:right w:val="single" w:sz="4" w:space="0" w:color="auto"/>
            </w:tcBorders>
          </w:tcPr>
          <w:p w14:paraId="4F526AF0" w14:textId="77777777" w:rsidR="00E0074D" w:rsidRPr="001362A6" w:rsidRDefault="00E0074D">
            <w:pPr>
              <w:rPr>
                <w:rFonts w:ascii="Lato" w:hAnsi="Lato"/>
                <w:sz w:val="22"/>
                <w:szCs w:val="22"/>
                <w:lang w:val="en-IE"/>
              </w:rPr>
            </w:pPr>
          </w:p>
        </w:tc>
        <w:tc>
          <w:tcPr>
            <w:tcW w:w="345" w:type="dxa"/>
            <w:gridSpan w:val="2"/>
          </w:tcPr>
          <w:p w14:paraId="27DD5607" w14:textId="77777777" w:rsidR="00E0074D" w:rsidRPr="001362A6" w:rsidRDefault="00E0074D">
            <w:pPr>
              <w:rPr>
                <w:rFonts w:ascii="Lato" w:hAnsi="Lato"/>
                <w:sz w:val="22"/>
                <w:szCs w:val="22"/>
                <w:lang w:val="en-IE"/>
              </w:rPr>
            </w:pPr>
          </w:p>
        </w:tc>
        <w:tc>
          <w:tcPr>
            <w:tcW w:w="1058" w:type="dxa"/>
            <w:gridSpan w:val="2"/>
          </w:tcPr>
          <w:p w14:paraId="713A000A" w14:textId="77777777" w:rsidR="00E0074D" w:rsidRPr="001362A6" w:rsidRDefault="00E0074D">
            <w:pPr>
              <w:rPr>
                <w:rFonts w:ascii="Lato" w:hAnsi="Lato"/>
                <w:sz w:val="22"/>
                <w:szCs w:val="22"/>
                <w:lang w:val="en-IE"/>
              </w:rPr>
            </w:pPr>
          </w:p>
        </w:tc>
      </w:tr>
      <w:tr w:rsidR="00E0074D" w:rsidRPr="001362A6" w14:paraId="4F4B0246" w14:textId="77777777" w:rsidTr="00A34B20">
        <w:tc>
          <w:tcPr>
            <w:tcW w:w="2429" w:type="dxa"/>
            <w:gridSpan w:val="4"/>
            <w:tcBorders>
              <w:right w:val="single" w:sz="4" w:space="0" w:color="auto"/>
            </w:tcBorders>
          </w:tcPr>
          <w:p w14:paraId="4D0EDAEC" w14:textId="77777777" w:rsidR="00E0074D" w:rsidRPr="001362A6" w:rsidRDefault="00E0074D">
            <w:pPr>
              <w:rPr>
                <w:rFonts w:ascii="Lato" w:hAnsi="Lato"/>
                <w:sz w:val="22"/>
                <w:szCs w:val="22"/>
                <w:lang w:val="en-IE"/>
              </w:rPr>
            </w:pPr>
          </w:p>
        </w:tc>
        <w:tc>
          <w:tcPr>
            <w:tcW w:w="6788" w:type="dxa"/>
            <w:gridSpan w:val="2"/>
            <w:tcBorders>
              <w:left w:val="single" w:sz="4" w:space="0" w:color="auto"/>
              <w:right w:val="single" w:sz="4" w:space="0" w:color="auto"/>
            </w:tcBorders>
          </w:tcPr>
          <w:p w14:paraId="4DF16F0B" w14:textId="77777777" w:rsidR="00E0074D" w:rsidRPr="001362A6" w:rsidRDefault="00E0074D">
            <w:pPr>
              <w:rPr>
                <w:rFonts w:ascii="Lato" w:hAnsi="Lato"/>
                <w:sz w:val="22"/>
                <w:szCs w:val="22"/>
                <w:lang w:val="en-IE"/>
              </w:rPr>
            </w:pPr>
          </w:p>
        </w:tc>
        <w:tc>
          <w:tcPr>
            <w:tcW w:w="345" w:type="dxa"/>
            <w:gridSpan w:val="2"/>
          </w:tcPr>
          <w:p w14:paraId="423DD4A2" w14:textId="77777777" w:rsidR="00E0074D" w:rsidRPr="001362A6" w:rsidRDefault="00E0074D">
            <w:pPr>
              <w:rPr>
                <w:rFonts w:ascii="Lato" w:hAnsi="Lato"/>
                <w:sz w:val="22"/>
                <w:szCs w:val="22"/>
                <w:lang w:val="en-IE"/>
              </w:rPr>
            </w:pPr>
          </w:p>
        </w:tc>
        <w:tc>
          <w:tcPr>
            <w:tcW w:w="1058" w:type="dxa"/>
            <w:gridSpan w:val="2"/>
          </w:tcPr>
          <w:p w14:paraId="59132A4F" w14:textId="77777777" w:rsidR="00E0074D" w:rsidRPr="001362A6" w:rsidRDefault="00E0074D">
            <w:pPr>
              <w:rPr>
                <w:rFonts w:ascii="Lato" w:hAnsi="Lato"/>
                <w:sz w:val="22"/>
                <w:szCs w:val="22"/>
                <w:lang w:val="en-IE"/>
              </w:rPr>
            </w:pPr>
          </w:p>
        </w:tc>
      </w:tr>
      <w:tr w:rsidR="00E0074D" w:rsidRPr="001362A6" w14:paraId="178AB91E" w14:textId="77777777" w:rsidTr="00A34B20">
        <w:tc>
          <w:tcPr>
            <w:tcW w:w="2429" w:type="dxa"/>
            <w:gridSpan w:val="4"/>
            <w:tcBorders>
              <w:right w:val="single" w:sz="4" w:space="0" w:color="auto"/>
            </w:tcBorders>
          </w:tcPr>
          <w:p w14:paraId="0BA30EA6" w14:textId="77777777" w:rsidR="00E0074D" w:rsidRPr="001362A6" w:rsidRDefault="00E0074D">
            <w:pPr>
              <w:rPr>
                <w:rFonts w:ascii="Lato" w:hAnsi="Lato"/>
                <w:sz w:val="22"/>
                <w:szCs w:val="22"/>
                <w:lang w:val="en-IE"/>
              </w:rPr>
            </w:pPr>
          </w:p>
        </w:tc>
        <w:tc>
          <w:tcPr>
            <w:tcW w:w="6788" w:type="dxa"/>
            <w:gridSpan w:val="2"/>
            <w:tcBorders>
              <w:left w:val="single" w:sz="4" w:space="0" w:color="auto"/>
              <w:bottom w:val="single" w:sz="4" w:space="0" w:color="auto"/>
              <w:right w:val="single" w:sz="4" w:space="0" w:color="auto"/>
            </w:tcBorders>
          </w:tcPr>
          <w:p w14:paraId="0975BA45" w14:textId="77777777" w:rsidR="00E0074D" w:rsidRPr="001362A6" w:rsidRDefault="00E0074D">
            <w:pPr>
              <w:rPr>
                <w:rFonts w:ascii="Lato" w:hAnsi="Lato"/>
                <w:sz w:val="22"/>
                <w:szCs w:val="22"/>
                <w:lang w:val="en-IE"/>
              </w:rPr>
            </w:pPr>
          </w:p>
        </w:tc>
        <w:tc>
          <w:tcPr>
            <w:tcW w:w="345" w:type="dxa"/>
            <w:gridSpan w:val="2"/>
          </w:tcPr>
          <w:p w14:paraId="047792E1" w14:textId="77777777" w:rsidR="00E0074D" w:rsidRPr="001362A6" w:rsidRDefault="00E0074D">
            <w:pPr>
              <w:rPr>
                <w:rFonts w:ascii="Lato" w:hAnsi="Lato"/>
                <w:sz w:val="22"/>
                <w:szCs w:val="22"/>
                <w:lang w:val="en-IE"/>
              </w:rPr>
            </w:pPr>
          </w:p>
        </w:tc>
        <w:tc>
          <w:tcPr>
            <w:tcW w:w="1058" w:type="dxa"/>
            <w:gridSpan w:val="2"/>
          </w:tcPr>
          <w:p w14:paraId="7A4A82D9" w14:textId="77777777" w:rsidR="00E0074D" w:rsidRPr="001362A6" w:rsidRDefault="00E0074D">
            <w:pPr>
              <w:rPr>
                <w:rFonts w:ascii="Lato" w:hAnsi="Lato"/>
                <w:sz w:val="22"/>
                <w:szCs w:val="22"/>
                <w:lang w:val="en-IE"/>
              </w:rPr>
            </w:pPr>
          </w:p>
        </w:tc>
      </w:tr>
      <w:tr w:rsidR="00E0074D" w:rsidRPr="001362A6" w14:paraId="56ABA699" w14:textId="77777777" w:rsidTr="00A34B20">
        <w:tc>
          <w:tcPr>
            <w:tcW w:w="2429" w:type="dxa"/>
            <w:gridSpan w:val="4"/>
            <w:tcBorders>
              <w:right w:val="single" w:sz="4" w:space="0" w:color="auto"/>
            </w:tcBorders>
          </w:tcPr>
          <w:p w14:paraId="3FEC7829" w14:textId="77777777" w:rsidR="00E0074D" w:rsidRPr="001362A6" w:rsidRDefault="00E0074D" w:rsidP="00A34B20">
            <w:pPr>
              <w:rPr>
                <w:rFonts w:ascii="Lato" w:hAnsi="Lato"/>
                <w:sz w:val="22"/>
                <w:szCs w:val="22"/>
                <w:lang w:val="en-IE"/>
              </w:rPr>
            </w:pPr>
            <w:r w:rsidRPr="001362A6">
              <w:rPr>
                <w:rFonts w:ascii="Lato" w:hAnsi="Lato"/>
                <w:sz w:val="22"/>
                <w:szCs w:val="22"/>
                <w:lang w:val="en-IE"/>
              </w:rPr>
              <w:t>Investment/</w:t>
            </w:r>
          </w:p>
        </w:tc>
        <w:tc>
          <w:tcPr>
            <w:tcW w:w="6788" w:type="dxa"/>
            <w:gridSpan w:val="2"/>
            <w:tcBorders>
              <w:top w:val="single" w:sz="4" w:space="0" w:color="auto"/>
              <w:left w:val="single" w:sz="4" w:space="0" w:color="auto"/>
              <w:right w:val="single" w:sz="4" w:space="0" w:color="auto"/>
            </w:tcBorders>
          </w:tcPr>
          <w:p w14:paraId="6DCA8293" w14:textId="77777777" w:rsidR="00E0074D" w:rsidRPr="001362A6" w:rsidRDefault="00E0074D">
            <w:pPr>
              <w:rPr>
                <w:rFonts w:ascii="Lato" w:hAnsi="Lato"/>
                <w:sz w:val="22"/>
                <w:szCs w:val="22"/>
                <w:lang w:val="en-IE"/>
              </w:rPr>
            </w:pPr>
          </w:p>
        </w:tc>
        <w:tc>
          <w:tcPr>
            <w:tcW w:w="345" w:type="dxa"/>
            <w:gridSpan w:val="2"/>
          </w:tcPr>
          <w:p w14:paraId="0D003EC3" w14:textId="77777777" w:rsidR="00E0074D" w:rsidRPr="001362A6" w:rsidRDefault="00E0074D">
            <w:pPr>
              <w:rPr>
                <w:rFonts w:ascii="Lato" w:hAnsi="Lato"/>
                <w:sz w:val="22"/>
                <w:szCs w:val="22"/>
                <w:lang w:val="en-IE"/>
              </w:rPr>
            </w:pPr>
          </w:p>
        </w:tc>
        <w:tc>
          <w:tcPr>
            <w:tcW w:w="1058" w:type="dxa"/>
            <w:gridSpan w:val="2"/>
          </w:tcPr>
          <w:p w14:paraId="5D746DF8" w14:textId="77777777" w:rsidR="00E0074D" w:rsidRPr="001362A6" w:rsidRDefault="00E0074D">
            <w:pPr>
              <w:rPr>
                <w:rFonts w:ascii="Lato" w:hAnsi="Lato"/>
                <w:sz w:val="22"/>
                <w:szCs w:val="22"/>
                <w:lang w:val="en-IE"/>
              </w:rPr>
            </w:pPr>
          </w:p>
        </w:tc>
      </w:tr>
      <w:tr w:rsidR="00E0074D" w:rsidRPr="001362A6" w14:paraId="76757932" w14:textId="77777777" w:rsidTr="00A34B20">
        <w:tc>
          <w:tcPr>
            <w:tcW w:w="2429" w:type="dxa"/>
            <w:gridSpan w:val="4"/>
            <w:tcBorders>
              <w:right w:val="single" w:sz="4" w:space="0" w:color="auto"/>
            </w:tcBorders>
          </w:tcPr>
          <w:p w14:paraId="12231DD1" w14:textId="77777777" w:rsidR="00E0074D" w:rsidRPr="001362A6" w:rsidRDefault="00E0074D" w:rsidP="00A34B20">
            <w:pPr>
              <w:rPr>
                <w:rFonts w:ascii="Lato" w:hAnsi="Lato"/>
                <w:sz w:val="22"/>
                <w:szCs w:val="22"/>
                <w:lang w:val="en-IE"/>
              </w:rPr>
            </w:pPr>
            <w:r w:rsidRPr="001362A6">
              <w:rPr>
                <w:rFonts w:ascii="Lato" w:hAnsi="Lato"/>
                <w:sz w:val="22"/>
                <w:szCs w:val="22"/>
                <w:lang w:val="en-IE"/>
              </w:rPr>
              <w:t>Sub-</w:t>
            </w:r>
          </w:p>
        </w:tc>
        <w:tc>
          <w:tcPr>
            <w:tcW w:w="6788" w:type="dxa"/>
            <w:gridSpan w:val="2"/>
            <w:tcBorders>
              <w:left w:val="single" w:sz="4" w:space="0" w:color="auto"/>
              <w:right w:val="single" w:sz="4" w:space="0" w:color="auto"/>
            </w:tcBorders>
          </w:tcPr>
          <w:p w14:paraId="683B936B" w14:textId="77777777" w:rsidR="00E0074D" w:rsidRPr="001362A6" w:rsidRDefault="00E0074D">
            <w:pPr>
              <w:rPr>
                <w:rFonts w:ascii="Lato" w:hAnsi="Lato"/>
                <w:sz w:val="22"/>
                <w:szCs w:val="22"/>
                <w:lang w:val="en-IE"/>
              </w:rPr>
            </w:pPr>
          </w:p>
        </w:tc>
        <w:tc>
          <w:tcPr>
            <w:tcW w:w="345" w:type="dxa"/>
            <w:gridSpan w:val="2"/>
          </w:tcPr>
          <w:p w14:paraId="50936E6D" w14:textId="77777777" w:rsidR="00E0074D" w:rsidRPr="001362A6" w:rsidRDefault="00E0074D">
            <w:pPr>
              <w:rPr>
                <w:rFonts w:ascii="Lato" w:hAnsi="Lato"/>
                <w:sz w:val="22"/>
                <w:szCs w:val="22"/>
                <w:lang w:val="en-IE"/>
              </w:rPr>
            </w:pPr>
          </w:p>
        </w:tc>
        <w:tc>
          <w:tcPr>
            <w:tcW w:w="1058" w:type="dxa"/>
            <w:gridSpan w:val="2"/>
          </w:tcPr>
          <w:p w14:paraId="43001D6B" w14:textId="77777777" w:rsidR="00E0074D" w:rsidRPr="001362A6" w:rsidRDefault="00E0074D">
            <w:pPr>
              <w:rPr>
                <w:rFonts w:ascii="Lato" w:hAnsi="Lato"/>
                <w:sz w:val="22"/>
                <w:szCs w:val="22"/>
                <w:lang w:val="en-IE"/>
              </w:rPr>
            </w:pPr>
          </w:p>
        </w:tc>
      </w:tr>
      <w:tr w:rsidR="00E0074D" w:rsidRPr="001362A6" w14:paraId="1D63BFCF" w14:textId="77777777" w:rsidTr="00A34B20">
        <w:tc>
          <w:tcPr>
            <w:tcW w:w="2429" w:type="dxa"/>
            <w:gridSpan w:val="4"/>
            <w:tcBorders>
              <w:right w:val="single" w:sz="4" w:space="0" w:color="auto"/>
            </w:tcBorders>
          </w:tcPr>
          <w:p w14:paraId="13B75F83" w14:textId="77777777" w:rsidR="00E0074D" w:rsidRPr="001362A6" w:rsidRDefault="00E0074D" w:rsidP="00A34B20">
            <w:pPr>
              <w:rPr>
                <w:rFonts w:ascii="Lato" w:hAnsi="Lato"/>
                <w:sz w:val="22"/>
                <w:szCs w:val="22"/>
                <w:lang w:val="en-IE"/>
              </w:rPr>
            </w:pPr>
            <w:r w:rsidRPr="001362A6">
              <w:rPr>
                <w:rFonts w:ascii="Lato" w:hAnsi="Lato"/>
                <w:sz w:val="22"/>
                <w:szCs w:val="22"/>
                <w:lang w:val="en-IE"/>
              </w:rPr>
              <w:t>Investment</w:t>
            </w:r>
          </w:p>
        </w:tc>
        <w:tc>
          <w:tcPr>
            <w:tcW w:w="6788" w:type="dxa"/>
            <w:gridSpan w:val="2"/>
            <w:tcBorders>
              <w:left w:val="single" w:sz="4" w:space="0" w:color="auto"/>
              <w:right w:val="single" w:sz="4" w:space="0" w:color="auto"/>
            </w:tcBorders>
          </w:tcPr>
          <w:p w14:paraId="7CD7F13D" w14:textId="77777777" w:rsidR="00E0074D" w:rsidRPr="001362A6" w:rsidRDefault="00E0074D">
            <w:pPr>
              <w:rPr>
                <w:rFonts w:ascii="Lato" w:hAnsi="Lato"/>
                <w:sz w:val="22"/>
                <w:szCs w:val="22"/>
                <w:lang w:val="en-IE"/>
              </w:rPr>
            </w:pPr>
          </w:p>
        </w:tc>
        <w:tc>
          <w:tcPr>
            <w:tcW w:w="345" w:type="dxa"/>
            <w:gridSpan w:val="2"/>
          </w:tcPr>
          <w:p w14:paraId="034EAA66" w14:textId="77777777" w:rsidR="00E0074D" w:rsidRPr="001362A6" w:rsidRDefault="00E0074D">
            <w:pPr>
              <w:rPr>
                <w:rFonts w:ascii="Lato" w:hAnsi="Lato"/>
                <w:sz w:val="22"/>
                <w:szCs w:val="22"/>
                <w:lang w:val="en-IE"/>
              </w:rPr>
            </w:pPr>
          </w:p>
        </w:tc>
        <w:tc>
          <w:tcPr>
            <w:tcW w:w="1058" w:type="dxa"/>
            <w:gridSpan w:val="2"/>
          </w:tcPr>
          <w:p w14:paraId="7BEBBAA1" w14:textId="77777777" w:rsidR="00E0074D" w:rsidRPr="001362A6" w:rsidRDefault="00E0074D">
            <w:pPr>
              <w:rPr>
                <w:rFonts w:ascii="Lato" w:hAnsi="Lato"/>
                <w:sz w:val="22"/>
                <w:szCs w:val="22"/>
                <w:lang w:val="en-IE"/>
              </w:rPr>
            </w:pPr>
          </w:p>
        </w:tc>
      </w:tr>
      <w:tr w:rsidR="00E0074D" w:rsidRPr="001362A6" w14:paraId="269B3926" w14:textId="77777777" w:rsidTr="00A34B20">
        <w:tc>
          <w:tcPr>
            <w:tcW w:w="2429" w:type="dxa"/>
            <w:gridSpan w:val="4"/>
            <w:tcBorders>
              <w:right w:val="single" w:sz="4" w:space="0" w:color="auto"/>
            </w:tcBorders>
          </w:tcPr>
          <w:p w14:paraId="16C2226C" w14:textId="77777777" w:rsidR="00E0074D" w:rsidRPr="001362A6" w:rsidRDefault="00E0074D" w:rsidP="00E113B3">
            <w:pPr>
              <w:rPr>
                <w:rFonts w:ascii="Lato" w:hAnsi="Lato"/>
                <w:sz w:val="22"/>
                <w:szCs w:val="22"/>
                <w:lang w:val="en-IE"/>
              </w:rPr>
            </w:pPr>
            <w:r w:rsidRPr="001362A6">
              <w:rPr>
                <w:rFonts w:ascii="Lato" w:hAnsi="Lato"/>
                <w:sz w:val="22"/>
                <w:szCs w:val="22"/>
                <w:lang w:val="en-IE"/>
              </w:rPr>
              <w:t>Manager(s)</w:t>
            </w:r>
            <w:r w:rsidRPr="001362A6">
              <w:rPr>
                <w:rStyle w:val="FootnoteReference"/>
                <w:rFonts w:ascii="Lato" w:hAnsi="Lato"/>
                <w:sz w:val="22"/>
                <w:szCs w:val="22"/>
                <w:lang w:val="en-IE"/>
              </w:rPr>
              <w:footnoteReference w:id="3"/>
            </w:r>
            <w:r w:rsidR="00923002" w:rsidRPr="001362A6">
              <w:rPr>
                <w:rFonts w:ascii="Lato" w:hAnsi="Lato"/>
                <w:sz w:val="22"/>
                <w:szCs w:val="22"/>
                <w:lang w:val="en-IE"/>
              </w:rPr>
              <w:t xml:space="preserve"> </w:t>
            </w:r>
          </w:p>
        </w:tc>
        <w:tc>
          <w:tcPr>
            <w:tcW w:w="6788" w:type="dxa"/>
            <w:gridSpan w:val="2"/>
            <w:tcBorders>
              <w:left w:val="single" w:sz="4" w:space="0" w:color="auto"/>
              <w:right w:val="single" w:sz="4" w:space="0" w:color="auto"/>
            </w:tcBorders>
          </w:tcPr>
          <w:p w14:paraId="30AF41E2" w14:textId="77777777" w:rsidR="00E0074D" w:rsidRPr="001362A6" w:rsidRDefault="00E0074D">
            <w:pPr>
              <w:rPr>
                <w:rFonts w:ascii="Lato" w:hAnsi="Lato"/>
                <w:sz w:val="22"/>
                <w:szCs w:val="22"/>
                <w:lang w:val="en-IE"/>
              </w:rPr>
            </w:pPr>
          </w:p>
        </w:tc>
        <w:tc>
          <w:tcPr>
            <w:tcW w:w="345" w:type="dxa"/>
            <w:gridSpan w:val="2"/>
          </w:tcPr>
          <w:p w14:paraId="4E7F3ADD" w14:textId="77777777" w:rsidR="00E0074D" w:rsidRPr="001362A6" w:rsidRDefault="00E0074D">
            <w:pPr>
              <w:rPr>
                <w:rFonts w:ascii="Lato" w:hAnsi="Lato"/>
                <w:sz w:val="22"/>
                <w:szCs w:val="22"/>
                <w:lang w:val="en-IE"/>
              </w:rPr>
            </w:pPr>
          </w:p>
        </w:tc>
        <w:tc>
          <w:tcPr>
            <w:tcW w:w="1058" w:type="dxa"/>
            <w:gridSpan w:val="2"/>
          </w:tcPr>
          <w:p w14:paraId="0202203B" w14:textId="77777777" w:rsidR="00E0074D" w:rsidRPr="001362A6" w:rsidRDefault="00E0074D">
            <w:pPr>
              <w:rPr>
                <w:rFonts w:ascii="Lato" w:hAnsi="Lato"/>
                <w:sz w:val="22"/>
                <w:szCs w:val="22"/>
                <w:lang w:val="en-IE"/>
              </w:rPr>
            </w:pPr>
          </w:p>
        </w:tc>
      </w:tr>
      <w:tr w:rsidR="00E0074D" w:rsidRPr="001362A6" w14:paraId="124DA130" w14:textId="77777777" w:rsidTr="00A34B20">
        <w:tc>
          <w:tcPr>
            <w:tcW w:w="2429" w:type="dxa"/>
            <w:gridSpan w:val="4"/>
            <w:tcBorders>
              <w:right w:val="single" w:sz="4" w:space="0" w:color="auto"/>
            </w:tcBorders>
          </w:tcPr>
          <w:p w14:paraId="2BEC25C0" w14:textId="77777777" w:rsidR="00E0074D" w:rsidRPr="001362A6" w:rsidRDefault="00E0074D">
            <w:pPr>
              <w:rPr>
                <w:rFonts w:ascii="Lato" w:hAnsi="Lato"/>
                <w:sz w:val="22"/>
                <w:szCs w:val="22"/>
                <w:lang w:val="en-IE"/>
              </w:rPr>
            </w:pPr>
          </w:p>
        </w:tc>
        <w:tc>
          <w:tcPr>
            <w:tcW w:w="6788" w:type="dxa"/>
            <w:gridSpan w:val="2"/>
            <w:tcBorders>
              <w:left w:val="single" w:sz="4" w:space="0" w:color="auto"/>
              <w:right w:val="single" w:sz="4" w:space="0" w:color="auto"/>
            </w:tcBorders>
          </w:tcPr>
          <w:p w14:paraId="1D70F10C" w14:textId="77777777" w:rsidR="00E0074D" w:rsidRPr="001362A6" w:rsidRDefault="00E0074D">
            <w:pPr>
              <w:rPr>
                <w:rFonts w:ascii="Lato" w:hAnsi="Lato"/>
                <w:sz w:val="22"/>
                <w:szCs w:val="22"/>
                <w:lang w:val="en-IE"/>
              </w:rPr>
            </w:pPr>
          </w:p>
        </w:tc>
        <w:tc>
          <w:tcPr>
            <w:tcW w:w="345" w:type="dxa"/>
            <w:gridSpan w:val="2"/>
          </w:tcPr>
          <w:p w14:paraId="10DC18FA" w14:textId="77777777" w:rsidR="00E0074D" w:rsidRPr="001362A6" w:rsidRDefault="00E0074D">
            <w:pPr>
              <w:rPr>
                <w:rFonts w:ascii="Lato" w:hAnsi="Lato"/>
                <w:sz w:val="22"/>
                <w:szCs w:val="22"/>
                <w:lang w:val="en-IE"/>
              </w:rPr>
            </w:pPr>
          </w:p>
        </w:tc>
        <w:tc>
          <w:tcPr>
            <w:tcW w:w="1058" w:type="dxa"/>
            <w:gridSpan w:val="2"/>
          </w:tcPr>
          <w:p w14:paraId="66B6EA76" w14:textId="77777777" w:rsidR="00E0074D" w:rsidRPr="001362A6" w:rsidRDefault="00E0074D">
            <w:pPr>
              <w:rPr>
                <w:rFonts w:ascii="Lato" w:hAnsi="Lato"/>
                <w:sz w:val="22"/>
                <w:szCs w:val="22"/>
                <w:lang w:val="en-IE"/>
              </w:rPr>
            </w:pPr>
          </w:p>
        </w:tc>
      </w:tr>
      <w:tr w:rsidR="00E0074D" w:rsidRPr="001362A6" w14:paraId="54DEB294" w14:textId="77777777" w:rsidTr="00A34B20">
        <w:tc>
          <w:tcPr>
            <w:tcW w:w="2429" w:type="dxa"/>
            <w:gridSpan w:val="4"/>
            <w:tcBorders>
              <w:right w:val="single" w:sz="4" w:space="0" w:color="auto"/>
            </w:tcBorders>
          </w:tcPr>
          <w:p w14:paraId="472D6CA1" w14:textId="77777777" w:rsidR="00E0074D" w:rsidRPr="001362A6" w:rsidRDefault="00E0074D">
            <w:pPr>
              <w:rPr>
                <w:rFonts w:ascii="Lato" w:hAnsi="Lato"/>
                <w:sz w:val="22"/>
                <w:szCs w:val="22"/>
                <w:lang w:val="en-IE"/>
              </w:rPr>
            </w:pPr>
          </w:p>
        </w:tc>
        <w:tc>
          <w:tcPr>
            <w:tcW w:w="6788" w:type="dxa"/>
            <w:gridSpan w:val="2"/>
            <w:tcBorders>
              <w:left w:val="single" w:sz="4" w:space="0" w:color="auto"/>
              <w:bottom w:val="single" w:sz="4" w:space="0" w:color="auto"/>
              <w:right w:val="single" w:sz="4" w:space="0" w:color="auto"/>
            </w:tcBorders>
          </w:tcPr>
          <w:p w14:paraId="34AD2D30" w14:textId="77777777" w:rsidR="00E0074D" w:rsidRPr="001362A6" w:rsidRDefault="00E0074D">
            <w:pPr>
              <w:rPr>
                <w:rFonts w:ascii="Lato" w:hAnsi="Lato"/>
                <w:sz w:val="22"/>
                <w:szCs w:val="22"/>
                <w:lang w:val="en-IE"/>
              </w:rPr>
            </w:pPr>
          </w:p>
        </w:tc>
        <w:tc>
          <w:tcPr>
            <w:tcW w:w="345" w:type="dxa"/>
            <w:gridSpan w:val="2"/>
          </w:tcPr>
          <w:p w14:paraId="72AB55F6" w14:textId="77777777" w:rsidR="00E0074D" w:rsidRPr="001362A6" w:rsidRDefault="00E0074D">
            <w:pPr>
              <w:rPr>
                <w:rFonts w:ascii="Lato" w:hAnsi="Lato"/>
                <w:sz w:val="22"/>
                <w:szCs w:val="22"/>
                <w:lang w:val="en-IE"/>
              </w:rPr>
            </w:pPr>
          </w:p>
        </w:tc>
        <w:tc>
          <w:tcPr>
            <w:tcW w:w="1058" w:type="dxa"/>
            <w:gridSpan w:val="2"/>
          </w:tcPr>
          <w:p w14:paraId="320DC22B" w14:textId="77777777" w:rsidR="00E0074D" w:rsidRPr="001362A6" w:rsidRDefault="00E0074D">
            <w:pPr>
              <w:rPr>
                <w:rFonts w:ascii="Lato" w:hAnsi="Lato"/>
                <w:sz w:val="22"/>
                <w:szCs w:val="22"/>
                <w:lang w:val="en-IE"/>
              </w:rPr>
            </w:pPr>
          </w:p>
        </w:tc>
      </w:tr>
      <w:tr w:rsidR="00E0074D" w:rsidRPr="001362A6" w14:paraId="5E6BF8B7" w14:textId="77777777" w:rsidTr="00A34B20">
        <w:tc>
          <w:tcPr>
            <w:tcW w:w="2429" w:type="dxa"/>
            <w:gridSpan w:val="4"/>
            <w:tcBorders>
              <w:right w:val="single" w:sz="4" w:space="0" w:color="auto"/>
            </w:tcBorders>
          </w:tcPr>
          <w:p w14:paraId="7E75B220" w14:textId="77777777" w:rsidR="00E0074D" w:rsidRPr="001362A6" w:rsidRDefault="00E0074D">
            <w:pPr>
              <w:rPr>
                <w:rFonts w:ascii="Lato" w:hAnsi="Lato"/>
                <w:sz w:val="22"/>
                <w:szCs w:val="22"/>
                <w:lang w:val="en-IE"/>
              </w:rPr>
            </w:pPr>
            <w:r w:rsidRPr="001362A6">
              <w:rPr>
                <w:rFonts w:ascii="Lato" w:hAnsi="Lato"/>
                <w:sz w:val="22"/>
                <w:szCs w:val="22"/>
                <w:lang w:val="en-IE"/>
              </w:rPr>
              <w:t>Investment/</w:t>
            </w:r>
          </w:p>
        </w:tc>
        <w:tc>
          <w:tcPr>
            <w:tcW w:w="6788" w:type="dxa"/>
            <w:gridSpan w:val="2"/>
            <w:tcBorders>
              <w:top w:val="single" w:sz="4" w:space="0" w:color="auto"/>
              <w:left w:val="single" w:sz="4" w:space="0" w:color="auto"/>
              <w:right w:val="single" w:sz="4" w:space="0" w:color="auto"/>
            </w:tcBorders>
          </w:tcPr>
          <w:p w14:paraId="043F7814" w14:textId="77777777" w:rsidR="00E0074D" w:rsidRPr="001362A6" w:rsidRDefault="00E0074D">
            <w:pPr>
              <w:rPr>
                <w:rFonts w:ascii="Lato" w:hAnsi="Lato"/>
                <w:sz w:val="22"/>
                <w:szCs w:val="22"/>
                <w:lang w:val="en-IE"/>
              </w:rPr>
            </w:pPr>
          </w:p>
        </w:tc>
        <w:tc>
          <w:tcPr>
            <w:tcW w:w="345" w:type="dxa"/>
            <w:gridSpan w:val="2"/>
          </w:tcPr>
          <w:p w14:paraId="11EE53E3" w14:textId="77777777" w:rsidR="00E0074D" w:rsidRPr="001362A6" w:rsidRDefault="00E0074D">
            <w:pPr>
              <w:rPr>
                <w:rFonts w:ascii="Lato" w:hAnsi="Lato"/>
                <w:sz w:val="22"/>
                <w:szCs w:val="22"/>
                <w:lang w:val="en-IE"/>
              </w:rPr>
            </w:pPr>
          </w:p>
        </w:tc>
        <w:tc>
          <w:tcPr>
            <w:tcW w:w="1058" w:type="dxa"/>
            <w:gridSpan w:val="2"/>
          </w:tcPr>
          <w:p w14:paraId="7F14DCEA" w14:textId="77777777" w:rsidR="00E0074D" w:rsidRPr="001362A6" w:rsidRDefault="00E0074D">
            <w:pPr>
              <w:rPr>
                <w:rFonts w:ascii="Lato" w:hAnsi="Lato"/>
                <w:sz w:val="22"/>
                <w:szCs w:val="22"/>
                <w:lang w:val="en-IE"/>
              </w:rPr>
            </w:pPr>
          </w:p>
        </w:tc>
      </w:tr>
      <w:tr w:rsidR="00E0074D" w:rsidRPr="001362A6" w14:paraId="513304E9" w14:textId="77777777" w:rsidTr="00A34B20">
        <w:tc>
          <w:tcPr>
            <w:tcW w:w="2429" w:type="dxa"/>
            <w:gridSpan w:val="4"/>
            <w:tcBorders>
              <w:right w:val="single" w:sz="4" w:space="0" w:color="auto"/>
            </w:tcBorders>
          </w:tcPr>
          <w:p w14:paraId="6F315A1F" w14:textId="77777777" w:rsidR="00E0074D" w:rsidRPr="001362A6" w:rsidRDefault="00E0074D" w:rsidP="00A34B20">
            <w:pPr>
              <w:ind w:left="32"/>
              <w:rPr>
                <w:rFonts w:ascii="Lato" w:hAnsi="Lato"/>
                <w:sz w:val="22"/>
                <w:szCs w:val="22"/>
                <w:lang w:val="en-IE"/>
              </w:rPr>
            </w:pPr>
            <w:r w:rsidRPr="001362A6">
              <w:rPr>
                <w:rFonts w:ascii="Lato" w:hAnsi="Lato"/>
                <w:sz w:val="22"/>
                <w:szCs w:val="22"/>
                <w:lang w:val="en-IE"/>
              </w:rPr>
              <w:t>Sub-</w:t>
            </w:r>
          </w:p>
        </w:tc>
        <w:tc>
          <w:tcPr>
            <w:tcW w:w="6788" w:type="dxa"/>
            <w:gridSpan w:val="2"/>
            <w:tcBorders>
              <w:left w:val="single" w:sz="4" w:space="0" w:color="auto"/>
              <w:right w:val="single" w:sz="4" w:space="0" w:color="auto"/>
            </w:tcBorders>
          </w:tcPr>
          <w:p w14:paraId="535B48B4" w14:textId="77777777" w:rsidR="00E0074D" w:rsidRPr="001362A6" w:rsidRDefault="00E0074D">
            <w:pPr>
              <w:rPr>
                <w:rFonts w:ascii="Lato" w:hAnsi="Lato"/>
                <w:sz w:val="22"/>
                <w:szCs w:val="22"/>
                <w:lang w:val="en-IE"/>
              </w:rPr>
            </w:pPr>
          </w:p>
        </w:tc>
        <w:tc>
          <w:tcPr>
            <w:tcW w:w="345" w:type="dxa"/>
            <w:gridSpan w:val="2"/>
            <w:tcBorders>
              <w:left w:val="single" w:sz="4" w:space="0" w:color="auto"/>
            </w:tcBorders>
          </w:tcPr>
          <w:p w14:paraId="7000FB87" w14:textId="77777777" w:rsidR="00E0074D" w:rsidRPr="001362A6" w:rsidRDefault="00E0074D">
            <w:pPr>
              <w:rPr>
                <w:rFonts w:ascii="Lato" w:hAnsi="Lato"/>
                <w:sz w:val="22"/>
                <w:szCs w:val="22"/>
                <w:lang w:val="en-IE"/>
              </w:rPr>
            </w:pPr>
          </w:p>
        </w:tc>
        <w:tc>
          <w:tcPr>
            <w:tcW w:w="1058" w:type="dxa"/>
            <w:gridSpan w:val="2"/>
          </w:tcPr>
          <w:p w14:paraId="70BE5796" w14:textId="77777777" w:rsidR="00E0074D" w:rsidRPr="001362A6" w:rsidRDefault="00E0074D">
            <w:pPr>
              <w:rPr>
                <w:rFonts w:ascii="Lato" w:hAnsi="Lato"/>
                <w:sz w:val="22"/>
                <w:szCs w:val="22"/>
                <w:lang w:val="en-IE"/>
              </w:rPr>
            </w:pPr>
          </w:p>
        </w:tc>
      </w:tr>
      <w:tr w:rsidR="00E0074D" w:rsidRPr="001362A6" w14:paraId="2BBAEEFE" w14:textId="77777777" w:rsidTr="00A34B20">
        <w:tc>
          <w:tcPr>
            <w:tcW w:w="2429" w:type="dxa"/>
            <w:gridSpan w:val="4"/>
            <w:tcBorders>
              <w:right w:val="single" w:sz="4" w:space="0" w:color="auto"/>
            </w:tcBorders>
          </w:tcPr>
          <w:p w14:paraId="2D503C62" w14:textId="77777777" w:rsidR="00E0074D" w:rsidRPr="001362A6" w:rsidRDefault="00E0074D" w:rsidP="00A34B20">
            <w:pPr>
              <w:ind w:left="32"/>
              <w:rPr>
                <w:rFonts w:ascii="Lato" w:hAnsi="Lato"/>
                <w:sz w:val="22"/>
                <w:szCs w:val="22"/>
                <w:lang w:val="en-IE"/>
              </w:rPr>
            </w:pPr>
            <w:r w:rsidRPr="001362A6">
              <w:rPr>
                <w:rFonts w:ascii="Lato" w:hAnsi="Lato"/>
                <w:sz w:val="22"/>
                <w:szCs w:val="22"/>
                <w:lang w:val="en-IE"/>
              </w:rPr>
              <w:t>Investment</w:t>
            </w:r>
          </w:p>
        </w:tc>
        <w:tc>
          <w:tcPr>
            <w:tcW w:w="6788" w:type="dxa"/>
            <w:gridSpan w:val="2"/>
            <w:tcBorders>
              <w:left w:val="single" w:sz="4" w:space="0" w:color="auto"/>
              <w:right w:val="single" w:sz="4" w:space="0" w:color="auto"/>
            </w:tcBorders>
          </w:tcPr>
          <w:p w14:paraId="7A2937FE" w14:textId="77777777" w:rsidR="00E0074D" w:rsidRPr="001362A6" w:rsidRDefault="00E0074D">
            <w:pPr>
              <w:rPr>
                <w:rFonts w:ascii="Lato" w:hAnsi="Lato"/>
                <w:sz w:val="22"/>
                <w:szCs w:val="22"/>
                <w:lang w:val="en-IE"/>
              </w:rPr>
            </w:pPr>
          </w:p>
        </w:tc>
        <w:tc>
          <w:tcPr>
            <w:tcW w:w="345" w:type="dxa"/>
            <w:gridSpan w:val="2"/>
          </w:tcPr>
          <w:p w14:paraId="1A55F48D" w14:textId="77777777" w:rsidR="00E0074D" w:rsidRPr="001362A6" w:rsidRDefault="00E0074D">
            <w:pPr>
              <w:rPr>
                <w:rFonts w:ascii="Lato" w:hAnsi="Lato"/>
                <w:sz w:val="22"/>
                <w:szCs w:val="22"/>
                <w:lang w:val="en-IE"/>
              </w:rPr>
            </w:pPr>
          </w:p>
        </w:tc>
        <w:tc>
          <w:tcPr>
            <w:tcW w:w="1058" w:type="dxa"/>
            <w:gridSpan w:val="2"/>
          </w:tcPr>
          <w:p w14:paraId="6E9380A3" w14:textId="77777777" w:rsidR="00E0074D" w:rsidRPr="001362A6" w:rsidRDefault="00E0074D">
            <w:pPr>
              <w:rPr>
                <w:rFonts w:ascii="Lato" w:hAnsi="Lato"/>
                <w:sz w:val="22"/>
                <w:szCs w:val="22"/>
                <w:lang w:val="en-IE"/>
              </w:rPr>
            </w:pPr>
          </w:p>
        </w:tc>
      </w:tr>
      <w:tr w:rsidR="00E0074D" w:rsidRPr="001362A6" w14:paraId="19E4B1F9" w14:textId="77777777" w:rsidTr="00A34B20">
        <w:tc>
          <w:tcPr>
            <w:tcW w:w="2429" w:type="dxa"/>
            <w:gridSpan w:val="4"/>
            <w:tcBorders>
              <w:right w:val="single" w:sz="4" w:space="0" w:color="auto"/>
            </w:tcBorders>
          </w:tcPr>
          <w:p w14:paraId="3D6F50D4" w14:textId="77777777" w:rsidR="00E0074D" w:rsidRPr="001362A6" w:rsidRDefault="00E0074D" w:rsidP="00A34B20">
            <w:pPr>
              <w:ind w:left="32"/>
              <w:rPr>
                <w:rFonts w:ascii="Lato" w:hAnsi="Lato"/>
                <w:sz w:val="22"/>
                <w:szCs w:val="22"/>
                <w:lang w:val="en-IE"/>
              </w:rPr>
            </w:pPr>
            <w:r w:rsidRPr="001362A6">
              <w:rPr>
                <w:rFonts w:ascii="Lato" w:hAnsi="Lato"/>
                <w:sz w:val="22"/>
                <w:szCs w:val="22"/>
                <w:lang w:val="en-IE"/>
              </w:rPr>
              <w:t>Adviser(s)</w:t>
            </w:r>
            <w:r w:rsidRPr="001362A6">
              <w:rPr>
                <w:rStyle w:val="FootnoteReference"/>
                <w:rFonts w:ascii="Lato" w:hAnsi="Lato"/>
                <w:sz w:val="22"/>
                <w:szCs w:val="22"/>
                <w:lang w:val="en-IE"/>
              </w:rPr>
              <w:footnoteReference w:id="4"/>
            </w:r>
          </w:p>
        </w:tc>
        <w:tc>
          <w:tcPr>
            <w:tcW w:w="6788" w:type="dxa"/>
            <w:gridSpan w:val="2"/>
            <w:tcBorders>
              <w:left w:val="single" w:sz="4" w:space="0" w:color="auto"/>
              <w:right w:val="single" w:sz="4" w:space="0" w:color="auto"/>
            </w:tcBorders>
          </w:tcPr>
          <w:p w14:paraId="727CA496" w14:textId="77777777" w:rsidR="00E0074D" w:rsidRPr="001362A6" w:rsidRDefault="00E0074D">
            <w:pPr>
              <w:rPr>
                <w:rFonts w:ascii="Lato" w:hAnsi="Lato"/>
                <w:sz w:val="22"/>
                <w:szCs w:val="22"/>
                <w:lang w:val="en-IE"/>
              </w:rPr>
            </w:pPr>
          </w:p>
        </w:tc>
        <w:tc>
          <w:tcPr>
            <w:tcW w:w="345" w:type="dxa"/>
            <w:gridSpan w:val="2"/>
          </w:tcPr>
          <w:p w14:paraId="32C30AF3" w14:textId="77777777" w:rsidR="00E0074D" w:rsidRPr="001362A6" w:rsidRDefault="00E0074D">
            <w:pPr>
              <w:rPr>
                <w:rFonts w:ascii="Lato" w:hAnsi="Lato"/>
                <w:sz w:val="22"/>
                <w:szCs w:val="22"/>
                <w:lang w:val="en-IE"/>
              </w:rPr>
            </w:pPr>
          </w:p>
        </w:tc>
        <w:tc>
          <w:tcPr>
            <w:tcW w:w="1058" w:type="dxa"/>
            <w:gridSpan w:val="2"/>
          </w:tcPr>
          <w:p w14:paraId="7F87DAE0" w14:textId="77777777" w:rsidR="00E0074D" w:rsidRPr="001362A6" w:rsidRDefault="00E0074D">
            <w:pPr>
              <w:rPr>
                <w:rFonts w:ascii="Lato" w:hAnsi="Lato"/>
                <w:sz w:val="22"/>
                <w:szCs w:val="22"/>
                <w:lang w:val="en-IE"/>
              </w:rPr>
            </w:pPr>
          </w:p>
        </w:tc>
      </w:tr>
      <w:tr w:rsidR="00E0074D" w:rsidRPr="001362A6" w14:paraId="3F0B1DCA" w14:textId="77777777" w:rsidTr="00A34B20">
        <w:tc>
          <w:tcPr>
            <w:tcW w:w="2429" w:type="dxa"/>
            <w:gridSpan w:val="4"/>
            <w:tcBorders>
              <w:right w:val="single" w:sz="4" w:space="0" w:color="auto"/>
            </w:tcBorders>
          </w:tcPr>
          <w:p w14:paraId="758C54D3" w14:textId="77777777" w:rsidR="00E0074D" w:rsidRPr="001362A6" w:rsidRDefault="00E0074D">
            <w:pPr>
              <w:ind w:left="285"/>
              <w:rPr>
                <w:rFonts w:ascii="Lato" w:hAnsi="Lato"/>
                <w:sz w:val="22"/>
                <w:szCs w:val="22"/>
                <w:lang w:val="en-IE"/>
              </w:rPr>
            </w:pPr>
          </w:p>
        </w:tc>
        <w:tc>
          <w:tcPr>
            <w:tcW w:w="6788" w:type="dxa"/>
            <w:gridSpan w:val="2"/>
            <w:tcBorders>
              <w:left w:val="single" w:sz="4" w:space="0" w:color="auto"/>
              <w:bottom w:val="single" w:sz="4" w:space="0" w:color="auto"/>
              <w:right w:val="single" w:sz="4" w:space="0" w:color="auto"/>
            </w:tcBorders>
          </w:tcPr>
          <w:p w14:paraId="239F2BC6" w14:textId="77777777" w:rsidR="00E0074D" w:rsidRPr="001362A6" w:rsidRDefault="00E0074D">
            <w:pPr>
              <w:rPr>
                <w:rFonts w:ascii="Lato" w:hAnsi="Lato"/>
                <w:sz w:val="22"/>
                <w:szCs w:val="22"/>
                <w:lang w:val="en-IE"/>
              </w:rPr>
            </w:pPr>
          </w:p>
        </w:tc>
        <w:tc>
          <w:tcPr>
            <w:tcW w:w="345" w:type="dxa"/>
            <w:gridSpan w:val="2"/>
          </w:tcPr>
          <w:p w14:paraId="2C5F0DFE" w14:textId="77777777" w:rsidR="00E0074D" w:rsidRPr="001362A6" w:rsidRDefault="00E0074D">
            <w:pPr>
              <w:rPr>
                <w:rFonts w:ascii="Lato" w:hAnsi="Lato"/>
                <w:sz w:val="22"/>
                <w:szCs w:val="22"/>
                <w:lang w:val="en-IE"/>
              </w:rPr>
            </w:pPr>
          </w:p>
        </w:tc>
        <w:tc>
          <w:tcPr>
            <w:tcW w:w="1058" w:type="dxa"/>
            <w:gridSpan w:val="2"/>
          </w:tcPr>
          <w:p w14:paraId="55A8928D" w14:textId="77777777" w:rsidR="00E0074D" w:rsidRPr="001362A6" w:rsidRDefault="00E0074D">
            <w:pPr>
              <w:rPr>
                <w:rFonts w:ascii="Lato" w:hAnsi="Lato"/>
                <w:sz w:val="22"/>
                <w:szCs w:val="22"/>
                <w:lang w:val="en-IE"/>
              </w:rPr>
            </w:pPr>
          </w:p>
        </w:tc>
      </w:tr>
      <w:tr w:rsidR="00E0074D" w:rsidRPr="001362A6" w14:paraId="26F9A3F2" w14:textId="77777777" w:rsidTr="00A34B20">
        <w:tc>
          <w:tcPr>
            <w:tcW w:w="2443" w:type="dxa"/>
            <w:gridSpan w:val="5"/>
            <w:tcBorders>
              <w:right w:val="single" w:sz="4" w:space="0" w:color="auto"/>
            </w:tcBorders>
          </w:tcPr>
          <w:p w14:paraId="28829DCF" w14:textId="77777777" w:rsidR="00E0074D" w:rsidRPr="001362A6" w:rsidRDefault="00E0074D">
            <w:pPr>
              <w:rPr>
                <w:rFonts w:ascii="Lato" w:hAnsi="Lato"/>
                <w:sz w:val="22"/>
                <w:szCs w:val="22"/>
                <w:lang w:val="en-IE"/>
              </w:rPr>
            </w:pPr>
          </w:p>
        </w:tc>
        <w:tc>
          <w:tcPr>
            <w:tcW w:w="6774" w:type="dxa"/>
            <w:tcBorders>
              <w:top w:val="single" w:sz="4" w:space="0" w:color="auto"/>
              <w:left w:val="single" w:sz="4" w:space="0" w:color="auto"/>
              <w:right w:val="single" w:sz="4" w:space="0" w:color="auto"/>
            </w:tcBorders>
          </w:tcPr>
          <w:p w14:paraId="35ECD65B" w14:textId="77777777" w:rsidR="00E0074D" w:rsidRPr="001362A6" w:rsidRDefault="00E0074D">
            <w:pPr>
              <w:rPr>
                <w:rFonts w:ascii="Lato" w:hAnsi="Lato"/>
                <w:sz w:val="22"/>
                <w:szCs w:val="22"/>
                <w:lang w:val="en-IE"/>
              </w:rPr>
            </w:pPr>
          </w:p>
        </w:tc>
        <w:tc>
          <w:tcPr>
            <w:tcW w:w="345" w:type="dxa"/>
            <w:gridSpan w:val="2"/>
          </w:tcPr>
          <w:p w14:paraId="59E837D3" w14:textId="77777777" w:rsidR="00E0074D" w:rsidRPr="001362A6" w:rsidRDefault="00E0074D">
            <w:pPr>
              <w:rPr>
                <w:rFonts w:ascii="Lato" w:hAnsi="Lato"/>
                <w:sz w:val="22"/>
                <w:szCs w:val="22"/>
                <w:lang w:val="en-IE"/>
              </w:rPr>
            </w:pPr>
          </w:p>
        </w:tc>
        <w:tc>
          <w:tcPr>
            <w:tcW w:w="1058" w:type="dxa"/>
            <w:gridSpan w:val="2"/>
          </w:tcPr>
          <w:p w14:paraId="3CB28088" w14:textId="77777777" w:rsidR="00E0074D" w:rsidRPr="001362A6" w:rsidRDefault="00E0074D">
            <w:pPr>
              <w:rPr>
                <w:rFonts w:ascii="Lato" w:hAnsi="Lato"/>
                <w:sz w:val="22"/>
                <w:szCs w:val="22"/>
                <w:lang w:val="en-IE"/>
              </w:rPr>
            </w:pPr>
          </w:p>
        </w:tc>
      </w:tr>
      <w:tr w:rsidR="00E0074D" w:rsidRPr="001362A6" w14:paraId="27A74A6D" w14:textId="77777777" w:rsidTr="00A34B20">
        <w:tc>
          <w:tcPr>
            <w:tcW w:w="2443" w:type="dxa"/>
            <w:gridSpan w:val="5"/>
            <w:tcBorders>
              <w:right w:val="single" w:sz="4" w:space="0" w:color="auto"/>
            </w:tcBorders>
          </w:tcPr>
          <w:p w14:paraId="521339C7" w14:textId="77777777" w:rsidR="00E0074D" w:rsidRPr="001362A6" w:rsidRDefault="00E0074D" w:rsidP="00441CAE">
            <w:pPr>
              <w:ind w:left="32"/>
              <w:rPr>
                <w:rFonts w:ascii="Lato" w:hAnsi="Lato"/>
                <w:sz w:val="22"/>
                <w:szCs w:val="22"/>
                <w:lang w:val="en-IE"/>
              </w:rPr>
            </w:pPr>
            <w:r w:rsidRPr="001362A6">
              <w:rPr>
                <w:rFonts w:ascii="Lato" w:hAnsi="Lato"/>
                <w:sz w:val="22"/>
                <w:szCs w:val="22"/>
                <w:lang w:val="en-IE"/>
              </w:rPr>
              <w:t>Legal</w:t>
            </w:r>
          </w:p>
        </w:tc>
        <w:tc>
          <w:tcPr>
            <w:tcW w:w="6774" w:type="dxa"/>
            <w:tcBorders>
              <w:left w:val="single" w:sz="4" w:space="0" w:color="auto"/>
              <w:right w:val="single" w:sz="4" w:space="0" w:color="auto"/>
            </w:tcBorders>
          </w:tcPr>
          <w:p w14:paraId="469C7058" w14:textId="77777777" w:rsidR="00E0074D" w:rsidRPr="001362A6" w:rsidRDefault="00E0074D">
            <w:pPr>
              <w:rPr>
                <w:rFonts w:ascii="Lato" w:hAnsi="Lato"/>
                <w:sz w:val="22"/>
                <w:szCs w:val="22"/>
                <w:lang w:val="en-IE"/>
              </w:rPr>
            </w:pPr>
          </w:p>
        </w:tc>
        <w:tc>
          <w:tcPr>
            <w:tcW w:w="345" w:type="dxa"/>
            <w:gridSpan w:val="2"/>
          </w:tcPr>
          <w:p w14:paraId="7A8EACC4" w14:textId="77777777" w:rsidR="00E0074D" w:rsidRPr="001362A6" w:rsidRDefault="00E0074D">
            <w:pPr>
              <w:rPr>
                <w:rFonts w:ascii="Lato" w:hAnsi="Lato"/>
                <w:sz w:val="22"/>
                <w:szCs w:val="22"/>
                <w:lang w:val="en-IE"/>
              </w:rPr>
            </w:pPr>
          </w:p>
        </w:tc>
        <w:tc>
          <w:tcPr>
            <w:tcW w:w="1058" w:type="dxa"/>
            <w:gridSpan w:val="2"/>
          </w:tcPr>
          <w:p w14:paraId="4E86E260" w14:textId="77777777" w:rsidR="00E0074D" w:rsidRPr="001362A6" w:rsidRDefault="00E0074D">
            <w:pPr>
              <w:rPr>
                <w:rFonts w:ascii="Lato" w:hAnsi="Lato"/>
                <w:sz w:val="22"/>
                <w:szCs w:val="22"/>
                <w:lang w:val="en-IE"/>
              </w:rPr>
            </w:pPr>
          </w:p>
        </w:tc>
      </w:tr>
      <w:tr w:rsidR="00E0074D" w:rsidRPr="001362A6" w14:paraId="7CD4C3C3" w14:textId="77777777" w:rsidTr="00A34B20">
        <w:tc>
          <w:tcPr>
            <w:tcW w:w="2443" w:type="dxa"/>
            <w:gridSpan w:val="5"/>
            <w:tcBorders>
              <w:right w:val="single" w:sz="4" w:space="0" w:color="auto"/>
            </w:tcBorders>
          </w:tcPr>
          <w:p w14:paraId="57DF115C" w14:textId="77777777" w:rsidR="00E0074D" w:rsidRPr="001362A6" w:rsidRDefault="00E0074D" w:rsidP="00441CAE">
            <w:pPr>
              <w:ind w:left="32"/>
              <w:rPr>
                <w:rFonts w:ascii="Lato" w:hAnsi="Lato"/>
                <w:sz w:val="22"/>
                <w:szCs w:val="22"/>
                <w:lang w:val="en-IE"/>
              </w:rPr>
            </w:pPr>
            <w:r w:rsidRPr="001362A6">
              <w:rPr>
                <w:rFonts w:ascii="Lato" w:hAnsi="Lato"/>
                <w:sz w:val="22"/>
                <w:szCs w:val="22"/>
                <w:lang w:val="en-IE"/>
              </w:rPr>
              <w:t>Advisor</w:t>
            </w:r>
          </w:p>
        </w:tc>
        <w:tc>
          <w:tcPr>
            <w:tcW w:w="6774" w:type="dxa"/>
            <w:tcBorders>
              <w:left w:val="single" w:sz="4" w:space="0" w:color="auto"/>
              <w:right w:val="single" w:sz="4" w:space="0" w:color="auto"/>
            </w:tcBorders>
          </w:tcPr>
          <w:p w14:paraId="23A9E77E" w14:textId="77777777" w:rsidR="00E0074D" w:rsidRPr="001362A6" w:rsidRDefault="00E0074D">
            <w:pPr>
              <w:rPr>
                <w:rFonts w:ascii="Lato" w:hAnsi="Lato"/>
                <w:sz w:val="22"/>
                <w:szCs w:val="22"/>
                <w:lang w:val="en-IE"/>
              </w:rPr>
            </w:pPr>
          </w:p>
        </w:tc>
        <w:tc>
          <w:tcPr>
            <w:tcW w:w="345" w:type="dxa"/>
            <w:gridSpan w:val="2"/>
          </w:tcPr>
          <w:p w14:paraId="482283EC" w14:textId="77777777" w:rsidR="00E0074D" w:rsidRPr="001362A6" w:rsidRDefault="00E0074D">
            <w:pPr>
              <w:rPr>
                <w:rFonts w:ascii="Lato" w:hAnsi="Lato"/>
                <w:sz w:val="22"/>
                <w:szCs w:val="22"/>
                <w:lang w:val="en-IE"/>
              </w:rPr>
            </w:pPr>
          </w:p>
        </w:tc>
        <w:tc>
          <w:tcPr>
            <w:tcW w:w="1058" w:type="dxa"/>
            <w:gridSpan w:val="2"/>
          </w:tcPr>
          <w:p w14:paraId="6F2BC295" w14:textId="77777777" w:rsidR="00E0074D" w:rsidRPr="001362A6" w:rsidRDefault="00E0074D">
            <w:pPr>
              <w:rPr>
                <w:rFonts w:ascii="Lato" w:hAnsi="Lato"/>
                <w:sz w:val="22"/>
                <w:szCs w:val="22"/>
                <w:lang w:val="en-IE"/>
              </w:rPr>
            </w:pPr>
          </w:p>
        </w:tc>
      </w:tr>
      <w:tr w:rsidR="00E0074D" w:rsidRPr="001362A6" w14:paraId="38E68AD4" w14:textId="77777777" w:rsidTr="00A34B20">
        <w:tc>
          <w:tcPr>
            <w:tcW w:w="2443" w:type="dxa"/>
            <w:gridSpan w:val="5"/>
            <w:tcBorders>
              <w:right w:val="single" w:sz="4" w:space="0" w:color="auto"/>
            </w:tcBorders>
          </w:tcPr>
          <w:p w14:paraId="096716F0" w14:textId="77777777" w:rsidR="00E0074D" w:rsidRPr="001362A6" w:rsidRDefault="00E0074D">
            <w:pPr>
              <w:rPr>
                <w:rFonts w:ascii="Lato" w:hAnsi="Lato"/>
                <w:sz w:val="22"/>
                <w:szCs w:val="22"/>
                <w:lang w:val="en-IE"/>
              </w:rPr>
            </w:pPr>
          </w:p>
        </w:tc>
        <w:tc>
          <w:tcPr>
            <w:tcW w:w="6774" w:type="dxa"/>
            <w:tcBorders>
              <w:left w:val="single" w:sz="4" w:space="0" w:color="auto"/>
              <w:right w:val="single" w:sz="4" w:space="0" w:color="auto"/>
            </w:tcBorders>
          </w:tcPr>
          <w:p w14:paraId="52E7BBD8" w14:textId="77777777" w:rsidR="00E0074D" w:rsidRPr="001362A6" w:rsidRDefault="00E0074D">
            <w:pPr>
              <w:rPr>
                <w:rFonts w:ascii="Lato" w:hAnsi="Lato"/>
                <w:sz w:val="22"/>
                <w:szCs w:val="22"/>
                <w:lang w:val="en-IE"/>
              </w:rPr>
            </w:pPr>
          </w:p>
        </w:tc>
        <w:tc>
          <w:tcPr>
            <w:tcW w:w="345" w:type="dxa"/>
            <w:gridSpan w:val="2"/>
          </w:tcPr>
          <w:p w14:paraId="1F1E3253" w14:textId="77777777" w:rsidR="00E0074D" w:rsidRPr="001362A6" w:rsidRDefault="00E0074D">
            <w:pPr>
              <w:rPr>
                <w:rFonts w:ascii="Lato" w:hAnsi="Lato"/>
                <w:sz w:val="22"/>
                <w:szCs w:val="22"/>
                <w:lang w:val="en-IE"/>
              </w:rPr>
            </w:pPr>
          </w:p>
        </w:tc>
        <w:tc>
          <w:tcPr>
            <w:tcW w:w="1058" w:type="dxa"/>
            <w:gridSpan w:val="2"/>
          </w:tcPr>
          <w:p w14:paraId="647D605C" w14:textId="77777777" w:rsidR="00E0074D" w:rsidRPr="001362A6" w:rsidRDefault="00E0074D">
            <w:pPr>
              <w:rPr>
                <w:rFonts w:ascii="Lato" w:hAnsi="Lato"/>
                <w:sz w:val="22"/>
                <w:szCs w:val="22"/>
                <w:lang w:val="en-IE"/>
              </w:rPr>
            </w:pPr>
          </w:p>
        </w:tc>
      </w:tr>
      <w:tr w:rsidR="00E0074D" w:rsidRPr="001362A6" w14:paraId="7A9AC73B" w14:textId="77777777" w:rsidTr="00A34B20">
        <w:tc>
          <w:tcPr>
            <w:tcW w:w="2443" w:type="dxa"/>
            <w:gridSpan w:val="5"/>
            <w:tcBorders>
              <w:right w:val="single" w:sz="4" w:space="0" w:color="auto"/>
            </w:tcBorders>
          </w:tcPr>
          <w:p w14:paraId="7F68C5F2" w14:textId="77777777" w:rsidR="00E0074D" w:rsidRPr="001362A6" w:rsidRDefault="00E0074D">
            <w:pPr>
              <w:rPr>
                <w:rFonts w:ascii="Lato" w:hAnsi="Lato"/>
                <w:sz w:val="22"/>
                <w:szCs w:val="22"/>
                <w:lang w:val="en-IE"/>
              </w:rPr>
            </w:pPr>
          </w:p>
        </w:tc>
        <w:tc>
          <w:tcPr>
            <w:tcW w:w="6774" w:type="dxa"/>
            <w:tcBorders>
              <w:left w:val="single" w:sz="4" w:space="0" w:color="auto"/>
              <w:bottom w:val="single" w:sz="4" w:space="0" w:color="auto"/>
              <w:right w:val="single" w:sz="4" w:space="0" w:color="auto"/>
            </w:tcBorders>
          </w:tcPr>
          <w:p w14:paraId="717EDA6F" w14:textId="77777777" w:rsidR="00E0074D" w:rsidRPr="001362A6" w:rsidRDefault="00E0074D">
            <w:pPr>
              <w:rPr>
                <w:rFonts w:ascii="Lato" w:hAnsi="Lato"/>
                <w:sz w:val="22"/>
                <w:szCs w:val="22"/>
                <w:lang w:val="en-IE"/>
              </w:rPr>
            </w:pPr>
          </w:p>
        </w:tc>
        <w:tc>
          <w:tcPr>
            <w:tcW w:w="345" w:type="dxa"/>
            <w:gridSpan w:val="2"/>
          </w:tcPr>
          <w:p w14:paraId="2A8EC88A" w14:textId="77777777" w:rsidR="00E0074D" w:rsidRPr="001362A6" w:rsidRDefault="00E0074D">
            <w:pPr>
              <w:rPr>
                <w:rFonts w:ascii="Lato" w:hAnsi="Lato"/>
                <w:sz w:val="22"/>
                <w:szCs w:val="22"/>
                <w:lang w:val="en-IE"/>
              </w:rPr>
            </w:pPr>
          </w:p>
        </w:tc>
        <w:tc>
          <w:tcPr>
            <w:tcW w:w="1058" w:type="dxa"/>
            <w:gridSpan w:val="2"/>
          </w:tcPr>
          <w:p w14:paraId="42B0257B" w14:textId="77777777" w:rsidR="00E0074D" w:rsidRPr="001362A6" w:rsidRDefault="00E0074D">
            <w:pPr>
              <w:rPr>
                <w:rFonts w:ascii="Lato" w:hAnsi="Lato"/>
                <w:sz w:val="22"/>
                <w:szCs w:val="22"/>
                <w:lang w:val="en-IE"/>
              </w:rPr>
            </w:pPr>
          </w:p>
        </w:tc>
      </w:tr>
      <w:tr w:rsidR="00E0074D" w:rsidRPr="001362A6" w14:paraId="62524224" w14:textId="77777777" w:rsidTr="00A34B20">
        <w:tc>
          <w:tcPr>
            <w:tcW w:w="2443" w:type="dxa"/>
            <w:gridSpan w:val="5"/>
            <w:tcBorders>
              <w:right w:val="single" w:sz="4" w:space="0" w:color="auto"/>
            </w:tcBorders>
          </w:tcPr>
          <w:p w14:paraId="1EDA23B0" w14:textId="77777777" w:rsidR="00E0074D" w:rsidRPr="001362A6" w:rsidRDefault="00E0074D">
            <w:pPr>
              <w:rPr>
                <w:rFonts w:ascii="Lato" w:hAnsi="Lato"/>
                <w:sz w:val="22"/>
                <w:szCs w:val="22"/>
                <w:lang w:val="en-IE"/>
              </w:rPr>
            </w:pPr>
          </w:p>
        </w:tc>
        <w:tc>
          <w:tcPr>
            <w:tcW w:w="6774" w:type="dxa"/>
            <w:tcBorders>
              <w:top w:val="single" w:sz="4" w:space="0" w:color="auto"/>
              <w:left w:val="single" w:sz="4" w:space="0" w:color="auto"/>
              <w:right w:val="single" w:sz="4" w:space="0" w:color="auto"/>
            </w:tcBorders>
          </w:tcPr>
          <w:p w14:paraId="3197D727" w14:textId="77777777" w:rsidR="00E0074D" w:rsidRPr="001362A6" w:rsidRDefault="00E0074D">
            <w:pPr>
              <w:rPr>
                <w:rFonts w:ascii="Lato" w:hAnsi="Lato"/>
                <w:sz w:val="22"/>
                <w:szCs w:val="22"/>
                <w:lang w:val="en-IE"/>
              </w:rPr>
            </w:pPr>
          </w:p>
        </w:tc>
        <w:tc>
          <w:tcPr>
            <w:tcW w:w="345" w:type="dxa"/>
            <w:gridSpan w:val="2"/>
          </w:tcPr>
          <w:p w14:paraId="2925C032" w14:textId="77777777" w:rsidR="00E0074D" w:rsidRPr="001362A6" w:rsidRDefault="00E0074D">
            <w:pPr>
              <w:rPr>
                <w:rFonts w:ascii="Lato" w:hAnsi="Lato"/>
                <w:sz w:val="22"/>
                <w:szCs w:val="22"/>
                <w:lang w:val="en-IE"/>
              </w:rPr>
            </w:pPr>
          </w:p>
        </w:tc>
        <w:tc>
          <w:tcPr>
            <w:tcW w:w="1058" w:type="dxa"/>
            <w:gridSpan w:val="2"/>
          </w:tcPr>
          <w:p w14:paraId="284B0D84" w14:textId="77777777" w:rsidR="00E0074D" w:rsidRPr="001362A6" w:rsidRDefault="00E0074D">
            <w:pPr>
              <w:rPr>
                <w:rFonts w:ascii="Lato" w:hAnsi="Lato"/>
                <w:sz w:val="22"/>
                <w:szCs w:val="22"/>
                <w:lang w:val="en-IE"/>
              </w:rPr>
            </w:pPr>
          </w:p>
        </w:tc>
      </w:tr>
      <w:tr w:rsidR="00E0074D" w:rsidRPr="001362A6" w14:paraId="13D51AB9" w14:textId="77777777" w:rsidTr="00A34B20">
        <w:tc>
          <w:tcPr>
            <w:tcW w:w="2443" w:type="dxa"/>
            <w:gridSpan w:val="5"/>
            <w:tcBorders>
              <w:right w:val="single" w:sz="4" w:space="0" w:color="auto"/>
            </w:tcBorders>
          </w:tcPr>
          <w:p w14:paraId="08C039F8" w14:textId="77777777" w:rsidR="00E0074D" w:rsidRPr="001362A6" w:rsidRDefault="00923002" w:rsidP="00A34B20">
            <w:pPr>
              <w:rPr>
                <w:rFonts w:ascii="Lato" w:hAnsi="Lato"/>
                <w:sz w:val="22"/>
                <w:szCs w:val="22"/>
                <w:lang w:val="en-IE"/>
              </w:rPr>
            </w:pPr>
            <w:r w:rsidRPr="001362A6">
              <w:rPr>
                <w:rFonts w:ascii="Lato" w:hAnsi="Lato"/>
                <w:sz w:val="22"/>
                <w:szCs w:val="22"/>
                <w:lang w:val="en-IE"/>
              </w:rPr>
              <w:t xml:space="preserve">Any third party </w:t>
            </w:r>
          </w:p>
        </w:tc>
        <w:tc>
          <w:tcPr>
            <w:tcW w:w="6774" w:type="dxa"/>
            <w:tcBorders>
              <w:left w:val="single" w:sz="4" w:space="0" w:color="auto"/>
              <w:right w:val="single" w:sz="4" w:space="0" w:color="auto"/>
            </w:tcBorders>
          </w:tcPr>
          <w:p w14:paraId="517C9F3B" w14:textId="77777777" w:rsidR="00E0074D" w:rsidRPr="001362A6" w:rsidRDefault="00E0074D">
            <w:pPr>
              <w:rPr>
                <w:rFonts w:ascii="Lato" w:hAnsi="Lato"/>
                <w:sz w:val="22"/>
                <w:szCs w:val="22"/>
                <w:lang w:val="en-IE"/>
              </w:rPr>
            </w:pPr>
          </w:p>
        </w:tc>
        <w:tc>
          <w:tcPr>
            <w:tcW w:w="345" w:type="dxa"/>
            <w:gridSpan w:val="2"/>
          </w:tcPr>
          <w:p w14:paraId="34F586DB" w14:textId="77777777" w:rsidR="00E0074D" w:rsidRPr="001362A6" w:rsidRDefault="00E0074D">
            <w:pPr>
              <w:rPr>
                <w:rFonts w:ascii="Lato" w:hAnsi="Lato"/>
                <w:sz w:val="22"/>
                <w:szCs w:val="22"/>
                <w:lang w:val="en-IE"/>
              </w:rPr>
            </w:pPr>
          </w:p>
        </w:tc>
        <w:tc>
          <w:tcPr>
            <w:tcW w:w="1058" w:type="dxa"/>
            <w:gridSpan w:val="2"/>
          </w:tcPr>
          <w:p w14:paraId="4A435307" w14:textId="77777777" w:rsidR="00E0074D" w:rsidRPr="001362A6" w:rsidRDefault="00E0074D">
            <w:pPr>
              <w:rPr>
                <w:rFonts w:ascii="Lato" w:hAnsi="Lato"/>
                <w:sz w:val="22"/>
                <w:szCs w:val="22"/>
                <w:lang w:val="en-IE"/>
              </w:rPr>
            </w:pPr>
          </w:p>
        </w:tc>
      </w:tr>
      <w:tr w:rsidR="00E0074D" w:rsidRPr="001362A6" w14:paraId="6F6A3FF7" w14:textId="77777777" w:rsidTr="00A34B20">
        <w:tc>
          <w:tcPr>
            <w:tcW w:w="2443" w:type="dxa"/>
            <w:gridSpan w:val="5"/>
            <w:tcBorders>
              <w:right w:val="single" w:sz="4" w:space="0" w:color="auto"/>
            </w:tcBorders>
          </w:tcPr>
          <w:p w14:paraId="716EE340" w14:textId="77777777" w:rsidR="00E0074D" w:rsidRPr="001362A6" w:rsidRDefault="00923002" w:rsidP="00A34B20">
            <w:pPr>
              <w:rPr>
                <w:rFonts w:ascii="Lato" w:hAnsi="Lato"/>
                <w:sz w:val="22"/>
                <w:szCs w:val="22"/>
                <w:lang w:val="en-IE"/>
              </w:rPr>
            </w:pPr>
            <w:r w:rsidRPr="001362A6">
              <w:rPr>
                <w:rFonts w:ascii="Lato" w:hAnsi="Lato"/>
                <w:sz w:val="22"/>
                <w:szCs w:val="22"/>
                <w:lang w:val="en-IE"/>
              </w:rPr>
              <w:t xml:space="preserve">contracted by the </w:t>
            </w:r>
          </w:p>
        </w:tc>
        <w:tc>
          <w:tcPr>
            <w:tcW w:w="6774" w:type="dxa"/>
            <w:tcBorders>
              <w:left w:val="single" w:sz="4" w:space="0" w:color="auto"/>
              <w:right w:val="single" w:sz="4" w:space="0" w:color="auto"/>
            </w:tcBorders>
          </w:tcPr>
          <w:p w14:paraId="4611095B" w14:textId="77777777" w:rsidR="00E0074D" w:rsidRPr="001362A6" w:rsidRDefault="00E0074D">
            <w:pPr>
              <w:rPr>
                <w:rFonts w:ascii="Lato" w:hAnsi="Lato"/>
                <w:sz w:val="22"/>
                <w:szCs w:val="22"/>
                <w:lang w:val="en-IE"/>
              </w:rPr>
            </w:pPr>
          </w:p>
        </w:tc>
        <w:tc>
          <w:tcPr>
            <w:tcW w:w="345" w:type="dxa"/>
            <w:gridSpan w:val="2"/>
          </w:tcPr>
          <w:p w14:paraId="16A0D2AF" w14:textId="77777777" w:rsidR="00E0074D" w:rsidRPr="001362A6" w:rsidRDefault="00E0074D">
            <w:pPr>
              <w:rPr>
                <w:rFonts w:ascii="Lato" w:hAnsi="Lato"/>
                <w:sz w:val="22"/>
                <w:szCs w:val="22"/>
                <w:lang w:val="en-IE"/>
              </w:rPr>
            </w:pPr>
          </w:p>
        </w:tc>
        <w:tc>
          <w:tcPr>
            <w:tcW w:w="1058" w:type="dxa"/>
            <w:gridSpan w:val="2"/>
          </w:tcPr>
          <w:p w14:paraId="32BF4942" w14:textId="77777777" w:rsidR="00E0074D" w:rsidRPr="001362A6" w:rsidRDefault="00E0074D">
            <w:pPr>
              <w:rPr>
                <w:rFonts w:ascii="Lato" w:hAnsi="Lato"/>
                <w:sz w:val="22"/>
                <w:szCs w:val="22"/>
                <w:lang w:val="en-IE"/>
              </w:rPr>
            </w:pPr>
          </w:p>
        </w:tc>
      </w:tr>
      <w:tr w:rsidR="00E0074D" w:rsidRPr="001362A6" w14:paraId="47AD5E0C" w14:textId="77777777" w:rsidTr="00A34B20">
        <w:tc>
          <w:tcPr>
            <w:tcW w:w="2443" w:type="dxa"/>
            <w:gridSpan w:val="5"/>
            <w:tcBorders>
              <w:right w:val="single" w:sz="4" w:space="0" w:color="auto"/>
            </w:tcBorders>
          </w:tcPr>
          <w:p w14:paraId="5A24E283" w14:textId="77777777" w:rsidR="00E0074D" w:rsidRPr="001362A6" w:rsidRDefault="00923002" w:rsidP="000176CB">
            <w:pPr>
              <w:rPr>
                <w:rFonts w:ascii="Lato" w:hAnsi="Lato"/>
                <w:sz w:val="22"/>
                <w:szCs w:val="22"/>
                <w:lang w:val="en-IE"/>
              </w:rPr>
            </w:pPr>
            <w:r w:rsidRPr="001362A6">
              <w:rPr>
                <w:rFonts w:ascii="Lato" w:hAnsi="Lato"/>
                <w:sz w:val="22"/>
                <w:szCs w:val="22"/>
                <w:lang w:val="en-IE"/>
              </w:rPr>
              <w:t>Q</w:t>
            </w:r>
            <w:r w:rsidR="00051D4B" w:rsidRPr="001362A6">
              <w:rPr>
                <w:rFonts w:ascii="Lato" w:hAnsi="Lato"/>
                <w:sz w:val="22"/>
                <w:szCs w:val="22"/>
                <w:lang w:val="en-IE"/>
              </w:rPr>
              <w:t>ualif</w:t>
            </w:r>
            <w:r w:rsidR="000176CB" w:rsidRPr="001362A6">
              <w:rPr>
                <w:rFonts w:ascii="Lato" w:hAnsi="Lato"/>
                <w:sz w:val="22"/>
                <w:szCs w:val="22"/>
                <w:lang w:val="en-IE"/>
              </w:rPr>
              <w:t>y</w:t>
            </w:r>
            <w:r w:rsidR="00051D4B" w:rsidRPr="001362A6">
              <w:rPr>
                <w:rFonts w:ascii="Lato" w:hAnsi="Lato"/>
                <w:sz w:val="22"/>
                <w:szCs w:val="22"/>
                <w:lang w:val="en-IE"/>
              </w:rPr>
              <w:t>in</w:t>
            </w:r>
            <w:r w:rsidR="000176CB" w:rsidRPr="001362A6">
              <w:rPr>
                <w:rFonts w:ascii="Lato" w:hAnsi="Lato"/>
                <w:sz w:val="22"/>
                <w:szCs w:val="22"/>
                <w:lang w:val="en-IE"/>
              </w:rPr>
              <w:t>g</w:t>
            </w:r>
            <w:r w:rsidR="00051D4B" w:rsidRPr="001362A6">
              <w:rPr>
                <w:rFonts w:ascii="Lato" w:hAnsi="Lato"/>
                <w:sz w:val="22"/>
                <w:szCs w:val="22"/>
                <w:lang w:val="en-IE"/>
              </w:rPr>
              <w:t xml:space="preserve"> </w:t>
            </w:r>
            <w:r w:rsidRPr="001362A6">
              <w:rPr>
                <w:rFonts w:ascii="Lato" w:hAnsi="Lato"/>
                <w:sz w:val="22"/>
                <w:szCs w:val="22"/>
                <w:lang w:val="en-IE"/>
              </w:rPr>
              <w:t>I</w:t>
            </w:r>
            <w:r w:rsidR="000176CB" w:rsidRPr="001362A6">
              <w:rPr>
                <w:rFonts w:ascii="Lato" w:hAnsi="Lato"/>
                <w:sz w:val="22"/>
                <w:szCs w:val="22"/>
                <w:lang w:val="en-IE"/>
              </w:rPr>
              <w:t>n</w:t>
            </w:r>
            <w:r w:rsidR="00051D4B" w:rsidRPr="001362A6">
              <w:rPr>
                <w:rFonts w:ascii="Lato" w:hAnsi="Lato"/>
                <w:sz w:val="22"/>
                <w:szCs w:val="22"/>
                <w:lang w:val="en-IE"/>
              </w:rPr>
              <w:t xml:space="preserve">vestor </w:t>
            </w:r>
            <w:r w:rsidRPr="001362A6">
              <w:rPr>
                <w:rFonts w:ascii="Lato" w:hAnsi="Lato"/>
                <w:sz w:val="22"/>
                <w:szCs w:val="22"/>
                <w:lang w:val="en-IE"/>
              </w:rPr>
              <w:t xml:space="preserve">AIF </w:t>
            </w:r>
            <w:r w:rsidR="0076316F" w:rsidRPr="001362A6">
              <w:rPr>
                <w:rFonts w:ascii="Lato" w:hAnsi="Lato"/>
                <w:sz w:val="22"/>
                <w:szCs w:val="22"/>
                <w:lang w:val="en-IE"/>
              </w:rPr>
              <w:t xml:space="preserve">or </w:t>
            </w:r>
            <w:r w:rsidR="00A34B20" w:rsidRPr="001362A6">
              <w:rPr>
                <w:rFonts w:ascii="Lato" w:hAnsi="Lato"/>
                <w:sz w:val="22"/>
                <w:szCs w:val="22"/>
                <w:lang w:val="en-IE"/>
              </w:rPr>
              <w:t>Management</w:t>
            </w:r>
            <w:r w:rsidR="0076316F" w:rsidRPr="001362A6">
              <w:rPr>
                <w:rFonts w:ascii="Lato" w:hAnsi="Lato"/>
                <w:sz w:val="22"/>
                <w:szCs w:val="22"/>
                <w:lang w:val="en-IE"/>
              </w:rPr>
              <w:t xml:space="preserve"> Company acting for the Q</w:t>
            </w:r>
            <w:r w:rsidR="00051D4B" w:rsidRPr="001362A6">
              <w:rPr>
                <w:rFonts w:ascii="Lato" w:hAnsi="Lato"/>
                <w:sz w:val="22"/>
                <w:szCs w:val="22"/>
                <w:lang w:val="en-IE"/>
              </w:rPr>
              <w:t xml:space="preserve">ualifying </w:t>
            </w:r>
            <w:r w:rsidR="0076316F" w:rsidRPr="001362A6">
              <w:rPr>
                <w:rFonts w:ascii="Lato" w:hAnsi="Lato"/>
                <w:sz w:val="22"/>
                <w:szCs w:val="22"/>
                <w:lang w:val="en-IE"/>
              </w:rPr>
              <w:t>I</w:t>
            </w:r>
            <w:r w:rsidR="00051D4B" w:rsidRPr="001362A6">
              <w:rPr>
                <w:rFonts w:ascii="Lato" w:hAnsi="Lato"/>
                <w:sz w:val="22"/>
                <w:szCs w:val="22"/>
                <w:lang w:val="en-IE"/>
              </w:rPr>
              <w:t>nvestor</w:t>
            </w:r>
            <w:r w:rsidR="0076316F" w:rsidRPr="001362A6">
              <w:rPr>
                <w:rFonts w:ascii="Lato" w:hAnsi="Lato"/>
                <w:sz w:val="22"/>
                <w:szCs w:val="22"/>
                <w:lang w:val="en-IE"/>
              </w:rPr>
              <w:t xml:space="preserve">AIF </w:t>
            </w:r>
            <w:r w:rsidRPr="001362A6">
              <w:rPr>
                <w:rFonts w:ascii="Lato" w:hAnsi="Lato"/>
                <w:sz w:val="22"/>
                <w:szCs w:val="22"/>
                <w:lang w:val="en-IE"/>
              </w:rPr>
              <w:t xml:space="preserve">to carry </w:t>
            </w:r>
            <w:r w:rsidR="0042571B" w:rsidRPr="001362A6">
              <w:rPr>
                <w:rFonts w:ascii="Lato" w:hAnsi="Lato"/>
                <w:sz w:val="22"/>
                <w:szCs w:val="22"/>
                <w:lang w:val="en-IE"/>
              </w:rPr>
              <w:t>out its work</w:t>
            </w:r>
          </w:p>
        </w:tc>
        <w:tc>
          <w:tcPr>
            <w:tcW w:w="6774" w:type="dxa"/>
            <w:tcBorders>
              <w:left w:val="single" w:sz="4" w:space="0" w:color="auto"/>
              <w:right w:val="single" w:sz="4" w:space="0" w:color="auto"/>
            </w:tcBorders>
          </w:tcPr>
          <w:p w14:paraId="54129820" w14:textId="77777777" w:rsidR="00E0074D" w:rsidRPr="001362A6" w:rsidRDefault="00E0074D">
            <w:pPr>
              <w:rPr>
                <w:rFonts w:ascii="Lato" w:hAnsi="Lato"/>
                <w:sz w:val="22"/>
                <w:szCs w:val="22"/>
                <w:lang w:val="en-IE"/>
              </w:rPr>
            </w:pPr>
          </w:p>
        </w:tc>
        <w:tc>
          <w:tcPr>
            <w:tcW w:w="345" w:type="dxa"/>
            <w:gridSpan w:val="2"/>
          </w:tcPr>
          <w:p w14:paraId="6862E9FA" w14:textId="77777777" w:rsidR="00E0074D" w:rsidRPr="001362A6" w:rsidRDefault="00E0074D">
            <w:pPr>
              <w:rPr>
                <w:rFonts w:ascii="Lato" w:hAnsi="Lato"/>
                <w:sz w:val="22"/>
                <w:szCs w:val="22"/>
                <w:lang w:val="en-IE"/>
              </w:rPr>
            </w:pPr>
          </w:p>
        </w:tc>
        <w:tc>
          <w:tcPr>
            <w:tcW w:w="1058" w:type="dxa"/>
            <w:gridSpan w:val="2"/>
          </w:tcPr>
          <w:p w14:paraId="35B6FA4E" w14:textId="77777777" w:rsidR="00E0074D" w:rsidRPr="001362A6" w:rsidRDefault="00E0074D">
            <w:pPr>
              <w:rPr>
                <w:rFonts w:ascii="Lato" w:hAnsi="Lato"/>
                <w:sz w:val="22"/>
                <w:szCs w:val="22"/>
                <w:lang w:val="en-IE"/>
              </w:rPr>
            </w:pPr>
          </w:p>
        </w:tc>
      </w:tr>
      <w:tr w:rsidR="00E0074D" w:rsidRPr="001362A6" w14:paraId="2E1DDF54" w14:textId="77777777" w:rsidTr="00A34B20">
        <w:tc>
          <w:tcPr>
            <w:tcW w:w="2443" w:type="dxa"/>
            <w:gridSpan w:val="5"/>
            <w:tcBorders>
              <w:right w:val="single" w:sz="4" w:space="0" w:color="auto"/>
            </w:tcBorders>
          </w:tcPr>
          <w:p w14:paraId="60FDD8C9" w14:textId="77777777" w:rsidR="00E0074D" w:rsidRPr="001362A6" w:rsidRDefault="00E0074D">
            <w:pPr>
              <w:rPr>
                <w:rFonts w:ascii="Lato" w:hAnsi="Lato"/>
                <w:sz w:val="22"/>
                <w:szCs w:val="22"/>
                <w:lang w:val="en-IE"/>
              </w:rPr>
            </w:pPr>
          </w:p>
        </w:tc>
        <w:tc>
          <w:tcPr>
            <w:tcW w:w="6774" w:type="dxa"/>
            <w:tcBorders>
              <w:left w:val="single" w:sz="4" w:space="0" w:color="auto"/>
              <w:bottom w:val="single" w:sz="4" w:space="0" w:color="auto"/>
              <w:right w:val="single" w:sz="4" w:space="0" w:color="auto"/>
            </w:tcBorders>
          </w:tcPr>
          <w:p w14:paraId="05727C7A" w14:textId="77777777" w:rsidR="00E0074D" w:rsidRPr="001362A6" w:rsidRDefault="00E0074D">
            <w:pPr>
              <w:rPr>
                <w:rFonts w:ascii="Lato" w:hAnsi="Lato"/>
                <w:sz w:val="22"/>
                <w:szCs w:val="22"/>
                <w:lang w:val="en-IE"/>
              </w:rPr>
            </w:pPr>
          </w:p>
        </w:tc>
        <w:tc>
          <w:tcPr>
            <w:tcW w:w="345" w:type="dxa"/>
            <w:gridSpan w:val="2"/>
          </w:tcPr>
          <w:p w14:paraId="141E058D" w14:textId="77777777" w:rsidR="00E0074D" w:rsidRPr="001362A6" w:rsidRDefault="00E0074D">
            <w:pPr>
              <w:rPr>
                <w:rFonts w:ascii="Lato" w:hAnsi="Lato"/>
                <w:sz w:val="22"/>
                <w:szCs w:val="22"/>
                <w:lang w:val="en-IE"/>
              </w:rPr>
            </w:pPr>
          </w:p>
        </w:tc>
        <w:tc>
          <w:tcPr>
            <w:tcW w:w="1058" w:type="dxa"/>
            <w:gridSpan w:val="2"/>
          </w:tcPr>
          <w:p w14:paraId="5EC7B2A9" w14:textId="77777777" w:rsidR="00E0074D" w:rsidRPr="001362A6" w:rsidRDefault="00E0074D">
            <w:pPr>
              <w:rPr>
                <w:rFonts w:ascii="Lato" w:hAnsi="Lato"/>
                <w:sz w:val="22"/>
                <w:szCs w:val="22"/>
                <w:lang w:val="en-IE"/>
              </w:rPr>
            </w:pPr>
          </w:p>
        </w:tc>
      </w:tr>
      <w:tr w:rsidR="00E0074D" w:rsidRPr="001362A6" w14:paraId="0AF88173" w14:textId="77777777" w:rsidTr="00A34B20">
        <w:tc>
          <w:tcPr>
            <w:tcW w:w="2443" w:type="dxa"/>
            <w:gridSpan w:val="5"/>
            <w:tcBorders>
              <w:right w:val="single" w:sz="4" w:space="0" w:color="auto"/>
            </w:tcBorders>
          </w:tcPr>
          <w:p w14:paraId="4B0D5C80" w14:textId="77777777" w:rsidR="00E0074D" w:rsidRPr="001362A6" w:rsidRDefault="00E0074D">
            <w:pPr>
              <w:rPr>
                <w:rFonts w:ascii="Lato" w:hAnsi="Lato"/>
                <w:sz w:val="22"/>
                <w:szCs w:val="22"/>
                <w:lang w:val="en-IE"/>
              </w:rPr>
            </w:pPr>
          </w:p>
        </w:tc>
        <w:tc>
          <w:tcPr>
            <w:tcW w:w="6774" w:type="dxa"/>
            <w:tcBorders>
              <w:top w:val="single" w:sz="4" w:space="0" w:color="auto"/>
              <w:left w:val="single" w:sz="4" w:space="0" w:color="auto"/>
              <w:right w:val="single" w:sz="4" w:space="0" w:color="auto"/>
            </w:tcBorders>
          </w:tcPr>
          <w:p w14:paraId="5AA2832C" w14:textId="77777777" w:rsidR="00E0074D" w:rsidRPr="001362A6" w:rsidRDefault="00E0074D">
            <w:pPr>
              <w:rPr>
                <w:rFonts w:ascii="Lato" w:hAnsi="Lato"/>
                <w:sz w:val="22"/>
                <w:szCs w:val="22"/>
                <w:lang w:val="en-IE"/>
              </w:rPr>
            </w:pPr>
          </w:p>
        </w:tc>
        <w:tc>
          <w:tcPr>
            <w:tcW w:w="345" w:type="dxa"/>
            <w:gridSpan w:val="2"/>
          </w:tcPr>
          <w:p w14:paraId="278F25AC" w14:textId="77777777" w:rsidR="00E0074D" w:rsidRPr="001362A6" w:rsidRDefault="00E0074D">
            <w:pPr>
              <w:rPr>
                <w:rFonts w:ascii="Lato" w:hAnsi="Lato"/>
                <w:sz w:val="22"/>
                <w:szCs w:val="22"/>
                <w:lang w:val="en-IE"/>
              </w:rPr>
            </w:pPr>
          </w:p>
        </w:tc>
        <w:tc>
          <w:tcPr>
            <w:tcW w:w="1058" w:type="dxa"/>
            <w:gridSpan w:val="2"/>
          </w:tcPr>
          <w:p w14:paraId="39A50689" w14:textId="77777777" w:rsidR="00E0074D" w:rsidRPr="001362A6" w:rsidRDefault="00E0074D">
            <w:pPr>
              <w:rPr>
                <w:rFonts w:ascii="Lato" w:hAnsi="Lato"/>
                <w:sz w:val="22"/>
                <w:szCs w:val="22"/>
                <w:lang w:val="en-IE"/>
              </w:rPr>
            </w:pPr>
          </w:p>
        </w:tc>
      </w:tr>
      <w:tr w:rsidR="00E0074D" w:rsidRPr="001362A6" w14:paraId="53781342" w14:textId="77777777" w:rsidTr="00A34B20">
        <w:tc>
          <w:tcPr>
            <w:tcW w:w="2443" w:type="dxa"/>
            <w:gridSpan w:val="5"/>
            <w:tcBorders>
              <w:right w:val="single" w:sz="4" w:space="0" w:color="auto"/>
            </w:tcBorders>
          </w:tcPr>
          <w:p w14:paraId="7A8ADDC8" w14:textId="77777777" w:rsidR="00E0074D" w:rsidRPr="001362A6" w:rsidRDefault="00E0074D" w:rsidP="00A34B20">
            <w:pPr>
              <w:rPr>
                <w:rFonts w:ascii="Lato" w:hAnsi="Lato"/>
                <w:sz w:val="22"/>
                <w:szCs w:val="22"/>
                <w:lang w:val="en-IE"/>
              </w:rPr>
            </w:pPr>
            <w:r w:rsidRPr="001362A6">
              <w:rPr>
                <w:rFonts w:ascii="Lato" w:hAnsi="Lato"/>
                <w:sz w:val="22"/>
                <w:szCs w:val="22"/>
                <w:lang w:val="en-IE"/>
              </w:rPr>
              <w:t>Auditor</w:t>
            </w:r>
          </w:p>
        </w:tc>
        <w:tc>
          <w:tcPr>
            <w:tcW w:w="6774" w:type="dxa"/>
            <w:tcBorders>
              <w:left w:val="single" w:sz="4" w:space="0" w:color="auto"/>
              <w:right w:val="single" w:sz="4" w:space="0" w:color="auto"/>
            </w:tcBorders>
          </w:tcPr>
          <w:p w14:paraId="3C6B4D06" w14:textId="77777777" w:rsidR="00E0074D" w:rsidRPr="001362A6" w:rsidRDefault="00E0074D">
            <w:pPr>
              <w:rPr>
                <w:rFonts w:ascii="Lato" w:hAnsi="Lato"/>
                <w:sz w:val="22"/>
                <w:szCs w:val="22"/>
                <w:lang w:val="en-IE"/>
              </w:rPr>
            </w:pPr>
          </w:p>
        </w:tc>
        <w:tc>
          <w:tcPr>
            <w:tcW w:w="345" w:type="dxa"/>
            <w:gridSpan w:val="2"/>
          </w:tcPr>
          <w:p w14:paraId="7B76B352" w14:textId="77777777" w:rsidR="00E0074D" w:rsidRPr="001362A6" w:rsidRDefault="00E0074D">
            <w:pPr>
              <w:rPr>
                <w:rFonts w:ascii="Lato" w:hAnsi="Lato"/>
                <w:sz w:val="22"/>
                <w:szCs w:val="22"/>
                <w:lang w:val="en-IE"/>
              </w:rPr>
            </w:pPr>
          </w:p>
        </w:tc>
        <w:tc>
          <w:tcPr>
            <w:tcW w:w="1058" w:type="dxa"/>
            <w:gridSpan w:val="2"/>
          </w:tcPr>
          <w:p w14:paraId="13CA5052" w14:textId="77777777" w:rsidR="00E0074D" w:rsidRPr="001362A6" w:rsidRDefault="00E0074D">
            <w:pPr>
              <w:rPr>
                <w:rFonts w:ascii="Lato" w:hAnsi="Lato"/>
                <w:sz w:val="22"/>
                <w:szCs w:val="22"/>
                <w:lang w:val="en-IE"/>
              </w:rPr>
            </w:pPr>
          </w:p>
        </w:tc>
      </w:tr>
      <w:tr w:rsidR="00E0074D" w:rsidRPr="001362A6" w14:paraId="356B1579" w14:textId="77777777" w:rsidTr="00A34B20">
        <w:tc>
          <w:tcPr>
            <w:tcW w:w="2443" w:type="dxa"/>
            <w:gridSpan w:val="5"/>
            <w:tcBorders>
              <w:right w:val="single" w:sz="4" w:space="0" w:color="auto"/>
            </w:tcBorders>
          </w:tcPr>
          <w:p w14:paraId="4087B107" w14:textId="77777777" w:rsidR="00E0074D" w:rsidRPr="001362A6" w:rsidRDefault="00E0074D">
            <w:pPr>
              <w:rPr>
                <w:rFonts w:ascii="Lato" w:hAnsi="Lato"/>
                <w:sz w:val="22"/>
                <w:szCs w:val="22"/>
                <w:lang w:val="en-IE"/>
              </w:rPr>
            </w:pPr>
          </w:p>
        </w:tc>
        <w:tc>
          <w:tcPr>
            <w:tcW w:w="6774" w:type="dxa"/>
            <w:tcBorders>
              <w:left w:val="single" w:sz="4" w:space="0" w:color="auto"/>
              <w:right w:val="single" w:sz="4" w:space="0" w:color="auto"/>
            </w:tcBorders>
          </w:tcPr>
          <w:p w14:paraId="309F4285" w14:textId="77777777" w:rsidR="00E0074D" w:rsidRPr="001362A6" w:rsidRDefault="00E0074D">
            <w:pPr>
              <w:rPr>
                <w:rFonts w:ascii="Lato" w:hAnsi="Lato"/>
                <w:sz w:val="22"/>
                <w:szCs w:val="22"/>
                <w:lang w:val="en-IE"/>
              </w:rPr>
            </w:pPr>
          </w:p>
        </w:tc>
        <w:tc>
          <w:tcPr>
            <w:tcW w:w="345" w:type="dxa"/>
            <w:gridSpan w:val="2"/>
          </w:tcPr>
          <w:p w14:paraId="68C7AE26" w14:textId="77777777" w:rsidR="00E0074D" w:rsidRPr="001362A6" w:rsidRDefault="00E0074D">
            <w:pPr>
              <w:rPr>
                <w:rFonts w:ascii="Lato" w:hAnsi="Lato"/>
                <w:sz w:val="22"/>
                <w:szCs w:val="22"/>
                <w:lang w:val="en-IE"/>
              </w:rPr>
            </w:pPr>
          </w:p>
        </w:tc>
        <w:tc>
          <w:tcPr>
            <w:tcW w:w="1058" w:type="dxa"/>
            <w:gridSpan w:val="2"/>
          </w:tcPr>
          <w:p w14:paraId="4F70CCBC" w14:textId="77777777" w:rsidR="00E0074D" w:rsidRPr="001362A6" w:rsidRDefault="00E0074D">
            <w:pPr>
              <w:rPr>
                <w:rFonts w:ascii="Lato" w:hAnsi="Lato"/>
                <w:sz w:val="22"/>
                <w:szCs w:val="22"/>
                <w:lang w:val="en-IE"/>
              </w:rPr>
            </w:pPr>
          </w:p>
        </w:tc>
      </w:tr>
      <w:tr w:rsidR="00E0074D" w:rsidRPr="001362A6" w14:paraId="49E41838" w14:textId="77777777" w:rsidTr="00A34B20">
        <w:tc>
          <w:tcPr>
            <w:tcW w:w="2443" w:type="dxa"/>
            <w:gridSpan w:val="5"/>
            <w:tcBorders>
              <w:right w:val="single" w:sz="4" w:space="0" w:color="auto"/>
            </w:tcBorders>
          </w:tcPr>
          <w:p w14:paraId="6823A03E" w14:textId="77777777" w:rsidR="00E0074D" w:rsidRPr="001362A6" w:rsidRDefault="00E0074D">
            <w:pPr>
              <w:rPr>
                <w:rFonts w:ascii="Lato" w:hAnsi="Lato"/>
                <w:sz w:val="22"/>
                <w:szCs w:val="22"/>
                <w:lang w:val="en-IE"/>
              </w:rPr>
            </w:pPr>
          </w:p>
        </w:tc>
        <w:tc>
          <w:tcPr>
            <w:tcW w:w="6774" w:type="dxa"/>
            <w:tcBorders>
              <w:left w:val="single" w:sz="4" w:space="0" w:color="auto"/>
              <w:right w:val="single" w:sz="4" w:space="0" w:color="auto"/>
            </w:tcBorders>
          </w:tcPr>
          <w:p w14:paraId="39C749D5" w14:textId="77777777" w:rsidR="00E0074D" w:rsidRPr="001362A6" w:rsidRDefault="00E0074D">
            <w:pPr>
              <w:rPr>
                <w:rFonts w:ascii="Lato" w:hAnsi="Lato"/>
                <w:sz w:val="22"/>
                <w:szCs w:val="22"/>
                <w:lang w:val="en-IE"/>
              </w:rPr>
            </w:pPr>
          </w:p>
        </w:tc>
        <w:tc>
          <w:tcPr>
            <w:tcW w:w="345" w:type="dxa"/>
            <w:gridSpan w:val="2"/>
          </w:tcPr>
          <w:p w14:paraId="2D684C05" w14:textId="77777777" w:rsidR="00E0074D" w:rsidRPr="001362A6" w:rsidRDefault="00E0074D">
            <w:pPr>
              <w:rPr>
                <w:rFonts w:ascii="Lato" w:hAnsi="Lato"/>
                <w:sz w:val="22"/>
                <w:szCs w:val="22"/>
                <w:lang w:val="en-IE"/>
              </w:rPr>
            </w:pPr>
          </w:p>
        </w:tc>
        <w:tc>
          <w:tcPr>
            <w:tcW w:w="1058" w:type="dxa"/>
            <w:gridSpan w:val="2"/>
          </w:tcPr>
          <w:p w14:paraId="153914EA" w14:textId="77777777" w:rsidR="00E0074D" w:rsidRPr="001362A6" w:rsidRDefault="00E0074D">
            <w:pPr>
              <w:rPr>
                <w:rFonts w:ascii="Lato" w:hAnsi="Lato"/>
                <w:sz w:val="22"/>
                <w:szCs w:val="22"/>
                <w:lang w:val="en-IE"/>
              </w:rPr>
            </w:pPr>
          </w:p>
        </w:tc>
      </w:tr>
      <w:tr w:rsidR="00E0074D" w:rsidRPr="001362A6" w14:paraId="5FDDC23A" w14:textId="77777777" w:rsidTr="00A34B20">
        <w:tc>
          <w:tcPr>
            <w:tcW w:w="2443" w:type="dxa"/>
            <w:gridSpan w:val="5"/>
            <w:tcBorders>
              <w:right w:val="single" w:sz="4" w:space="0" w:color="auto"/>
            </w:tcBorders>
          </w:tcPr>
          <w:p w14:paraId="4E81F38F" w14:textId="77777777" w:rsidR="00E0074D" w:rsidRPr="001362A6" w:rsidRDefault="00E0074D">
            <w:pPr>
              <w:rPr>
                <w:rFonts w:ascii="Lato" w:hAnsi="Lato"/>
                <w:sz w:val="22"/>
                <w:szCs w:val="22"/>
                <w:lang w:val="en-IE"/>
              </w:rPr>
            </w:pPr>
          </w:p>
        </w:tc>
        <w:tc>
          <w:tcPr>
            <w:tcW w:w="6774" w:type="dxa"/>
            <w:tcBorders>
              <w:top w:val="single" w:sz="4" w:space="0" w:color="auto"/>
              <w:left w:val="single" w:sz="4" w:space="0" w:color="auto"/>
              <w:right w:val="single" w:sz="4" w:space="0" w:color="auto"/>
            </w:tcBorders>
          </w:tcPr>
          <w:p w14:paraId="6A699F45" w14:textId="77777777" w:rsidR="00E0074D" w:rsidRPr="001362A6" w:rsidRDefault="00E0074D">
            <w:pPr>
              <w:rPr>
                <w:rFonts w:ascii="Lato" w:hAnsi="Lato"/>
                <w:sz w:val="22"/>
                <w:szCs w:val="22"/>
                <w:lang w:val="en-IE"/>
              </w:rPr>
            </w:pPr>
          </w:p>
        </w:tc>
        <w:tc>
          <w:tcPr>
            <w:tcW w:w="345" w:type="dxa"/>
            <w:gridSpan w:val="2"/>
          </w:tcPr>
          <w:p w14:paraId="7110109A" w14:textId="77777777" w:rsidR="00E0074D" w:rsidRPr="001362A6" w:rsidRDefault="00E0074D">
            <w:pPr>
              <w:rPr>
                <w:rFonts w:ascii="Lato" w:hAnsi="Lato"/>
                <w:sz w:val="22"/>
                <w:szCs w:val="22"/>
                <w:lang w:val="en-IE"/>
              </w:rPr>
            </w:pPr>
          </w:p>
        </w:tc>
        <w:tc>
          <w:tcPr>
            <w:tcW w:w="1058" w:type="dxa"/>
            <w:gridSpan w:val="2"/>
          </w:tcPr>
          <w:p w14:paraId="1059CB6D" w14:textId="77777777" w:rsidR="00E0074D" w:rsidRPr="001362A6" w:rsidRDefault="00E0074D">
            <w:pPr>
              <w:rPr>
                <w:rFonts w:ascii="Lato" w:hAnsi="Lato"/>
                <w:sz w:val="22"/>
                <w:szCs w:val="22"/>
                <w:lang w:val="en-IE"/>
              </w:rPr>
            </w:pPr>
          </w:p>
        </w:tc>
      </w:tr>
      <w:tr w:rsidR="00E0074D" w:rsidRPr="001362A6" w14:paraId="3D5DBFE5" w14:textId="77777777" w:rsidTr="00A34B20">
        <w:tc>
          <w:tcPr>
            <w:tcW w:w="2443" w:type="dxa"/>
            <w:gridSpan w:val="5"/>
            <w:tcBorders>
              <w:right w:val="single" w:sz="4" w:space="0" w:color="auto"/>
            </w:tcBorders>
          </w:tcPr>
          <w:p w14:paraId="59711CA9" w14:textId="77777777" w:rsidR="00E0074D" w:rsidRPr="001362A6" w:rsidRDefault="00E0074D" w:rsidP="00A34B20">
            <w:pPr>
              <w:rPr>
                <w:rFonts w:ascii="Lato" w:hAnsi="Lato"/>
                <w:sz w:val="22"/>
                <w:szCs w:val="22"/>
                <w:lang w:val="en-IE"/>
              </w:rPr>
            </w:pPr>
            <w:r w:rsidRPr="001362A6">
              <w:rPr>
                <w:rFonts w:ascii="Lato" w:hAnsi="Lato"/>
                <w:sz w:val="22"/>
                <w:szCs w:val="22"/>
                <w:lang w:val="en-IE"/>
              </w:rPr>
              <w:t>Prime</w:t>
            </w:r>
          </w:p>
        </w:tc>
        <w:tc>
          <w:tcPr>
            <w:tcW w:w="6774" w:type="dxa"/>
            <w:tcBorders>
              <w:left w:val="single" w:sz="4" w:space="0" w:color="auto"/>
              <w:right w:val="single" w:sz="4" w:space="0" w:color="auto"/>
            </w:tcBorders>
          </w:tcPr>
          <w:p w14:paraId="63656751" w14:textId="77777777" w:rsidR="00E0074D" w:rsidRPr="001362A6" w:rsidRDefault="00E0074D">
            <w:pPr>
              <w:rPr>
                <w:rFonts w:ascii="Lato" w:hAnsi="Lato"/>
                <w:sz w:val="22"/>
                <w:szCs w:val="22"/>
                <w:highlight w:val="yellow"/>
                <w:lang w:val="en-IE"/>
              </w:rPr>
            </w:pPr>
          </w:p>
        </w:tc>
        <w:tc>
          <w:tcPr>
            <w:tcW w:w="345" w:type="dxa"/>
            <w:gridSpan w:val="2"/>
          </w:tcPr>
          <w:p w14:paraId="44398C28" w14:textId="77777777" w:rsidR="00E0074D" w:rsidRPr="001362A6" w:rsidRDefault="00E0074D">
            <w:pPr>
              <w:rPr>
                <w:rFonts w:ascii="Lato" w:hAnsi="Lato"/>
                <w:sz w:val="22"/>
                <w:szCs w:val="22"/>
                <w:highlight w:val="yellow"/>
                <w:lang w:val="en-IE"/>
              </w:rPr>
            </w:pPr>
          </w:p>
        </w:tc>
        <w:tc>
          <w:tcPr>
            <w:tcW w:w="1058" w:type="dxa"/>
            <w:gridSpan w:val="2"/>
          </w:tcPr>
          <w:p w14:paraId="6EC2AC6D" w14:textId="77777777" w:rsidR="00E0074D" w:rsidRPr="001362A6" w:rsidRDefault="00E0074D">
            <w:pPr>
              <w:rPr>
                <w:rFonts w:ascii="Lato" w:hAnsi="Lato"/>
                <w:sz w:val="22"/>
                <w:szCs w:val="22"/>
                <w:highlight w:val="yellow"/>
                <w:lang w:val="en-IE"/>
              </w:rPr>
            </w:pPr>
          </w:p>
        </w:tc>
      </w:tr>
      <w:tr w:rsidR="00E0074D" w:rsidRPr="001362A6" w14:paraId="22274527" w14:textId="77777777" w:rsidTr="00A34B20">
        <w:tc>
          <w:tcPr>
            <w:tcW w:w="2443" w:type="dxa"/>
            <w:gridSpan w:val="5"/>
            <w:tcBorders>
              <w:right w:val="single" w:sz="4" w:space="0" w:color="auto"/>
            </w:tcBorders>
          </w:tcPr>
          <w:p w14:paraId="5097760D" w14:textId="77777777" w:rsidR="00E0074D" w:rsidRPr="001362A6" w:rsidRDefault="00E0074D" w:rsidP="00A34B20">
            <w:pPr>
              <w:rPr>
                <w:rFonts w:ascii="Lato" w:hAnsi="Lato"/>
                <w:sz w:val="22"/>
                <w:szCs w:val="22"/>
                <w:lang w:val="en-IE"/>
              </w:rPr>
            </w:pPr>
            <w:r w:rsidRPr="001362A6">
              <w:rPr>
                <w:rFonts w:ascii="Lato" w:hAnsi="Lato"/>
                <w:sz w:val="22"/>
                <w:szCs w:val="22"/>
                <w:lang w:val="en-IE"/>
              </w:rPr>
              <w:t>Broker(s)</w:t>
            </w:r>
          </w:p>
        </w:tc>
        <w:tc>
          <w:tcPr>
            <w:tcW w:w="6774" w:type="dxa"/>
            <w:tcBorders>
              <w:left w:val="single" w:sz="4" w:space="0" w:color="auto"/>
              <w:right w:val="single" w:sz="4" w:space="0" w:color="auto"/>
            </w:tcBorders>
          </w:tcPr>
          <w:p w14:paraId="5D98C3F6" w14:textId="77777777" w:rsidR="00E0074D" w:rsidRPr="001362A6" w:rsidRDefault="00E0074D">
            <w:pPr>
              <w:rPr>
                <w:rFonts w:ascii="Lato" w:hAnsi="Lato"/>
                <w:sz w:val="22"/>
                <w:szCs w:val="22"/>
                <w:lang w:val="en-IE"/>
              </w:rPr>
            </w:pPr>
          </w:p>
        </w:tc>
        <w:tc>
          <w:tcPr>
            <w:tcW w:w="345" w:type="dxa"/>
            <w:gridSpan w:val="2"/>
          </w:tcPr>
          <w:p w14:paraId="48A29C25" w14:textId="77777777" w:rsidR="00E0074D" w:rsidRPr="001362A6" w:rsidRDefault="00E0074D">
            <w:pPr>
              <w:rPr>
                <w:rFonts w:ascii="Lato" w:hAnsi="Lato"/>
                <w:sz w:val="22"/>
                <w:szCs w:val="22"/>
                <w:lang w:val="en-IE"/>
              </w:rPr>
            </w:pPr>
          </w:p>
        </w:tc>
        <w:tc>
          <w:tcPr>
            <w:tcW w:w="1058" w:type="dxa"/>
            <w:gridSpan w:val="2"/>
          </w:tcPr>
          <w:p w14:paraId="214D00E0" w14:textId="77777777" w:rsidR="00E0074D" w:rsidRPr="001362A6" w:rsidRDefault="00E0074D">
            <w:pPr>
              <w:rPr>
                <w:rFonts w:ascii="Lato" w:hAnsi="Lato"/>
                <w:sz w:val="22"/>
                <w:szCs w:val="22"/>
                <w:lang w:val="en-IE"/>
              </w:rPr>
            </w:pPr>
          </w:p>
        </w:tc>
      </w:tr>
      <w:tr w:rsidR="00A16DE4" w:rsidRPr="001362A6" w14:paraId="1A0BD674" w14:textId="77777777" w:rsidTr="00A34B20">
        <w:tc>
          <w:tcPr>
            <w:tcW w:w="2443" w:type="dxa"/>
            <w:gridSpan w:val="5"/>
            <w:tcBorders>
              <w:right w:val="single" w:sz="4" w:space="0" w:color="auto"/>
            </w:tcBorders>
          </w:tcPr>
          <w:p w14:paraId="5794B059" w14:textId="77777777" w:rsidR="00A16DE4" w:rsidRPr="001362A6" w:rsidRDefault="00A16DE4">
            <w:pPr>
              <w:rPr>
                <w:rFonts w:ascii="Lato" w:hAnsi="Lato"/>
                <w:sz w:val="22"/>
                <w:szCs w:val="22"/>
                <w:lang w:val="en-IE"/>
              </w:rPr>
            </w:pPr>
          </w:p>
        </w:tc>
        <w:tc>
          <w:tcPr>
            <w:tcW w:w="6774" w:type="dxa"/>
            <w:tcBorders>
              <w:left w:val="single" w:sz="4" w:space="0" w:color="auto"/>
              <w:bottom w:val="single" w:sz="4" w:space="0" w:color="auto"/>
              <w:right w:val="single" w:sz="4" w:space="0" w:color="auto"/>
            </w:tcBorders>
          </w:tcPr>
          <w:p w14:paraId="7E3E3599" w14:textId="77777777" w:rsidR="00A16DE4" w:rsidRPr="001362A6" w:rsidRDefault="00A16DE4">
            <w:pPr>
              <w:rPr>
                <w:rFonts w:ascii="Lato" w:hAnsi="Lato"/>
                <w:sz w:val="22"/>
                <w:szCs w:val="22"/>
                <w:lang w:val="en-IE"/>
              </w:rPr>
            </w:pPr>
          </w:p>
        </w:tc>
        <w:tc>
          <w:tcPr>
            <w:tcW w:w="345" w:type="dxa"/>
            <w:gridSpan w:val="2"/>
          </w:tcPr>
          <w:p w14:paraId="339B24AC" w14:textId="77777777" w:rsidR="00A16DE4" w:rsidRPr="001362A6" w:rsidRDefault="00A16DE4">
            <w:pPr>
              <w:rPr>
                <w:rFonts w:ascii="Lato" w:hAnsi="Lato"/>
                <w:sz w:val="22"/>
                <w:szCs w:val="22"/>
                <w:lang w:val="en-IE"/>
              </w:rPr>
            </w:pPr>
          </w:p>
        </w:tc>
        <w:tc>
          <w:tcPr>
            <w:tcW w:w="1058" w:type="dxa"/>
            <w:gridSpan w:val="2"/>
          </w:tcPr>
          <w:p w14:paraId="61DA9826" w14:textId="77777777" w:rsidR="00A16DE4" w:rsidRPr="001362A6" w:rsidRDefault="00A16DE4">
            <w:pPr>
              <w:rPr>
                <w:rFonts w:ascii="Lato" w:hAnsi="Lato"/>
                <w:sz w:val="22"/>
                <w:szCs w:val="22"/>
                <w:lang w:val="en-IE"/>
              </w:rPr>
            </w:pPr>
          </w:p>
        </w:tc>
      </w:tr>
      <w:tr w:rsidR="00A16DE4" w:rsidRPr="001362A6" w14:paraId="7956DA46" w14:textId="77777777" w:rsidTr="00AF064C">
        <w:tc>
          <w:tcPr>
            <w:tcW w:w="2443" w:type="dxa"/>
            <w:gridSpan w:val="5"/>
            <w:tcBorders>
              <w:right w:val="single" w:sz="4" w:space="0" w:color="auto"/>
            </w:tcBorders>
          </w:tcPr>
          <w:p w14:paraId="532EE227" w14:textId="77777777" w:rsidR="00A16DE4" w:rsidRPr="001362A6" w:rsidRDefault="00A16DE4">
            <w:pPr>
              <w:rPr>
                <w:rFonts w:ascii="Lato" w:hAnsi="Lato"/>
                <w:sz w:val="22"/>
                <w:szCs w:val="22"/>
                <w:lang w:val="en-IE"/>
              </w:rPr>
            </w:pPr>
          </w:p>
        </w:tc>
        <w:tc>
          <w:tcPr>
            <w:tcW w:w="6774" w:type="dxa"/>
            <w:tcBorders>
              <w:top w:val="single" w:sz="4" w:space="0" w:color="auto"/>
              <w:left w:val="single" w:sz="4" w:space="0" w:color="auto"/>
              <w:right w:val="single" w:sz="4" w:space="0" w:color="auto"/>
            </w:tcBorders>
          </w:tcPr>
          <w:p w14:paraId="48A6CCFB" w14:textId="77777777" w:rsidR="00A16DE4" w:rsidRPr="001362A6" w:rsidRDefault="00A16DE4">
            <w:pPr>
              <w:rPr>
                <w:rFonts w:ascii="Lato" w:hAnsi="Lato"/>
                <w:sz w:val="22"/>
                <w:szCs w:val="22"/>
                <w:lang w:val="en-IE"/>
              </w:rPr>
            </w:pPr>
          </w:p>
        </w:tc>
        <w:tc>
          <w:tcPr>
            <w:tcW w:w="345" w:type="dxa"/>
            <w:gridSpan w:val="2"/>
            <w:tcBorders>
              <w:left w:val="single" w:sz="4" w:space="0" w:color="auto"/>
            </w:tcBorders>
          </w:tcPr>
          <w:p w14:paraId="421298B8" w14:textId="77777777" w:rsidR="00A16DE4" w:rsidRPr="001362A6" w:rsidRDefault="00A16DE4">
            <w:pPr>
              <w:rPr>
                <w:rFonts w:ascii="Lato" w:hAnsi="Lato"/>
                <w:sz w:val="22"/>
                <w:szCs w:val="22"/>
                <w:lang w:val="en-IE"/>
              </w:rPr>
            </w:pPr>
          </w:p>
        </w:tc>
        <w:tc>
          <w:tcPr>
            <w:tcW w:w="1058" w:type="dxa"/>
            <w:gridSpan w:val="2"/>
          </w:tcPr>
          <w:p w14:paraId="5E799505" w14:textId="77777777" w:rsidR="00A16DE4" w:rsidRPr="001362A6" w:rsidRDefault="00A16DE4">
            <w:pPr>
              <w:rPr>
                <w:rFonts w:ascii="Lato" w:hAnsi="Lato"/>
                <w:sz w:val="22"/>
                <w:szCs w:val="22"/>
                <w:lang w:val="en-IE"/>
              </w:rPr>
            </w:pPr>
          </w:p>
        </w:tc>
      </w:tr>
      <w:tr w:rsidR="00A16DE4" w:rsidRPr="001362A6" w14:paraId="101CC2E3" w14:textId="77777777" w:rsidTr="00AF064C">
        <w:tc>
          <w:tcPr>
            <w:tcW w:w="2443" w:type="dxa"/>
            <w:gridSpan w:val="5"/>
            <w:tcBorders>
              <w:right w:val="single" w:sz="4" w:space="0" w:color="auto"/>
            </w:tcBorders>
          </w:tcPr>
          <w:p w14:paraId="14009A21" w14:textId="77777777" w:rsidR="00A16DE4" w:rsidRPr="001362A6" w:rsidRDefault="00A16DE4" w:rsidP="00A34B20">
            <w:pPr>
              <w:ind w:left="32"/>
              <w:rPr>
                <w:rFonts w:ascii="Lato" w:hAnsi="Lato"/>
                <w:sz w:val="22"/>
                <w:szCs w:val="22"/>
                <w:lang w:val="en-IE"/>
              </w:rPr>
            </w:pPr>
            <w:r w:rsidRPr="001362A6">
              <w:rPr>
                <w:rFonts w:ascii="Lato" w:hAnsi="Lato"/>
                <w:sz w:val="22"/>
                <w:szCs w:val="22"/>
                <w:lang w:val="en-IE"/>
              </w:rPr>
              <w:t>Company</w:t>
            </w:r>
            <w:r w:rsidR="00CF03D2" w:rsidRPr="001362A6">
              <w:rPr>
                <w:rFonts w:ascii="Lato" w:hAnsi="Lato"/>
                <w:sz w:val="22"/>
                <w:szCs w:val="22"/>
                <w:lang w:val="en-IE"/>
              </w:rPr>
              <w:t>/ ICAV</w:t>
            </w:r>
          </w:p>
          <w:p w14:paraId="7625B0A3" w14:textId="77777777" w:rsidR="00A16DE4" w:rsidRPr="001362A6" w:rsidRDefault="00A16DE4" w:rsidP="00A34B20">
            <w:pPr>
              <w:ind w:left="32"/>
              <w:rPr>
                <w:rFonts w:ascii="Lato" w:hAnsi="Lato"/>
                <w:sz w:val="22"/>
                <w:szCs w:val="22"/>
                <w:lang w:val="en-IE"/>
              </w:rPr>
            </w:pPr>
            <w:r w:rsidRPr="001362A6">
              <w:rPr>
                <w:rFonts w:ascii="Lato" w:hAnsi="Lato"/>
                <w:sz w:val="22"/>
                <w:szCs w:val="22"/>
                <w:lang w:val="en-IE"/>
              </w:rPr>
              <w:t>Secretary</w:t>
            </w:r>
          </w:p>
          <w:p w14:paraId="1EF65674" w14:textId="77777777" w:rsidR="00A16DE4" w:rsidRPr="001362A6" w:rsidRDefault="00A16DE4" w:rsidP="00A34B20">
            <w:pPr>
              <w:ind w:left="32"/>
              <w:rPr>
                <w:rFonts w:ascii="Lato" w:hAnsi="Lato"/>
                <w:sz w:val="22"/>
                <w:szCs w:val="22"/>
                <w:lang w:val="en-IE"/>
              </w:rPr>
            </w:pPr>
            <w:r w:rsidRPr="001362A6">
              <w:rPr>
                <w:rFonts w:ascii="Lato" w:hAnsi="Lato"/>
                <w:sz w:val="22"/>
                <w:szCs w:val="22"/>
                <w:lang w:val="en-IE"/>
              </w:rPr>
              <w:t>(must be Irish Resident)</w:t>
            </w:r>
          </w:p>
        </w:tc>
        <w:tc>
          <w:tcPr>
            <w:tcW w:w="6774" w:type="dxa"/>
            <w:tcBorders>
              <w:left w:val="single" w:sz="4" w:space="0" w:color="auto"/>
              <w:bottom w:val="single" w:sz="4" w:space="0" w:color="auto"/>
              <w:right w:val="single" w:sz="4" w:space="0" w:color="auto"/>
            </w:tcBorders>
          </w:tcPr>
          <w:p w14:paraId="6B5F4FB8" w14:textId="77777777" w:rsidR="00A16DE4" w:rsidRPr="001362A6" w:rsidRDefault="00A16DE4">
            <w:pPr>
              <w:rPr>
                <w:rFonts w:ascii="Lato" w:hAnsi="Lato"/>
                <w:sz w:val="22"/>
                <w:szCs w:val="22"/>
                <w:lang w:val="en-IE"/>
              </w:rPr>
            </w:pPr>
          </w:p>
        </w:tc>
        <w:tc>
          <w:tcPr>
            <w:tcW w:w="345" w:type="dxa"/>
            <w:gridSpan w:val="2"/>
            <w:tcBorders>
              <w:left w:val="single" w:sz="4" w:space="0" w:color="auto"/>
            </w:tcBorders>
          </w:tcPr>
          <w:p w14:paraId="42822CCC" w14:textId="77777777" w:rsidR="00A16DE4" w:rsidRPr="001362A6" w:rsidRDefault="00A16DE4">
            <w:pPr>
              <w:rPr>
                <w:rFonts w:ascii="Lato" w:hAnsi="Lato"/>
                <w:sz w:val="22"/>
                <w:szCs w:val="22"/>
                <w:lang w:val="en-IE"/>
              </w:rPr>
            </w:pPr>
          </w:p>
        </w:tc>
        <w:tc>
          <w:tcPr>
            <w:tcW w:w="1058" w:type="dxa"/>
            <w:gridSpan w:val="2"/>
          </w:tcPr>
          <w:p w14:paraId="16FD57C4" w14:textId="77777777" w:rsidR="00A16DE4" w:rsidRPr="001362A6" w:rsidRDefault="00A16DE4">
            <w:pPr>
              <w:rPr>
                <w:rFonts w:ascii="Lato" w:hAnsi="Lato"/>
                <w:sz w:val="22"/>
                <w:szCs w:val="22"/>
                <w:lang w:val="en-IE"/>
              </w:rPr>
            </w:pPr>
          </w:p>
        </w:tc>
      </w:tr>
    </w:tbl>
    <w:p w14:paraId="3A6D3949" w14:textId="77777777" w:rsidR="00E0074D" w:rsidRPr="001362A6" w:rsidRDefault="00E0074D">
      <w:pPr>
        <w:ind w:left="-798"/>
        <w:rPr>
          <w:rFonts w:ascii="Lato" w:hAnsi="Lato"/>
          <w:sz w:val="22"/>
          <w:szCs w:val="22"/>
          <w:lang w:val="en-IE"/>
        </w:rPr>
      </w:pPr>
    </w:p>
    <w:tbl>
      <w:tblPr>
        <w:tblW w:w="10575" w:type="dxa"/>
        <w:tblInd w:w="-1143" w:type="dxa"/>
        <w:tblLook w:val="0000" w:firstRow="0" w:lastRow="0" w:firstColumn="0" w:lastColumn="0" w:noHBand="0" w:noVBand="0"/>
      </w:tblPr>
      <w:tblGrid>
        <w:gridCol w:w="1212"/>
        <w:gridCol w:w="5466"/>
        <w:gridCol w:w="159"/>
        <w:gridCol w:w="2044"/>
        <w:gridCol w:w="65"/>
        <w:gridCol w:w="547"/>
        <w:gridCol w:w="414"/>
        <w:gridCol w:w="430"/>
        <w:gridCol w:w="238"/>
      </w:tblGrid>
      <w:tr w:rsidR="00E0074D" w:rsidRPr="001362A6" w14:paraId="022D312F" w14:textId="77777777">
        <w:trPr>
          <w:cantSplit/>
        </w:trPr>
        <w:tc>
          <w:tcPr>
            <w:tcW w:w="1212" w:type="dxa"/>
          </w:tcPr>
          <w:p w14:paraId="0B3B6F8D" w14:textId="77777777" w:rsidR="00E0074D" w:rsidRPr="001362A6" w:rsidRDefault="00E0074D">
            <w:pPr>
              <w:rPr>
                <w:rFonts w:ascii="Lato" w:hAnsi="Lato"/>
                <w:sz w:val="22"/>
                <w:szCs w:val="22"/>
                <w:lang w:val="en-IE"/>
              </w:rPr>
            </w:pPr>
          </w:p>
        </w:tc>
        <w:tc>
          <w:tcPr>
            <w:tcW w:w="9363" w:type="dxa"/>
            <w:gridSpan w:val="8"/>
          </w:tcPr>
          <w:p w14:paraId="02333963" w14:textId="77777777" w:rsidR="00E0074D" w:rsidRPr="001362A6" w:rsidRDefault="00E0074D">
            <w:pPr>
              <w:pStyle w:val="BodyTextIndent"/>
              <w:ind w:left="0"/>
              <w:rPr>
                <w:rFonts w:ascii="Lato" w:hAnsi="Lato"/>
                <w:szCs w:val="22"/>
              </w:rPr>
            </w:pPr>
          </w:p>
        </w:tc>
      </w:tr>
      <w:tr w:rsidR="00E0074D" w:rsidRPr="001362A6" w14:paraId="38A99236" w14:textId="77777777">
        <w:trPr>
          <w:cantSplit/>
        </w:trPr>
        <w:tc>
          <w:tcPr>
            <w:tcW w:w="1212" w:type="dxa"/>
          </w:tcPr>
          <w:p w14:paraId="1AC47D9E" w14:textId="77777777" w:rsidR="00E0074D" w:rsidRPr="001362A6" w:rsidRDefault="00E0074D">
            <w:pPr>
              <w:rPr>
                <w:rFonts w:ascii="Lato" w:hAnsi="Lato"/>
                <w:sz w:val="22"/>
                <w:szCs w:val="22"/>
                <w:lang w:val="en-IE"/>
              </w:rPr>
            </w:pPr>
            <w:r w:rsidRPr="001362A6">
              <w:rPr>
                <w:rFonts w:ascii="Lato" w:hAnsi="Lato"/>
                <w:sz w:val="22"/>
                <w:szCs w:val="22"/>
                <w:lang w:val="en-IE"/>
              </w:rPr>
              <w:t>1.3.1</w:t>
            </w:r>
          </w:p>
        </w:tc>
        <w:tc>
          <w:tcPr>
            <w:tcW w:w="9363" w:type="dxa"/>
            <w:gridSpan w:val="8"/>
            <w:tcBorders>
              <w:bottom w:val="single" w:sz="4" w:space="0" w:color="auto"/>
            </w:tcBorders>
          </w:tcPr>
          <w:p w14:paraId="7F13E0F2" w14:textId="77777777" w:rsidR="00E0074D" w:rsidRPr="001362A6" w:rsidRDefault="00E0074D">
            <w:pPr>
              <w:pStyle w:val="BodyTextIndent"/>
              <w:ind w:left="0"/>
              <w:rPr>
                <w:rFonts w:ascii="Lato" w:hAnsi="Lato"/>
                <w:szCs w:val="22"/>
              </w:rPr>
            </w:pPr>
            <w:r w:rsidRPr="001362A6">
              <w:rPr>
                <w:rFonts w:ascii="Lato" w:hAnsi="Lato"/>
                <w:szCs w:val="22"/>
              </w:rPr>
              <w:t xml:space="preserve">Name of </w:t>
            </w:r>
            <w:r w:rsidR="00923002" w:rsidRPr="001362A6">
              <w:rPr>
                <w:rFonts w:ascii="Lato" w:hAnsi="Lato"/>
                <w:szCs w:val="22"/>
              </w:rPr>
              <w:t>AIFM</w:t>
            </w:r>
            <w:r w:rsidRPr="001362A6">
              <w:rPr>
                <w:rFonts w:ascii="Lato" w:hAnsi="Lato"/>
                <w:szCs w:val="22"/>
              </w:rPr>
              <w:t>’s nominated contact and e-mail address:</w:t>
            </w:r>
          </w:p>
        </w:tc>
      </w:tr>
      <w:tr w:rsidR="00E0074D" w:rsidRPr="001362A6" w14:paraId="122FFFBA" w14:textId="77777777">
        <w:trPr>
          <w:cantSplit/>
        </w:trPr>
        <w:tc>
          <w:tcPr>
            <w:tcW w:w="1212" w:type="dxa"/>
            <w:tcBorders>
              <w:right w:val="single" w:sz="4" w:space="0" w:color="auto"/>
            </w:tcBorders>
          </w:tcPr>
          <w:p w14:paraId="5C5AE37A" w14:textId="77777777" w:rsidR="00E0074D" w:rsidRPr="001362A6" w:rsidRDefault="00E0074D">
            <w:pPr>
              <w:rPr>
                <w:rFonts w:ascii="Lato" w:hAnsi="Lato"/>
                <w:sz w:val="22"/>
                <w:szCs w:val="22"/>
                <w:lang w:val="en-IE"/>
              </w:rPr>
            </w:pPr>
          </w:p>
        </w:tc>
        <w:tc>
          <w:tcPr>
            <w:tcW w:w="9363" w:type="dxa"/>
            <w:gridSpan w:val="8"/>
            <w:tcBorders>
              <w:top w:val="single" w:sz="4" w:space="0" w:color="auto"/>
              <w:left w:val="single" w:sz="4" w:space="0" w:color="auto"/>
              <w:bottom w:val="single" w:sz="4" w:space="0" w:color="auto"/>
              <w:right w:val="single" w:sz="4" w:space="0" w:color="auto"/>
            </w:tcBorders>
          </w:tcPr>
          <w:p w14:paraId="25D5B290" w14:textId="77777777" w:rsidR="00E0074D" w:rsidRPr="001362A6" w:rsidRDefault="00E0074D">
            <w:pPr>
              <w:pStyle w:val="BodyTextIndent"/>
              <w:ind w:left="0"/>
              <w:rPr>
                <w:rFonts w:ascii="Lato" w:hAnsi="Lato"/>
                <w:b/>
                <w:bCs/>
                <w:szCs w:val="22"/>
              </w:rPr>
            </w:pPr>
          </w:p>
        </w:tc>
      </w:tr>
      <w:tr w:rsidR="00E0074D" w:rsidRPr="001362A6" w14:paraId="4CF30A42" w14:textId="77777777">
        <w:trPr>
          <w:cantSplit/>
        </w:trPr>
        <w:tc>
          <w:tcPr>
            <w:tcW w:w="1212" w:type="dxa"/>
          </w:tcPr>
          <w:p w14:paraId="56724C00" w14:textId="77777777" w:rsidR="00E0074D" w:rsidRPr="001362A6" w:rsidRDefault="00E0074D">
            <w:pPr>
              <w:rPr>
                <w:rFonts w:ascii="Lato" w:hAnsi="Lato"/>
                <w:sz w:val="22"/>
                <w:lang w:val="en-IE"/>
              </w:rPr>
            </w:pPr>
          </w:p>
        </w:tc>
        <w:tc>
          <w:tcPr>
            <w:tcW w:w="9363" w:type="dxa"/>
            <w:gridSpan w:val="8"/>
            <w:tcBorders>
              <w:top w:val="single" w:sz="4" w:space="0" w:color="auto"/>
              <w:bottom w:val="single" w:sz="4" w:space="0" w:color="auto"/>
            </w:tcBorders>
          </w:tcPr>
          <w:p w14:paraId="79DA7623" w14:textId="77777777" w:rsidR="00E0074D" w:rsidRPr="001362A6" w:rsidRDefault="00E0074D">
            <w:pPr>
              <w:pStyle w:val="BodyTextIndent"/>
              <w:ind w:left="0"/>
              <w:rPr>
                <w:rFonts w:ascii="Lato" w:hAnsi="Lato"/>
                <w:b/>
                <w:bCs/>
              </w:rPr>
            </w:pPr>
          </w:p>
        </w:tc>
      </w:tr>
      <w:tr w:rsidR="00E0074D" w:rsidRPr="001362A6" w14:paraId="4688357B" w14:textId="77777777">
        <w:trPr>
          <w:cantSplit/>
        </w:trPr>
        <w:tc>
          <w:tcPr>
            <w:tcW w:w="1212" w:type="dxa"/>
            <w:tcBorders>
              <w:right w:val="single" w:sz="4" w:space="0" w:color="auto"/>
            </w:tcBorders>
          </w:tcPr>
          <w:p w14:paraId="22DD7566" w14:textId="77777777" w:rsidR="00E0074D" w:rsidRPr="001362A6" w:rsidRDefault="00E0074D">
            <w:pPr>
              <w:rPr>
                <w:rFonts w:ascii="Lato" w:hAnsi="Lato"/>
                <w:b/>
                <w:bCs/>
                <w:sz w:val="22"/>
                <w:szCs w:val="22"/>
                <w:lang w:val="en-IE"/>
              </w:rPr>
            </w:pPr>
            <w:r w:rsidRPr="001362A6">
              <w:rPr>
                <w:rFonts w:ascii="Lato" w:hAnsi="Lato"/>
                <w:b/>
                <w:bCs/>
                <w:sz w:val="22"/>
                <w:szCs w:val="22"/>
                <w:lang w:val="en-IE"/>
              </w:rPr>
              <w:t>1.4</w:t>
            </w:r>
          </w:p>
        </w:tc>
        <w:tc>
          <w:tcPr>
            <w:tcW w:w="9363" w:type="dxa"/>
            <w:gridSpan w:val="8"/>
            <w:tcBorders>
              <w:top w:val="single" w:sz="4" w:space="0" w:color="auto"/>
              <w:left w:val="single" w:sz="4" w:space="0" w:color="auto"/>
              <w:bottom w:val="single" w:sz="4" w:space="0" w:color="auto"/>
              <w:right w:val="single" w:sz="4" w:space="0" w:color="auto"/>
            </w:tcBorders>
          </w:tcPr>
          <w:p w14:paraId="24ED815B" w14:textId="77777777" w:rsidR="00E0074D" w:rsidRPr="001362A6" w:rsidRDefault="00E0074D" w:rsidP="00A153DD">
            <w:pPr>
              <w:pStyle w:val="BodyTextIndent"/>
              <w:ind w:left="0"/>
              <w:rPr>
                <w:rFonts w:ascii="Lato" w:hAnsi="Lato"/>
                <w:b/>
                <w:bCs/>
                <w:szCs w:val="22"/>
              </w:rPr>
            </w:pPr>
            <w:r w:rsidRPr="001362A6">
              <w:rPr>
                <w:rFonts w:ascii="Lato" w:hAnsi="Lato"/>
                <w:b/>
                <w:bCs/>
                <w:szCs w:val="22"/>
              </w:rPr>
              <w:t>DIRECTORS</w:t>
            </w:r>
            <w:r w:rsidR="002411D6" w:rsidRPr="001362A6">
              <w:rPr>
                <w:rFonts w:ascii="Lato" w:hAnsi="Lato"/>
                <w:b/>
                <w:bCs/>
                <w:szCs w:val="22"/>
              </w:rPr>
              <w:t xml:space="preserve"> </w:t>
            </w:r>
            <w:r w:rsidR="00A153DD" w:rsidRPr="001362A6">
              <w:rPr>
                <w:rFonts w:ascii="Lato" w:hAnsi="Lato"/>
                <w:b/>
                <w:bCs/>
                <w:szCs w:val="22"/>
              </w:rPr>
              <w:t>OF THE INVESTMENT COMPANY</w:t>
            </w:r>
            <w:r w:rsidR="00D144C7" w:rsidRPr="001362A6">
              <w:rPr>
                <w:rFonts w:ascii="Lato" w:hAnsi="Lato"/>
                <w:b/>
                <w:bCs/>
                <w:szCs w:val="22"/>
              </w:rPr>
              <w:t>/ICAV</w:t>
            </w:r>
          </w:p>
        </w:tc>
      </w:tr>
      <w:tr w:rsidR="00E0074D" w:rsidRPr="001362A6" w14:paraId="5AC46A9F" w14:textId="77777777">
        <w:trPr>
          <w:cantSplit/>
        </w:trPr>
        <w:tc>
          <w:tcPr>
            <w:tcW w:w="1212" w:type="dxa"/>
          </w:tcPr>
          <w:p w14:paraId="72789D13" w14:textId="77777777" w:rsidR="00E0074D" w:rsidRPr="001362A6" w:rsidRDefault="00E0074D">
            <w:pPr>
              <w:rPr>
                <w:rFonts w:ascii="Lato" w:hAnsi="Lato"/>
                <w:sz w:val="22"/>
                <w:szCs w:val="22"/>
                <w:lang w:val="en-IE"/>
              </w:rPr>
            </w:pPr>
          </w:p>
        </w:tc>
        <w:tc>
          <w:tcPr>
            <w:tcW w:w="9363" w:type="dxa"/>
            <w:gridSpan w:val="8"/>
            <w:tcBorders>
              <w:top w:val="single" w:sz="4" w:space="0" w:color="auto"/>
            </w:tcBorders>
          </w:tcPr>
          <w:p w14:paraId="182EE99A" w14:textId="77777777" w:rsidR="00E0074D" w:rsidRPr="001362A6" w:rsidRDefault="00E0074D">
            <w:pPr>
              <w:pStyle w:val="BodyTextIndent"/>
              <w:ind w:left="0"/>
              <w:rPr>
                <w:rFonts w:ascii="Lato" w:hAnsi="Lato"/>
                <w:szCs w:val="22"/>
              </w:rPr>
            </w:pPr>
          </w:p>
        </w:tc>
      </w:tr>
      <w:tr w:rsidR="00E0074D" w:rsidRPr="001362A6" w14:paraId="2E9434D8" w14:textId="77777777">
        <w:trPr>
          <w:cantSplit/>
        </w:trPr>
        <w:tc>
          <w:tcPr>
            <w:tcW w:w="1212" w:type="dxa"/>
          </w:tcPr>
          <w:p w14:paraId="3C3B4003" w14:textId="77777777" w:rsidR="00E0074D" w:rsidRPr="001362A6" w:rsidRDefault="00E0074D">
            <w:pPr>
              <w:rPr>
                <w:rFonts w:ascii="Lato" w:hAnsi="Lato"/>
                <w:sz w:val="22"/>
                <w:szCs w:val="22"/>
                <w:lang w:val="en-IE"/>
              </w:rPr>
            </w:pPr>
            <w:r w:rsidRPr="001362A6">
              <w:rPr>
                <w:rFonts w:ascii="Lato" w:hAnsi="Lato"/>
                <w:sz w:val="22"/>
                <w:szCs w:val="22"/>
                <w:lang w:val="en-IE"/>
              </w:rPr>
              <w:t>1.4.1</w:t>
            </w:r>
          </w:p>
        </w:tc>
        <w:tc>
          <w:tcPr>
            <w:tcW w:w="9363" w:type="dxa"/>
            <w:gridSpan w:val="8"/>
          </w:tcPr>
          <w:p w14:paraId="48137C4B" w14:textId="77777777" w:rsidR="00E0074D" w:rsidRPr="001362A6" w:rsidRDefault="00E0074D" w:rsidP="001B6F8C">
            <w:pPr>
              <w:pStyle w:val="BodyTextIndent"/>
              <w:ind w:left="0"/>
              <w:jc w:val="both"/>
              <w:rPr>
                <w:rFonts w:ascii="Lato" w:hAnsi="Lato"/>
                <w:szCs w:val="22"/>
              </w:rPr>
            </w:pPr>
            <w:r w:rsidRPr="001362A6">
              <w:rPr>
                <w:rFonts w:ascii="Lato" w:hAnsi="Lato"/>
                <w:szCs w:val="22"/>
              </w:rPr>
              <w:t>The Directors of the investment company</w:t>
            </w:r>
            <w:r w:rsidR="00D144C7" w:rsidRPr="001362A6">
              <w:rPr>
                <w:rFonts w:ascii="Lato" w:hAnsi="Lato"/>
                <w:szCs w:val="22"/>
              </w:rPr>
              <w:t>/ICAV</w:t>
            </w:r>
            <w:r w:rsidRPr="001362A6">
              <w:rPr>
                <w:rFonts w:ascii="Lato" w:hAnsi="Lato"/>
                <w:szCs w:val="22"/>
              </w:rPr>
              <w:t xml:space="preserve">. </w:t>
            </w:r>
            <w:r w:rsidRPr="001362A6">
              <w:rPr>
                <w:rFonts w:ascii="Lato" w:hAnsi="Lato"/>
                <w:szCs w:val="22"/>
                <w:u w:val="single"/>
              </w:rPr>
              <w:t>Indicate whether Irish Resident</w:t>
            </w:r>
            <w:r w:rsidR="0076316F" w:rsidRPr="001362A6">
              <w:rPr>
                <w:rFonts w:ascii="Lato" w:hAnsi="Lato"/>
                <w:szCs w:val="22"/>
                <w:u w:val="single"/>
              </w:rPr>
              <w:t xml:space="preserve"> (a minimum of two directors must be Irish resident)</w:t>
            </w:r>
          </w:p>
        </w:tc>
      </w:tr>
      <w:tr w:rsidR="00E0074D" w:rsidRPr="001362A6" w14:paraId="7B435B15" w14:textId="77777777">
        <w:trPr>
          <w:cantSplit/>
        </w:trPr>
        <w:tc>
          <w:tcPr>
            <w:tcW w:w="1212" w:type="dxa"/>
          </w:tcPr>
          <w:p w14:paraId="06BC1605" w14:textId="77777777" w:rsidR="00E0074D" w:rsidRPr="001362A6" w:rsidRDefault="00E0074D">
            <w:pPr>
              <w:rPr>
                <w:rFonts w:ascii="Lato" w:hAnsi="Lato"/>
                <w:sz w:val="22"/>
                <w:szCs w:val="22"/>
                <w:lang w:val="en-IE"/>
              </w:rPr>
            </w:pPr>
          </w:p>
        </w:tc>
        <w:tc>
          <w:tcPr>
            <w:tcW w:w="9363" w:type="dxa"/>
            <w:gridSpan w:val="8"/>
          </w:tcPr>
          <w:p w14:paraId="78A55F3B" w14:textId="77777777" w:rsidR="00E0074D" w:rsidRPr="001362A6" w:rsidRDefault="00E0074D">
            <w:pPr>
              <w:pStyle w:val="BodyTextIndent"/>
              <w:ind w:left="0"/>
              <w:rPr>
                <w:rFonts w:ascii="Lato" w:hAnsi="Lato"/>
                <w:szCs w:val="22"/>
              </w:rPr>
            </w:pPr>
          </w:p>
        </w:tc>
      </w:tr>
      <w:tr w:rsidR="001B6F8C" w:rsidRPr="001362A6" w14:paraId="6300A914" w14:textId="77777777" w:rsidTr="00655286">
        <w:tc>
          <w:tcPr>
            <w:tcW w:w="1212" w:type="dxa"/>
            <w:tcBorders>
              <w:right w:val="single" w:sz="4" w:space="0" w:color="auto"/>
            </w:tcBorders>
          </w:tcPr>
          <w:p w14:paraId="620A302F" w14:textId="77777777" w:rsidR="001B6F8C" w:rsidRPr="001362A6" w:rsidRDefault="001B6F8C">
            <w:pPr>
              <w:rPr>
                <w:rFonts w:ascii="Lato" w:hAnsi="Lato"/>
                <w:sz w:val="22"/>
                <w:szCs w:val="22"/>
                <w:lang w:val="en-IE"/>
              </w:rPr>
            </w:pPr>
          </w:p>
        </w:tc>
        <w:tc>
          <w:tcPr>
            <w:tcW w:w="9125" w:type="dxa"/>
            <w:gridSpan w:val="7"/>
            <w:tcBorders>
              <w:top w:val="single" w:sz="4" w:space="0" w:color="auto"/>
              <w:left w:val="single" w:sz="4" w:space="0" w:color="auto"/>
              <w:bottom w:val="single" w:sz="4" w:space="0" w:color="auto"/>
              <w:right w:val="single" w:sz="4" w:space="0" w:color="auto"/>
            </w:tcBorders>
          </w:tcPr>
          <w:p w14:paraId="3BE76925" w14:textId="77777777" w:rsidR="001B6F8C" w:rsidRPr="001362A6" w:rsidRDefault="001B6F8C">
            <w:pPr>
              <w:rPr>
                <w:rFonts w:ascii="Lato" w:hAnsi="Lato"/>
                <w:sz w:val="22"/>
                <w:szCs w:val="22"/>
                <w:lang w:val="en-IE"/>
              </w:rPr>
            </w:pPr>
            <w:r w:rsidRPr="001362A6">
              <w:rPr>
                <w:rFonts w:ascii="Lato" w:hAnsi="Lato"/>
                <w:sz w:val="22"/>
                <w:szCs w:val="22"/>
                <w:lang w:val="en-IE"/>
              </w:rPr>
              <w:t>Name</w:t>
            </w:r>
          </w:p>
        </w:tc>
        <w:tc>
          <w:tcPr>
            <w:tcW w:w="238" w:type="dxa"/>
            <w:tcBorders>
              <w:left w:val="single" w:sz="4" w:space="0" w:color="auto"/>
            </w:tcBorders>
          </w:tcPr>
          <w:p w14:paraId="37B983C3" w14:textId="77777777" w:rsidR="001B6F8C" w:rsidRPr="001362A6" w:rsidRDefault="001B6F8C">
            <w:pPr>
              <w:rPr>
                <w:rFonts w:ascii="Lato" w:hAnsi="Lato"/>
                <w:sz w:val="22"/>
                <w:szCs w:val="22"/>
                <w:lang w:val="en-IE"/>
              </w:rPr>
            </w:pPr>
          </w:p>
        </w:tc>
      </w:tr>
      <w:tr w:rsidR="001B6F8C" w:rsidRPr="001362A6" w14:paraId="5FDD1CCD" w14:textId="77777777" w:rsidTr="00655286">
        <w:tc>
          <w:tcPr>
            <w:tcW w:w="1212" w:type="dxa"/>
            <w:tcBorders>
              <w:right w:val="single" w:sz="4" w:space="0" w:color="auto"/>
            </w:tcBorders>
          </w:tcPr>
          <w:p w14:paraId="2B634AEB" w14:textId="77777777" w:rsidR="001B6F8C" w:rsidRPr="001362A6" w:rsidRDefault="001B6F8C">
            <w:pPr>
              <w:rPr>
                <w:rFonts w:ascii="Lato" w:hAnsi="Lato"/>
                <w:sz w:val="22"/>
                <w:szCs w:val="22"/>
                <w:lang w:val="en-IE"/>
              </w:rPr>
            </w:pPr>
          </w:p>
        </w:tc>
        <w:tc>
          <w:tcPr>
            <w:tcW w:w="9125" w:type="dxa"/>
            <w:gridSpan w:val="7"/>
            <w:tcBorders>
              <w:top w:val="single" w:sz="4" w:space="0" w:color="auto"/>
              <w:left w:val="single" w:sz="4" w:space="0" w:color="auto"/>
              <w:right w:val="single" w:sz="4" w:space="0" w:color="auto"/>
            </w:tcBorders>
          </w:tcPr>
          <w:p w14:paraId="1B3DED5E" w14:textId="77777777" w:rsidR="001B6F8C" w:rsidRPr="001362A6" w:rsidRDefault="001B6F8C">
            <w:pPr>
              <w:rPr>
                <w:rFonts w:ascii="Lato" w:hAnsi="Lato"/>
                <w:sz w:val="22"/>
                <w:szCs w:val="22"/>
                <w:lang w:val="en-IE"/>
              </w:rPr>
            </w:pPr>
          </w:p>
        </w:tc>
        <w:tc>
          <w:tcPr>
            <w:tcW w:w="238" w:type="dxa"/>
            <w:tcBorders>
              <w:left w:val="single" w:sz="4" w:space="0" w:color="auto"/>
            </w:tcBorders>
          </w:tcPr>
          <w:p w14:paraId="31C7FA61" w14:textId="77777777" w:rsidR="001B6F8C" w:rsidRPr="001362A6" w:rsidRDefault="001B6F8C">
            <w:pPr>
              <w:rPr>
                <w:rFonts w:ascii="Lato" w:hAnsi="Lato"/>
                <w:sz w:val="22"/>
                <w:szCs w:val="22"/>
                <w:lang w:val="en-IE"/>
              </w:rPr>
            </w:pPr>
          </w:p>
        </w:tc>
      </w:tr>
      <w:tr w:rsidR="001B6F8C" w:rsidRPr="001362A6" w14:paraId="0D371C7A" w14:textId="77777777" w:rsidTr="00655286">
        <w:trPr>
          <w:trHeight w:val="322"/>
        </w:trPr>
        <w:tc>
          <w:tcPr>
            <w:tcW w:w="1212" w:type="dxa"/>
            <w:tcBorders>
              <w:right w:val="single" w:sz="4" w:space="0" w:color="auto"/>
            </w:tcBorders>
          </w:tcPr>
          <w:p w14:paraId="40A6BBD7" w14:textId="77777777" w:rsidR="001B6F8C" w:rsidRPr="001362A6" w:rsidRDefault="001B6F8C">
            <w:pPr>
              <w:rPr>
                <w:rFonts w:ascii="Lato" w:hAnsi="Lato"/>
                <w:sz w:val="22"/>
                <w:szCs w:val="22"/>
                <w:lang w:val="en-IE"/>
              </w:rPr>
            </w:pPr>
          </w:p>
        </w:tc>
        <w:tc>
          <w:tcPr>
            <w:tcW w:w="9125" w:type="dxa"/>
            <w:gridSpan w:val="7"/>
            <w:tcBorders>
              <w:left w:val="single" w:sz="4" w:space="0" w:color="auto"/>
              <w:right w:val="single" w:sz="4" w:space="0" w:color="auto"/>
            </w:tcBorders>
          </w:tcPr>
          <w:p w14:paraId="5780F900" w14:textId="77777777" w:rsidR="001B6F8C" w:rsidRPr="001362A6" w:rsidRDefault="001B6F8C">
            <w:pPr>
              <w:rPr>
                <w:rFonts w:ascii="Lato" w:hAnsi="Lato"/>
                <w:sz w:val="22"/>
                <w:szCs w:val="22"/>
                <w:lang w:val="en-IE"/>
              </w:rPr>
            </w:pPr>
          </w:p>
        </w:tc>
        <w:tc>
          <w:tcPr>
            <w:tcW w:w="238" w:type="dxa"/>
            <w:tcBorders>
              <w:left w:val="single" w:sz="4" w:space="0" w:color="auto"/>
            </w:tcBorders>
          </w:tcPr>
          <w:p w14:paraId="09DD634C" w14:textId="77777777" w:rsidR="001B6F8C" w:rsidRPr="001362A6" w:rsidRDefault="001B6F8C">
            <w:pPr>
              <w:rPr>
                <w:rFonts w:ascii="Lato" w:hAnsi="Lato"/>
                <w:sz w:val="22"/>
                <w:szCs w:val="22"/>
                <w:lang w:val="en-IE"/>
              </w:rPr>
            </w:pPr>
          </w:p>
        </w:tc>
      </w:tr>
      <w:tr w:rsidR="001B6F8C" w:rsidRPr="001362A6" w14:paraId="67532F81" w14:textId="77777777" w:rsidTr="00655286">
        <w:tc>
          <w:tcPr>
            <w:tcW w:w="1212" w:type="dxa"/>
            <w:tcBorders>
              <w:right w:val="single" w:sz="4" w:space="0" w:color="auto"/>
            </w:tcBorders>
          </w:tcPr>
          <w:p w14:paraId="164C1AD6" w14:textId="77777777" w:rsidR="001B6F8C" w:rsidRPr="001362A6" w:rsidRDefault="001B6F8C">
            <w:pPr>
              <w:rPr>
                <w:rFonts w:ascii="Lato" w:hAnsi="Lato"/>
                <w:sz w:val="22"/>
                <w:szCs w:val="22"/>
                <w:lang w:val="en-IE"/>
              </w:rPr>
            </w:pPr>
          </w:p>
        </w:tc>
        <w:tc>
          <w:tcPr>
            <w:tcW w:w="9125" w:type="dxa"/>
            <w:gridSpan w:val="7"/>
            <w:tcBorders>
              <w:left w:val="single" w:sz="4" w:space="0" w:color="auto"/>
              <w:right w:val="single" w:sz="4" w:space="0" w:color="auto"/>
            </w:tcBorders>
          </w:tcPr>
          <w:p w14:paraId="00AE4529" w14:textId="77777777" w:rsidR="001B6F8C" w:rsidRPr="001362A6" w:rsidRDefault="001B6F8C">
            <w:pPr>
              <w:rPr>
                <w:rFonts w:ascii="Lato" w:hAnsi="Lato"/>
                <w:sz w:val="22"/>
                <w:szCs w:val="22"/>
                <w:lang w:val="en-IE"/>
              </w:rPr>
            </w:pPr>
          </w:p>
        </w:tc>
        <w:tc>
          <w:tcPr>
            <w:tcW w:w="238" w:type="dxa"/>
            <w:tcBorders>
              <w:left w:val="single" w:sz="4" w:space="0" w:color="auto"/>
            </w:tcBorders>
          </w:tcPr>
          <w:p w14:paraId="389FD8F6" w14:textId="77777777" w:rsidR="001B6F8C" w:rsidRPr="001362A6" w:rsidRDefault="001B6F8C">
            <w:pPr>
              <w:rPr>
                <w:rFonts w:ascii="Lato" w:hAnsi="Lato"/>
                <w:sz w:val="22"/>
                <w:szCs w:val="22"/>
                <w:lang w:val="en-IE"/>
              </w:rPr>
            </w:pPr>
          </w:p>
        </w:tc>
      </w:tr>
      <w:tr w:rsidR="0042571B" w:rsidRPr="001362A6" w14:paraId="7F813834" w14:textId="77777777" w:rsidTr="00655286">
        <w:tc>
          <w:tcPr>
            <w:tcW w:w="1212" w:type="dxa"/>
            <w:tcBorders>
              <w:right w:val="single" w:sz="4" w:space="0" w:color="auto"/>
            </w:tcBorders>
          </w:tcPr>
          <w:p w14:paraId="7D5260DE" w14:textId="77777777" w:rsidR="0042571B" w:rsidRPr="001362A6" w:rsidRDefault="0042571B">
            <w:pPr>
              <w:rPr>
                <w:rFonts w:ascii="Lato" w:hAnsi="Lato"/>
                <w:sz w:val="22"/>
                <w:szCs w:val="22"/>
                <w:lang w:val="en-IE"/>
              </w:rPr>
            </w:pPr>
          </w:p>
        </w:tc>
        <w:tc>
          <w:tcPr>
            <w:tcW w:w="9125" w:type="dxa"/>
            <w:gridSpan w:val="7"/>
            <w:tcBorders>
              <w:left w:val="single" w:sz="4" w:space="0" w:color="auto"/>
              <w:right w:val="single" w:sz="4" w:space="0" w:color="auto"/>
            </w:tcBorders>
          </w:tcPr>
          <w:p w14:paraId="5C5B3243" w14:textId="77777777" w:rsidR="0042571B" w:rsidRPr="001362A6" w:rsidRDefault="0042571B">
            <w:pPr>
              <w:rPr>
                <w:rFonts w:ascii="Lato" w:hAnsi="Lato"/>
                <w:sz w:val="22"/>
                <w:szCs w:val="22"/>
                <w:lang w:val="en-IE"/>
              </w:rPr>
            </w:pPr>
          </w:p>
        </w:tc>
        <w:tc>
          <w:tcPr>
            <w:tcW w:w="238" w:type="dxa"/>
            <w:tcBorders>
              <w:left w:val="single" w:sz="4" w:space="0" w:color="auto"/>
            </w:tcBorders>
          </w:tcPr>
          <w:p w14:paraId="31A419DE" w14:textId="77777777" w:rsidR="0042571B" w:rsidRPr="001362A6" w:rsidRDefault="0042571B">
            <w:pPr>
              <w:rPr>
                <w:rFonts w:ascii="Lato" w:hAnsi="Lato"/>
                <w:sz w:val="22"/>
                <w:szCs w:val="22"/>
                <w:lang w:val="en-IE"/>
              </w:rPr>
            </w:pPr>
          </w:p>
        </w:tc>
      </w:tr>
      <w:tr w:rsidR="001B6F8C" w:rsidRPr="001362A6" w14:paraId="2A820CE3" w14:textId="77777777" w:rsidTr="00655286">
        <w:tc>
          <w:tcPr>
            <w:tcW w:w="1212" w:type="dxa"/>
            <w:tcBorders>
              <w:right w:val="single" w:sz="4" w:space="0" w:color="auto"/>
            </w:tcBorders>
          </w:tcPr>
          <w:p w14:paraId="1B562BF0" w14:textId="77777777" w:rsidR="001B6F8C" w:rsidRPr="001362A6" w:rsidRDefault="001B6F8C">
            <w:pPr>
              <w:rPr>
                <w:rFonts w:ascii="Lato" w:hAnsi="Lato"/>
                <w:sz w:val="22"/>
                <w:szCs w:val="22"/>
                <w:lang w:val="en-IE"/>
              </w:rPr>
            </w:pPr>
          </w:p>
        </w:tc>
        <w:tc>
          <w:tcPr>
            <w:tcW w:w="9125" w:type="dxa"/>
            <w:gridSpan w:val="7"/>
            <w:tcBorders>
              <w:left w:val="single" w:sz="4" w:space="0" w:color="auto"/>
              <w:right w:val="single" w:sz="4" w:space="0" w:color="auto"/>
            </w:tcBorders>
          </w:tcPr>
          <w:p w14:paraId="53E05234" w14:textId="77777777" w:rsidR="001B6F8C" w:rsidRPr="001362A6" w:rsidRDefault="001B6F8C">
            <w:pPr>
              <w:rPr>
                <w:rFonts w:ascii="Lato" w:hAnsi="Lato"/>
                <w:sz w:val="22"/>
                <w:szCs w:val="22"/>
                <w:lang w:val="en-IE"/>
              </w:rPr>
            </w:pPr>
          </w:p>
        </w:tc>
        <w:tc>
          <w:tcPr>
            <w:tcW w:w="238" w:type="dxa"/>
            <w:tcBorders>
              <w:left w:val="single" w:sz="4" w:space="0" w:color="auto"/>
            </w:tcBorders>
          </w:tcPr>
          <w:p w14:paraId="5FBE81AF" w14:textId="77777777" w:rsidR="001B6F8C" w:rsidRPr="001362A6" w:rsidRDefault="001B6F8C">
            <w:pPr>
              <w:rPr>
                <w:rFonts w:ascii="Lato" w:hAnsi="Lato"/>
                <w:sz w:val="22"/>
                <w:szCs w:val="22"/>
                <w:lang w:val="en-IE"/>
              </w:rPr>
            </w:pPr>
          </w:p>
        </w:tc>
      </w:tr>
      <w:tr w:rsidR="001B6F8C" w:rsidRPr="001362A6" w14:paraId="2523EB75" w14:textId="77777777" w:rsidTr="00655286">
        <w:tc>
          <w:tcPr>
            <w:tcW w:w="1212" w:type="dxa"/>
            <w:tcBorders>
              <w:right w:val="single" w:sz="4" w:space="0" w:color="auto"/>
            </w:tcBorders>
          </w:tcPr>
          <w:p w14:paraId="5A353309" w14:textId="77777777" w:rsidR="001B6F8C" w:rsidRPr="001362A6" w:rsidRDefault="001B6F8C">
            <w:pPr>
              <w:rPr>
                <w:rFonts w:ascii="Lato" w:hAnsi="Lato"/>
                <w:sz w:val="22"/>
                <w:szCs w:val="22"/>
                <w:lang w:val="en-IE"/>
              </w:rPr>
            </w:pPr>
          </w:p>
        </w:tc>
        <w:tc>
          <w:tcPr>
            <w:tcW w:w="9125" w:type="dxa"/>
            <w:gridSpan w:val="7"/>
            <w:tcBorders>
              <w:left w:val="single" w:sz="4" w:space="0" w:color="auto"/>
              <w:bottom w:val="single" w:sz="4" w:space="0" w:color="auto"/>
              <w:right w:val="single" w:sz="4" w:space="0" w:color="auto"/>
            </w:tcBorders>
          </w:tcPr>
          <w:p w14:paraId="45F3C08D" w14:textId="77777777" w:rsidR="001B6F8C" w:rsidRPr="001362A6" w:rsidRDefault="001B6F8C">
            <w:pPr>
              <w:rPr>
                <w:rFonts w:ascii="Lato" w:hAnsi="Lato"/>
                <w:sz w:val="22"/>
                <w:szCs w:val="22"/>
                <w:lang w:val="en-IE"/>
              </w:rPr>
            </w:pPr>
          </w:p>
        </w:tc>
        <w:tc>
          <w:tcPr>
            <w:tcW w:w="238" w:type="dxa"/>
            <w:tcBorders>
              <w:left w:val="single" w:sz="4" w:space="0" w:color="auto"/>
            </w:tcBorders>
          </w:tcPr>
          <w:p w14:paraId="332ECAB9" w14:textId="77777777" w:rsidR="001B6F8C" w:rsidRPr="001362A6" w:rsidRDefault="001B6F8C">
            <w:pPr>
              <w:rPr>
                <w:rFonts w:ascii="Lato" w:hAnsi="Lato"/>
                <w:sz w:val="22"/>
                <w:szCs w:val="22"/>
                <w:lang w:val="en-IE"/>
              </w:rPr>
            </w:pPr>
          </w:p>
        </w:tc>
      </w:tr>
      <w:tr w:rsidR="005C7BB7" w:rsidRPr="001362A6" w14:paraId="7CEA76D9" w14:textId="77777777" w:rsidTr="00A34B20">
        <w:tc>
          <w:tcPr>
            <w:tcW w:w="1212" w:type="dxa"/>
          </w:tcPr>
          <w:p w14:paraId="6E0CAF95" w14:textId="77777777" w:rsidR="005C7BB7" w:rsidRPr="001362A6" w:rsidRDefault="005C7BB7">
            <w:pPr>
              <w:rPr>
                <w:rFonts w:ascii="Lato" w:hAnsi="Lato"/>
                <w:sz w:val="22"/>
                <w:szCs w:val="22"/>
                <w:lang w:val="en-IE"/>
              </w:rPr>
            </w:pPr>
          </w:p>
        </w:tc>
        <w:tc>
          <w:tcPr>
            <w:tcW w:w="5466" w:type="dxa"/>
            <w:tcBorders>
              <w:top w:val="single" w:sz="4" w:space="0" w:color="auto"/>
            </w:tcBorders>
          </w:tcPr>
          <w:p w14:paraId="77B8DD4A" w14:textId="77777777" w:rsidR="005C7BB7" w:rsidRPr="001362A6" w:rsidRDefault="005C7BB7">
            <w:pPr>
              <w:rPr>
                <w:rFonts w:ascii="Lato" w:hAnsi="Lato"/>
                <w:sz w:val="22"/>
                <w:szCs w:val="22"/>
                <w:lang w:val="en-IE"/>
              </w:rPr>
            </w:pPr>
          </w:p>
        </w:tc>
        <w:tc>
          <w:tcPr>
            <w:tcW w:w="3659" w:type="dxa"/>
            <w:gridSpan w:val="6"/>
            <w:tcBorders>
              <w:top w:val="single" w:sz="4" w:space="0" w:color="auto"/>
              <w:bottom w:val="single" w:sz="4" w:space="0" w:color="auto"/>
            </w:tcBorders>
          </w:tcPr>
          <w:p w14:paraId="0A0E4AF5" w14:textId="77777777" w:rsidR="005C7BB7" w:rsidRPr="001362A6" w:rsidRDefault="005C7BB7">
            <w:pPr>
              <w:rPr>
                <w:rFonts w:ascii="Lato" w:hAnsi="Lato"/>
                <w:sz w:val="22"/>
                <w:szCs w:val="22"/>
                <w:lang w:val="en-IE"/>
              </w:rPr>
            </w:pPr>
          </w:p>
        </w:tc>
        <w:tc>
          <w:tcPr>
            <w:tcW w:w="238" w:type="dxa"/>
          </w:tcPr>
          <w:p w14:paraId="615E6235" w14:textId="77777777" w:rsidR="005C7BB7" w:rsidRPr="001362A6" w:rsidRDefault="005C7BB7">
            <w:pPr>
              <w:rPr>
                <w:rFonts w:ascii="Lato" w:hAnsi="Lato"/>
                <w:sz w:val="22"/>
                <w:szCs w:val="22"/>
                <w:lang w:val="en-IE"/>
              </w:rPr>
            </w:pPr>
          </w:p>
        </w:tc>
      </w:tr>
      <w:tr w:rsidR="005C7BB7" w:rsidRPr="001362A6" w14:paraId="7CE72CFE" w14:textId="77777777" w:rsidTr="00696638">
        <w:trPr>
          <w:trHeight w:val="305"/>
        </w:trPr>
        <w:tc>
          <w:tcPr>
            <w:tcW w:w="1212" w:type="dxa"/>
          </w:tcPr>
          <w:p w14:paraId="49DE5CBD" w14:textId="77777777" w:rsidR="005C7BB7" w:rsidRPr="001362A6" w:rsidRDefault="005C7BB7">
            <w:pPr>
              <w:rPr>
                <w:rFonts w:ascii="Lato" w:hAnsi="Lato"/>
                <w:sz w:val="22"/>
                <w:szCs w:val="22"/>
                <w:lang w:val="en-IE"/>
              </w:rPr>
            </w:pPr>
            <w:r w:rsidRPr="001362A6">
              <w:rPr>
                <w:rFonts w:ascii="Lato" w:hAnsi="Lato"/>
                <w:sz w:val="22"/>
                <w:szCs w:val="22"/>
                <w:lang w:val="en-IE"/>
              </w:rPr>
              <w:t>1.4.2</w:t>
            </w:r>
          </w:p>
        </w:tc>
        <w:tc>
          <w:tcPr>
            <w:tcW w:w="5466" w:type="dxa"/>
            <w:tcBorders>
              <w:right w:val="single" w:sz="4" w:space="0" w:color="auto"/>
            </w:tcBorders>
          </w:tcPr>
          <w:p w14:paraId="7298ACE0" w14:textId="77777777" w:rsidR="005C7BB7" w:rsidRPr="001362A6" w:rsidRDefault="005C7BB7" w:rsidP="00D144C7">
            <w:pPr>
              <w:rPr>
                <w:rFonts w:ascii="Lato" w:hAnsi="Lato"/>
                <w:sz w:val="22"/>
                <w:szCs w:val="22"/>
                <w:lang w:val="en-IE"/>
              </w:rPr>
            </w:pPr>
            <w:r w:rsidRPr="001362A6">
              <w:rPr>
                <w:rFonts w:ascii="Lato" w:hAnsi="Lato"/>
                <w:sz w:val="22"/>
                <w:szCs w:val="22"/>
                <w:lang w:val="en-IE"/>
              </w:rPr>
              <w:t>Confirm that the investment company</w:t>
            </w:r>
            <w:r w:rsidR="00D144C7" w:rsidRPr="001362A6">
              <w:rPr>
                <w:rFonts w:ascii="Lato" w:hAnsi="Lato"/>
                <w:sz w:val="22"/>
                <w:szCs w:val="22"/>
                <w:lang w:val="en-IE"/>
              </w:rPr>
              <w:t>/ICAV</w:t>
            </w:r>
            <w:r w:rsidR="0042571B" w:rsidRPr="001362A6">
              <w:rPr>
                <w:rFonts w:ascii="Lato" w:hAnsi="Lato"/>
                <w:sz w:val="22"/>
                <w:szCs w:val="22"/>
                <w:lang w:val="en-IE"/>
              </w:rPr>
              <w:t xml:space="preserve"> has no </w:t>
            </w:r>
          </w:p>
        </w:tc>
        <w:tc>
          <w:tcPr>
            <w:tcW w:w="3659" w:type="dxa"/>
            <w:gridSpan w:val="6"/>
            <w:tcBorders>
              <w:top w:val="single" w:sz="4" w:space="0" w:color="auto"/>
              <w:left w:val="single" w:sz="4" w:space="0" w:color="auto"/>
              <w:bottom w:val="single" w:sz="4" w:space="0" w:color="auto"/>
              <w:right w:val="single" w:sz="4" w:space="0" w:color="auto"/>
            </w:tcBorders>
          </w:tcPr>
          <w:p w14:paraId="662D14FE" w14:textId="77777777" w:rsidR="005C7BB7" w:rsidRPr="001362A6" w:rsidRDefault="005C7BB7">
            <w:pPr>
              <w:rPr>
                <w:rFonts w:ascii="Lato" w:hAnsi="Lato"/>
                <w:sz w:val="22"/>
                <w:szCs w:val="22"/>
                <w:lang w:val="en-IE"/>
              </w:rPr>
            </w:pPr>
          </w:p>
        </w:tc>
        <w:tc>
          <w:tcPr>
            <w:tcW w:w="238" w:type="dxa"/>
            <w:tcBorders>
              <w:left w:val="single" w:sz="4" w:space="0" w:color="auto"/>
            </w:tcBorders>
          </w:tcPr>
          <w:p w14:paraId="6A8B4BC8" w14:textId="77777777" w:rsidR="005C7BB7" w:rsidRPr="001362A6" w:rsidRDefault="005C7BB7">
            <w:pPr>
              <w:rPr>
                <w:rFonts w:ascii="Lato" w:hAnsi="Lato"/>
                <w:sz w:val="22"/>
                <w:szCs w:val="22"/>
                <w:lang w:val="en-IE"/>
              </w:rPr>
            </w:pPr>
          </w:p>
        </w:tc>
      </w:tr>
      <w:tr w:rsidR="005C7BB7" w:rsidRPr="001362A6" w14:paraId="2158A673" w14:textId="77777777" w:rsidTr="00A34B20">
        <w:tc>
          <w:tcPr>
            <w:tcW w:w="1212" w:type="dxa"/>
          </w:tcPr>
          <w:p w14:paraId="4BB5F758" w14:textId="77777777" w:rsidR="005C7BB7" w:rsidRPr="001362A6" w:rsidRDefault="005C7BB7">
            <w:pPr>
              <w:rPr>
                <w:rFonts w:ascii="Lato" w:hAnsi="Lato"/>
                <w:sz w:val="22"/>
                <w:szCs w:val="22"/>
                <w:lang w:val="en-IE"/>
              </w:rPr>
            </w:pPr>
          </w:p>
        </w:tc>
        <w:tc>
          <w:tcPr>
            <w:tcW w:w="5466" w:type="dxa"/>
          </w:tcPr>
          <w:p w14:paraId="1EDEDA8A" w14:textId="77777777" w:rsidR="005C7BB7" w:rsidRPr="001362A6" w:rsidRDefault="00D144C7">
            <w:pPr>
              <w:rPr>
                <w:rFonts w:ascii="Lato" w:hAnsi="Lato"/>
                <w:sz w:val="22"/>
                <w:szCs w:val="22"/>
                <w:lang w:val="en-IE"/>
              </w:rPr>
            </w:pPr>
            <w:r w:rsidRPr="001362A6">
              <w:rPr>
                <w:rFonts w:ascii="Lato" w:hAnsi="Lato"/>
                <w:sz w:val="22"/>
                <w:szCs w:val="22"/>
                <w:lang w:val="en-IE"/>
              </w:rPr>
              <w:t xml:space="preserve">directors in </w:t>
            </w:r>
            <w:r w:rsidR="005C7BB7" w:rsidRPr="001362A6">
              <w:rPr>
                <w:rFonts w:ascii="Lato" w:hAnsi="Lato"/>
                <w:sz w:val="22"/>
                <w:szCs w:val="22"/>
                <w:lang w:val="en-IE"/>
              </w:rPr>
              <w:t>common with the board of directors of the Depositary</w:t>
            </w:r>
          </w:p>
        </w:tc>
        <w:tc>
          <w:tcPr>
            <w:tcW w:w="3659" w:type="dxa"/>
            <w:gridSpan w:val="6"/>
            <w:tcBorders>
              <w:top w:val="single" w:sz="4" w:space="0" w:color="auto"/>
            </w:tcBorders>
          </w:tcPr>
          <w:p w14:paraId="6672A55D" w14:textId="77777777" w:rsidR="005C7BB7" w:rsidRPr="001362A6" w:rsidRDefault="005C7BB7">
            <w:pPr>
              <w:rPr>
                <w:rFonts w:ascii="Lato" w:hAnsi="Lato"/>
                <w:sz w:val="22"/>
                <w:szCs w:val="22"/>
                <w:lang w:val="en-IE"/>
              </w:rPr>
            </w:pPr>
          </w:p>
        </w:tc>
        <w:tc>
          <w:tcPr>
            <w:tcW w:w="238" w:type="dxa"/>
          </w:tcPr>
          <w:p w14:paraId="573EDAB1" w14:textId="77777777" w:rsidR="005C7BB7" w:rsidRPr="001362A6" w:rsidRDefault="005C7BB7">
            <w:pPr>
              <w:rPr>
                <w:rFonts w:ascii="Lato" w:hAnsi="Lato"/>
                <w:sz w:val="22"/>
                <w:szCs w:val="22"/>
                <w:lang w:val="en-IE"/>
              </w:rPr>
            </w:pPr>
          </w:p>
        </w:tc>
      </w:tr>
      <w:tr w:rsidR="005C7BB7" w:rsidRPr="001362A6" w14:paraId="646683FA" w14:textId="77777777" w:rsidTr="00A34B20">
        <w:tc>
          <w:tcPr>
            <w:tcW w:w="1212" w:type="dxa"/>
          </w:tcPr>
          <w:p w14:paraId="60F63DB3" w14:textId="77777777" w:rsidR="005C7BB7" w:rsidRPr="001362A6" w:rsidRDefault="005C7BB7">
            <w:pPr>
              <w:rPr>
                <w:rFonts w:ascii="Lato" w:hAnsi="Lato"/>
                <w:sz w:val="22"/>
                <w:szCs w:val="22"/>
                <w:lang w:val="en-IE"/>
              </w:rPr>
            </w:pPr>
          </w:p>
        </w:tc>
        <w:tc>
          <w:tcPr>
            <w:tcW w:w="5466" w:type="dxa"/>
          </w:tcPr>
          <w:p w14:paraId="61A9F782" w14:textId="77777777" w:rsidR="005C7BB7" w:rsidRPr="001362A6" w:rsidRDefault="005C7BB7">
            <w:pPr>
              <w:rPr>
                <w:rFonts w:ascii="Lato" w:hAnsi="Lato"/>
                <w:sz w:val="22"/>
                <w:szCs w:val="22"/>
                <w:lang w:val="en-IE"/>
              </w:rPr>
            </w:pPr>
          </w:p>
        </w:tc>
        <w:tc>
          <w:tcPr>
            <w:tcW w:w="3659" w:type="dxa"/>
            <w:gridSpan w:val="6"/>
          </w:tcPr>
          <w:p w14:paraId="50891D41" w14:textId="77777777" w:rsidR="005C7BB7" w:rsidRPr="001362A6" w:rsidRDefault="005C7BB7">
            <w:pPr>
              <w:rPr>
                <w:rFonts w:ascii="Lato" w:hAnsi="Lato"/>
                <w:sz w:val="22"/>
                <w:szCs w:val="22"/>
                <w:lang w:val="en-IE"/>
              </w:rPr>
            </w:pPr>
          </w:p>
        </w:tc>
        <w:tc>
          <w:tcPr>
            <w:tcW w:w="238" w:type="dxa"/>
          </w:tcPr>
          <w:p w14:paraId="37341716" w14:textId="77777777" w:rsidR="005C7BB7" w:rsidRPr="001362A6" w:rsidRDefault="005C7BB7">
            <w:pPr>
              <w:rPr>
                <w:rFonts w:ascii="Lato" w:hAnsi="Lato"/>
                <w:sz w:val="22"/>
                <w:szCs w:val="22"/>
                <w:lang w:val="en-IE"/>
              </w:rPr>
            </w:pPr>
          </w:p>
        </w:tc>
      </w:tr>
      <w:tr w:rsidR="00D319CF" w:rsidRPr="001362A6" w14:paraId="1D6AA045" w14:textId="77777777" w:rsidTr="00D319CF">
        <w:tc>
          <w:tcPr>
            <w:tcW w:w="1212" w:type="dxa"/>
            <w:tcBorders>
              <w:right w:val="single" w:sz="4" w:space="0" w:color="auto"/>
            </w:tcBorders>
          </w:tcPr>
          <w:p w14:paraId="4BE1F79E" w14:textId="77777777" w:rsidR="00D319CF" w:rsidRPr="001362A6" w:rsidRDefault="00D319CF" w:rsidP="00D319CF">
            <w:pPr>
              <w:rPr>
                <w:rFonts w:ascii="Lato" w:hAnsi="Lato"/>
                <w:b/>
                <w:bCs/>
                <w:sz w:val="22"/>
                <w:szCs w:val="22"/>
                <w:lang w:val="en-IE"/>
              </w:rPr>
            </w:pPr>
            <w:r w:rsidRPr="001362A6">
              <w:rPr>
                <w:rFonts w:ascii="Lato" w:hAnsi="Lato"/>
                <w:b/>
                <w:bCs/>
                <w:sz w:val="22"/>
                <w:szCs w:val="22"/>
                <w:lang w:val="en-IE"/>
              </w:rPr>
              <w:t>1.5</w:t>
            </w:r>
          </w:p>
        </w:tc>
        <w:tc>
          <w:tcPr>
            <w:tcW w:w="7734" w:type="dxa"/>
            <w:gridSpan w:val="4"/>
            <w:tcBorders>
              <w:top w:val="single" w:sz="4" w:space="0" w:color="auto"/>
              <w:left w:val="single" w:sz="4" w:space="0" w:color="auto"/>
              <w:bottom w:val="single" w:sz="4" w:space="0" w:color="auto"/>
              <w:right w:val="single" w:sz="4" w:space="0" w:color="auto"/>
            </w:tcBorders>
          </w:tcPr>
          <w:p w14:paraId="36E55485" w14:textId="77777777" w:rsidR="00D319CF" w:rsidRPr="001362A6" w:rsidRDefault="00D319CF" w:rsidP="00D319CF">
            <w:pPr>
              <w:pStyle w:val="Heading3"/>
              <w:spacing w:before="0" w:after="0" w:line="240" w:lineRule="auto"/>
              <w:rPr>
                <w:rFonts w:ascii="Lato" w:hAnsi="Lato"/>
                <w:color w:val="auto"/>
                <w:sz w:val="22"/>
                <w:szCs w:val="22"/>
              </w:rPr>
            </w:pPr>
            <w:r w:rsidRPr="001362A6">
              <w:rPr>
                <w:rFonts w:ascii="Lato" w:hAnsi="Lato"/>
                <w:color w:val="auto"/>
                <w:sz w:val="22"/>
                <w:szCs w:val="22"/>
              </w:rPr>
              <w:t>GENERAL</w:t>
            </w:r>
          </w:p>
        </w:tc>
        <w:tc>
          <w:tcPr>
            <w:tcW w:w="547" w:type="dxa"/>
            <w:tcBorders>
              <w:left w:val="single" w:sz="4" w:space="0" w:color="auto"/>
            </w:tcBorders>
          </w:tcPr>
          <w:p w14:paraId="16E85048" w14:textId="77777777" w:rsidR="00D319CF" w:rsidRPr="001362A6" w:rsidRDefault="00D319CF" w:rsidP="00D319CF">
            <w:pPr>
              <w:rPr>
                <w:rFonts w:ascii="Lato" w:hAnsi="Lato"/>
                <w:sz w:val="22"/>
                <w:szCs w:val="22"/>
                <w:lang w:val="en-IE"/>
              </w:rPr>
            </w:pPr>
          </w:p>
        </w:tc>
        <w:tc>
          <w:tcPr>
            <w:tcW w:w="1082" w:type="dxa"/>
            <w:gridSpan w:val="3"/>
          </w:tcPr>
          <w:p w14:paraId="695C8517" w14:textId="77777777" w:rsidR="00D319CF" w:rsidRPr="001362A6" w:rsidRDefault="00D319CF" w:rsidP="00D319CF">
            <w:pPr>
              <w:rPr>
                <w:rFonts w:ascii="Lato" w:hAnsi="Lato"/>
                <w:sz w:val="22"/>
                <w:szCs w:val="22"/>
                <w:lang w:val="en-IE"/>
              </w:rPr>
            </w:pPr>
          </w:p>
        </w:tc>
      </w:tr>
      <w:tr w:rsidR="00D319CF" w:rsidRPr="001362A6" w14:paraId="06DCEB76" w14:textId="77777777" w:rsidTr="00D319CF">
        <w:tc>
          <w:tcPr>
            <w:tcW w:w="1212" w:type="dxa"/>
          </w:tcPr>
          <w:p w14:paraId="1E933389" w14:textId="77777777" w:rsidR="00D319CF" w:rsidRPr="001362A6" w:rsidRDefault="00D319CF" w:rsidP="00D319CF">
            <w:pPr>
              <w:rPr>
                <w:rFonts w:ascii="Lato" w:hAnsi="Lato"/>
                <w:sz w:val="22"/>
                <w:szCs w:val="22"/>
                <w:lang w:val="en-IE"/>
              </w:rPr>
            </w:pPr>
          </w:p>
        </w:tc>
        <w:tc>
          <w:tcPr>
            <w:tcW w:w="7734" w:type="dxa"/>
            <w:gridSpan w:val="4"/>
            <w:tcBorders>
              <w:top w:val="single" w:sz="4" w:space="0" w:color="auto"/>
            </w:tcBorders>
          </w:tcPr>
          <w:p w14:paraId="102CD8A7" w14:textId="77777777" w:rsidR="00D319CF" w:rsidRPr="001362A6" w:rsidRDefault="00D319CF" w:rsidP="00D319CF">
            <w:pPr>
              <w:rPr>
                <w:rFonts w:ascii="Lato" w:hAnsi="Lato"/>
                <w:sz w:val="22"/>
                <w:szCs w:val="22"/>
                <w:lang w:val="en-IE"/>
              </w:rPr>
            </w:pPr>
          </w:p>
        </w:tc>
        <w:tc>
          <w:tcPr>
            <w:tcW w:w="547" w:type="dxa"/>
          </w:tcPr>
          <w:p w14:paraId="238035E4" w14:textId="77777777" w:rsidR="00D319CF" w:rsidRPr="001362A6" w:rsidRDefault="00D319CF" w:rsidP="00D319CF">
            <w:pPr>
              <w:rPr>
                <w:rFonts w:ascii="Lato" w:hAnsi="Lato"/>
                <w:sz w:val="22"/>
                <w:szCs w:val="22"/>
                <w:lang w:val="en-IE"/>
              </w:rPr>
            </w:pPr>
          </w:p>
        </w:tc>
        <w:tc>
          <w:tcPr>
            <w:tcW w:w="1082" w:type="dxa"/>
            <w:gridSpan w:val="3"/>
          </w:tcPr>
          <w:p w14:paraId="08A040A7" w14:textId="77777777" w:rsidR="00D319CF" w:rsidRPr="001362A6" w:rsidRDefault="00D319CF" w:rsidP="00D319CF">
            <w:pPr>
              <w:rPr>
                <w:rFonts w:ascii="Lato" w:hAnsi="Lato"/>
                <w:sz w:val="22"/>
                <w:szCs w:val="22"/>
                <w:lang w:val="en-IE"/>
              </w:rPr>
            </w:pPr>
          </w:p>
        </w:tc>
      </w:tr>
      <w:tr w:rsidR="00D319CF" w:rsidRPr="001362A6" w14:paraId="7B7D7BAB" w14:textId="77777777" w:rsidTr="001F3550">
        <w:tc>
          <w:tcPr>
            <w:tcW w:w="1212" w:type="dxa"/>
          </w:tcPr>
          <w:p w14:paraId="6441C876" w14:textId="77777777" w:rsidR="00D319CF" w:rsidRPr="001362A6" w:rsidRDefault="00D319CF" w:rsidP="00D319CF">
            <w:pPr>
              <w:rPr>
                <w:rFonts w:ascii="Lato" w:hAnsi="Lato"/>
                <w:sz w:val="22"/>
                <w:szCs w:val="22"/>
                <w:lang w:val="en-IE"/>
              </w:rPr>
            </w:pPr>
            <w:r w:rsidRPr="001362A6">
              <w:rPr>
                <w:rFonts w:ascii="Lato" w:hAnsi="Lato"/>
                <w:sz w:val="22"/>
                <w:szCs w:val="22"/>
                <w:lang w:val="en-IE"/>
              </w:rPr>
              <w:t xml:space="preserve">1.5.1 </w:t>
            </w:r>
          </w:p>
        </w:tc>
        <w:tc>
          <w:tcPr>
            <w:tcW w:w="7734" w:type="dxa"/>
            <w:gridSpan w:val="4"/>
            <w:tcBorders>
              <w:bottom w:val="single" w:sz="4" w:space="0" w:color="auto"/>
            </w:tcBorders>
          </w:tcPr>
          <w:p w14:paraId="4AB4325B" w14:textId="77777777" w:rsidR="00D319CF" w:rsidRPr="001362A6" w:rsidRDefault="00D319CF" w:rsidP="00D319CF">
            <w:pPr>
              <w:rPr>
                <w:rFonts w:ascii="Lato" w:hAnsi="Lato"/>
                <w:sz w:val="22"/>
                <w:szCs w:val="22"/>
                <w:lang w:val="en-IE"/>
              </w:rPr>
            </w:pPr>
            <w:r w:rsidRPr="001362A6">
              <w:rPr>
                <w:rFonts w:ascii="Lato" w:hAnsi="Lato"/>
                <w:sz w:val="22"/>
                <w:szCs w:val="22"/>
                <w:lang w:val="en-IE"/>
              </w:rPr>
              <w:t>Name, address and employer of the Money Laundering Reporting Officer of the investment company</w:t>
            </w:r>
            <w:r w:rsidR="00B94784" w:rsidRPr="001362A6">
              <w:rPr>
                <w:rFonts w:ascii="Lato" w:hAnsi="Lato"/>
                <w:sz w:val="22"/>
                <w:szCs w:val="22"/>
                <w:lang w:val="en-IE"/>
              </w:rPr>
              <w:t>, ICAV</w:t>
            </w:r>
            <w:r w:rsidRPr="001362A6">
              <w:rPr>
                <w:rFonts w:ascii="Lato" w:hAnsi="Lato"/>
                <w:sz w:val="22"/>
                <w:szCs w:val="22"/>
                <w:lang w:val="en-IE"/>
              </w:rPr>
              <w:t xml:space="preserve"> or of the AIFM/Management Company in the case of a unit trust/CCF or a</w:t>
            </w:r>
            <w:r w:rsidRPr="001362A6">
              <w:rPr>
                <w:rFonts w:ascii="Lato" w:hAnsi="Lato"/>
                <w:sz w:val="22"/>
                <w:szCs w:val="22"/>
              </w:rPr>
              <w:t xml:space="preserve"> </w:t>
            </w:r>
            <w:r w:rsidRPr="001362A6">
              <w:rPr>
                <w:rFonts w:ascii="Lato" w:hAnsi="Lato"/>
                <w:sz w:val="22"/>
                <w:szCs w:val="22"/>
                <w:lang w:val="en-IE"/>
              </w:rPr>
              <w:t>General Partner in the case of an ILP</w:t>
            </w:r>
          </w:p>
        </w:tc>
        <w:tc>
          <w:tcPr>
            <w:tcW w:w="547" w:type="dxa"/>
            <w:tcBorders>
              <w:bottom w:val="single" w:sz="4" w:space="0" w:color="auto"/>
            </w:tcBorders>
          </w:tcPr>
          <w:p w14:paraId="7DFC9E94" w14:textId="77777777" w:rsidR="00D319CF" w:rsidRPr="001362A6" w:rsidRDefault="00D319CF" w:rsidP="00D319CF">
            <w:pPr>
              <w:rPr>
                <w:rFonts w:ascii="Lato" w:hAnsi="Lato"/>
                <w:sz w:val="22"/>
                <w:szCs w:val="22"/>
                <w:lang w:val="en-IE"/>
              </w:rPr>
            </w:pPr>
          </w:p>
        </w:tc>
        <w:tc>
          <w:tcPr>
            <w:tcW w:w="1082" w:type="dxa"/>
            <w:gridSpan w:val="3"/>
          </w:tcPr>
          <w:p w14:paraId="5F5C8595" w14:textId="77777777" w:rsidR="00D319CF" w:rsidRPr="001362A6" w:rsidRDefault="00D319CF" w:rsidP="00D319CF">
            <w:pPr>
              <w:rPr>
                <w:rFonts w:ascii="Lato" w:hAnsi="Lato"/>
                <w:sz w:val="22"/>
                <w:szCs w:val="22"/>
                <w:lang w:val="en-IE"/>
              </w:rPr>
            </w:pPr>
          </w:p>
        </w:tc>
      </w:tr>
      <w:tr w:rsidR="00D319CF" w:rsidRPr="001362A6" w14:paraId="335DC120" w14:textId="77777777" w:rsidTr="001F3550">
        <w:tc>
          <w:tcPr>
            <w:tcW w:w="1212" w:type="dxa"/>
            <w:tcBorders>
              <w:right w:val="single" w:sz="4" w:space="0" w:color="auto"/>
            </w:tcBorders>
          </w:tcPr>
          <w:p w14:paraId="17FE4775" w14:textId="77777777" w:rsidR="00D319CF" w:rsidRPr="001362A6" w:rsidRDefault="00D319CF" w:rsidP="00D319CF">
            <w:pPr>
              <w:rPr>
                <w:rFonts w:ascii="Lato" w:hAnsi="Lato"/>
                <w:sz w:val="22"/>
                <w:szCs w:val="22"/>
                <w:lang w:val="en-IE"/>
              </w:rPr>
            </w:pPr>
          </w:p>
        </w:tc>
        <w:tc>
          <w:tcPr>
            <w:tcW w:w="7734" w:type="dxa"/>
            <w:gridSpan w:val="4"/>
            <w:tcBorders>
              <w:top w:val="single" w:sz="4" w:space="0" w:color="auto"/>
              <w:left w:val="single" w:sz="4" w:space="0" w:color="auto"/>
            </w:tcBorders>
          </w:tcPr>
          <w:p w14:paraId="1108228E" w14:textId="77777777" w:rsidR="00D319CF" w:rsidRPr="001362A6" w:rsidRDefault="00D319CF" w:rsidP="00D319CF">
            <w:pPr>
              <w:rPr>
                <w:rFonts w:ascii="Lato" w:hAnsi="Lato"/>
                <w:sz w:val="22"/>
                <w:szCs w:val="22"/>
                <w:lang w:val="en-IE"/>
              </w:rPr>
            </w:pPr>
          </w:p>
        </w:tc>
        <w:tc>
          <w:tcPr>
            <w:tcW w:w="547" w:type="dxa"/>
            <w:tcBorders>
              <w:top w:val="single" w:sz="4" w:space="0" w:color="auto"/>
              <w:left w:val="nil"/>
              <w:right w:val="single" w:sz="4" w:space="0" w:color="auto"/>
            </w:tcBorders>
          </w:tcPr>
          <w:p w14:paraId="00226D45" w14:textId="77777777" w:rsidR="00D319CF" w:rsidRPr="001362A6" w:rsidRDefault="00D319CF" w:rsidP="00D319CF">
            <w:pPr>
              <w:rPr>
                <w:rFonts w:ascii="Lato" w:hAnsi="Lato"/>
                <w:sz w:val="22"/>
                <w:szCs w:val="22"/>
                <w:lang w:val="en-IE"/>
              </w:rPr>
            </w:pPr>
          </w:p>
        </w:tc>
        <w:tc>
          <w:tcPr>
            <w:tcW w:w="1082" w:type="dxa"/>
            <w:gridSpan w:val="3"/>
            <w:tcBorders>
              <w:left w:val="single" w:sz="4" w:space="0" w:color="auto"/>
            </w:tcBorders>
          </w:tcPr>
          <w:p w14:paraId="43C68EB6" w14:textId="77777777" w:rsidR="00D319CF" w:rsidRPr="001362A6" w:rsidRDefault="00D319CF" w:rsidP="00D319CF">
            <w:pPr>
              <w:rPr>
                <w:rFonts w:ascii="Lato" w:hAnsi="Lato"/>
                <w:sz w:val="22"/>
                <w:szCs w:val="22"/>
                <w:lang w:val="en-IE"/>
              </w:rPr>
            </w:pPr>
          </w:p>
        </w:tc>
      </w:tr>
      <w:tr w:rsidR="00D319CF" w:rsidRPr="001362A6" w14:paraId="3A69CCBB" w14:textId="77777777" w:rsidTr="001F3550">
        <w:tc>
          <w:tcPr>
            <w:tcW w:w="1212" w:type="dxa"/>
            <w:tcBorders>
              <w:right w:val="single" w:sz="4" w:space="0" w:color="auto"/>
            </w:tcBorders>
          </w:tcPr>
          <w:p w14:paraId="2EC6A4CB" w14:textId="77777777" w:rsidR="00D319CF" w:rsidRPr="001362A6" w:rsidRDefault="00D319CF" w:rsidP="00D319CF">
            <w:pPr>
              <w:rPr>
                <w:rFonts w:ascii="Lato" w:hAnsi="Lato"/>
                <w:sz w:val="22"/>
                <w:szCs w:val="22"/>
                <w:lang w:val="en-IE"/>
              </w:rPr>
            </w:pPr>
          </w:p>
        </w:tc>
        <w:tc>
          <w:tcPr>
            <w:tcW w:w="7734" w:type="dxa"/>
            <w:gridSpan w:val="4"/>
            <w:tcBorders>
              <w:left w:val="single" w:sz="4" w:space="0" w:color="auto"/>
            </w:tcBorders>
          </w:tcPr>
          <w:p w14:paraId="15ACD41E" w14:textId="77777777" w:rsidR="00D319CF" w:rsidRPr="001362A6" w:rsidRDefault="00D319CF" w:rsidP="00D319CF">
            <w:pPr>
              <w:rPr>
                <w:rFonts w:ascii="Lato" w:hAnsi="Lato"/>
                <w:sz w:val="22"/>
                <w:szCs w:val="22"/>
                <w:lang w:val="en-IE"/>
              </w:rPr>
            </w:pPr>
          </w:p>
        </w:tc>
        <w:tc>
          <w:tcPr>
            <w:tcW w:w="547" w:type="dxa"/>
            <w:tcBorders>
              <w:left w:val="nil"/>
              <w:right w:val="single" w:sz="4" w:space="0" w:color="auto"/>
            </w:tcBorders>
          </w:tcPr>
          <w:p w14:paraId="22524A9B" w14:textId="77777777" w:rsidR="00D319CF" w:rsidRPr="001362A6" w:rsidRDefault="00D319CF" w:rsidP="00D319CF">
            <w:pPr>
              <w:rPr>
                <w:rFonts w:ascii="Lato" w:hAnsi="Lato"/>
                <w:sz w:val="22"/>
                <w:szCs w:val="22"/>
                <w:lang w:val="en-IE"/>
              </w:rPr>
            </w:pPr>
          </w:p>
        </w:tc>
        <w:tc>
          <w:tcPr>
            <w:tcW w:w="1082" w:type="dxa"/>
            <w:gridSpan w:val="3"/>
            <w:tcBorders>
              <w:left w:val="single" w:sz="4" w:space="0" w:color="auto"/>
            </w:tcBorders>
          </w:tcPr>
          <w:p w14:paraId="4A04EFA1" w14:textId="77777777" w:rsidR="00D319CF" w:rsidRPr="001362A6" w:rsidRDefault="00D319CF" w:rsidP="00D319CF">
            <w:pPr>
              <w:rPr>
                <w:rFonts w:ascii="Lato" w:hAnsi="Lato"/>
                <w:sz w:val="22"/>
                <w:szCs w:val="22"/>
                <w:lang w:val="en-IE"/>
              </w:rPr>
            </w:pPr>
          </w:p>
        </w:tc>
      </w:tr>
      <w:tr w:rsidR="001F3550" w:rsidRPr="001362A6" w14:paraId="43FEA485" w14:textId="77777777" w:rsidTr="001F3550">
        <w:tc>
          <w:tcPr>
            <w:tcW w:w="1212" w:type="dxa"/>
            <w:tcBorders>
              <w:right w:val="single" w:sz="4" w:space="0" w:color="auto"/>
            </w:tcBorders>
          </w:tcPr>
          <w:p w14:paraId="07DFE23A" w14:textId="77777777" w:rsidR="001F3550" w:rsidRPr="001362A6" w:rsidRDefault="001F3550" w:rsidP="00D319CF">
            <w:pPr>
              <w:rPr>
                <w:rFonts w:ascii="Lato" w:hAnsi="Lato"/>
                <w:sz w:val="22"/>
                <w:szCs w:val="22"/>
                <w:lang w:val="en-IE"/>
              </w:rPr>
            </w:pPr>
          </w:p>
        </w:tc>
        <w:tc>
          <w:tcPr>
            <w:tcW w:w="7734" w:type="dxa"/>
            <w:gridSpan w:val="4"/>
            <w:tcBorders>
              <w:left w:val="single" w:sz="4" w:space="0" w:color="auto"/>
              <w:bottom w:val="single" w:sz="4" w:space="0" w:color="auto"/>
            </w:tcBorders>
          </w:tcPr>
          <w:p w14:paraId="32F678B4" w14:textId="77777777" w:rsidR="001F3550" w:rsidRPr="001362A6" w:rsidRDefault="001F3550" w:rsidP="00D319CF">
            <w:pPr>
              <w:rPr>
                <w:rFonts w:ascii="Lato" w:hAnsi="Lato"/>
                <w:sz w:val="22"/>
                <w:szCs w:val="22"/>
                <w:lang w:val="en-IE"/>
              </w:rPr>
            </w:pPr>
          </w:p>
        </w:tc>
        <w:tc>
          <w:tcPr>
            <w:tcW w:w="547" w:type="dxa"/>
            <w:tcBorders>
              <w:left w:val="nil"/>
              <w:bottom w:val="single" w:sz="4" w:space="0" w:color="auto"/>
              <w:right w:val="single" w:sz="4" w:space="0" w:color="auto"/>
            </w:tcBorders>
          </w:tcPr>
          <w:p w14:paraId="34815C9F" w14:textId="77777777" w:rsidR="001F3550" w:rsidRPr="001362A6" w:rsidRDefault="001F3550" w:rsidP="00D319CF">
            <w:pPr>
              <w:rPr>
                <w:rFonts w:ascii="Lato" w:hAnsi="Lato"/>
                <w:sz w:val="22"/>
                <w:szCs w:val="22"/>
                <w:lang w:val="en-IE"/>
              </w:rPr>
            </w:pPr>
          </w:p>
        </w:tc>
        <w:tc>
          <w:tcPr>
            <w:tcW w:w="1082" w:type="dxa"/>
            <w:gridSpan w:val="3"/>
            <w:tcBorders>
              <w:left w:val="single" w:sz="4" w:space="0" w:color="auto"/>
            </w:tcBorders>
          </w:tcPr>
          <w:p w14:paraId="61CB0152" w14:textId="77777777" w:rsidR="001F3550" w:rsidRPr="001362A6" w:rsidRDefault="001F3550" w:rsidP="00D319CF">
            <w:pPr>
              <w:rPr>
                <w:rFonts w:ascii="Lato" w:hAnsi="Lato"/>
                <w:sz w:val="22"/>
                <w:szCs w:val="22"/>
                <w:lang w:val="en-IE"/>
              </w:rPr>
            </w:pPr>
          </w:p>
        </w:tc>
      </w:tr>
      <w:tr w:rsidR="001F3550" w:rsidRPr="001362A6" w14:paraId="7C34763D" w14:textId="77777777" w:rsidTr="00D605C6">
        <w:tc>
          <w:tcPr>
            <w:tcW w:w="1212" w:type="dxa"/>
          </w:tcPr>
          <w:p w14:paraId="1AFA5437" w14:textId="77777777" w:rsidR="001F3550" w:rsidRPr="001362A6" w:rsidRDefault="001F3550" w:rsidP="00D319CF">
            <w:pPr>
              <w:rPr>
                <w:rFonts w:ascii="Lato" w:hAnsi="Lato"/>
                <w:sz w:val="22"/>
                <w:szCs w:val="22"/>
                <w:lang w:val="en-IE"/>
              </w:rPr>
            </w:pPr>
          </w:p>
        </w:tc>
        <w:tc>
          <w:tcPr>
            <w:tcW w:w="7734" w:type="dxa"/>
            <w:gridSpan w:val="4"/>
            <w:tcBorders>
              <w:top w:val="single" w:sz="4" w:space="0" w:color="auto"/>
            </w:tcBorders>
          </w:tcPr>
          <w:p w14:paraId="107D89EA" w14:textId="77777777" w:rsidR="001F3550" w:rsidRPr="001362A6" w:rsidRDefault="001F3550" w:rsidP="00D319CF">
            <w:pPr>
              <w:rPr>
                <w:rFonts w:ascii="Lato" w:hAnsi="Lato"/>
                <w:sz w:val="22"/>
                <w:szCs w:val="22"/>
                <w:lang w:val="en-IE"/>
              </w:rPr>
            </w:pPr>
          </w:p>
        </w:tc>
        <w:tc>
          <w:tcPr>
            <w:tcW w:w="547" w:type="dxa"/>
            <w:tcBorders>
              <w:top w:val="single" w:sz="4" w:space="0" w:color="auto"/>
              <w:left w:val="nil"/>
            </w:tcBorders>
          </w:tcPr>
          <w:p w14:paraId="3B2097DF" w14:textId="77777777" w:rsidR="001F3550" w:rsidRPr="001362A6" w:rsidRDefault="001F3550" w:rsidP="00D319CF">
            <w:pPr>
              <w:rPr>
                <w:rFonts w:ascii="Lato" w:hAnsi="Lato"/>
                <w:sz w:val="22"/>
                <w:szCs w:val="22"/>
                <w:lang w:val="en-IE"/>
              </w:rPr>
            </w:pPr>
          </w:p>
        </w:tc>
        <w:tc>
          <w:tcPr>
            <w:tcW w:w="1082" w:type="dxa"/>
            <w:gridSpan w:val="3"/>
          </w:tcPr>
          <w:p w14:paraId="6C6F12E3" w14:textId="77777777" w:rsidR="001F3550" w:rsidRPr="001362A6" w:rsidRDefault="001F3550" w:rsidP="00D319CF">
            <w:pPr>
              <w:rPr>
                <w:rFonts w:ascii="Lato" w:hAnsi="Lato"/>
                <w:sz w:val="22"/>
                <w:szCs w:val="22"/>
                <w:lang w:val="en-IE"/>
              </w:rPr>
            </w:pPr>
          </w:p>
        </w:tc>
      </w:tr>
      <w:tr w:rsidR="001F3550" w:rsidRPr="001362A6" w14:paraId="2DB79163" w14:textId="77777777" w:rsidTr="00E300EA">
        <w:tc>
          <w:tcPr>
            <w:tcW w:w="1212" w:type="dxa"/>
          </w:tcPr>
          <w:p w14:paraId="03A8F208" w14:textId="77777777" w:rsidR="001F3550" w:rsidRPr="001362A6" w:rsidRDefault="001F3550" w:rsidP="00FD764E">
            <w:pPr>
              <w:rPr>
                <w:rFonts w:ascii="Lato" w:hAnsi="Lato"/>
                <w:sz w:val="22"/>
                <w:szCs w:val="22"/>
                <w:lang w:val="en-IE"/>
              </w:rPr>
            </w:pPr>
          </w:p>
        </w:tc>
        <w:tc>
          <w:tcPr>
            <w:tcW w:w="7734" w:type="dxa"/>
            <w:gridSpan w:val="4"/>
          </w:tcPr>
          <w:p w14:paraId="0359D7BB" w14:textId="77777777" w:rsidR="001F3550" w:rsidRPr="001362A6" w:rsidRDefault="001F3550" w:rsidP="00FD764E">
            <w:pPr>
              <w:pStyle w:val="Heading1"/>
              <w:spacing w:before="0" w:after="0" w:line="240" w:lineRule="auto"/>
              <w:rPr>
                <w:rFonts w:ascii="Lato" w:hAnsi="Lato"/>
                <w:color w:val="auto"/>
                <w:sz w:val="22"/>
                <w:szCs w:val="22"/>
              </w:rPr>
            </w:pPr>
            <w:r w:rsidRPr="001362A6">
              <w:rPr>
                <w:rFonts w:ascii="Lato" w:hAnsi="Lato"/>
                <w:color w:val="auto"/>
                <w:sz w:val="22"/>
                <w:szCs w:val="22"/>
              </w:rPr>
              <w:t>Where the employer of the Money Laundering Reporting Officer is located outside the State, Confirm that:</w:t>
            </w:r>
          </w:p>
        </w:tc>
        <w:tc>
          <w:tcPr>
            <w:tcW w:w="547" w:type="dxa"/>
            <w:tcBorders>
              <w:left w:val="nil"/>
            </w:tcBorders>
          </w:tcPr>
          <w:p w14:paraId="28B5C49A" w14:textId="77777777" w:rsidR="001F3550" w:rsidRPr="001362A6" w:rsidRDefault="001F3550" w:rsidP="00FD764E">
            <w:pPr>
              <w:rPr>
                <w:rFonts w:ascii="Lato" w:hAnsi="Lato"/>
                <w:sz w:val="22"/>
                <w:szCs w:val="22"/>
                <w:lang w:val="en-IE"/>
              </w:rPr>
            </w:pPr>
          </w:p>
        </w:tc>
        <w:tc>
          <w:tcPr>
            <w:tcW w:w="1082" w:type="dxa"/>
            <w:gridSpan w:val="3"/>
            <w:tcBorders>
              <w:bottom w:val="single" w:sz="4" w:space="0" w:color="auto"/>
            </w:tcBorders>
          </w:tcPr>
          <w:p w14:paraId="60440D1A" w14:textId="77777777" w:rsidR="001F3550" w:rsidRPr="001362A6" w:rsidRDefault="001F3550" w:rsidP="00FD764E">
            <w:pPr>
              <w:rPr>
                <w:rFonts w:ascii="Lato" w:hAnsi="Lato"/>
                <w:sz w:val="22"/>
                <w:szCs w:val="22"/>
                <w:lang w:val="en-IE"/>
              </w:rPr>
            </w:pPr>
          </w:p>
        </w:tc>
      </w:tr>
      <w:tr w:rsidR="001F3550" w:rsidRPr="001362A6" w14:paraId="74FB7A64" w14:textId="77777777" w:rsidTr="00E300EA">
        <w:trPr>
          <w:cantSplit/>
          <w:trHeight w:val="255"/>
        </w:trPr>
        <w:tc>
          <w:tcPr>
            <w:tcW w:w="1212" w:type="dxa"/>
            <w:vMerge w:val="restart"/>
          </w:tcPr>
          <w:p w14:paraId="76514EDD" w14:textId="77777777" w:rsidR="001F3550" w:rsidRPr="001362A6" w:rsidRDefault="001F3550" w:rsidP="00FD764E">
            <w:pPr>
              <w:jc w:val="right"/>
              <w:rPr>
                <w:rFonts w:ascii="Lato" w:hAnsi="Lato"/>
                <w:sz w:val="22"/>
                <w:szCs w:val="22"/>
                <w:lang w:val="en-IE"/>
              </w:rPr>
            </w:pPr>
            <w:r w:rsidRPr="001362A6">
              <w:rPr>
                <w:rFonts w:ascii="Lato" w:hAnsi="Lato"/>
                <w:sz w:val="22"/>
                <w:szCs w:val="22"/>
                <w:lang w:val="en-IE"/>
              </w:rPr>
              <w:t>a)</w:t>
            </w:r>
          </w:p>
        </w:tc>
        <w:tc>
          <w:tcPr>
            <w:tcW w:w="7734" w:type="dxa"/>
            <w:gridSpan w:val="4"/>
            <w:vMerge w:val="restart"/>
          </w:tcPr>
          <w:p w14:paraId="284B7490" w14:textId="77777777" w:rsidR="001F3550" w:rsidRPr="001362A6" w:rsidRDefault="001F3550" w:rsidP="00FD764E">
            <w:pPr>
              <w:rPr>
                <w:rFonts w:ascii="Lato" w:hAnsi="Lato"/>
                <w:sz w:val="22"/>
                <w:szCs w:val="22"/>
                <w:lang w:val="en-IE"/>
              </w:rPr>
            </w:pPr>
            <w:r w:rsidRPr="001362A6">
              <w:rPr>
                <w:rFonts w:ascii="Lato" w:hAnsi="Lato"/>
                <w:sz w:val="22"/>
                <w:szCs w:val="22"/>
                <w:lang w:val="en-IE"/>
              </w:rPr>
              <w:t>The obligations of the Q</w:t>
            </w:r>
            <w:r w:rsidR="00E300EA" w:rsidRPr="001362A6">
              <w:rPr>
                <w:rFonts w:ascii="Lato" w:hAnsi="Lato"/>
                <w:sz w:val="22"/>
                <w:szCs w:val="22"/>
                <w:lang w:val="en-IE"/>
              </w:rPr>
              <w:t xml:space="preserve">ualifying </w:t>
            </w:r>
            <w:r w:rsidRPr="001362A6">
              <w:rPr>
                <w:rFonts w:ascii="Lato" w:hAnsi="Lato"/>
                <w:sz w:val="22"/>
                <w:szCs w:val="22"/>
                <w:lang w:val="en-IE"/>
              </w:rPr>
              <w:t>I</w:t>
            </w:r>
            <w:r w:rsidR="00E300EA" w:rsidRPr="001362A6">
              <w:rPr>
                <w:rFonts w:ascii="Lato" w:hAnsi="Lato"/>
                <w:sz w:val="22"/>
                <w:szCs w:val="22"/>
                <w:lang w:val="en-IE"/>
              </w:rPr>
              <w:t xml:space="preserve">nvestor </w:t>
            </w:r>
            <w:r w:rsidRPr="001362A6">
              <w:rPr>
                <w:rFonts w:ascii="Lato" w:hAnsi="Lato"/>
                <w:sz w:val="22"/>
                <w:szCs w:val="22"/>
                <w:lang w:val="en-IE"/>
              </w:rPr>
              <w:t>AIF under the relevant legislation</w:t>
            </w:r>
            <w:r w:rsidRPr="001362A6">
              <w:rPr>
                <w:rStyle w:val="FootnoteReference"/>
                <w:rFonts w:ascii="Lato" w:hAnsi="Lato"/>
                <w:sz w:val="22"/>
                <w:szCs w:val="22"/>
                <w:lang w:val="en-IE"/>
              </w:rPr>
              <w:footnoteReference w:id="5"/>
            </w:r>
            <w:r w:rsidRPr="001362A6">
              <w:rPr>
                <w:rFonts w:ascii="Lato" w:hAnsi="Lato"/>
                <w:sz w:val="22"/>
                <w:szCs w:val="22"/>
                <w:lang w:val="en-IE"/>
              </w:rPr>
              <w:t>, in particular the obligation to report suspicious transactions, were specifically brought to the attention of the board of directors of the investment company</w:t>
            </w:r>
            <w:r w:rsidR="00B94784" w:rsidRPr="001362A6">
              <w:rPr>
                <w:rFonts w:ascii="Lato" w:hAnsi="Lato"/>
                <w:sz w:val="22"/>
                <w:szCs w:val="22"/>
                <w:lang w:val="en-IE"/>
              </w:rPr>
              <w:t>, ICAV</w:t>
            </w:r>
            <w:r w:rsidRPr="001362A6">
              <w:rPr>
                <w:rFonts w:ascii="Lato" w:hAnsi="Lato"/>
                <w:sz w:val="22"/>
                <w:szCs w:val="22"/>
                <w:lang w:val="en-IE"/>
              </w:rPr>
              <w:t xml:space="preserve"> or AIFM/Management Company/General Partner in the case of a unit trust or CCF/ILP</w:t>
            </w:r>
          </w:p>
        </w:tc>
        <w:tc>
          <w:tcPr>
            <w:tcW w:w="547" w:type="dxa"/>
            <w:vMerge w:val="restart"/>
            <w:tcBorders>
              <w:left w:val="nil"/>
              <w:right w:val="single" w:sz="4" w:space="0" w:color="auto"/>
            </w:tcBorders>
          </w:tcPr>
          <w:p w14:paraId="71C390F3" w14:textId="77777777" w:rsidR="001F3550" w:rsidRPr="001362A6" w:rsidRDefault="001F3550" w:rsidP="00FD764E">
            <w:pPr>
              <w:rPr>
                <w:rFonts w:ascii="Lato" w:hAnsi="Lato"/>
                <w:sz w:val="22"/>
                <w:szCs w:val="22"/>
                <w:lang w:val="en-IE"/>
              </w:rPr>
            </w:pPr>
          </w:p>
        </w:tc>
        <w:tc>
          <w:tcPr>
            <w:tcW w:w="1082" w:type="dxa"/>
            <w:gridSpan w:val="3"/>
            <w:tcBorders>
              <w:top w:val="single" w:sz="4" w:space="0" w:color="auto"/>
              <w:left w:val="single" w:sz="4" w:space="0" w:color="auto"/>
              <w:bottom w:val="single" w:sz="4" w:space="0" w:color="auto"/>
              <w:right w:val="single" w:sz="4" w:space="0" w:color="auto"/>
            </w:tcBorders>
          </w:tcPr>
          <w:p w14:paraId="769CB5E8" w14:textId="77777777" w:rsidR="001F3550" w:rsidRPr="001362A6" w:rsidRDefault="001F3550" w:rsidP="00FD764E">
            <w:pPr>
              <w:rPr>
                <w:rFonts w:ascii="Lato" w:hAnsi="Lato"/>
                <w:sz w:val="22"/>
                <w:szCs w:val="22"/>
                <w:lang w:val="en-IE"/>
              </w:rPr>
            </w:pPr>
          </w:p>
        </w:tc>
      </w:tr>
      <w:tr w:rsidR="001F3550" w:rsidRPr="001362A6" w14:paraId="339A7C43" w14:textId="77777777" w:rsidTr="00FD764E">
        <w:trPr>
          <w:cantSplit/>
          <w:trHeight w:val="254"/>
        </w:trPr>
        <w:tc>
          <w:tcPr>
            <w:tcW w:w="1212" w:type="dxa"/>
            <w:vMerge/>
          </w:tcPr>
          <w:p w14:paraId="6E934AEE" w14:textId="77777777" w:rsidR="001F3550" w:rsidRPr="001362A6" w:rsidRDefault="001F3550" w:rsidP="00FD764E">
            <w:pPr>
              <w:jc w:val="right"/>
              <w:rPr>
                <w:rFonts w:ascii="Lato" w:hAnsi="Lato"/>
                <w:sz w:val="22"/>
                <w:szCs w:val="22"/>
                <w:lang w:val="en-IE"/>
              </w:rPr>
            </w:pPr>
          </w:p>
        </w:tc>
        <w:tc>
          <w:tcPr>
            <w:tcW w:w="7734" w:type="dxa"/>
            <w:gridSpan w:val="4"/>
            <w:vMerge/>
          </w:tcPr>
          <w:p w14:paraId="23AE8F5D" w14:textId="77777777" w:rsidR="001F3550" w:rsidRPr="001362A6" w:rsidRDefault="001F3550" w:rsidP="00FD764E">
            <w:pPr>
              <w:rPr>
                <w:rFonts w:ascii="Lato" w:hAnsi="Lato"/>
                <w:sz w:val="22"/>
                <w:szCs w:val="22"/>
                <w:lang w:val="en-IE"/>
              </w:rPr>
            </w:pPr>
          </w:p>
        </w:tc>
        <w:tc>
          <w:tcPr>
            <w:tcW w:w="547" w:type="dxa"/>
            <w:vMerge/>
            <w:tcBorders>
              <w:left w:val="nil"/>
            </w:tcBorders>
          </w:tcPr>
          <w:p w14:paraId="7ABEA2D8" w14:textId="77777777" w:rsidR="001F3550" w:rsidRPr="001362A6" w:rsidRDefault="001F3550" w:rsidP="00FD764E">
            <w:pPr>
              <w:rPr>
                <w:rFonts w:ascii="Lato" w:hAnsi="Lato"/>
                <w:sz w:val="22"/>
                <w:szCs w:val="22"/>
                <w:lang w:val="en-IE"/>
              </w:rPr>
            </w:pPr>
          </w:p>
        </w:tc>
        <w:tc>
          <w:tcPr>
            <w:tcW w:w="1082" w:type="dxa"/>
            <w:gridSpan w:val="3"/>
            <w:tcBorders>
              <w:top w:val="single" w:sz="4" w:space="0" w:color="auto"/>
            </w:tcBorders>
          </w:tcPr>
          <w:p w14:paraId="7E7A4448" w14:textId="77777777" w:rsidR="001F3550" w:rsidRPr="001362A6" w:rsidRDefault="001F3550" w:rsidP="00FD764E">
            <w:pPr>
              <w:rPr>
                <w:rFonts w:ascii="Lato" w:hAnsi="Lato"/>
                <w:sz w:val="22"/>
                <w:szCs w:val="22"/>
                <w:lang w:val="en-IE"/>
              </w:rPr>
            </w:pPr>
          </w:p>
        </w:tc>
      </w:tr>
      <w:tr w:rsidR="001F3550" w:rsidRPr="001362A6" w14:paraId="722AE608" w14:textId="77777777" w:rsidTr="00521989">
        <w:tc>
          <w:tcPr>
            <w:tcW w:w="1212" w:type="dxa"/>
          </w:tcPr>
          <w:p w14:paraId="489DE4CA" w14:textId="77777777" w:rsidR="001F3550" w:rsidRPr="001362A6" w:rsidRDefault="001F3550" w:rsidP="00FD764E">
            <w:pPr>
              <w:jc w:val="right"/>
              <w:rPr>
                <w:rFonts w:ascii="Lato" w:hAnsi="Lato"/>
                <w:sz w:val="22"/>
                <w:szCs w:val="22"/>
                <w:lang w:val="en-IE"/>
              </w:rPr>
            </w:pPr>
          </w:p>
        </w:tc>
        <w:tc>
          <w:tcPr>
            <w:tcW w:w="7734" w:type="dxa"/>
            <w:gridSpan w:val="4"/>
          </w:tcPr>
          <w:p w14:paraId="6C5EFA0A" w14:textId="77777777" w:rsidR="001F3550" w:rsidRPr="001362A6" w:rsidRDefault="001F3550" w:rsidP="00FD764E">
            <w:pPr>
              <w:rPr>
                <w:rFonts w:ascii="Lato" w:hAnsi="Lato"/>
                <w:sz w:val="22"/>
                <w:szCs w:val="22"/>
                <w:lang w:val="en-IE"/>
              </w:rPr>
            </w:pPr>
            <w:r w:rsidRPr="001362A6">
              <w:rPr>
                <w:rFonts w:ascii="Lato" w:hAnsi="Lato"/>
                <w:sz w:val="22"/>
                <w:szCs w:val="22"/>
                <w:lang w:val="en-IE"/>
              </w:rPr>
              <w:t>and</w:t>
            </w:r>
          </w:p>
        </w:tc>
        <w:tc>
          <w:tcPr>
            <w:tcW w:w="547" w:type="dxa"/>
            <w:tcBorders>
              <w:left w:val="nil"/>
            </w:tcBorders>
          </w:tcPr>
          <w:p w14:paraId="12AB379D" w14:textId="77777777" w:rsidR="001F3550" w:rsidRPr="001362A6" w:rsidRDefault="001F3550" w:rsidP="00FD764E">
            <w:pPr>
              <w:rPr>
                <w:rFonts w:ascii="Lato" w:hAnsi="Lato"/>
                <w:sz w:val="22"/>
                <w:szCs w:val="22"/>
                <w:lang w:val="en-IE"/>
              </w:rPr>
            </w:pPr>
          </w:p>
        </w:tc>
        <w:tc>
          <w:tcPr>
            <w:tcW w:w="1082" w:type="dxa"/>
            <w:gridSpan w:val="3"/>
            <w:tcBorders>
              <w:bottom w:val="single" w:sz="4" w:space="0" w:color="auto"/>
            </w:tcBorders>
          </w:tcPr>
          <w:p w14:paraId="4D813DC1" w14:textId="77777777" w:rsidR="001F3550" w:rsidRPr="001362A6" w:rsidRDefault="001F3550" w:rsidP="00FD764E">
            <w:pPr>
              <w:rPr>
                <w:rFonts w:ascii="Lato" w:hAnsi="Lato"/>
                <w:sz w:val="22"/>
                <w:szCs w:val="22"/>
                <w:lang w:val="en-IE"/>
              </w:rPr>
            </w:pPr>
          </w:p>
        </w:tc>
      </w:tr>
      <w:tr w:rsidR="001F3550" w:rsidRPr="001362A6" w14:paraId="3E7ADD11" w14:textId="77777777" w:rsidTr="00521989">
        <w:tc>
          <w:tcPr>
            <w:tcW w:w="1212" w:type="dxa"/>
          </w:tcPr>
          <w:p w14:paraId="72C7C7B3" w14:textId="77777777" w:rsidR="001F3550" w:rsidRPr="001362A6" w:rsidRDefault="001F3550" w:rsidP="00FD764E">
            <w:pPr>
              <w:jc w:val="right"/>
              <w:rPr>
                <w:rFonts w:ascii="Lato" w:hAnsi="Lato"/>
                <w:sz w:val="22"/>
                <w:szCs w:val="22"/>
                <w:lang w:val="en-IE"/>
              </w:rPr>
            </w:pPr>
            <w:r w:rsidRPr="001362A6">
              <w:rPr>
                <w:rFonts w:ascii="Lato" w:hAnsi="Lato"/>
                <w:sz w:val="22"/>
                <w:szCs w:val="22"/>
                <w:lang w:val="en-IE"/>
              </w:rPr>
              <w:t>b)</w:t>
            </w:r>
          </w:p>
        </w:tc>
        <w:tc>
          <w:tcPr>
            <w:tcW w:w="7734" w:type="dxa"/>
            <w:gridSpan w:val="4"/>
          </w:tcPr>
          <w:p w14:paraId="75451589" w14:textId="77777777" w:rsidR="001F3550" w:rsidRPr="001362A6" w:rsidRDefault="001F3550" w:rsidP="00FD764E">
            <w:pPr>
              <w:rPr>
                <w:rFonts w:ascii="Lato" w:hAnsi="Lato"/>
                <w:sz w:val="22"/>
                <w:szCs w:val="22"/>
                <w:lang w:val="en-IE"/>
              </w:rPr>
            </w:pPr>
            <w:r w:rsidRPr="001362A6">
              <w:rPr>
                <w:rFonts w:ascii="Lato" w:hAnsi="Lato"/>
                <w:sz w:val="22"/>
                <w:szCs w:val="22"/>
                <w:lang w:val="en-IE"/>
              </w:rPr>
              <w:t>The entity (employer) is located in a Financial Action Task Force country</w:t>
            </w:r>
          </w:p>
        </w:tc>
        <w:tc>
          <w:tcPr>
            <w:tcW w:w="547" w:type="dxa"/>
            <w:tcBorders>
              <w:left w:val="nil"/>
              <w:right w:val="single" w:sz="4" w:space="0" w:color="auto"/>
            </w:tcBorders>
          </w:tcPr>
          <w:p w14:paraId="76581E2E" w14:textId="77777777" w:rsidR="001F3550" w:rsidRPr="001362A6" w:rsidRDefault="001F3550" w:rsidP="00FD764E">
            <w:pPr>
              <w:rPr>
                <w:rFonts w:ascii="Lato" w:hAnsi="Lato"/>
                <w:sz w:val="22"/>
                <w:szCs w:val="22"/>
                <w:lang w:val="en-IE"/>
              </w:rPr>
            </w:pPr>
          </w:p>
        </w:tc>
        <w:tc>
          <w:tcPr>
            <w:tcW w:w="1082" w:type="dxa"/>
            <w:gridSpan w:val="3"/>
            <w:tcBorders>
              <w:top w:val="single" w:sz="4" w:space="0" w:color="auto"/>
              <w:left w:val="single" w:sz="4" w:space="0" w:color="auto"/>
              <w:bottom w:val="single" w:sz="4" w:space="0" w:color="auto"/>
              <w:right w:val="single" w:sz="4" w:space="0" w:color="auto"/>
            </w:tcBorders>
          </w:tcPr>
          <w:p w14:paraId="2D8ABCD4" w14:textId="77777777" w:rsidR="001F3550" w:rsidRPr="001362A6" w:rsidRDefault="001F3550" w:rsidP="00FD764E">
            <w:pPr>
              <w:rPr>
                <w:rFonts w:ascii="Lato" w:hAnsi="Lato"/>
                <w:sz w:val="22"/>
                <w:szCs w:val="22"/>
                <w:lang w:val="en-IE"/>
              </w:rPr>
            </w:pPr>
          </w:p>
        </w:tc>
      </w:tr>
      <w:tr w:rsidR="00B42ADC" w:rsidRPr="001362A6" w14:paraId="2BFA1EF8" w14:textId="77777777" w:rsidTr="00521989">
        <w:tc>
          <w:tcPr>
            <w:tcW w:w="1212" w:type="dxa"/>
          </w:tcPr>
          <w:p w14:paraId="0A7FBD08" w14:textId="77777777" w:rsidR="00B42ADC" w:rsidRPr="001362A6" w:rsidRDefault="00B42ADC" w:rsidP="00FD764E">
            <w:pPr>
              <w:jc w:val="right"/>
              <w:rPr>
                <w:rFonts w:ascii="Lato" w:hAnsi="Lato"/>
                <w:sz w:val="22"/>
                <w:szCs w:val="22"/>
                <w:lang w:val="en-IE"/>
              </w:rPr>
            </w:pPr>
          </w:p>
        </w:tc>
        <w:tc>
          <w:tcPr>
            <w:tcW w:w="7734" w:type="dxa"/>
            <w:gridSpan w:val="4"/>
          </w:tcPr>
          <w:p w14:paraId="618385F0" w14:textId="77777777" w:rsidR="00B42ADC" w:rsidRPr="001362A6" w:rsidRDefault="00B42ADC" w:rsidP="00FD764E">
            <w:pPr>
              <w:rPr>
                <w:rFonts w:ascii="Lato" w:hAnsi="Lato"/>
                <w:sz w:val="22"/>
                <w:szCs w:val="22"/>
                <w:lang w:val="en-IE"/>
              </w:rPr>
            </w:pPr>
          </w:p>
        </w:tc>
        <w:tc>
          <w:tcPr>
            <w:tcW w:w="547" w:type="dxa"/>
            <w:tcBorders>
              <w:left w:val="nil"/>
            </w:tcBorders>
          </w:tcPr>
          <w:p w14:paraId="0DB64492" w14:textId="77777777" w:rsidR="00B42ADC" w:rsidRPr="001362A6" w:rsidRDefault="00B42ADC" w:rsidP="00FD764E">
            <w:pPr>
              <w:rPr>
                <w:rFonts w:ascii="Lato" w:hAnsi="Lato"/>
                <w:sz w:val="22"/>
                <w:szCs w:val="22"/>
                <w:lang w:val="en-IE"/>
              </w:rPr>
            </w:pPr>
          </w:p>
        </w:tc>
        <w:tc>
          <w:tcPr>
            <w:tcW w:w="1082" w:type="dxa"/>
            <w:gridSpan w:val="3"/>
            <w:tcBorders>
              <w:top w:val="single" w:sz="4" w:space="0" w:color="auto"/>
            </w:tcBorders>
          </w:tcPr>
          <w:p w14:paraId="24715C99" w14:textId="77777777" w:rsidR="00B42ADC" w:rsidRPr="001362A6" w:rsidRDefault="00B42ADC" w:rsidP="00FD764E">
            <w:pPr>
              <w:rPr>
                <w:rFonts w:ascii="Lato" w:hAnsi="Lato"/>
                <w:sz w:val="22"/>
                <w:szCs w:val="22"/>
                <w:lang w:val="en-IE"/>
              </w:rPr>
            </w:pPr>
          </w:p>
        </w:tc>
      </w:tr>
      <w:tr w:rsidR="001F3550" w:rsidRPr="001362A6" w14:paraId="7C1E6666" w14:textId="77777777" w:rsidTr="001F3550">
        <w:tc>
          <w:tcPr>
            <w:tcW w:w="1212" w:type="dxa"/>
          </w:tcPr>
          <w:p w14:paraId="3582CB37" w14:textId="77777777" w:rsidR="001F3550" w:rsidRPr="001362A6" w:rsidRDefault="001F3550" w:rsidP="00FD764E">
            <w:pPr>
              <w:rPr>
                <w:rFonts w:ascii="Lato" w:hAnsi="Lato"/>
                <w:sz w:val="22"/>
                <w:szCs w:val="22"/>
                <w:lang w:val="en-IE"/>
              </w:rPr>
            </w:pPr>
            <w:r w:rsidRPr="001362A6">
              <w:rPr>
                <w:rFonts w:ascii="Lato" w:hAnsi="Lato"/>
                <w:sz w:val="22"/>
                <w:szCs w:val="22"/>
                <w:lang w:val="en-IE"/>
              </w:rPr>
              <w:t>1.5.2</w:t>
            </w:r>
          </w:p>
        </w:tc>
        <w:tc>
          <w:tcPr>
            <w:tcW w:w="7734" w:type="dxa"/>
            <w:gridSpan w:val="4"/>
          </w:tcPr>
          <w:p w14:paraId="75BABC84" w14:textId="77777777" w:rsidR="001F3550" w:rsidRPr="001362A6" w:rsidRDefault="001F3550" w:rsidP="00B42ADC">
            <w:pPr>
              <w:ind w:right="-108"/>
              <w:rPr>
                <w:rFonts w:ascii="Lato" w:hAnsi="Lato"/>
                <w:sz w:val="22"/>
                <w:szCs w:val="22"/>
                <w:lang w:val="en-IE"/>
              </w:rPr>
            </w:pPr>
            <w:r w:rsidRPr="001362A6">
              <w:rPr>
                <w:rFonts w:ascii="Lato" w:hAnsi="Lato"/>
                <w:sz w:val="22"/>
                <w:szCs w:val="22"/>
                <w:lang w:val="en-IE"/>
              </w:rPr>
              <w:t>Is it intended to promote the sale of units/shares of the Q</w:t>
            </w:r>
            <w:r w:rsidR="00B42ADC" w:rsidRPr="001362A6">
              <w:rPr>
                <w:rFonts w:ascii="Lato" w:hAnsi="Lato"/>
                <w:sz w:val="22"/>
                <w:szCs w:val="22"/>
                <w:lang w:val="en-IE"/>
              </w:rPr>
              <w:t xml:space="preserve">ualifying </w:t>
            </w:r>
            <w:r w:rsidRPr="001362A6">
              <w:rPr>
                <w:rFonts w:ascii="Lato" w:hAnsi="Lato"/>
                <w:sz w:val="22"/>
                <w:szCs w:val="22"/>
                <w:lang w:val="en-IE"/>
              </w:rPr>
              <w:t>I</w:t>
            </w:r>
            <w:r w:rsidR="00B42ADC" w:rsidRPr="001362A6">
              <w:rPr>
                <w:rFonts w:ascii="Lato" w:hAnsi="Lato"/>
                <w:sz w:val="22"/>
                <w:szCs w:val="22"/>
                <w:lang w:val="en-IE"/>
              </w:rPr>
              <w:t xml:space="preserve">nvestor </w:t>
            </w:r>
            <w:r w:rsidRPr="001362A6">
              <w:rPr>
                <w:rFonts w:ascii="Lato" w:hAnsi="Lato"/>
                <w:sz w:val="22"/>
                <w:szCs w:val="22"/>
                <w:lang w:val="en-IE"/>
              </w:rPr>
              <w:t>AIF</w:t>
            </w:r>
            <w:r w:rsidRPr="001362A6">
              <w:rPr>
                <w:rFonts w:ascii="Lato" w:hAnsi="Lato"/>
                <w:sz w:val="22"/>
                <w:szCs w:val="22"/>
                <w:lang w:val="en-IE"/>
              </w:rPr>
              <w:tab/>
              <w:t xml:space="preserve">                    </w:t>
            </w:r>
          </w:p>
        </w:tc>
        <w:tc>
          <w:tcPr>
            <w:tcW w:w="547" w:type="dxa"/>
            <w:tcBorders>
              <w:left w:val="nil"/>
            </w:tcBorders>
          </w:tcPr>
          <w:p w14:paraId="17DF155B" w14:textId="77777777" w:rsidR="001F3550" w:rsidRPr="001362A6" w:rsidRDefault="001F3550" w:rsidP="00D319CF">
            <w:pPr>
              <w:rPr>
                <w:rFonts w:ascii="Lato" w:hAnsi="Lato"/>
                <w:sz w:val="22"/>
                <w:szCs w:val="22"/>
                <w:lang w:val="en-IE"/>
              </w:rPr>
            </w:pPr>
          </w:p>
        </w:tc>
        <w:tc>
          <w:tcPr>
            <w:tcW w:w="1082" w:type="dxa"/>
            <w:gridSpan w:val="3"/>
            <w:tcBorders>
              <w:bottom w:val="single" w:sz="4" w:space="0" w:color="auto"/>
            </w:tcBorders>
          </w:tcPr>
          <w:p w14:paraId="64431235" w14:textId="77777777" w:rsidR="001F3550" w:rsidRPr="001362A6" w:rsidRDefault="001F3550" w:rsidP="00D319CF">
            <w:pPr>
              <w:rPr>
                <w:rFonts w:ascii="Lato" w:hAnsi="Lato"/>
                <w:sz w:val="22"/>
                <w:szCs w:val="22"/>
                <w:lang w:val="en-IE"/>
              </w:rPr>
            </w:pPr>
            <w:r w:rsidRPr="001362A6">
              <w:rPr>
                <w:rFonts w:ascii="Lato" w:hAnsi="Lato"/>
                <w:sz w:val="22"/>
                <w:szCs w:val="22"/>
                <w:lang w:val="en-IE"/>
              </w:rPr>
              <w:t>Yes/No</w:t>
            </w:r>
          </w:p>
        </w:tc>
      </w:tr>
      <w:tr w:rsidR="001F3550" w:rsidRPr="001362A6" w14:paraId="51D10BD0" w14:textId="77777777" w:rsidTr="001F3550">
        <w:tc>
          <w:tcPr>
            <w:tcW w:w="1212" w:type="dxa"/>
          </w:tcPr>
          <w:p w14:paraId="354B4D84" w14:textId="77777777" w:rsidR="001F3550" w:rsidRPr="001362A6" w:rsidRDefault="001F3550" w:rsidP="00FD764E">
            <w:pPr>
              <w:rPr>
                <w:rFonts w:ascii="Lato" w:hAnsi="Lato"/>
                <w:sz w:val="22"/>
                <w:szCs w:val="22"/>
                <w:lang w:val="en-IE"/>
              </w:rPr>
            </w:pPr>
          </w:p>
        </w:tc>
        <w:tc>
          <w:tcPr>
            <w:tcW w:w="7734" w:type="dxa"/>
            <w:gridSpan w:val="4"/>
          </w:tcPr>
          <w:p w14:paraId="24E9A18A" w14:textId="77777777" w:rsidR="001F3550" w:rsidRPr="001362A6" w:rsidRDefault="00B42ADC" w:rsidP="00FD764E">
            <w:pPr>
              <w:ind w:right="-108"/>
              <w:rPr>
                <w:rFonts w:ascii="Lato" w:hAnsi="Lato"/>
                <w:sz w:val="22"/>
                <w:szCs w:val="22"/>
                <w:lang w:val="en-IE"/>
              </w:rPr>
            </w:pPr>
            <w:r w:rsidRPr="001362A6">
              <w:rPr>
                <w:rFonts w:ascii="Lato" w:hAnsi="Lato"/>
                <w:sz w:val="22"/>
                <w:szCs w:val="22"/>
                <w:lang w:val="en-IE"/>
              </w:rPr>
              <w:t>to Irish Residents?</w:t>
            </w:r>
          </w:p>
        </w:tc>
        <w:tc>
          <w:tcPr>
            <w:tcW w:w="547" w:type="dxa"/>
            <w:tcBorders>
              <w:left w:val="nil"/>
              <w:right w:val="single" w:sz="4" w:space="0" w:color="auto"/>
            </w:tcBorders>
          </w:tcPr>
          <w:p w14:paraId="31E6E3C8" w14:textId="77777777" w:rsidR="001F3550" w:rsidRPr="001362A6" w:rsidRDefault="001F3550" w:rsidP="00D319CF">
            <w:pPr>
              <w:rPr>
                <w:rFonts w:ascii="Lato" w:hAnsi="Lato"/>
                <w:sz w:val="22"/>
                <w:szCs w:val="22"/>
                <w:lang w:val="en-IE"/>
              </w:rPr>
            </w:pPr>
          </w:p>
        </w:tc>
        <w:tc>
          <w:tcPr>
            <w:tcW w:w="1082" w:type="dxa"/>
            <w:gridSpan w:val="3"/>
            <w:tcBorders>
              <w:top w:val="single" w:sz="4" w:space="0" w:color="auto"/>
              <w:left w:val="single" w:sz="4" w:space="0" w:color="auto"/>
              <w:bottom w:val="single" w:sz="4" w:space="0" w:color="auto"/>
              <w:right w:val="single" w:sz="4" w:space="0" w:color="auto"/>
            </w:tcBorders>
          </w:tcPr>
          <w:p w14:paraId="01BD2F6D" w14:textId="77777777" w:rsidR="001F3550" w:rsidRPr="001362A6" w:rsidRDefault="001F3550" w:rsidP="00D319CF">
            <w:pPr>
              <w:rPr>
                <w:rFonts w:ascii="Lato" w:hAnsi="Lato"/>
                <w:sz w:val="22"/>
                <w:szCs w:val="22"/>
                <w:lang w:val="en-IE"/>
              </w:rPr>
            </w:pPr>
          </w:p>
        </w:tc>
      </w:tr>
      <w:tr w:rsidR="001F3550" w:rsidRPr="001362A6" w14:paraId="2A505E26" w14:textId="77777777" w:rsidTr="001F3550">
        <w:tc>
          <w:tcPr>
            <w:tcW w:w="1212" w:type="dxa"/>
          </w:tcPr>
          <w:p w14:paraId="5BBF12A4" w14:textId="77777777" w:rsidR="001F3550" w:rsidRPr="001362A6" w:rsidRDefault="001F3550" w:rsidP="00FD764E">
            <w:pPr>
              <w:rPr>
                <w:rFonts w:ascii="Lato" w:hAnsi="Lato"/>
                <w:sz w:val="22"/>
                <w:szCs w:val="22"/>
                <w:lang w:val="en-IE"/>
              </w:rPr>
            </w:pPr>
          </w:p>
        </w:tc>
        <w:tc>
          <w:tcPr>
            <w:tcW w:w="7734" w:type="dxa"/>
            <w:gridSpan w:val="4"/>
          </w:tcPr>
          <w:p w14:paraId="4C3AF385" w14:textId="77777777" w:rsidR="001F3550" w:rsidRPr="001362A6" w:rsidRDefault="001F3550" w:rsidP="00FD764E">
            <w:pPr>
              <w:rPr>
                <w:rFonts w:ascii="Lato" w:hAnsi="Lato"/>
                <w:sz w:val="22"/>
                <w:szCs w:val="22"/>
                <w:lang w:val="en-IE"/>
              </w:rPr>
            </w:pPr>
          </w:p>
        </w:tc>
        <w:tc>
          <w:tcPr>
            <w:tcW w:w="547" w:type="dxa"/>
            <w:tcBorders>
              <w:left w:val="nil"/>
            </w:tcBorders>
          </w:tcPr>
          <w:p w14:paraId="0C9D1C45" w14:textId="77777777" w:rsidR="001F3550" w:rsidRPr="001362A6" w:rsidRDefault="001F3550" w:rsidP="00FD764E">
            <w:pPr>
              <w:rPr>
                <w:rFonts w:ascii="Lato" w:hAnsi="Lato"/>
                <w:sz w:val="22"/>
                <w:szCs w:val="22"/>
                <w:lang w:val="en-IE"/>
              </w:rPr>
            </w:pPr>
          </w:p>
        </w:tc>
        <w:tc>
          <w:tcPr>
            <w:tcW w:w="1082" w:type="dxa"/>
            <w:gridSpan w:val="3"/>
            <w:tcBorders>
              <w:top w:val="single" w:sz="4" w:space="0" w:color="auto"/>
            </w:tcBorders>
          </w:tcPr>
          <w:p w14:paraId="02524C93" w14:textId="77777777" w:rsidR="001F3550" w:rsidRPr="001362A6" w:rsidRDefault="001F3550" w:rsidP="00FD764E">
            <w:pPr>
              <w:rPr>
                <w:rFonts w:ascii="Lato" w:hAnsi="Lato"/>
                <w:sz w:val="22"/>
                <w:szCs w:val="22"/>
                <w:lang w:val="en-IE"/>
              </w:rPr>
            </w:pPr>
          </w:p>
        </w:tc>
      </w:tr>
      <w:tr w:rsidR="001F3550" w:rsidRPr="001362A6" w14:paraId="1ABB277B" w14:textId="77777777" w:rsidTr="00FD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1212" w:type="dxa"/>
            <w:vMerge w:val="restart"/>
            <w:tcBorders>
              <w:top w:val="nil"/>
              <w:left w:val="nil"/>
              <w:right w:val="nil"/>
            </w:tcBorders>
          </w:tcPr>
          <w:p w14:paraId="68389ADE" w14:textId="77777777" w:rsidR="001F3550" w:rsidRPr="001362A6" w:rsidRDefault="001F3550" w:rsidP="00FD764E">
            <w:pPr>
              <w:rPr>
                <w:rFonts w:ascii="Lato" w:hAnsi="Lato"/>
                <w:sz w:val="22"/>
                <w:szCs w:val="22"/>
                <w:lang w:val="en-IE"/>
              </w:rPr>
            </w:pPr>
            <w:r w:rsidRPr="001362A6">
              <w:rPr>
                <w:rFonts w:ascii="Lato" w:hAnsi="Lato"/>
                <w:sz w:val="22"/>
                <w:szCs w:val="22"/>
                <w:lang w:val="en-IE"/>
              </w:rPr>
              <w:t>1.5.3</w:t>
            </w:r>
          </w:p>
        </w:tc>
        <w:tc>
          <w:tcPr>
            <w:tcW w:w="7734" w:type="dxa"/>
            <w:gridSpan w:val="4"/>
            <w:vMerge w:val="restart"/>
            <w:tcBorders>
              <w:top w:val="nil"/>
              <w:left w:val="nil"/>
              <w:right w:val="nil"/>
            </w:tcBorders>
          </w:tcPr>
          <w:p w14:paraId="5E9A16EE" w14:textId="77777777" w:rsidR="001F3550" w:rsidRPr="001362A6" w:rsidRDefault="001F3550" w:rsidP="00FD764E">
            <w:pPr>
              <w:rPr>
                <w:rFonts w:ascii="Lato" w:hAnsi="Lato"/>
                <w:sz w:val="22"/>
                <w:szCs w:val="22"/>
                <w:lang w:val="en-IE"/>
              </w:rPr>
            </w:pPr>
            <w:r w:rsidRPr="001362A6">
              <w:rPr>
                <w:rFonts w:ascii="Lato" w:hAnsi="Lato"/>
                <w:sz w:val="22"/>
                <w:szCs w:val="22"/>
                <w:lang w:val="en-IE"/>
              </w:rPr>
              <w:t>Confirm that the documentation will be submitted to the Irish Stock Exchange if the Q</w:t>
            </w:r>
            <w:r w:rsidR="00B42ADC" w:rsidRPr="001362A6">
              <w:rPr>
                <w:rFonts w:ascii="Lato" w:hAnsi="Lato"/>
                <w:sz w:val="22"/>
                <w:szCs w:val="22"/>
                <w:lang w:val="en-IE"/>
              </w:rPr>
              <w:t xml:space="preserve">ualifying </w:t>
            </w:r>
            <w:r w:rsidRPr="001362A6">
              <w:rPr>
                <w:rFonts w:ascii="Lato" w:hAnsi="Lato"/>
                <w:sz w:val="22"/>
                <w:szCs w:val="22"/>
                <w:lang w:val="en-IE"/>
              </w:rPr>
              <w:t>I</w:t>
            </w:r>
            <w:r w:rsidR="00B42ADC" w:rsidRPr="001362A6">
              <w:rPr>
                <w:rFonts w:ascii="Lato" w:hAnsi="Lato"/>
                <w:sz w:val="22"/>
                <w:szCs w:val="22"/>
                <w:lang w:val="en-IE"/>
              </w:rPr>
              <w:t xml:space="preserve">nvestor </w:t>
            </w:r>
            <w:r w:rsidRPr="001362A6">
              <w:rPr>
                <w:rFonts w:ascii="Lato" w:hAnsi="Lato"/>
                <w:sz w:val="22"/>
                <w:szCs w:val="22"/>
                <w:lang w:val="en-IE"/>
              </w:rPr>
              <w:t>AIF is seeking a listing.</w:t>
            </w:r>
          </w:p>
        </w:tc>
        <w:tc>
          <w:tcPr>
            <w:tcW w:w="547" w:type="dxa"/>
            <w:vMerge w:val="restart"/>
            <w:tcBorders>
              <w:top w:val="nil"/>
              <w:left w:val="nil"/>
              <w:right w:val="single" w:sz="4" w:space="0" w:color="auto"/>
            </w:tcBorders>
          </w:tcPr>
          <w:p w14:paraId="586E91F5" w14:textId="77777777" w:rsidR="001F3550" w:rsidRPr="001362A6" w:rsidRDefault="001F3550" w:rsidP="00FD764E">
            <w:pPr>
              <w:rPr>
                <w:rFonts w:ascii="Lato" w:hAnsi="Lato"/>
                <w:sz w:val="22"/>
                <w:szCs w:val="22"/>
                <w:lang w:val="en-IE"/>
              </w:rPr>
            </w:pPr>
          </w:p>
        </w:tc>
        <w:tc>
          <w:tcPr>
            <w:tcW w:w="1082" w:type="dxa"/>
            <w:gridSpan w:val="3"/>
            <w:tcBorders>
              <w:top w:val="single" w:sz="4" w:space="0" w:color="auto"/>
              <w:left w:val="single" w:sz="4" w:space="0" w:color="auto"/>
              <w:bottom w:val="single" w:sz="4" w:space="0" w:color="auto"/>
              <w:right w:val="single" w:sz="4" w:space="0" w:color="auto"/>
            </w:tcBorders>
          </w:tcPr>
          <w:p w14:paraId="24E25A9E" w14:textId="77777777" w:rsidR="001F3550" w:rsidRPr="001362A6" w:rsidRDefault="001F3550" w:rsidP="00FD764E">
            <w:pPr>
              <w:rPr>
                <w:rFonts w:ascii="Lato" w:hAnsi="Lato"/>
                <w:sz w:val="22"/>
                <w:szCs w:val="22"/>
                <w:lang w:val="en-IE"/>
              </w:rPr>
            </w:pPr>
          </w:p>
        </w:tc>
      </w:tr>
      <w:tr w:rsidR="001F3550" w:rsidRPr="001362A6" w14:paraId="7882CDA6" w14:textId="77777777" w:rsidTr="001F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1212" w:type="dxa"/>
            <w:vMerge/>
            <w:tcBorders>
              <w:top w:val="nil"/>
              <w:left w:val="nil"/>
              <w:bottom w:val="nil"/>
              <w:right w:val="nil"/>
            </w:tcBorders>
          </w:tcPr>
          <w:p w14:paraId="18E6697C" w14:textId="77777777" w:rsidR="001F3550" w:rsidRPr="001362A6" w:rsidRDefault="001F3550" w:rsidP="00FD764E">
            <w:pPr>
              <w:rPr>
                <w:rFonts w:ascii="Lato" w:hAnsi="Lato"/>
                <w:sz w:val="22"/>
                <w:szCs w:val="22"/>
                <w:lang w:val="en-IE"/>
              </w:rPr>
            </w:pPr>
          </w:p>
        </w:tc>
        <w:tc>
          <w:tcPr>
            <w:tcW w:w="7734" w:type="dxa"/>
            <w:gridSpan w:val="4"/>
            <w:vMerge/>
            <w:tcBorders>
              <w:top w:val="nil"/>
              <w:left w:val="nil"/>
              <w:bottom w:val="nil"/>
              <w:right w:val="nil"/>
            </w:tcBorders>
          </w:tcPr>
          <w:p w14:paraId="5A697EAE" w14:textId="77777777" w:rsidR="001F3550" w:rsidRPr="001362A6" w:rsidRDefault="001F3550" w:rsidP="00FD764E">
            <w:pPr>
              <w:rPr>
                <w:rFonts w:ascii="Lato" w:hAnsi="Lato"/>
                <w:sz w:val="22"/>
                <w:szCs w:val="22"/>
                <w:lang w:val="en-IE"/>
              </w:rPr>
            </w:pPr>
          </w:p>
        </w:tc>
        <w:tc>
          <w:tcPr>
            <w:tcW w:w="547" w:type="dxa"/>
            <w:vMerge/>
            <w:tcBorders>
              <w:top w:val="nil"/>
              <w:left w:val="nil"/>
              <w:bottom w:val="nil"/>
              <w:right w:val="nil"/>
            </w:tcBorders>
          </w:tcPr>
          <w:p w14:paraId="1C2DC1BD" w14:textId="77777777" w:rsidR="001F3550" w:rsidRPr="001362A6" w:rsidRDefault="001F3550" w:rsidP="00FD764E">
            <w:pPr>
              <w:rPr>
                <w:rFonts w:ascii="Lato" w:hAnsi="Lato"/>
                <w:sz w:val="22"/>
                <w:szCs w:val="22"/>
                <w:lang w:val="en-IE"/>
              </w:rPr>
            </w:pPr>
          </w:p>
        </w:tc>
        <w:tc>
          <w:tcPr>
            <w:tcW w:w="1082" w:type="dxa"/>
            <w:gridSpan w:val="3"/>
            <w:tcBorders>
              <w:top w:val="single" w:sz="4" w:space="0" w:color="auto"/>
              <w:left w:val="nil"/>
              <w:bottom w:val="nil"/>
              <w:right w:val="nil"/>
            </w:tcBorders>
          </w:tcPr>
          <w:p w14:paraId="226E320C" w14:textId="77777777" w:rsidR="001F3550" w:rsidRPr="001362A6" w:rsidRDefault="001F3550" w:rsidP="00FD764E">
            <w:pPr>
              <w:rPr>
                <w:rFonts w:ascii="Lato" w:hAnsi="Lato"/>
                <w:sz w:val="22"/>
                <w:szCs w:val="22"/>
                <w:lang w:val="en-IE"/>
              </w:rPr>
            </w:pPr>
          </w:p>
        </w:tc>
      </w:tr>
      <w:tr w:rsidR="001F3550" w:rsidRPr="001362A6" w14:paraId="57714579" w14:textId="77777777" w:rsidTr="001F3550">
        <w:tc>
          <w:tcPr>
            <w:tcW w:w="1212" w:type="dxa"/>
          </w:tcPr>
          <w:p w14:paraId="4D184A99" w14:textId="77777777" w:rsidR="001F3550" w:rsidRPr="001362A6" w:rsidRDefault="001F3550" w:rsidP="00D319CF">
            <w:pPr>
              <w:rPr>
                <w:rFonts w:ascii="Lato" w:hAnsi="Lato"/>
                <w:sz w:val="22"/>
                <w:szCs w:val="22"/>
                <w:lang w:val="en-IE"/>
              </w:rPr>
            </w:pPr>
          </w:p>
        </w:tc>
        <w:tc>
          <w:tcPr>
            <w:tcW w:w="7734" w:type="dxa"/>
            <w:gridSpan w:val="4"/>
          </w:tcPr>
          <w:p w14:paraId="37F29BA3" w14:textId="77777777" w:rsidR="001F3550" w:rsidRPr="001362A6" w:rsidRDefault="001F3550" w:rsidP="00D319CF">
            <w:pPr>
              <w:rPr>
                <w:rFonts w:ascii="Lato" w:hAnsi="Lato"/>
                <w:sz w:val="22"/>
                <w:szCs w:val="22"/>
                <w:lang w:val="en-IE"/>
              </w:rPr>
            </w:pPr>
          </w:p>
        </w:tc>
        <w:tc>
          <w:tcPr>
            <w:tcW w:w="547" w:type="dxa"/>
            <w:tcBorders>
              <w:left w:val="nil"/>
            </w:tcBorders>
          </w:tcPr>
          <w:p w14:paraId="71497DB3" w14:textId="77777777" w:rsidR="001F3550" w:rsidRPr="001362A6" w:rsidRDefault="001F3550" w:rsidP="00D319CF">
            <w:pPr>
              <w:rPr>
                <w:rFonts w:ascii="Lato" w:hAnsi="Lato"/>
                <w:sz w:val="22"/>
                <w:szCs w:val="22"/>
                <w:lang w:val="en-IE"/>
              </w:rPr>
            </w:pPr>
          </w:p>
        </w:tc>
        <w:tc>
          <w:tcPr>
            <w:tcW w:w="1082" w:type="dxa"/>
            <w:gridSpan w:val="3"/>
          </w:tcPr>
          <w:p w14:paraId="2B6832CA" w14:textId="77777777" w:rsidR="001F3550" w:rsidRPr="001362A6" w:rsidRDefault="001F3550" w:rsidP="00D319CF">
            <w:pPr>
              <w:rPr>
                <w:rFonts w:ascii="Lato" w:hAnsi="Lato"/>
                <w:sz w:val="22"/>
                <w:szCs w:val="22"/>
                <w:lang w:val="en-IE"/>
              </w:rPr>
            </w:pPr>
            <w:r w:rsidRPr="001362A6">
              <w:rPr>
                <w:rFonts w:ascii="Lato" w:hAnsi="Lato"/>
                <w:sz w:val="22"/>
                <w:szCs w:val="22"/>
                <w:lang w:val="en-IE"/>
              </w:rPr>
              <w:t>Yes/No</w:t>
            </w:r>
          </w:p>
        </w:tc>
      </w:tr>
      <w:tr w:rsidR="001F3550" w:rsidRPr="001362A6" w14:paraId="1CC78988" w14:textId="77777777" w:rsidTr="00FD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1212" w:type="dxa"/>
            <w:tcBorders>
              <w:top w:val="nil"/>
              <w:left w:val="nil"/>
              <w:bottom w:val="nil"/>
              <w:right w:val="nil"/>
            </w:tcBorders>
          </w:tcPr>
          <w:p w14:paraId="2F8327D9" w14:textId="77777777" w:rsidR="001F3550" w:rsidRPr="001362A6" w:rsidRDefault="001F3550" w:rsidP="00FD764E">
            <w:pPr>
              <w:rPr>
                <w:rFonts w:ascii="Lato" w:hAnsi="Lato"/>
                <w:sz w:val="22"/>
                <w:szCs w:val="22"/>
                <w:lang w:val="en-IE"/>
              </w:rPr>
            </w:pPr>
            <w:r w:rsidRPr="001362A6">
              <w:rPr>
                <w:rFonts w:ascii="Lato" w:hAnsi="Lato"/>
                <w:sz w:val="22"/>
                <w:szCs w:val="22"/>
                <w:lang w:val="en-IE"/>
              </w:rPr>
              <w:t>1.5.4</w:t>
            </w:r>
          </w:p>
        </w:tc>
        <w:tc>
          <w:tcPr>
            <w:tcW w:w="7734" w:type="dxa"/>
            <w:gridSpan w:val="4"/>
            <w:tcBorders>
              <w:top w:val="nil"/>
              <w:left w:val="nil"/>
              <w:bottom w:val="nil"/>
              <w:right w:val="nil"/>
            </w:tcBorders>
          </w:tcPr>
          <w:p w14:paraId="559C7118" w14:textId="77777777" w:rsidR="001F3550" w:rsidRPr="001362A6" w:rsidRDefault="001F3550" w:rsidP="00FD764E">
            <w:pPr>
              <w:rPr>
                <w:rFonts w:ascii="Lato" w:hAnsi="Lato"/>
                <w:sz w:val="22"/>
                <w:szCs w:val="22"/>
                <w:lang w:val="en-IE"/>
              </w:rPr>
            </w:pPr>
            <w:r w:rsidRPr="001362A6">
              <w:rPr>
                <w:rFonts w:ascii="Lato" w:hAnsi="Lato"/>
                <w:sz w:val="22"/>
                <w:szCs w:val="22"/>
                <w:lang w:val="en-IE"/>
              </w:rPr>
              <w:t>Will the Q</w:t>
            </w:r>
            <w:r w:rsidR="00B42ADC" w:rsidRPr="001362A6">
              <w:rPr>
                <w:rFonts w:ascii="Lato" w:hAnsi="Lato"/>
                <w:sz w:val="22"/>
                <w:szCs w:val="22"/>
                <w:lang w:val="en-IE"/>
              </w:rPr>
              <w:t>ualifyin</w:t>
            </w:r>
            <w:r w:rsidR="00C77D08" w:rsidRPr="001362A6">
              <w:rPr>
                <w:rFonts w:ascii="Lato" w:hAnsi="Lato"/>
                <w:sz w:val="22"/>
                <w:szCs w:val="22"/>
                <w:lang w:val="en-IE"/>
              </w:rPr>
              <w:t>g</w:t>
            </w:r>
            <w:r w:rsidR="00B42ADC" w:rsidRPr="001362A6">
              <w:rPr>
                <w:rFonts w:ascii="Lato" w:hAnsi="Lato"/>
                <w:sz w:val="22"/>
                <w:szCs w:val="22"/>
                <w:lang w:val="en-IE"/>
              </w:rPr>
              <w:t xml:space="preserve"> </w:t>
            </w:r>
            <w:r w:rsidRPr="001362A6">
              <w:rPr>
                <w:rFonts w:ascii="Lato" w:hAnsi="Lato"/>
                <w:sz w:val="22"/>
                <w:szCs w:val="22"/>
                <w:lang w:val="en-IE"/>
              </w:rPr>
              <w:t>I</w:t>
            </w:r>
            <w:r w:rsidR="00B42ADC" w:rsidRPr="001362A6">
              <w:rPr>
                <w:rFonts w:ascii="Lato" w:hAnsi="Lato"/>
                <w:sz w:val="22"/>
                <w:szCs w:val="22"/>
                <w:lang w:val="en-IE"/>
              </w:rPr>
              <w:t xml:space="preserve">nvestor </w:t>
            </w:r>
            <w:r w:rsidRPr="001362A6">
              <w:rPr>
                <w:rFonts w:ascii="Lato" w:hAnsi="Lato"/>
                <w:sz w:val="22"/>
                <w:szCs w:val="22"/>
                <w:lang w:val="en-IE"/>
              </w:rPr>
              <w:t>AIF be marketed in Japan and constitute a public offer?</w:t>
            </w:r>
          </w:p>
        </w:tc>
        <w:tc>
          <w:tcPr>
            <w:tcW w:w="547" w:type="dxa"/>
            <w:tcBorders>
              <w:top w:val="nil"/>
              <w:left w:val="nil"/>
              <w:bottom w:val="nil"/>
              <w:right w:val="single" w:sz="4" w:space="0" w:color="auto"/>
            </w:tcBorders>
          </w:tcPr>
          <w:p w14:paraId="6DAB8793" w14:textId="77777777" w:rsidR="001F3550" w:rsidRPr="001362A6" w:rsidRDefault="001F3550" w:rsidP="00FD764E">
            <w:pPr>
              <w:rPr>
                <w:rFonts w:ascii="Lato" w:hAnsi="Lato"/>
                <w:sz w:val="22"/>
                <w:szCs w:val="22"/>
                <w:lang w:val="en-IE"/>
              </w:rPr>
            </w:pPr>
          </w:p>
        </w:tc>
        <w:tc>
          <w:tcPr>
            <w:tcW w:w="1082" w:type="dxa"/>
            <w:gridSpan w:val="3"/>
            <w:tcBorders>
              <w:top w:val="single" w:sz="4" w:space="0" w:color="auto"/>
              <w:left w:val="single" w:sz="4" w:space="0" w:color="auto"/>
              <w:bottom w:val="single" w:sz="4" w:space="0" w:color="auto"/>
              <w:right w:val="single" w:sz="4" w:space="0" w:color="auto"/>
            </w:tcBorders>
          </w:tcPr>
          <w:p w14:paraId="687CF4C8" w14:textId="77777777" w:rsidR="001F3550" w:rsidRPr="001362A6" w:rsidRDefault="001F3550" w:rsidP="00FD764E">
            <w:pPr>
              <w:rPr>
                <w:rFonts w:ascii="Lato" w:hAnsi="Lato"/>
                <w:sz w:val="22"/>
                <w:szCs w:val="22"/>
                <w:lang w:val="en-IE"/>
              </w:rPr>
            </w:pPr>
          </w:p>
        </w:tc>
      </w:tr>
      <w:tr w:rsidR="001F3550" w:rsidRPr="001362A6" w14:paraId="1F0A5796" w14:textId="77777777" w:rsidTr="00FD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2DF3D6F6" w14:textId="77777777" w:rsidR="001F3550" w:rsidRPr="001362A6" w:rsidRDefault="001F3550" w:rsidP="00FD764E">
            <w:pPr>
              <w:rPr>
                <w:rFonts w:ascii="Lato" w:hAnsi="Lato"/>
                <w:sz w:val="22"/>
                <w:szCs w:val="22"/>
                <w:lang w:val="en-IE"/>
              </w:rPr>
            </w:pPr>
          </w:p>
        </w:tc>
        <w:tc>
          <w:tcPr>
            <w:tcW w:w="9363" w:type="dxa"/>
            <w:gridSpan w:val="8"/>
            <w:tcBorders>
              <w:top w:val="nil"/>
              <w:left w:val="nil"/>
              <w:bottom w:val="nil"/>
              <w:right w:val="nil"/>
            </w:tcBorders>
          </w:tcPr>
          <w:p w14:paraId="7E8A69D0" w14:textId="77777777" w:rsidR="001F3550" w:rsidRPr="001362A6" w:rsidRDefault="001F3550" w:rsidP="00FD764E">
            <w:pPr>
              <w:rPr>
                <w:rFonts w:ascii="Lato" w:hAnsi="Lato"/>
                <w:sz w:val="22"/>
                <w:szCs w:val="22"/>
                <w:lang w:val="en-IE"/>
              </w:rPr>
            </w:pPr>
            <w:r w:rsidRPr="001362A6">
              <w:rPr>
                <w:rFonts w:ascii="Lato" w:hAnsi="Lato"/>
                <w:sz w:val="22"/>
                <w:szCs w:val="22"/>
                <w:lang w:val="en-IE"/>
              </w:rPr>
              <w:t>If yes, confirm that:</w:t>
            </w:r>
          </w:p>
        </w:tc>
      </w:tr>
      <w:tr w:rsidR="001F3550" w:rsidRPr="001362A6" w14:paraId="130D9FAA" w14:textId="77777777" w:rsidTr="00FD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6ACED541" w14:textId="77777777" w:rsidR="001F3550" w:rsidRPr="001362A6" w:rsidRDefault="001F3550" w:rsidP="00FD764E">
            <w:pPr>
              <w:jc w:val="right"/>
              <w:rPr>
                <w:rFonts w:ascii="Lato" w:hAnsi="Lato"/>
                <w:sz w:val="22"/>
                <w:szCs w:val="22"/>
                <w:lang w:val="en-IE"/>
              </w:rPr>
            </w:pPr>
            <w:r w:rsidRPr="001362A6">
              <w:rPr>
                <w:rFonts w:ascii="Lato" w:hAnsi="Lato"/>
                <w:sz w:val="22"/>
                <w:szCs w:val="22"/>
                <w:lang w:val="en-IE"/>
              </w:rPr>
              <w:t>a)</w:t>
            </w:r>
          </w:p>
        </w:tc>
        <w:tc>
          <w:tcPr>
            <w:tcW w:w="5625" w:type="dxa"/>
            <w:gridSpan w:val="2"/>
            <w:tcBorders>
              <w:top w:val="nil"/>
              <w:left w:val="nil"/>
              <w:bottom w:val="nil"/>
              <w:right w:val="nil"/>
            </w:tcBorders>
          </w:tcPr>
          <w:p w14:paraId="1BD80E8F" w14:textId="77777777" w:rsidR="001F3550" w:rsidRPr="001362A6" w:rsidRDefault="001F3550" w:rsidP="00FD764E">
            <w:pPr>
              <w:rPr>
                <w:rFonts w:ascii="Lato" w:hAnsi="Lato"/>
                <w:sz w:val="22"/>
                <w:szCs w:val="22"/>
                <w:lang w:val="en-IE"/>
              </w:rPr>
            </w:pPr>
            <w:r w:rsidRPr="001362A6">
              <w:rPr>
                <w:rFonts w:ascii="Lato" w:hAnsi="Lato"/>
                <w:sz w:val="22"/>
                <w:szCs w:val="22"/>
                <w:lang w:val="en-IE"/>
              </w:rPr>
              <w:t>an SRS will be issued;</w:t>
            </w:r>
          </w:p>
        </w:tc>
        <w:tc>
          <w:tcPr>
            <w:tcW w:w="2044" w:type="dxa"/>
            <w:tcBorders>
              <w:top w:val="nil"/>
              <w:left w:val="nil"/>
              <w:bottom w:val="nil"/>
              <w:right w:val="nil"/>
            </w:tcBorders>
          </w:tcPr>
          <w:p w14:paraId="4AB345D0" w14:textId="77777777" w:rsidR="001F3550" w:rsidRPr="001362A6" w:rsidRDefault="001F3550" w:rsidP="00FD764E">
            <w:pPr>
              <w:rPr>
                <w:rFonts w:ascii="Lato" w:hAnsi="Lato"/>
                <w:sz w:val="22"/>
                <w:szCs w:val="22"/>
                <w:lang w:val="en-IE"/>
              </w:rPr>
            </w:pPr>
          </w:p>
        </w:tc>
        <w:tc>
          <w:tcPr>
            <w:tcW w:w="612" w:type="dxa"/>
            <w:gridSpan w:val="2"/>
            <w:tcBorders>
              <w:top w:val="nil"/>
              <w:left w:val="nil"/>
              <w:bottom w:val="nil"/>
              <w:right w:val="single" w:sz="4" w:space="0" w:color="auto"/>
            </w:tcBorders>
          </w:tcPr>
          <w:p w14:paraId="5A8A0970" w14:textId="77777777" w:rsidR="001F3550" w:rsidRPr="001362A6" w:rsidRDefault="001F3550" w:rsidP="00FD764E">
            <w:pPr>
              <w:rPr>
                <w:rFonts w:ascii="Lato" w:hAnsi="Lato"/>
                <w:sz w:val="22"/>
                <w:szCs w:val="22"/>
                <w:lang w:val="en-IE"/>
              </w:rPr>
            </w:pPr>
          </w:p>
        </w:tc>
        <w:tc>
          <w:tcPr>
            <w:tcW w:w="1082" w:type="dxa"/>
            <w:gridSpan w:val="3"/>
            <w:tcBorders>
              <w:top w:val="single" w:sz="4" w:space="0" w:color="auto"/>
              <w:left w:val="single" w:sz="4" w:space="0" w:color="auto"/>
              <w:bottom w:val="single" w:sz="4" w:space="0" w:color="auto"/>
              <w:right w:val="single" w:sz="4" w:space="0" w:color="auto"/>
            </w:tcBorders>
          </w:tcPr>
          <w:p w14:paraId="7C98F576" w14:textId="77777777" w:rsidR="001F3550" w:rsidRPr="001362A6" w:rsidRDefault="001F3550" w:rsidP="00FD764E">
            <w:pPr>
              <w:rPr>
                <w:rFonts w:ascii="Lato" w:hAnsi="Lato"/>
                <w:sz w:val="22"/>
                <w:szCs w:val="22"/>
                <w:lang w:val="en-IE"/>
              </w:rPr>
            </w:pPr>
          </w:p>
        </w:tc>
      </w:tr>
      <w:tr w:rsidR="001F3550" w:rsidRPr="001362A6" w14:paraId="57FC3EB9" w14:textId="77777777" w:rsidTr="00FD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0CB2F089" w14:textId="77777777" w:rsidR="001F3550" w:rsidRPr="001362A6" w:rsidRDefault="001F3550" w:rsidP="00FD764E">
            <w:pPr>
              <w:jc w:val="right"/>
              <w:rPr>
                <w:rFonts w:ascii="Lato" w:hAnsi="Lato"/>
                <w:sz w:val="22"/>
                <w:szCs w:val="22"/>
                <w:lang w:val="en-IE"/>
              </w:rPr>
            </w:pPr>
          </w:p>
        </w:tc>
        <w:tc>
          <w:tcPr>
            <w:tcW w:w="5625" w:type="dxa"/>
            <w:gridSpan w:val="2"/>
            <w:tcBorders>
              <w:top w:val="nil"/>
              <w:left w:val="nil"/>
              <w:bottom w:val="nil"/>
              <w:right w:val="nil"/>
            </w:tcBorders>
          </w:tcPr>
          <w:p w14:paraId="47C27EF4" w14:textId="77777777" w:rsidR="001F3550" w:rsidRPr="001362A6" w:rsidRDefault="001F3550" w:rsidP="00FD764E">
            <w:pPr>
              <w:rPr>
                <w:rFonts w:ascii="Lato" w:hAnsi="Lato"/>
                <w:sz w:val="22"/>
                <w:szCs w:val="22"/>
                <w:lang w:val="en-IE"/>
              </w:rPr>
            </w:pPr>
          </w:p>
        </w:tc>
        <w:tc>
          <w:tcPr>
            <w:tcW w:w="2044" w:type="dxa"/>
            <w:tcBorders>
              <w:top w:val="nil"/>
              <w:left w:val="nil"/>
              <w:bottom w:val="nil"/>
              <w:right w:val="nil"/>
            </w:tcBorders>
          </w:tcPr>
          <w:p w14:paraId="0B8D1F8D" w14:textId="77777777" w:rsidR="001F3550" w:rsidRPr="001362A6" w:rsidRDefault="001F3550" w:rsidP="00FD764E">
            <w:pPr>
              <w:rPr>
                <w:rFonts w:ascii="Lato" w:hAnsi="Lato"/>
                <w:sz w:val="22"/>
                <w:szCs w:val="22"/>
                <w:lang w:val="en-IE"/>
              </w:rPr>
            </w:pPr>
          </w:p>
        </w:tc>
        <w:tc>
          <w:tcPr>
            <w:tcW w:w="612" w:type="dxa"/>
            <w:gridSpan w:val="2"/>
            <w:tcBorders>
              <w:top w:val="nil"/>
              <w:left w:val="nil"/>
              <w:bottom w:val="nil"/>
              <w:right w:val="nil"/>
            </w:tcBorders>
          </w:tcPr>
          <w:p w14:paraId="40000D95" w14:textId="77777777" w:rsidR="001F3550" w:rsidRPr="001362A6" w:rsidRDefault="001F3550" w:rsidP="00FD764E">
            <w:pPr>
              <w:rPr>
                <w:rFonts w:ascii="Lato" w:hAnsi="Lato"/>
                <w:sz w:val="22"/>
                <w:szCs w:val="22"/>
                <w:lang w:val="en-IE"/>
              </w:rPr>
            </w:pPr>
          </w:p>
        </w:tc>
        <w:tc>
          <w:tcPr>
            <w:tcW w:w="414" w:type="dxa"/>
            <w:tcBorders>
              <w:top w:val="single" w:sz="4" w:space="0" w:color="auto"/>
              <w:left w:val="nil"/>
              <w:bottom w:val="nil"/>
              <w:right w:val="nil"/>
            </w:tcBorders>
          </w:tcPr>
          <w:p w14:paraId="5D15F128" w14:textId="77777777" w:rsidR="001F3550" w:rsidRPr="001362A6" w:rsidRDefault="001F3550" w:rsidP="00FD764E">
            <w:pPr>
              <w:rPr>
                <w:rFonts w:ascii="Lato" w:hAnsi="Lato"/>
                <w:sz w:val="22"/>
                <w:szCs w:val="22"/>
                <w:lang w:val="en-IE"/>
              </w:rPr>
            </w:pPr>
          </w:p>
        </w:tc>
        <w:tc>
          <w:tcPr>
            <w:tcW w:w="668" w:type="dxa"/>
            <w:gridSpan w:val="2"/>
            <w:tcBorders>
              <w:top w:val="nil"/>
              <w:left w:val="nil"/>
              <w:bottom w:val="nil"/>
              <w:right w:val="nil"/>
            </w:tcBorders>
          </w:tcPr>
          <w:p w14:paraId="2DD1782E" w14:textId="77777777" w:rsidR="001F3550" w:rsidRPr="001362A6" w:rsidRDefault="001F3550" w:rsidP="00FD764E">
            <w:pPr>
              <w:rPr>
                <w:rFonts w:ascii="Lato" w:hAnsi="Lato"/>
                <w:sz w:val="22"/>
                <w:szCs w:val="22"/>
                <w:lang w:val="en-IE"/>
              </w:rPr>
            </w:pPr>
          </w:p>
        </w:tc>
      </w:tr>
      <w:tr w:rsidR="001F3550" w:rsidRPr="001362A6" w14:paraId="56C8FD96" w14:textId="77777777" w:rsidTr="00FD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02FF1A06" w14:textId="77777777" w:rsidR="001F3550" w:rsidRPr="001362A6" w:rsidRDefault="001F3550" w:rsidP="00FD764E">
            <w:pPr>
              <w:jc w:val="right"/>
              <w:rPr>
                <w:rFonts w:ascii="Lato" w:hAnsi="Lato"/>
                <w:sz w:val="22"/>
                <w:szCs w:val="22"/>
                <w:lang w:val="en-IE"/>
              </w:rPr>
            </w:pPr>
            <w:r w:rsidRPr="001362A6">
              <w:rPr>
                <w:rFonts w:ascii="Lato" w:hAnsi="Lato"/>
                <w:sz w:val="22"/>
                <w:szCs w:val="22"/>
                <w:lang w:val="en-IE"/>
              </w:rPr>
              <w:t>b)</w:t>
            </w:r>
          </w:p>
        </w:tc>
        <w:tc>
          <w:tcPr>
            <w:tcW w:w="7669" w:type="dxa"/>
            <w:gridSpan w:val="3"/>
            <w:tcBorders>
              <w:top w:val="nil"/>
              <w:left w:val="nil"/>
              <w:bottom w:val="nil"/>
              <w:right w:val="nil"/>
            </w:tcBorders>
          </w:tcPr>
          <w:p w14:paraId="0F96115A" w14:textId="77777777" w:rsidR="001F3550" w:rsidRPr="001362A6" w:rsidRDefault="001F3550" w:rsidP="00A70AEC">
            <w:pPr>
              <w:rPr>
                <w:rFonts w:ascii="Lato" w:hAnsi="Lato"/>
                <w:sz w:val="22"/>
                <w:szCs w:val="22"/>
                <w:lang w:val="en-IE"/>
              </w:rPr>
            </w:pPr>
            <w:r w:rsidRPr="001362A6">
              <w:rPr>
                <w:rFonts w:ascii="Lato" w:hAnsi="Lato"/>
                <w:sz w:val="22"/>
                <w:szCs w:val="22"/>
                <w:lang w:val="en-IE"/>
              </w:rPr>
              <w:t xml:space="preserve">it will contain all information required by the AIF </w:t>
            </w:r>
            <w:r w:rsidR="00705736" w:rsidRPr="001362A6">
              <w:rPr>
                <w:rFonts w:ascii="Lato" w:hAnsi="Lato"/>
                <w:sz w:val="22"/>
                <w:szCs w:val="22"/>
                <w:lang w:val="en-IE"/>
              </w:rPr>
              <w:t>Rulebook</w:t>
            </w:r>
            <w:r w:rsidRPr="001362A6">
              <w:rPr>
                <w:rFonts w:ascii="Lato" w:hAnsi="Lato"/>
                <w:sz w:val="22"/>
                <w:szCs w:val="22"/>
                <w:lang w:val="en-IE"/>
              </w:rPr>
              <w:t>; and</w:t>
            </w:r>
          </w:p>
        </w:tc>
        <w:tc>
          <w:tcPr>
            <w:tcW w:w="612" w:type="dxa"/>
            <w:gridSpan w:val="2"/>
            <w:tcBorders>
              <w:top w:val="nil"/>
              <w:left w:val="nil"/>
              <w:bottom w:val="nil"/>
              <w:right w:val="single" w:sz="4" w:space="0" w:color="auto"/>
            </w:tcBorders>
          </w:tcPr>
          <w:p w14:paraId="0B2473E1" w14:textId="77777777" w:rsidR="001F3550" w:rsidRPr="001362A6" w:rsidRDefault="001F3550" w:rsidP="00FD764E">
            <w:pPr>
              <w:rPr>
                <w:rFonts w:ascii="Lato" w:hAnsi="Lato"/>
                <w:sz w:val="22"/>
                <w:szCs w:val="22"/>
                <w:lang w:val="en-IE"/>
              </w:rPr>
            </w:pPr>
          </w:p>
        </w:tc>
        <w:tc>
          <w:tcPr>
            <w:tcW w:w="1082" w:type="dxa"/>
            <w:gridSpan w:val="3"/>
            <w:tcBorders>
              <w:top w:val="single" w:sz="4" w:space="0" w:color="auto"/>
              <w:left w:val="single" w:sz="4" w:space="0" w:color="auto"/>
              <w:bottom w:val="single" w:sz="4" w:space="0" w:color="auto"/>
              <w:right w:val="single" w:sz="4" w:space="0" w:color="auto"/>
            </w:tcBorders>
          </w:tcPr>
          <w:p w14:paraId="107E427A" w14:textId="77777777" w:rsidR="001F3550" w:rsidRPr="001362A6" w:rsidRDefault="001F3550" w:rsidP="00FD764E">
            <w:pPr>
              <w:rPr>
                <w:rFonts w:ascii="Lato" w:hAnsi="Lato"/>
                <w:sz w:val="22"/>
                <w:szCs w:val="22"/>
                <w:lang w:val="en-IE"/>
              </w:rPr>
            </w:pPr>
          </w:p>
        </w:tc>
      </w:tr>
      <w:tr w:rsidR="001F3550" w:rsidRPr="001362A6" w14:paraId="43EC7DD5" w14:textId="77777777" w:rsidTr="00FD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77B55754" w14:textId="77777777" w:rsidR="001F3550" w:rsidRPr="001362A6" w:rsidRDefault="001F3550" w:rsidP="00FD764E">
            <w:pPr>
              <w:jc w:val="right"/>
              <w:rPr>
                <w:rFonts w:ascii="Lato" w:hAnsi="Lato"/>
                <w:sz w:val="22"/>
                <w:szCs w:val="22"/>
                <w:lang w:val="en-IE"/>
              </w:rPr>
            </w:pPr>
          </w:p>
        </w:tc>
        <w:tc>
          <w:tcPr>
            <w:tcW w:w="5625" w:type="dxa"/>
            <w:gridSpan w:val="2"/>
            <w:tcBorders>
              <w:top w:val="nil"/>
              <w:left w:val="nil"/>
              <w:bottom w:val="nil"/>
              <w:right w:val="nil"/>
            </w:tcBorders>
          </w:tcPr>
          <w:p w14:paraId="02E42AAE" w14:textId="77777777" w:rsidR="001F3550" w:rsidRPr="001362A6" w:rsidRDefault="001F3550" w:rsidP="00FD764E">
            <w:pPr>
              <w:rPr>
                <w:rFonts w:ascii="Lato" w:hAnsi="Lato"/>
                <w:sz w:val="22"/>
                <w:szCs w:val="22"/>
                <w:lang w:val="en-IE"/>
              </w:rPr>
            </w:pPr>
          </w:p>
        </w:tc>
        <w:tc>
          <w:tcPr>
            <w:tcW w:w="2044" w:type="dxa"/>
            <w:tcBorders>
              <w:top w:val="nil"/>
              <w:left w:val="nil"/>
              <w:bottom w:val="nil"/>
              <w:right w:val="nil"/>
            </w:tcBorders>
          </w:tcPr>
          <w:p w14:paraId="0645FDC0" w14:textId="77777777" w:rsidR="001F3550" w:rsidRPr="001362A6" w:rsidRDefault="001F3550" w:rsidP="00FD764E">
            <w:pPr>
              <w:rPr>
                <w:rFonts w:ascii="Lato" w:hAnsi="Lato"/>
                <w:sz w:val="22"/>
                <w:szCs w:val="22"/>
                <w:lang w:val="en-IE"/>
              </w:rPr>
            </w:pPr>
          </w:p>
        </w:tc>
        <w:tc>
          <w:tcPr>
            <w:tcW w:w="612" w:type="dxa"/>
            <w:gridSpan w:val="2"/>
            <w:tcBorders>
              <w:top w:val="nil"/>
              <w:left w:val="nil"/>
              <w:bottom w:val="nil"/>
              <w:right w:val="nil"/>
            </w:tcBorders>
          </w:tcPr>
          <w:p w14:paraId="46246C7E" w14:textId="77777777" w:rsidR="001F3550" w:rsidRPr="001362A6" w:rsidRDefault="001F3550" w:rsidP="00FD764E">
            <w:pPr>
              <w:rPr>
                <w:rFonts w:ascii="Lato" w:hAnsi="Lato"/>
                <w:sz w:val="22"/>
                <w:szCs w:val="22"/>
                <w:lang w:val="en-IE"/>
              </w:rPr>
            </w:pPr>
          </w:p>
        </w:tc>
        <w:tc>
          <w:tcPr>
            <w:tcW w:w="414" w:type="dxa"/>
            <w:tcBorders>
              <w:top w:val="nil"/>
              <w:left w:val="nil"/>
              <w:bottom w:val="single" w:sz="4" w:space="0" w:color="auto"/>
              <w:right w:val="nil"/>
            </w:tcBorders>
          </w:tcPr>
          <w:p w14:paraId="7E630204" w14:textId="77777777" w:rsidR="001F3550" w:rsidRPr="001362A6" w:rsidRDefault="001F3550" w:rsidP="00FD764E">
            <w:pPr>
              <w:rPr>
                <w:rFonts w:ascii="Lato" w:hAnsi="Lato"/>
                <w:sz w:val="22"/>
                <w:szCs w:val="22"/>
                <w:lang w:val="en-IE"/>
              </w:rPr>
            </w:pPr>
          </w:p>
        </w:tc>
        <w:tc>
          <w:tcPr>
            <w:tcW w:w="668" w:type="dxa"/>
            <w:gridSpan w:val="2"/>
            <w:tcBorders>
              <w:top w:val="nil"/>
              <w:left w:val="nil"/>
              <w:bottom w:val="single" w:sz="4" w:space="0" w:color="auto"/>
              <w:right w:val="nil"/>
            </w:tcBorders>
          </w:tcPr>
          <w:p w14:paraId="375145B8" w14:textId="77777777" w:rsidR="001F3550" w:rsidRPr="001362A6" w:rsidRDefault="001F3550" w:rsidP="00FD764E">
            <w:pPr>
              <w:rPr>
                <w:rFonts w:ascii="Lato" w:hAnsi="Lato"/>
                <w:sz w:val="22"/>
                <w:szCs w:val="22"/>
                <w:lang w:val="en-IE"/>
              </w:rPr>
            </w:pPr>
          </w:p>
        </w:tc>
      </w:tr>
      <w:tr w:rsidR="001F3550" w:rsidRPr="001362A6" w14:paraId="585759D4" w14:textId="77777777" w:rsidTr="00FD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1212" w:type="dxa"/>
            <w:vMerge w:val="restart"/>
            <w:tcBorders>
              <w:top w:val="nil"/>
              <w:left w:val="nil"/>
              <w:right w:val="nil"/>
            </w:tcBorders>
          </w:tcPr>
          <w:p w14:paraId="62A433FC" w14:textId="77777777" w:rsidR="001F3550" w:rsidRPr="001362A6" w:rsidRDefault="001F3550" w:rsidP="00FD764E">
            <w:pPr>
              <w:jc w:val="right"/>
              <w:rPr>
                <w:rFonts w:ascii="Lato" w:hAnsi="Lato"/>
                <w:sz w:val="22"/>
                <w:szCs w:val="22"/>
                <w:lang w:val="en-IE"/>
              </w:rPr>
            </w:pPr>
            <w:r w:rsidRPr="001362A6">
              <w:rPr>
                <w:rFonts w:ascii="Lato" w:hAnsi="Lato"/>
                <w:sz w:val="22"/>
                <w:szCs w:val="22"/>
                <w:lang w:val="en-IE"/>
              </w:rPr>
              <w:t>c)</w:t>
            </w:r>
          </w:p>
        </w:tc>
        <w:tc>
          <w:tcPr>
            <w:tcW w:w="7669" w:type="dxa"/>
            <w:gridSpan w:val="3"/>
            <w:vMerge w:val="restart"/>
            <w:tcBorders>
              <w:top w:val="nil"/>
              <w:left w:val="nil"/>
              <w:right w:val="nil"/>
            </w:tcBorders>
          </w:tcPr>
          <w:p w14:paraId="506B420F" w14:textId="77777777" w:rsidR="001F3550" w:rsidRPr="001362A6" w:rsidRDefault="001F3550" w:rsidP="00A70AEC">
            <w:pPr>
              <w:rPr>
                <w:rFonts w:ascii="Lato" w:hAnsi="Lato"/>
                <w:sz w:val="22"/>
                <w:szCs w:val="22"/>
                <w:lang w:val="en-IE"/>
              </w:rPr>
            </w:pPr>
            <w:r w:rsidRPr="001362A6">
              <w:rPr>
                <w:rFonts w:ascii="Lato" w:hAnsi="Lato"/>
                <w:sz w:val="22"/>
                <w:szCs w:val="22"/>
                <w:lang w:val="en-IE"/>
              </w:rPr>
              <w:t xml:space="preserve">it will not contain information which conflicts with the prospectus or the AIF </w:t>
            </w:r>
            <w:r w:rsidR="00705736" w:rsidRPr="001362A6">
              <w:rPr>
                <w:rFonts w:ascii="Lato" w:hAnsi="Lato"/>
                <w:sz w:val="22"/>
                <w:szCs w:val="22"/>
                <w:lang w:val="en-IE"/>
              </w:rPr>
              <w:t>Rulebook</w:t>
            </w:r>
          </w:p>
        </w:tc>
        <w:tc>
          <w:tcPr>
            <w:tcW w:w="612" w:type="dxa"/>
            <w:gridSpan w:val="2"/>
            <w:vMerge w:val="restart"/>
            <w:tcBorders>
              <w:top w:val="nil"/>
              <w:left w:val="nil"/>
              <w:right w:val="single" w:sz="4" w:space="0" w:color="auto"/>
            </w:tcBorders>
          </w:tcPr>
          <w:p w14:paraId="3DD2086D" w14:textId="77777777" w:rsidR="001F3550" w:rsidRPr="001362A6" w:rsidRDefault="001F3550" w:rsidP="00FD764E">
            <w:pPr>
              <w:rPr>
                <w:rFonts w:ascii="Lato" w:hAnsi="Lato"/>
                <w:sz w:val="22"/>
                <w:szCs w:val="22"/>
                <w:lang w:val="en-IE"/>
              </w:rPr>
            </w:pPr>
          </w:p>
        </w:tc>
        <w:tc>
          <w:tcPr>
            <w:tcW w:w="1082" w:type="dxa"/>
            <w:gridSpan w:val="3"/>
            <w:tcBorders>
              <w:top w:val="single" w:sz="4" w:space="0" w:color="auto"/>
              <w:left w:val="single" w:sz="4" w:space="0" w:color="auto"/>
              <w:bottom w:val="single" w:sz="4" w:space="0" w:color="auto"/>
              <w:right w:val="single" w:sz="4" w:space="0" w:color="auto"/>
            </w:tcBorders>
          </w:tcPr>
          <w:p w14:paraId="3D9A024F" w14:textId="77777777" w:rsidR="001F3550" w:rsidRPr="001362A6" w:rsidRDefault="001F3550" w:rsidP="00FD764E">
            <w:pPr>
              <w:rPr>
                <w:rFonts w:ascii="Lato" w:hAnsi="Lato"/>
                <w:sz w:val="22"/>
                <w:szCs w:val="22"/>
                <w:lang w:val="en-IE"/>
              </w:rPr>
            </w:pPr>
          </w:p>
        </w:tc>
      </w:tr>
      <w:tr w:rsidR="001F3550" w:rsidRPr="001362A6" w14:paraId="3B3EA6A0" w14:textId="77777777" w:rsidTr="00FD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1212" w:type="dxa"/>
            <w:vMerge/>
            <w:tcBorders>
              <w:left w:val="nil"/>
              <w:bottom w:val="nil"/>
              <w:right w:val="nil"/>
            </w:tcBorders>
          </w:tcPr>
          <w:p w14:paraId="2A1DFEA5" w14:textId="77777777" w:rsidR="001F3550" w:rsidRPr="001362A6" w:rsidRDefault="001F3550" w:rsidP="00FD764E">
            <w:pPr>
              <w:rPr>
                <w:rFonts w:ascii="Lato" w:hAnsi="Lato"/>
                <w:sz w:val="22"/>
                <w:szCs w:val="22"/>
                <w:lang w:val="en-IE"/>
              </w:rPr>
            </w:pPr>
          </w:p>
        </w:tc>
        <w:tc>
          <w:tcPr>
            <w:tcW w:w="7669" w:type="dxa"/>
            <w:gridSpan w:val="3"/>
            <w:vMerge/>
            <w:tcBorders>
              <w:left w:val="nil"/>
              <w:bottom w:val="nil"/>
              <w:right w:val="nil"/>
            </w:tcBorders>
          </w:tcPr>
          <w:p w14:paraId="5BBED79B" w14:textId="77777777" w:rsidR="001F3550" w:rsidRPr="001362A6" w:rsidRDefault="001F3550" w:rsidP="00FD764E">
            <w:pPr>
              <w:rPr>
                <w:rFonts w:ascii="Lato" w:hAnsi="Lato"/>
                <w:sz w:val="22"/>
                <w:szCs w:val="22"/>
                <w:lang w:val="en-IE"/>
              </w:rPr>
            </w:pPr>
          </w:p>
        </w:tc>
        <w:tc>
          <w:tcPr>
            <w:tcW w:w="612" w:type="dxa"/>
            <w:gridSpan w:val="2"/>
            <w:vMerge/>
            <w:tcBorders>
              <w:left w:val="nil"/>
              <w:bottom w:val="nil"/>
              <w:right w:val="nil"/>
            </w:tcBorders>
          </w:tcPr>
          <w:p w14:paraId="43624314" w14:textId="77777777" w:rsidR="001F3550" w:rsidRPr="001362A6" w:rsidRDefault="001F3550" w:rsidP="00FD764E">
            <w:pPr>
              <w:rPr>
                <w:rFonts w:ascii="Lato" w:hAnsi="Lato"/>
                <w:sz w:val="22"/>
                <w:szCs w:val="22"/>
                <w:lang w:val="en-IE"/>
              </w:rPr>
            </w:pPr>
          </w:p>
        </w:tc>
        <w:tc>
          <w:tcPr>
            <w:tcW w:w="1082" w:type="dxa"/>
            <w:gridSpan w:val="3"/>
            <w:tcBorders>
              <w:top w:val="nil"/>
              <w:left w:val="nil"/>
              <w:bottom w:val="nil"/>
              <w:right w:val="nil"/>
            </w:tcBorders>
          </w:tcPr>
          <w:p w14:paraId="2BB43414" w14:textId="77777777" w:rsidR="001F3550" w:rsidRPr="001362A6" w:rsidRDefault="001F3550" w:rsidP="00FD764E">
            <w:pPr>
              <w:rPr>
                <w:rFonts w:ascii="Lato" w:hAnsi="Lato"/>
                <w:sz w:val="22"/>
                <w:szCs w:val="22"/>
                <w:lang w:val="en-IE"/>
              </w:rPr>
            </w:pPr>
          </w:p>
        </w:tc>
      </w:tr>
      <w:tr w:rsidR="001F3550" w:rsidRPr="001362A6" w14:paraId="431ADCF6" w14:textId="77777777" w:rsidTr="001F3550">
        <w:tc>
          <w:tcPr>
            <w:tcW w:w="1212" w:type="dxa"/>
          </w:tcPr>
          <w:p w14:paraId="6D8B2D47" w14:textId="77777777" w:rsidR="001F3550" w:rsidRPr="001362A6" w:rsidRDefault="001F3550" w:rsidP="00D319CF">
            <w:pPr>
              <w:rPr>
                <w:rFonts w:ascii="Lato" w:hAnsi="Lato"/>
                <w:sz w:val="22"/>
                <w:szCs w:val="22"/>
                <w:lang w:val="en-IE"/>
              </w:rPr>
            </w:pPr>
          </w:p>
        </w:tc>
        <w:tc>
          <w:tcPr>
            <w:tcW w:w="7734" w:type="dxa"/>
            <w:gridSpan w:val="4"/>
          </w:tcPr>
          <w:p w14:paraId="0F54DEE1" w14:textId="77777777" w:rsidR="001F3550" w:rsidRPr="001362A6" w:rsidRDefault="001F3550" w:rsidP="00D319CF">
            <w:pPr>
              <w:rPr>
                <w:rFonts w:ascii="Lato" w:hAnsi="Lato"/>
                <w:sz w:val="22"/>
                <w:szCs w:val="22"/>
                <w:lang w:val="en-IE"/>
              </w:rPr>
            </w:pPr>
          </w:p>
        </w:tc>
        <w:tc>
          <w:tcPr>
            <w:tcW w:w="547" w:type="dxa"/>
            <w:tcBorders>
              <w:left w:val="nil"/>
            </w:tcBorders>
          </w:tcPr>
          <w:p w14:paraId="45F7085F" w14:textId="77777777" w:rsidR="001F3550" w:rsidRPr="001362A6" w:rsidRDefault="001F3550" w:rsidP="00D319CF">
            <w:pPr>
              <w:rPr>
                <w:rFonts w:ascii="Lato" w:hAnsi="Lato"/>
                <w:sz w:val="22"/>
                <w:szCs w:val="22"/>
                <w:lang w:val="en-IE"/>
              </w:rPr>
            </w:pPr>
          </w:p>
        </w:tc>
        <w:tc>
          <w:tcPr>
            <w:tcW w:w="1082" w:type="dxa"/>
            <w:gridSpan w:val="3"/>
          </w:tcPr>
          <w:p w14:paraId="31090BEA" w14:textId="77777777" w:rsidR="001F3550" w:rsidRPr="001362A6" w:rsidRDefault="001F3550" w:rsidP="00D319CF">
            <w:pPr>
              <w:rPr>
                <w:rFonts w:ascii="Lato" w:hAnsi="Lato"/>
                <w:sz w:val="22"/>
                <w:szCs w:val="22"/>
                <w:lang w:val="en-IE"/>
              </w:rPr>
            </w:pPr>
          </w:p>
        </w:tc>
      </w:tr>
      <w:tr w:rsidR="0042571B" w:rsidRPr="001362A6" w14:paraId="55FEDC5E" w14:textId="77777777" w:rsidTr="00425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789B91BF" w14:textId="77777777" w:rsidR="0042571B" w:rsidRPr="001362A6" w:rsidRDefault="0042571B" w:rsidP="0042571B">
            <w:pPr>
              <w:rPr>
                <w:rFonts w:ascii="Lato" w:hAnsi="Lato"/>
                <w:sz w:val="22"/>
                <w:szCs w:val="22"/>
                <w:lang w:val="en-IE"/>
              </w:rPr>
            </w:pPr>
            <w:r w:rsidRPr="001362A6">
              <w:rPr>
                <w:rFonts w:ascii="Lato" w:hAnsi="Lato"/>
                <w:sz w:val="22"/>
                <w:szCs w:val="22"/>
                <w:lang w:val="en-IE"/>
              </w:rPr>
              <w:t>1.5.5</w:t>
            </w:r>
          </w:p>
        </w:tc>
        <w:tc>
          <w:tcPr>
            <w:tcW w:w="7669" w:type="dxa"/>
            <w:gridSpan w:val="3"/>
            <w:tcBorders>
              <w:top w:val="nil"/>
              <w:left w:val="nil"/>
              <w:bottom w:val="nil"/>
              <w:right w:val="nil"/>
            </w:tcBorders>
          </w:tcPr>
          <w:p w14:paraId="03333810" w14:textId="77777777" w:rsidR="0042571B" w:rsidRPr="001362A6" w:rsidRDefault="0042571B" w:rsidP="0042571B">
            <w:pPr>
              <w:rPr>
                <w:rFonts w:ascii="Lato" w:hAnsi="Lato"/>
                <w:sz w:val="22"/>
                <w:szCs w:val="22"/>
                <w:lang w:val="en-IE"/>
              </w:rPr>
            </w:pPr>
            <w:r w:rsidRPr="001362A6">
              <w:rPr>
                <w:rFonts w:ascii="Lato" w:hAnsi="Lato"/>
                <w:sz w:val="22"/>
                <w:szCs w:val="22"/>
                <w:lang w:val="en-IE"/>
              </w:rPr>
              <w:t>Is the Fund an exchange-traded fund?</w:t>
            </w:r>
          </w:p>
        </w:tc>
        <w:tc>
          <w:tcPr>
            <w:tcW w:w="612" w:type="dxa"/>
            <w:gridSpan w:val="2"/>
            <w:tcBorders>
              <w:top w:val="nil"/>
              <w:left w:val="nil"/>
              <w:bottom w:val="nil"/>
              <w:right w:val="single" w:sz="4" w:space="0" w:color="auto"/>
            </w:tcBorders>
          </w:tcPr>
          <w:p w14:paraId="5EFA7209" w14:textId="77777777" w:rsidR="0042571B" w:rsidRPr="001362A6" w:rsidRDefault="0042571B" w:rsidP="0042571B">
            <w:pPr>
              <w:rPr>
                <w:rFonts w:ascii="Lato" w:hAnsi="Lato"/>
                <w:sz w:val="22"/>
                <w:szCs w:val="22"/>
                <w:lang w:val="en-IE"/>
              </w:rPr>
            </w:pPr>
          </w:p>
        </w:tc>
        <w:tc>
          <w:tcPr>
            <w:tcW w:w="414" w:type="dxa"/>
            <w:tcBorders>
              <w:top w:val="single" w:sz="4" w:space="0" w:color="auto"/>
              <w:left w:val="single" w:sz="4" w:space="0" w:color="auto"/>
              <w:bottom w:val="single" w:sz="4" w:space="0" w:color="auto"/>
              <w:right w:val="nil"/>
            </w:tcBorders>
          </w:tcPr>
          <w:p w14:paraId="48F5B443" w14:textId="77777777" w:rsidR="0042571B" w:rsidRPr="001362A6" w:rsidRDefault="0042571B" w:rsidP="0042571B">
            <w:pPr>
              <w:rPr>
                <w:rFonts w:ascii="Lato" w:hAnsi="Lato"/>
                <w:sz w:val="22"/>
                <w:szCs w:val="22"/>
                <w:lang w:val="en-IE"/>
              </w:rPr>
            </w:pPr>
          </w:p>
        </w:tc>
        <w:tc>
          <w:tcPr>
            <w:tcW w:w="668" w:type="dxa"/>
            <w:gridSpan w:val="2"/>
            <w:tcBorders>
              <w:top w:val="single" w:sz="4" w:space="0" w:color="auto"/>
              <w:left w:val="nil"/>
              <w:bottom w:val="single" w:sz="4" w:space="0" w:color="auto"/>
              <w:right w:val="single" w:sz="4" w:space="0" w:color="auto"/>
            </w:tcBorders>
          </w:tcPr>
          <w:p w14:paraId="15115BE3" w14:textId="77777777" w:rsidR="0042571B" w:rsidRPr="001362A6" w:rsidRDefault="0042571B" w:rsidP="0042571B">
            <w:pPr>
              <w:rPr>
                <w:rFonts w:ascii="Lato" w:hAnsi="Lato"/>
                <w:sz w:val="22"/>
                <w:szCs w:val="22"/>
                <w:lang w:val="en-IE"/>
              </w:rPr>
            </w:pPr>
          </w:p>
        </w:tc>
      </w:tr>
      <w:tr w:rsidR="0042571B" w:rsidRPr="001362A6" w14:paraId="7BBBF1F4" w14:textId="77777777" w:rsidTr="00984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2D58F83D" w14:textId="77777777" w:rsidR="0042571B" w:rsidRPr="001362A6" w:rsidRDefault="0042571B" w:rsidP="0042571B">
            <w:pPr>
              <w:rPr>
                <w:rFonts w:ascii="Lato" w:hAnsi="Lato"/>
                <w:sz w:val="22"/>
                <w:szCs w:val="22"/>
                <w:lang w:val="en-IE"/>
              </w:rPr>
            </w:pPr>
          </w:p>
        </w:tc>
        <w:tc>
          <w:tcPr>
            <w:tcW w:w="7669" w:type="dxa"/>
            <w:gridSpan w:val="3"/>
            <w:tcBorders>
              <w:top w:val="nil"/>
              <w:left w:val="nil"/>
              <w:bottom w:val="nil"/>
              <w:right w:val="nil"/>
            </w:tcBorders>
          </w:tcPr>
          <w:p w14:paraId="4937F9D3" w14:textId="77777777" w:rsidR="0042571B" w:rsidRPr="001362A6" w:rsidRDefault="0042571B" w:rsidP="0042571B">
            <w:pPr>
              <w:rPr>
                <w:rFonts w:ascii="Lato" w:hAnsi="Lato"/>
                <w:sz w:val="22"/>
                <w:szCs w:val="22"/>
                <w:lang w:val="en-IE"/>
              </w:rPr>
            </w:pPr>
          </w:p>
        </w:tc>
        <w:tc>
          <w:tcPr>
            <w:tcW w:w="612" w:type="dxa"/>
            <w:gridSpan w:val="2"/>
            <w:tcBorders>
              <w:top w:val="nil"/>
              <w:left w:val="nil"/>
              <w:bottom w:val="nil"/>
              <w:right w:val="nil"/>
            </w:tcBorders>
          </w:tcPr>
          <w:p w14:paraId="0378004D" w14:textId="77777777" w:rsidR="0042571B" w:rsidRPr="001362A6" w:rsidRDefault="0042571B" w:rsidP="0042571B">
            <w:pPr>
              <w:rPr>
                <w:rFonts w:ascii="Lato" w:hAnsi="Lato"/>
                <w:sz w:val="22"/>
                <w:szCs w:val="22"/>
                <w:lang w:val="en-IE"/>
              </w:rPr>
            </w:pPr>
          </w:p>
        </w:tc>
        <w:tc>
          <w:tcPr>
            <w:tcW w:w="414" w:type="dxa"/>
            <w:tcBorders>
              <w:top w:val="nil"/>
              <w:left w:val="nil"/>
              <w:bottom w:val="single" w:sz="4" w:space="0" w:color="auto"/>
              <w:right w:val="nil"/>
            </w:tcBorders>
          </w:tcPr>
          <w:p w14:paraId="2DB04BFC" w14:textId="77777777" w:rsidR="0042571B" w:rsidRPr="001362A6" w:rsidRDefault="0042571B" w:rsidP="0042571B">
            <w:pPr>
              <w:rPr>
                <w:rFonts w:ascii="Lato" w:hAnsi="Lato"/>
                <w:sz w:val="22"/>
                <w:szCs w:val="22"/>
                <w:lang w:val="en-IE"/>
              </w:rPr>
            </w:pPr>
          </w:p>
        </w:tc>
        <w:tc>
          <w:tcPr>
            <w:tcW w:w="668" w:type="dxa"/>
            <w:gridSpan w:val="2"/>
            <w:tcBorders>
              <w:top w:val="nil"/>
              <w:left w:val="nil"/>
              <w:bottom w:val="single" w:sz="4" w:space="0" w:color="auto"/>
              <w:right w:val="nil"/>
            </w:tcBorders>
          </w:tcPr>
          <w:p w14:paraId="5F5FDD5C" w14:textId="77777777" w:rsidR="0042571B" w:rsidRPr="001362A6" w:rsidRDefault="0042571B" w:rsidP="0042571B">
            <w:pPr>
              <w:rPr>
                <w:rFonts w:ascii="Lato" w:hAnsi="Lato"/>
                <w:sz w:val="22"/>
                <w:szCs w:val="22"/>
                <w:lang w:val="en-IE"/>
              </w:rPr>
            </w:pPr>
          </w:p>
        </w:tc>
      </w:tr>
      <w:tr w:rsidR="00F75986" w:rsidRPr="001362A6" w14:paraId="2EAF5536" w14:textId="77777777" w:rsidTr="00984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743E0E2E" w14:textId="77777777" w:rsidR="00F75986" w:rsidRPr="001362A6" w:rsidRDefault="00F75986" w:rsidP="0042571B">
            <w:pPr>
              <w:rPr>
                <w:rFonts w:ascii="Lato" w:hAnsi="Lato"/>
                <w:sz w:val="22"/>
                <w:szCs w:val="22"/>
                <w:lang w:val="en-IE"/>
              </w:rPr>
            </w:pPr>
            <w:r w:rsidRPr="001362A6">
              <w:rPr>
                <w:rFonts w:ascii="Lato" w:hAnsi="Lato"/>
                <w:sz w:val="22"/>
                <w:szCs w:val="22"/>
                <w:lang w:val="en-IE"/>
              </w:rPr>
              <w:t>1.5.6</w:t>
            </w:r>
          </w:p>
        </w:tc>
        <w:tc>
          <w:tcPr>
            <w:tcW w:w="7669" w:type="dxa"/>
            <w:gridSpan w:val="3"/>
            <w:tcBorders>
              <w:top w:val="nil"/>
              <w:left w:val="nil"/>
              <w:bottom w:val="nil"/>
              <w:right w:val="nil"/>
            </w:tcBorders>
          </w:tcPr>
          <w:p w14:paraId="0BB2F453" w14:textId="77777777" w:rsidR="00F75986" w:rsidRPr="001362A6" w:rsidRDefault="00F75986" w:rsidP="0042571B">
            <w:pPr>
              <w:rPr>
                <w:rFonts w:ascii="Lato" w:hAnsi="Lato"/>
                <w:sz w:val="22"/>
                <w:szCs w:val="22"/>
                <w:lang w:val="en-IE"/>
              </w:rPr>
            </w:pPr>
            <w:r w:rsidRPr="001362A6">
              <w:rPr>
                <w:rFonts w:ascii="Lato" w:hAnsi="Lato"/>
                <w:sz w:val="22"/>
                <w:szCs w:val="22"/>
                <w:lang w:val="en-IE"/>
              </w:rPr>
              <w:t>Is the Fund a loan originating fund?</w:t>
            </w:r>
          </w:p>
        </w:tc>
        <w:tc>
          <w:tcPr>
            <w:tcW w:w="612" w:type="dxa"/>
            <w:gridSpan w:val="2"/>
            <w:tcBorders>
              <w:top w:val="nil"/>
              <w:left w:val="nil"/>
              <w:bottom w:val="nil"/>
              <w:right w:val="single" w:sz="4" w:space="0" w:color="auto"/>
            </w:tcBorders>
          </w:tcPr>
          <w:p w14:paraId="6B53C022" w14:textId="77777777" w:rsidR="00F75986" w:rsidRPr="001362A6" w:rsidRDefault="00F75986" w:rsidP="0042571B">
            <w:pPr>
              <w:rPr>
                <w:rFonts w:ascii="Lato" w:hAnsi="Lato"/>
                <w:sz w:val="22"/>
                <w:szCs w:val="22"/>
                <w:lang w:val="en-IE"/>
              </w:rPr>
            </w:pPr>
          </w:p>
        </w:tc>
        <w:tc>
          <w:tcPr>
            <w:tcW w:w="414" w:type="dxa"/>
            <w:tcBorders>
              <w:top w:val="single" w:sz="4" w:space="0" w:color="auto"/>
              <w:left w:val="single" w:sz="4" w:space="0" w:color="auto"/>
              <w:bottom w:val="single" w:sz="4" w:space="0" w:color="auto"/>
              <w:right w:val="nil"/>
            </w:tcBorders>
          </w:tcPr>
          <w:p w14:paraId="06FECA19" w14:textId="77777777" w:rsidR="00F75986" w:rsidRPr="001362A6" w:rsidRDefault="00F75986" w:rsidP="0042571B">
            <w:pPr>
              <w:rPr>
                <w:rFonts w:ascii="Lato" w:hAnsi="Lato"/>
                <w:sz w:val="22"/>
                <w:szCs w:val="22"/>
                <w:lang w:val="en-IE"/>
              </w:rPr>
            </w:pPr>
          </w:p>
        </w:tc>
        <w:tc>
          <w:tcPr>
            <w:tcW w:w="668" w:type="dxa"/>
            <w:gridSpan w:val="2"/>
            <w:tcBorders>
              <w:top w:val="single" w:sz="4" w:space="0" w:color="auto"/>
              <w:left w:val="nil"/>
              <w:bottom w:val="single" w:sz="4" w:space="0" w:color="auto"/>
              <w:right w:val="single" w:sz="4" w:space="0" w:color="auto"/>
            </w:tcBorders>
          </w:tcPr>
          <w:p w14:paraId="779BCA5D" w14:textId="77777777" w:rsidR="00F75986" w:rsidRPr="001362A6" w:rsidRDefault="00F75986" w:rsidP="0042571B">
            <w:pPr>
              <w:rPr>
                <w:rFonts w:ascii="Lato" w:hAnsi="Lato"/>
                <w:sz w:val="22"/>
                <w:szCs w:val="22"/>
                <w:lang w:val="en-IE"/>
              </w:rPr>
            </w:pPr>
          </w:p>
        </w:tc>
      </w:tr>
      <w:tr w:rsidR="00F75986" w:rsidRPr="001362A6" w14:paraId="1F496669" w14:textId="77777777" w:rsidTr="00425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1764C32C" w14:textId="77777777" w:rsidR="00F75986" w:rsidRPr="001362A6" w:rsidRDefault="00F75986" w:rsidP="0042571B">
            <w:pPr>
              <w:rPr>
                <w:rFonts w:ascii="Lato" w:hAnsi="Lato"/>
                <w:sz w:val="22"/>
                <w:szCs w:val="22"/>
                <w:lang w:val="en-IE"/>
              </w:rPr>
            </w:pPr>
          </w:p>
        </w:tc>
        <w:tc>
          <w:tcPr>
            <w:tcW w:w="7669" w:type="dxa"/>
            <w:gridSpan w:val="3"/>
            <w:tcBorders>
              <w:top w:val="nil"/>
              <w:left w:val="nil"/>
              <w:bottom w:val="nil"/>
              <w:right w:val="nil"/>
            </w:tcBorders>
          </w:tcPr>
          <w:p w14:paraId="0FA03E90" w14:textId="77777777" w:rsidR="00F75986" w:rsidRPr="001362A6" w:rsidRDefault="00F75986" w:rsidP="0042571B">
            <w:pPr>
              <w:rPr>
                <w:rFonts w:ascii="Lato" w:hAnsi="Lato"/>
                <w:sz w:val="22"/>
                <w:szCs w:val="22"/>
                <w:lang w:val="en-IE"/>
              </w:rPr>
            </w:pPr>
          </w:p>
        </w:tc>
        <w:tc>
          <w:tcPr>
            <w:tcW w:w="612" w:type="dxa"/>
            <w:gridSpan w:val="2"/>
            <w:tcBorders>
              <w:top w:val="nil"/>
              <w:left w:val="nil"/>
              <w:bottom w:val="nil"/>
              <w:right w:val="nil"/>
            </w:tcBorders>
          </w:tcPr>
          <w:p w14:paraId="118CCA0C" w14:textId="77777777" w:rsidR="00F75986" w:rsidRPr="001362A6" w:rsidRDefault="00F75986" w:rsidP="0042571B">
            <w:pPr>
              <w:rPr>
                <w:rFonts w:ascii="Lato" w:hAnsi="Lato"/>
                <w:sz w:val="22"/>
                <w:szCs w:val="22"/>
                <w:lang w:val="en-IE"/>
              </w:rPr>
            </w:pPr>
          </w:p>
        </w:tc>
        <w:tc>
          <w:tcPr>
            <w:tcW w:w="414" w:type="dxa"/>
            <w:tcBorders>
              <w:top w:val="nil"/>
              <w:left w:val="nil"/>
              <w:bottom w:val="single" w:sz="4" w:space="0" w:color="auto"/>
              <w:right w:val="nil"/>
            </w:tcBorders>
          </w:tcPr>
          <w:p w14:paraId="612FD685" w14:textId="77777777" w:rsidR="00F75986" w:rsidRPr="001362A6" w:rsidRDefault="00F75986" w:rsidP="0042571B">
            <w:pPr>
              <w:rPr>
                <w:rFonts w:ascii="Lato" w:hAnsi="Lato"/>
                <w:sz w:val="22"/>
                <w:szCs w:val="22"/>
                <w:lang w:val="en-IE"/>
              </w:rPr>
            </w:pPr>
          </w:p>
        </w:tc>
        <w:tc>
          <w:tcPr>
            <w:tcW w:w="668" w:type="dxa"/>
            <w:gridSpan w:val="2"/>
            <w:tcBorders>
              <w:top w:val="nil"/>
              <w:left w:val="nil"/>
              <w:bottom w:val="single" w:sz="4" w:space="0" w:color="auto"/>
              <w:right w:val="nil"/>
            </w:tcBorders>
          </w:tcPr>
          <w:p w14:paraId="034593F2" w14:textId="77777777" w:rsidR="00F75986" w:rsidRPr="001362A6" w:rsidRDefault="00F75986" w:rsidP="0042571B">
            <w:pPr>
              <w:rPr>
                <w:rFonts w:ascii="Lato" w:hAnsi="Lato"/>
                <w:sz w:val="22"/>
                <w:szCs w:val="22"/>
                <w:lang w:val="en-IE"/>
              </w:rPr>
            </w:pPr>
          </w:p>
        </w:tc>
      </w:tr>
      <w:tr w:rsidR="0042571B" w:rsidRPr="001362A6" w14:paraId="78D3ECD1" w14:textId="77777777" w:rsidTr="00136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5DEA862A" w14:textId="77777777" w:rsidR="0042571B" w:rsidRPr="001362A6" w:rsidRDefault="0042571B" w:rsidP="00F75986">
            <w:pPr>
              <w:rPr>
                <w:rFonts w:ascii="Lato" w:hAnsi="Lato"/>
                <w:sz w:val="22"/>
                <w:lang w:val="en-IE"/>
              </w:rPr>
            </w:pPr>
            <w:r w:rsidRPr="001362A6">
              <w:rPr>
                <w:rFonts w:ascii="Lato" w:hAnsi="Lato"/>
                <w:sz w:val="22"/>
                <w:lang w:val="en-IE"/>
              </w:rPr>
              <w:t>1.5.</w:t>
            </w:r>
            <w:r w:rsidR="00F75986" w:rsidRPr="001362A6">
              <w:rPr>
                <w:rFonts w:ascii="Lato" w:hAnsi="Lato"/>
                <w:sz w:val="22"/>
                <w:lang w:val="en-IE"/>
              </w:rPr>
              <w:t>7</w:t>
            </w:r>
          </w:p>
        </w:tc>
        <w:tc>
          <w:tcPr>
            <w:tcW w:w="7669" w:type="dxa"/>
            <w:gridSpan w:val="3"/>
            <w:tcBorders>
              <w:top w:val="nil"/>
              <w:left w:val="nil"/>
              <w:bottom w:val="single" w:sz="4" w:space="0" w:color="auto"/>
              <w:right w:val="nil"/>
            </w:tcBorders>
          </w:tcPr>
          <w:p w14:paraId="0929D6B2" w14:textId="77777777" w:rsidR="0042571B" w:rsidRPr="001362A6" w:rsidRDefault="00F03DD8" w:rsidP="00C13532">
            <w:pPr>
              <w:rPr>
                <w:rFonts w:ascii="Lato" w:hAnsi="Lato"/>
                <w:sz w:val="22"/>
                <w:lang w:val="en-IE"/>
              </w:rPr>
            </w:pPr>
            <w:r w:rsidRPr="001362A6">
              <w:rPr>
                <w:rFonts w:ascii="Lato" w:hAnsi="Lato"/>
                <w:sz w:val="22"/>
                <w:lang w:val="en-IE"/>
              </w:rPr>
              <w:t>Disclose the postal a</w:t>
            </w:r>
            <w:r w:rsidR="0042571B" w:rsidRPr="001362A6">
              <w:rPr>
                <w:rFonts w:ascii="Lato" w:hAnsi="Lato"/>
                <w:sz w:val="22"/>
                <w:lang w:val="en-IE"/>
              </w:rPr>
              <w:t xml:space="preserve">ddress, in the State, for correspondence relating to the </w:t>
            </w:r>
            <w:r w:rsidR="00C13532" w:rsidRPr="001362A6">
              <w:rPr>
                <w:rFonts w:ascii="Lato" w:hAnsi="Lato"/>
                <w:sz w:val="22"/>
                <w:lang w:val="en-IE"/>
              </w:rPr>
              <w:t>annual Industry Funding Levy.</w:t>
            </w:r>
            <w:r w:rsidR="0042571B" w:rsidRPr="001362A6">
              <w:rPr>
                <w:rFonts w:ascii="Lato" w:hAnsi="Lato"/>
                <w:sz w:val="22"/>
                <w:lang w:val="en-IE"/>
              </w:rPr>
              <w:t xml:space="preserve"> </w:t>
            </w:r>
          </w:p>
        </w:tc>
        <w:tc>
          <w:tcPr>
            <w:tcW w:w="612" w:type="dxa"/>
            <w:gridSpan w:val="2"/>
            <w:tcBorders>
              <w:top w:val="nil"/>
              <w:left w:val="nil"/>
              <w:bottom w:val="nil"/>
              <w:right w:val="single" w:sz="4" w:space="0" w:color="auto"/>
            </w:tcBorders>
          </w:tcPr>
          <w:p w14:paraId="251E318C" w14:textId="77777777" w:rsidR="0042571B" w:rsidRPr="001362A6" w:rsidRDefault="0042571B" w:rsidP="0042571B">
            <w:pPr>
              <w:rPr>
                <w:rFonts w:ascii="Lato" w:hAnsi="Lato"/>
                <w:sz w:val="22"/>
                <w:lang w:val="en-IE"/>
              </w:rPr>
            </w:pPr>
          </w:p>
        </w:tc>
        <w:tc>
          <w:tcPr>
            <w:tcW w:w="1082" w:type="dxa"/>
            <w:gridSpan w:val="3"/>
            <w:tcBorders>
              <w:top w:val="single" w:sz="4" w:space="0" w:color="auto"/>
              <w:left w:val="single" w:sz="4" w:space="0" w:color="auto"/>
              <w:bottom w:val="single" w:sz="4" w:space="0" w:color="auto"/>
              <w:right w:val="single" w:sz="4" w:space="0" w:color="auto"/>
            </w:tcBorders>
          </w:tcPr>
          <w:p w14:paraId="125F9B42" w14:textId="77777777" w:rsidR="0042571B" w:rsidRPr="001362A6" w:rsidRDefault="0042571B" w:rsidP="0042571B">
            <w:pPr>
              <w:rPr>
                <w:rFonts w:ascii="Lato" w:hAnsi="Lato"/>
                <w:sz w:val="22"/>
                <w:lang w:val="en-IE"/>
              </w:rPr>
            </w:pPr>
          </w:p>
        </w:tc>
      </w:tr>
      <w:tr w:rsidR="0042571B" w:rsidRPr="001362A6" w14:paraId="06EC4FB7" w14:textId="77777777" w:rsidTr="00136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single" w:sz="4" w:space="0" w:color="auto"/>
            </w:tcBorders>
          </w:tcPr>
          <w:p w14:paraId="753116D1" w14:textId="77777777" w:rsidR="0042571B" w:rsidRPr="001362A6" w:rsidRDefault="0042571B" w:rsidP="0042571B">
            <w:pPr>
              <w:rPr>
                <w:rFonts w:ascii="Lato" w:hAnsi="Lato"/>
                <w:sz w:val="22"/>
                <w:lang w:val="en-IE"/>
              </w:rPr>
            </w:pPr>
          </w:p>
        </w:tc>
        <w:tc>
          <w:tcPr>
            <w:tcW w:w="7669" w:type="dxa"/>
            <w:gridSpan w:val="3"/>
            <w:tcBorders>
              <w:top w:val="single" w:sz="4" w:space="0" w:color="auto"/>
              <w:left w:val="single" w:sz="4" w:space="0" w:color="auto"/>
              <w:bottom w:val="single" w:sz="4" w:space="0" w:color="auto"/>
              <w:right w:val="single" w:sz="4" w:space="0" w:color="auto"/>
            </w:tcBorders>
          </w:tcPr>
          <w:p w14:paraId="77454ABB" w14:textId="77777777" w:rsidR="0042571B" w:rsidRPr="001362A6" w:rsidRDefault="0042571B" w:rsidP="0042571B">
            <w:pPr>
              <w:rPr>
                <w:rFonts w:ascii="Lato" w:hAnsi="Lato"/>
                <w:sz w:val="22"/>
                <w:lang w:val="en-IE"/>
              </w:rPr>
            </w:pPr>
          </w:p>
          <w:p w14:paraId="3850DD0C" w14:textId="77777777" w:rsidR="0042571B" w:rsidRPr="001362A6" w:rsidRDefault="0042571B" w:rsidP="0042571B">
            <w:pPr>
              <w:rPr>
                <w:rFonts w:ascii="Lato" w:hAnsi="Lato"/>
                <w:sz w:val="22"/>
                <w:lang w:val="en-IE"/>
              </w:rPr>
            </w:pPr>
          </w:p>
          <w:p w14:paraId="113CEB9B" w14:textId="77777777" w:rsidR="0042571B" w:rsidRPr="001362A6" w:rsidRDefault="0042571B" w:rsidP="0042571B">
            <w:pPr>
              <w:rPr>
                <w:rFonts w:ascii="Lato" w:hAnsi="Lato"/>
                <w:sz w:val="22"/>
                <w:lang w:val="en-IE"/>
              </w:rPr>
            </w:pPr>
          </w:p>
          <w:p w14:paraId="69274F68" w14:textId="77777777" w:rsidR="0042571B" w:rsidRPr="001362A6" w:rsidRDefault="0042571B" w:rsidP="0042571B">
            <w:pPr>
              <w:rPr>
                <w:rFonts w:ascii="Lato" w:hAnsi="Lato"/>
                <w:sz w:val="22"/>
                <w:lang w:val="en-IE"/>
              </w:rPr>
            </w:pPr>
          </w:p>
        </w:tc>
        <w:tc>
          <w:tcPr>
            <w:tcW w:w="612" w:type="dxa"/>
            <w:gridSpan w:val="2"/>
            <w:tcBorders>
              <w:top w:val="nil"/>
              <w:left w:val="single" w:sz="4" w:space="0" w:color="auto"/>
              <w:bottom w:val="nil"/>
              <w:right w:val="nil"/>
            </w:tcBorders>
          </w:tcPr>
          <w:p w14:paraId="241E282B" w14:textId="77777777" w:rsidR="0042571B" w:rsidRPr="001362A6" w:rsidRDefault="0042571B" w:rsidP="0042571B">
            <w:pPr>
              <w:rPr>
                <w:rFonts w:ascii="Lato" w:hAnsi="Lato"/>
                <w:sz w:val="22"/>
                <w:lang w:val="en-IE"/>
              </w:rPr>
            </w:pPr>
          </w:p>
        </w:tc>
        <w:tc>
          <w:tcPr>
            <w:tcW w:w="414" w:type="dxa"/>
            <w:tcBorders>
              <w:top w:val="single" w:sz="4" w:space="0" w:color="auto"/>
              <w:left w:val="nil"/>
              <w:bottom w:val="nil"/>
              <w:right w:val="nil"/>
            </w:tcBorders>
          </w:tcPr>
          <w:p w14:paraId="33F7B5DD" w14:textId="77777777" w:rsidR="0042571B" w:rsidRPr="001362A6" w:rsidRDefault="0042571B" w:rsidP="0042571B">
            <w:pPr>
              <w:rPr>
                <w:rFonts w:ascii="Lato" w:hAnsi="Lato"/>
                <w:sz w:val="22"/>
                <w:lang w:val="en-IE"/>
              </w:rPr>
            </w:pPr>
          </w:p>
        </w:tc>
        <w:tc>
          <w:tcPr>
            <w:tcW w:w="668" w:type="dxa"/>
            <w:gridSpan w:val="2"/>
            <w:tcBorders>
              <w:top w:val="nil"/>
              <w:left w:val="nil"/>
              <w:bottom w:val="nil"/>
              <w:right w:val="nil"/>
            </w:tcBorders>
          </w:tcPr>
          <w:p w14:paraId="4108BA9F" w14:textId="77777777" w:rsidR="0042571B" w:rsidRPr="001362A6" w:rsidRDefault="0042571B" w:rsidP="0042571B">
            <w:pPr>
              <w:rPr>
                <w:rFonts w:ascii="Lato" w:hAnsi="Lato"/>
                <w:sz w:val="22"/>
                <w:lang w:val="en-IE"/>
              </w:rPr>
            </w:pPr>
          </w:p>
        </w:tc>
      </w:tr>
      <w:tr w:rsidR="00C13532" w:rsidRPr="001362A6" w14:paraId="6E077F3B" w14:textId="77777777" w:rsidTr="00136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32BACCD0" w14:textId="77777777" w:rsidR="00C13532" w:rsidRPr="001362A6" w:rsidRDefault="00C13532" w:rsidP="0042571B">
            <w:pPr>
              <w:rPr>
                <w:rFonts w:ascii="Lato" w:hAnsi="Lato"/>
                <w:sz w:val="22"/>
                <w:lang w:val="en-IE"/>
              </w:rPr>
            </w:pPr>
          </w:p>
        </w:tc>
        <w:tc>
          <w:tcPr>
            <w:tcW w:w="7669" w:type="dxa"/>
            <w:gridSpan w:val="3"/>
            <w:tcBorders>
              <w:top w:val="single" w:sz="4" w:space="0" w:color="auto"/>
              <w:left w:val="nil"/>
              <w:bottom w:val="nil"/>
              <w:right w:val="nil"/>
            </w:tcBorders>
          </w:tcPr>
          <w:p w14:paraId="43501D48" w14:textId="77777777" w:rsidR="00C13532" w:rsidRPr="001362A6" w:rsidRDefault="00C13532" w:rsidP="0042571B">
            <w:pPr>
              <w:rPr>
                <w:rFonts w:ascii="Lato" w:hAnsi="Lato"/>
                <w:sz w:val="22"/>
                <w:lang w:val="en-IE"/>
              </w:rPr>
            </w:pPr>
          </w:p>
        </w:tc>
        <w:tc>
          <w:tcPr>
            <w:tcW w:w="612" w:type="dxa"/>
            <w:gridSpan w:val="2"/>
            <w:tcBorders>
              <w:top w:val="nil"/>
              <w:left w:val="nil"/>
              <w:bottom w:val="nil"/>
              <w:right w:val="nil"/>
            </w:tcBorders>
          </w:tcPr>
          <w:p w14:paraId="73802533" w14:textId="77777777" w:rsidR="00C13532" w:rsidRPr="001362A6" w:rsidRDefault="00C13532" w:rsidP="0042571B">
            <w:pPr>
              <w:rPr>
                <w:rFonts w:ascii="Lato" w:hAnsi="Lato"/>
                <w:sz w:val="22"/>
                <w:lang w:val="en-IE"/>
              </w:rPr>
            </w:pPr>
          </w:p>
        </w:tc>
        <w:tc>
          <w:tcPr>
            <w:tcW w:w="414" w:type="dxa"/>
            <w:tcBorders>
              <w:top w:val="nil"/>
              <w:left w:val="nil"/>
              <w:bottom w:val="nil"/>
              <w:right w:val="nil"/>
            </w:tcBorders>
          </w:tcPr>
          <w:p w14:paraId="162011C3" w14:textId="77777777" w:rsidR="00C13532" w:rsidRPr="001362A6" w:rsidRDefault="00C13532" w:rsidP="0042571B">
            <w:pPr>
              <w:rPr>
                <w:rFonts w:ascii="Lato" w:hAnsi="Lato"/>
                <w:sz w:val="22"/>
                <w:lang w:val="en-IE"/>
              </w:rPr>
            </w:pPr>
          </w:p>
        </w:tc>
        <w:tc>
          <w:tcPr>
            <w:tcW w:w="668" w:type="dxa"/>
            <w:gridSpan w:val="2"/>
            <w:tcBorders>
              <w:top w:val="nil"/>
              <w:left w:val="nil"/>
              <w:bottom w:val="nil"/>
              <w:right w:val="nil"/>
            </w:tcBorders>
          </w:tcPr>
          <w:p w14:paraId="67561F9C" w14:textId="77777777" w:rsidR="00C13532" w:rsidRPr="001362A6" w:rsidRDefault="00C13532" w:rsidP="0042571B">
            <w:pPr>
              <w:rPr>
                <w:rFonts w:ascii="Lato" w:hAnsi="Lato"/>
                <w:sz w:val="22"/>
                <w:lang w:val="en-IE"/>
              </w:rPr>
            </w:pPr>
          </w:p>
        </w:tc>
      </w:tr>
      <w:tr w:rsidR="002C24A9" w:rsidRPr="001362A6" w14:paraId="2F15D4F6" w14:textId="77777777" w:rsidTr="00136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30A8F94A" w14:textId="77777777" w:rsidR="002C24A9" w:rsidRPr="001362A6" w:rsidRDefault="002C24A9" w:rsidP="0042571B">
            <w:pPr>
              <w:rPr>
                <w:rFonts w:ascii="Lato" w:hAnsi="Lato"/>
                <w:sz w:val="22"/>
                <w:lang w:val="en-IE"/>
              </w:rPr>
            </w:pPr>
          </w:p>
        </w:tc>
        <w:tc>
          <w:tcPr>
            <w:tcW w:w="7669" w:type="dxa"/>
            <w:gridSpan w:val="3"/>
            <w:tcBorders>
              <w:top w:val="nil"/>
              <w:left w:val="nil"/>
              <w:bottom w:val="nil"/>
              <w:right w:val="nil"/>
            </w:tcBorders>
          </w:tcPr>
          <w:p w14:paraId="5D70534A" w14:textId="77777777" w:rsidR="002C24A9" w:rsidRPr="001362A6" w:rsidRDefault="002C24A9" w:rsidP="0042571B">
            <w:pPr>
              <w:rPr>
                <w:rFonts w:ascii="Lato" w:hAnsi="Lato"/>
                <w:sz w:val="22"/>
                <w:lang w:val="en-IE"/>
              </w:rPr>
            </w:pPr>
          </w:p>
        </w:tc>
        <w:tc>
          <w:tcPr>
            <w:tcW w:w="612" w:type="dxa"/>
            <w:gridSpan w:val="2"/>
            <w:tcBorders>
              <w:top w:val="nil"/>
              <w:left w:val="nil"/>
              <w:bottom w:val="nil"/>
              <w:right w:val="nil"/>
            </w:tcBorders>
          </w:tcPr>
          <w:p w14:paraId="39381BB2" w14:textId="77777777" w:rsidR="002C24A9" w:rsidRPr="001362A6" w:rsidRDefault="002C24A9" w:rsidP="0042571B">
            <w:pPr>
              <w:rPr>
                <w:rFonts w:ascii="Lato" w:hAnsi="Lato"/>
                <w:sz w:val="22"/>
                <w:lang w:val="en-IE"/>
              </w:rPr>
            </w:pPr>
          </w:p>
        </w:tc>
        <w:tc>
          <w:tcPr>
            <w:tcW w:w="414" w:type="dxa"/>
            <w:tcBorders>
              <w:top w:val="nil"/>
              <w:left w:val="nil"/>
              <w:bottom w:val="nil"/>
              <w:right w:val="nil"/>
            </w:tcBorders>
          </w:tcPr>
          <w:p w14:paraId="388B3F06" w14:textId="77777777" w:rsidR="002C24A9" w:rsidRPr="001362A6" w:rsidRDefault="002C24A9" w:rsidP="0042571B">
            <w:pPr>
              <w:rPr>
                <w:rFonts w:ascii="Lato" w:hAnsi="Lato"/>
                <w:sz w:val="22"/>
                <w:lang w:val="en-IE"/>
              </w:rPr>
            </w:pPr>
          </w:p>
        </w:tc>
        <w:tc>
          <w:tcPr>
            <w:tcW w:w="668" w:type="dxa"/>
            <w:gridSpan w:val="2"/>
            <w:tcBorders>
              <w:top w:val="nil"/>
              <w:left w:val="nil"/>
              <w:bottom w:val="single" w:sz="4" w:space="0" w:color="auto"/>
              <w:right w:val="nil"/>
            </w:tcBorders>
          </w:tcPr>
          <w:p w14:paraId="50FDAE55" w14:textId="77777777" w:rsidR="002C24A9" w:rsidRPr="001362A6" w:rsidRDefault="002C24A9" w:rsidP="0042571B">
            <w:pPr>
              <w:rPr>
                <w:rFonts w:ascii="Lato" w:hAnsi="Lato"/>
                <w:sz w:val="22"/>
                <w:lang w:val="en-IE"/>
              </w:rPr>
            </w:pPr>
          </w:p>
        </w:tc>
      </w:tr>
      <w:tr w:rsidR="00C13532" w:rsidRPr="001362A6" w14:paraId="5D186768" w14:textId="77777777" w:rsidTr="00136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7397B249" w14:textId="77777777" w:rsidR="00C13532" w:rsidRPr="001362A6" w:rsidRDefault="00215033" w:rsidP="0042571B">
            <w:pPr>
              <w:rPr>
                <w:rFonts w:ascii="Lato" w:hAnsi="Lato"/>
                <w:sz w:val="22"/>
                <w:lang w:val="en-IE"/>
              </w:rPr>
            </w:pPr>
            <w:r w:rsidRPr="001362A6">
              <w:rPr>
                <w:rFonts w:ascii="Lato" w:hAnsi="Lato"/>
                <w:sz w:val="22"/>
                <w:lang w:val="en-IE"/>
              </w:rPr>
              <w:t>1.5.8</w:t>
            </w:r>
          </w:p>
        </w:tc>
        <w:tc>
          <w:tcPr>
            <w:tcW w:w="7669" w:type="dxa"/>
            <w:gridSpan w:val="3"/>
            <w:tcBorders>
              <w:top w:val="nil"/>
              <w:left w:val="nil"/>
              <w:bottom w:val="nil"/>
              <w:right w:val="nil"/>
            </w:tcBorders>
          </w:tcPr>
          <w:p w14:paraId="1D9FA151" w14:textId="77777777" w:rsidR="00C13532" w:rsidRPr="001362A6" w:rsidRDefault="00215033" w:rsidP="0042571B">
            <w:pPr>
              <w:rPr>
                <w:rFonts w:ascii="Lato" w:hAnsi="Lato"/>
                <w:sz w:val="22"/>
                <w:lang w:val="en-IE"/>
              </w:rPr>
            </w:pPr>
            <w:r w:rsidRPr="001362A6">
              <w:rPr>
                <w:rFonts w:ascii="Lato" w:hAnsi="Lato"/>
                <w:sz w:val="22"/>
                <w:lang w:val="en-IE"/>
              </w:rPr>
              <w:t xml:space="preserve">Please provide the name and </w:t>
            </w:r>
            <w:r w:rsidR="00C14A8A" w:rsidRPr="001362A6">
              <w:rPr>
                <w:rFonts w:ascii="Lato" w:hAnsi="Lato"/>
                <w:sz w:val="22"/>
                <w:lang w:val="en-IE"/>
              </w:rPr>
              <w:t>a valid email address</w:t>
            </w:r>
            <w:r w:rsidRPr="001362A6">
              <w:rPr>
                <w:rFonts w:ascii="Lato" w:hAnsi="Lato"/>
                <w:sz w:val="22"/>
                <w:lang w:val="en-IE"/>
              </w:rPr>
              <w:t xml:space="preserve"> for a Director of the</w:t>
            </w:r>
            <w:r w:rsidR="00C14A8A" w:rsidRPr="001362A6">
              <w:rPr>
                <w:rFonts w:ascii="Lato" w:hAnsi="Lato"/>
                <w:sz w:val="22"/>
                <w:lang w:val="en-IE"/>
              </w:rPr>
              <w:t xml:space="preserve"> QIAIF</w:t>
            </w:r>
          </w:p>
        </w:tc>
        <w:tc>
          <w:tcPr>
            <w:tcW w:w="612" w:type="dxa"/>
            <w:gridSpan w:val="2"/>
            <w:tcBorders>
              <w:top w:val="nil"/>
              <w:left w:val="nil"/>
              <w:bottom w:val="nil"/>
              <w:right w:val="nil"/>
            </w:tcBorders>
          </w:tcPr>
          <w:p w14:paraId="0FFC7194" w14:textId="77777777" w:rsidR="00C13532" w:rsidRPr="001362A6" w:rsidRDefault="00C13532" w:rsidP="0042571B">
            <w:pPr>
              <w:rPr>
                <w:rFonts w:ascii="Lato" w:hAnsi="Lato"/>
                <w:sz w:val="22"/>
                <w:lang w:val="en-IE"/>
              </w:rPr>
            </w:pPr>
          </w:p>
        </w:tc>
        <w:tc>
          <w:tcPr>
            <w:tcW w:w="414" w:type="dxa"/>
            <w:tcBorders>
              <w:top w:val="nil"/>
              <w:left w:val="nil"/>
              <w:bottom w:val="nil"/>
              <w:right w:val="single" w:sz="4" w:space="0" w:color="auto"/>
            </w:tcBorders>
          </w:tcPr>
          <w:p w14:paraId="629DE360" w14:textId="77777777" w:rsidR="00C13532" w:rsidRPr="001362A6" w:rsidRDefault="00C13532" w:rsidP="0042571B">
            <w:pPr>
              <w:rPr>
                <w:rFonts w:ascii="Lato" w:hAnsi="Lato"/>
                <w:sz w:val="22"/>
                <w:lang w:val="en-IE"/>
              </w:rPr>
            </w:pPr>
          </w:p>
        </w:tc>
        <w:tc>
          <w:tcPr>
            <w:tcW w:w="668" w:type="dxa"/>
            <w:gridSpan w:val="2"/>
            <w:tcBorders>
              <w:top w:val="single" w:sz="4" w:space="0" w:color="auto"/>
              <w:left w:val="single" w:sz="4" w:space="0" w:color="auto"/>
              <w:bottom w:val="single" w:sz="4" w:space="0" w:color="auto"/>
              <w:right w:val="single" w:sz="4" w:space="0" w:color="auto"/>
            </w:tcBorders>
          </w:tcPr>
          <w:p w14:paraId="5E28C4F2" w14:textId="77777777" w:rsidR="00C13532" w:rsidRPr="001362A6" w:rsidRDefault="00C13532" w:rsidP="0042571B">
            <w:pPr>
              <w:rPr>
                <w:rFonts w:ascii="Lato" w:hAnsi="Lato"/>
                <w:sz w:val="22"/>
                <w:lang w:val="en-IE"/>
              </w:rPr>
            </w:pPr>
          </w:p>
        </w:tc>
      </w:tr>
      <w:tr w:rsidR="00C13532" w:rsidRPr="001362A6" w14:paraId="3D51C0BB" w14:textId="77777777" w:rsidTr="00136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0C43E56A" w14:textId="77777777" w:rsidR="00C13532" w:rsidRPr="001362A6" w:rsidRDefault="00C13532" w:rsidP="0042571B">
            <w:pPr>
              <w:rPr>
                <w:rFonts w:ascii="Lato" w:hAnsi="Lato"/>
                <w:sz w:val="22"/>
                <w:lang w:val="en-IE"/>
              </w:rPr>
            </w:pPr>
          </w:p>
        </w:tc>
        <w:tc>
          <w:tcPr>
            <w:tcW w:w="7669" w:type="dxa"/>
            <w:gridSpan w:val="3"/>
            <w:tcBorders>
              <w:top w:val="nil"/>
              <w:left w:val="nil"/>
              <w:bottom w:val="nil"/>
              <w:right w:val="nil"/>
            </w:tcBorders>
          </w:tcPr>
          <w:p w14:paraId="23C4C4D0" w14:textId="3DEB6329" w:rsidR="00C13532" w:rsidRPr="001362A6" w:rsidRDefault="00215033" w:rsidP="009E6446">
            <w:pPr>
              <w:jc w:val="both"/>
              <w:rPr>
                <w:rFonts w:ascii="Lato" w:hAnsi="Lato"/>
                <w:sz w:val="22"/>
                <w:lang w:val="en-IE"/>
              </w:rPr>
            </w:pPr>
            <w:r w:rsidRPr="001362A6">
              <w:rPr>
                <w:rFonts w:ascii="Lato" w:hAnsi="Lato"/>
                <w:sz w:val="22"/>
                <w:lang w:val="en-IE"/>
              </w:rPr>
              <w:t>(in the case of an Investment Company or ICAV) or a Director of the management company (in the case of a Unit Trust or Common Contractual Fund)</w:t>
            </w:r>
            <w:r w:rsidR="00162057">
              <w:rPr>
                <w:rFonts w:ascii="Lato" w:hAnsi="Lato"/>
                <w:sz w:val="22"/>
                <w:lang w:val="en-IE"/>
              </w:rPr>
              <w:t xml:space="preserve"> </w:t>
            </w:r>
            <w:r w:rsidR="00162057" w:rsidRPr="00162057">
              <w:rPr>
                <w:rFonts w:ascii="Lato" w:hAnsi="Lato"/>
                <w:sz w:val="22"/>
                <w:lang w:val="en-IE"/>
              </w:rPr>
              <w:t xml:space="preserve">or a Director </w:t>
            </w:r>
            <w:r w:rsidR="00085FD6">
              <w:rPr>
                <w:rFonts w:ascii="Lato" w:hAnsi="Lato"/>
                <w:sz w:val="22"/>
                <w:lang w:val="en-IE"/>
              </w:rPr>
              <w:t xml:space="preserve">or partner </w:t>
            </w:r>
            <w:r w:rsidR="00162057" w:rsidRPr="00162057">
              <w:rPr>
                <w:rFonts w:ascii="Lato" w:hAnsi="Lato"/>
                <w:sz w:val="22"/>
                <w:lang w:val="en-IE"/>
              </w:rPr>
              <w:t>of the General Partner (in the case of an Investment Limited Partnership</w:t>
            </w:r>
            <w:r w:rsidR="00162057">
              <w:rPr>
                <w:rFonts w:ascii="Lato" w:hAnsi="Lato"/>
                <w:sz w:val="22"/>
                <w:lang w:val="en-IE"/>
              </w:rPr>
              <w:t>)</w:t>
            </w:r>
            <w:r w:rsidRPr="001362A6">
              <w:rPr>
                <w:rFonts w:ascii="Lato" w:hAnsi="Lato"/>
                <w:sz w:val="22"/>
                <w:lang w:val="en-IE"/>
              </w:rPr>
              <w:t xml:space="preserve">.  Please note that the Additional Supervisory Levy notice under The Central Bank Act 1942 (Section 32D) (Additional </w:t>
            </w:r>
            <w:r w:rsidR="001970B6">
              <w:rPr>
                <w:rFonts w:ascii="Lato" w:hAnsi="Lato"/>
                <w:sz w:val="22"/>
                <w:lang w:val="en-IE"/>
              </w:rPr>
              <w:t xml:space="preserve">and Supplementary </w:t>
            </w:r>
            <w:r w:rsidRPr="001362A6">
              <w:rPr>
                <w:rFonts w:ascii="Lato" w:hAnsi="Lato"/>
                <w:sz w:val="22"/>
                <w:lang w:val="en-IE"/>
              </w:rPr>
              <w:t>Supervisory Lev</w:t>
            </w:r>
            <w:r w:rsidR="001970B6">
              <w:rPr>
                <w:rFonts w:ascii="Lato" w:hAnsi="Lato"/>
                <w:sz w:val="22"/>
                <w:lang w:val="en-IE"/>
              </w:rPr>
              <w:t>ies – Regulated Entities</w:t>
            </w:r>
            <w:r w:rsidRPr="001362A6">
              <w:rPr>
                <w:rFonts w:ascii="Lato" w:hAnsi="Lato"/>
                <w:sz w:val="22"/>
                <w:lang w:val="en-IE"/>
              </w:rPr>
              <w:t>) Regulations 201</w:t>
            </w:r>
            <w:r w:rsidR="001970B6">
              <w:rPr>
                <w:rFonts w:ascii="Lato" w:hAnsi="Lato"/>
                <w:sz w:val="22"/>
                <w:lang w:val="en-IE"/>
              </w:rPr>
              <w:t>9</w:t>
            </w:r>
            <w:r w:rsidRPr="001362A6">
              <w:rPr>
                <w:rFonts w:ascii="Lato" w:hAnsi="Lato"/>
                <w:sz w:val="22"/>
                <w:lang w:val="en-IE"/>
              </w:rPr>
              <w:t xml:space="preserve"> will issue to this individual.</w:t>
            </w:r>
          </w:p>
        </w:tc>
        <w:tc>
          <w:tcPr>
            <w:tcW w:w="612" w:type="dxa"/>
            <w:gridSpan w:val="2"/>
            <w:tcBorders>
              <w:top w:val="nil"/>
              <w:left w:val="nil"/>
              <w:bottom w:val="nil"/>
              <w:right w:val="nil"/>
            </w:tcBorders>
          </w:tcPr>
          <w:p w14:paraId="4EBF26F8" w14:textId="77777777" w:rsidR="00C13532" w:rsidRPr="001362A6" w:rsidRDefault="00C13532" w:rsidP="0042571B">
            <w:pPr>
              <w:rPr>
                <w:rFonts w:ascii="Lato" w:hAnsi="Lato"/>
                <w:sz w:val="22"/>
                <w:lang w:val="en-IE"/>
              </w:rPr>
            </w:pPr>
          </w:p>
        </w:tc>
        <w:tc>
          <w:tcPr>
            <w:tcW w:w="414" w:type="dxa"/>
            <w:tcBorders>
              <w:top w:val="nil"/>
              <w:left w:val="nil"/>
              <w:bottom w:val="nil"/>
              <w:right w:val="nil"/>
            </w:tcBorders>
          </w:tcPr>
          <w:p w14:paraId="1646D5E8" w14:textId="77777777" w:rsidR="00C13532" w:rsidRPr="001362A6" w:rsidRDefault="00C13532" w:rsidP="0042571B">
            <w:pPr>
              <w:rPr>
                <w:rFonts w:ascii="Lato" w:hAnsi="Lato"/>
                <w:sz w:val="22"/>
                <w:lang w:val="en-IE"/>
              </w:rPr>
            </w:pPr>
          </w:p>
        </w:tc>
        <w:tc>
          <w:tcPr>
            <w:tcW w:w="668" w:type="dxa"/>
            <w:gridSpan w:val="2"/>
            <w:tcBorders>
              <w:top w:val="single" w:sz="4" w:space="0" w:color="auto"/>
              <w:left w:val="nil"/>
              <w:bottom w:val="nil"/>
              <w:right w:val="nil"/>
            </w:tcBorders>
          </w:tcPr>
          <w:p w14:paraId="3688E8A5" w14:textId="77777777" w:rsidR="00C13532" w:rsidRPr="001362A6" w:rsidRDefault="00C13532" w:rsidP="0042571B">
            <w:pPr>
              <w:rPr>
                <w:rFonts w:ascii="Lato" w:hAnsi="Lato"/>
                <w:sz w:val="22"/>
                <w:lang w:val="en-IE"/>
              </w:rPr>
            </w:pPr>
          </w:p>
        </w:tc>
      </w:tr>
      <w:tr w:rsidR="00C13532" w:rsidRPr="001362A6" w14:paraId="557EB030" w14:textId="77777777" w:rsidTr="003C5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045BA805" w14:textId="77777777" w:rsidR="00C13532" w:rsidRPr="001362A6" w:rsidRDefault="00C13532" w:rsidP="0042571B">
            <w:pPr>
              <w:rPr>
                <w:rFonts w:ascii="Lato" w:hAnsi="Lato"/>
                <w:sz w:val="22"/>
                <w:lang w:val="en-IE"/>
              </w:rPr>
            </w:pPr>
          </w:p>
        </w:tc>
        <w:tc>
          <w:tcPr>
            <w:tcW w:w="7669" w:type="dxa"/>
            <w:gridSpan w:val="3"/>
            <w:tcBorders>
              <w:top w:val="nil"/>
              <w:left w:val="nil"/>
              <w:bottom w:val="nil"/>
              <w:right w:val="nil"/>
            </w:tcBorders>
          </w:tcPr>
          <w:p w14:paraId="4B497260" w14:textId="77777777" w:rsidR="00C13532" w:rsidRDefault="00D95E9D" w:rsidP="001362A6">
            <w:pPr>
              <w:spacing w:before="240"/>
              <w:rPr>
                <w:rFonts w:ascii="Lato" w:hAnsi="Lato"/>
                <w:sz w:val="22"/>
                <w:lang w:val="en-IE"/>
              </w:rPr>
            </w:pPr>
            <w:r>
              <w:rPr>
                <w:rFonts w:ascii="Lato" w:hAnsi="Lato"/>
                <w:sz w:val="22"/>
                <w:lang w:val="en-IE"/>
              </w:rPr>
              <w:t>Name_________________________________________________________________________</w:t>
            </w:r>
          </w:p>
          <w:p w14:paraId="5BB5AD4E" w14:textId="77777777" w:rsidR="00D95E9D" w:rsidRDefault="00D95E9D" w:rsidP="0042571B">
            <w:pPr>
              <w:rPr>
                <w:rFonts w:ascii="Lato" w:hAnsi="Lato"/>
                <w:sz w:val="22"/>
                <w:lang w:val="en-IE"/>
              </w:rPr>
            </w:pPr>
          </w:p>
          <w:p w14:paraId="63C680C5" w14:textId="77777777" w:rsidR="00D95E9D" w:rsidRPr="001362A6" w:rsidRDefault="00D95E9D" w:rsidP="0042571B">
            <w:pPr>
              <w:rPr>
                <w:rFonts w:ascii="Lato" w:hAnsi="Lato"/>
                <w:sz w:val="22"/>
                <w:lang w:val="en-IE"/>
              </w:rPr>
            </w:pPr>
            <w:r>
              <w:rPr>
                <w:rFonts w:ascii="Lato" w:hAnsi="Lato"/>
                <w:sz w:val="22"/>
                <w:lang w:val="en-IE"/>
              </w:rPr>
              <w:t>Email address________________________________________________________________</w:t>
            </w:r>
          </w:p>
        </w:tc>
        <w:tc>
          <w:tcPr>
            <w:tcW w:w="612" w:type="dxa"/>
            <w:gridSpan w:val="2"/>
            <w:tcBorders>
              <w:top w:val="nil"/>
              <w:left w:val="nil"/>
              <w:bottom w:val="nil"/>
              <w:right w:val="nil"/>
            </w:tcBorders>
          </w:tcPr>
          <w:p w14:paraId="5146F3EF" w14:textId="77777777" w:rsidR="00C13532" w:rsidRPr="001362A6" w:rsidRDefault="00C13532" w:rsidP="0042571B">
            <w:pPr>
              <w:rPr>
                <w:rFonts w:ascii="Lato" w:hAnsi="Lato"/>
                <w:sz w:val="22"/>
                <w:lang w:val="en-IE"/>
              </w:rPr>
            </w:pPr>
          </w:p>
        </w:tc>
        <w:tc>
          <w:tcPr>
            <w:tcW w:w="414" w:type="dxa"/>
            <w:tcBorders>
              <w:top w:val="nil"/>
              <w:left w:val="nil"/>
              <w:bottom w:val="nil"/>
              <w:right w:val="nil"/>
            </w:tcBorders>
          </w:tcPr>
          <w:p w14:paraId="2A090705" w14:textId="77777777" w:rsidR="00C13532" w:rsidRPr="001362A6" w:rsidRDefault="00C13532" w:rsidP="0042571B">
            <w:pPr>
              <w:rPr>
                <w:rFonts w:ascii="Lato" w:hAnsi="Lato"/>
                <w:sz w:val="22"/>
                <w:lang w:val="en-IE"/>
              </w:rPr>
            </w:pPr>
          </w:p>
        </w:tc>
        <w:tc>
          <w:tcPr>
            <w:tcW w:w="668" w:type="dxa"/>
            <w:gridSpan w:val="2"/>
            <w:tcBorders>
              <w:top w:val="nil"/>
              <w:left w:val="nil"/>
              <w:bottom w:val="nil"/>
              <w:right w:val="nil"/>
            </w:tcBorders>
          </w:tcPr>
          <w:p w14:paraId="375F1393" w14:textId="77777777" w:rsidR="00C13532" w:rsidRPr="001362A6" w:rsidRDefault="00C13532" w:rsidP="0042571B">
            <w:pPr>
              <w:rPr>
                <w:rFonts w:ascii="Lato" w:hAnsi="Lato"/>
                <w:sz w:val="22"/>
                <w:lang w:val="en-IE"/>
              </w:rPr>
            </w:pPr>
          </w:p>
        </w:tc>
      </w:tr>
      <w:tr w:rsidR="00085FD6" w:rsidRPr="001362A6" w14:paraId="7BD6FF8D" w14:textId="77777777" w:rsidTr="003C5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2035DDA4" w14:textId="77777777" w:rsidR="00085FD6" w:rsidRPr="001362A6" w:rsidRDefault="00085FD6" w:rsidP="005875CA">
            <w:pPr>
              <w:rPr>
                <w:rFonts w:ascii="Lato" w:hAnsi="Lato"/>
                <w:sz w:val="22"/>
                <w:lang w:val="en-IE"/>
              </w:rPr>
            </w:pPr>
          </w:p>
        </w:tc>
        <w:tc>
          <w:tcPr>
            <w:tcW w:w="7669" w:type="dxa"/>
            <w:gridSpan w:val="3"/>
            <w:tcBorders>
              <w:top w:val="nil"/>
              <w:left w:val="nil"/>
              <w:bottom w:val="nil"/>
              <w:right w:val="nil"/>
            </w:tcBorders>
          </w:tcPr>
          <w:p w14:paraId="4D84A855" w14:textId="77777777" w:rsidR="00085FD6" w:rsidRPr="001362A6" w:rsidRDefault="00085FD6" w:rsidP="005875CA">
            <w:pPr>
              <w:rPr>
                <w:rFonts w:ascii="Lato" w:hAnsi="Lato"/>
                <w:sz w:val="22"/>
                <w:lang w:val="en-IE"/>
              </w:rPr>
            </w:pPr>
          </w:p>
        </w:tc>
        <w:tc>
          <w:tcPr>
            <w:tcW w:w="612" w:type="dxa"/>
            <w:gridSpan w:val="2"/>
            <w:tcBorders>
              <w:top w:val="nil"/>
              <w:left w:val="nil"/>
              <w:bottom w:val="nil"/>
              <w:right w:val="nil"/>
            </w:tcBorders>
          </w:tcPr>
          <w:p w14:paraId="753A90DA" w14:textId="77777777" w:rsidR="00085FD6" w:rsidRPr="001362A6" w:rsidRDefault="00085FD6" w:rsidP="005875CA">
            <w:pPr>
              <w:rPr>
                <w:rFonts w:ascii="Lato" w:hAnsi="Lato"/>
                <w:sz w:val="22"/>
                <w:lang w:val="en-IE"/>
              </w:rPr>
            </w:pPr>
          </w:p>
        </w:tc>
        <w:tc>
          <w:tcPr>
            <w:tcW w:w="414" w:type="dxa"/>
            <w:tcBorders>
              <w:top w:val="nil"/>
              <w:left w:val="nil"/>
              <w:bottom w:val="nil"/>
              <w:right w:val="nil"/>
            </w:tcBorders>
          </w:tcPr>
          <w:p w14:paraId="62D40270" w14:textId="77777777" w:rsidR="00085FD6" w:rsidRPr="001362A6" w:rsidRDefault="00085FD6" w:rsidP="005875CA">
            <w:pPr>
              <w:rPr>
                <w:rFonts w:ascii="Lato" w:hAnsi="Lato"/>
                <w:sz w:val="22"/>
                <w:lang w:val="en-IE"/>
              </w:rPr>
            </w:pPr>
          </w:p>
        </w:tc>
        <w:tc>
          <w:tcPr>
            <w:tcW w:w="668" w:type="dxa"/>
            <w:gridSpan w:val="2"/>
            <w:tcBorders>
              <w:top w:val="nil"/>
              <w:left w:val="nil"/>
              <w:bottom w:val="nil"/>
              <w:right w:val="nil"/>
            </w:tcBorders>
          </w:tcPr>
          <w:p w14:paraId="7A6E7DA4" w14:textId="77777777" w:rsidR="00085FD6" w:rsidRPr="001362A6" w:rsidRDefault="00085FD6" w:rsidP="005875CA">
            <w:pPr>
              <w:rPr>
                <w:rFonts w:ascii="Lato" w:hAnsi="Lato"/>
                <w:sz w:val="22"/>
                <w:lang w:val="en-IE"/>
              </w:rPr>
            </w:pPr>
          </w:p>
        </w:tc>
      </w:tr>
      <w:tr w:rsidR="00085FD6" w:rsidRPr="001362A6" w14:paraId="7C227E9E" w14:textId="77777777" w:rsidTr="00085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2DB2F1B1" w14:textId="77777777" w:rsidR="00085FD6" w:rsidRPr="001362A6" w:rsidRDefault="00085FD6" w:rsidP="005875CA">
            <w:pPr>
              <w:rPr>
                <w:rFonts w:ascii="Lato" w:hAnsi="Lato"/>
                <w:sz w:val="22"/>
                <w:lang w:val="en-IE"/>
              </w:rPr>
            </w:pPr>
          </w:p>
        </w:tc>
        <w:tc>
          <w:tcPr>
            <w:tcW w:w="7669" w:type="dxa"/>
            <w:gridSpan w:val="3"/>
            <w:tcBorders>
              <w:top w:val="nil"/>
              <w:left w:val="nil"/>
              <w:bottom w:val="nil"/>
              <w:right w:val="nil"/>
            </w:tcBorders>
          </w:tcPr>
          <w:p w14:paraId="44EECFC5" w14:textId="77777777" w:rsidR="00085FD6" w:rsidRPr="001362A6" w:rsidRDefault="00085FD6" w:rsidP="005875CA">
            <w:pPr>
              <w:rPr>
                <w:rFonts w:ascii="Lato" w:hAnsi="Lato"/>
                <w:sz w:val="22"/>
                <w:lang w:val="en-IE"/>
              </w:rPr>
            </w:pPr>
          </w:p>
        </w:tc>
        <w:tc>
          <w:tcPr>
            <w:tcW w:w="612" w:type="dxa"/>
            <w:gridSpan w:val="2"/>
            <w:tcBorders>
              <w:top w:val="nil"/>
              <w:left w:val="nil"/>
              <w:bottom w:val="nil"/>
              <w:right w:val="nil"/>
            </w:tcBorders>
          </w:tcPr>
          <w:p w14:paraId="18A58DF3" w14:textId="77777777" w:rsidR="00085FD6" w:rsidRPr="001362A6" w:rsidRDefault="00085FD6" w:rsidP="005875CA">
            <w:pPr>
              <w:rPr>
                <w:rFonts w:ascii="Lato" w:hAnsi="Lato"/>
                <w:sz w:val="22"/>
                <w:lang w:val="en-IE"/>
              </w:rPr>
            </w:pPr>
          </w:p>
        </w:tc>
        <w:tc>
          <w:tcPr>
            <w:tcW w:w="414" w:type="dxa"/>
            <w:tcBorders>
              <w:top w:val="nil"/>
              <w:left w:val="nil"/>
              <w:bottom w:val="nil"/>
              <w:right w:val="nil"/>
            </w:tcBorders>
          </w:tcPr>
          <w:p w14:paraId="2243691D" w14:textId="77777777" w:rsidR="00085FD6" w:rsidRPr="001362A6" w:rsidRDefault="00085FD6" w:rsidP="005875CA">
            <w:pPr>
              <w:rPr>
                <w:rFonts w:ascii="Lato" w:hAnsi="Lato"/>
                <w:sz w:val="22"/>
                <w:lang w:val="en-IE"/>
              </w:rPr>
            </w:pPr>
          </w:p>
        </w:tc>
        <w:tc>
          <w:tcPr>
            <w:tcW w:w="668" w:type="dxa"/>
            <w:gridSpan w:val="2"/>
            <w:tcBorders>
              <w:top w:val="nil"/>
              <w:left w:val="nil"/>
              <w:bottom w:val="nil"/>
              <w:right w:val="nil"/>
            </w:tcBorders>
          </w:tcPr>
          <w:p w14:paraId="0F243C1B" w14:textId="77777777" w:rsidR="00085FD6" w:rsidRPr="001362A6" w:rsidRDefault="00085FD6" w:rsidP="005875CA">
            <w:pPr>
              <w:rPr>
                <w:rFonts w:ascii="Lato" w:hAnsi="Lato"/>
                <w:sz w:val="22"/>
                <w:lang w:val="en-IE"/>
              </w:rPr>
            </w:pPr>
          </w:p>
        </w:tc>
      </w:tr>
      <w:tr w:rsidR="00085FD6" w:rsidRPr="001362A6" w14:paraId="39B5E98B" w14:textId="77777777" w:rsidTr="003C5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4BE753BB" w14:textId="6FE0772D" w:rsidR="00085FD6" w:rsidRPr="001362A6" w:rsidRDefault="00085FD6" w:rsidP="005875CA">
            <w:pPr>
              <w:rPr>
                <w:rFonts w:ascii="Lato" w:hAnsi="Lato"/>
                <w:sz w:val="22"/>
                <w:lang w:val="en-IE"/>
              </w:rPr>
            </w:pPr>
            <w:r>
              <w:rPr>
                <w:rFonts w:ascii="Lato" w:hAnsi="Lato"/>
                <w:sz w:val="22"/>
                <w:lang w:val="en-IE"/>
              </w:rPr>
              <w:t>1.5.9</w:t>
            </w:r>
          </w:p>
        </w:tc>
        <w:tc>
          <w:tcPr>
            <w:tcW w:w="7669" w:type="dxa"/>
            <w:gridSpan w:val="3"/>
            <w:tcBorders>
              <w:top w:val="nil"/>
              <w:left w:val="nil"/>
              <w:bottom w:val="nil"/>
              <w:right w:val="nil"/>
            </w:tcBorders>
          </w:tcPr>
          <w:p w14:paraId="0483FE16" w14:textId="73C1EF39" w:rsidR="00085FD6" w:rsidRPr="001362A6" w:rsidRDefault="00085FD6" w:rsidP="005875CA">
            <w:pPr>
              <w:rPr>
                <w:rFonts w:ascii="Lato" w:hAnsi="Lato"/>
                <w:sz w:val="22"/>
                <w:lang w:val="en-IE"/>
              </w:rPr>
            </w:pPr>
            <w:r>
              <w:rPr>
                <w:rFonts w:ascii="Lato" w:hAnsi="Lato"/>
                <w:sz w:val="22"/>
                <w:lang w:val="en-IE"/>
              </w:rPr>
              <w:t>Investment Limited Partnership</w:t>
            </w:r>
          </w:p>
        </w:tc>
        <w:tc>
          <w:tcPr>
            <w:tcW w:w="612" w:type="dxa"/>
            <w:gridSpan w:val="2"/>
            <w:tcBorders>
              <w:top w:val="nil"/>
              <w:left w:val="nil"/>
              <w:bottom w:val="nil"/>
              <w:right w:val="nil"/>
            </w:tcBorders>
          </w:tcPr>
          <w:p w14:paraId="56B73A9A" w14:textId="77777777" w:rsidR="00085FD6" w:rsidRPr="001362A6" w:rsidRDefault="00085FD6" w:rsidP="005875CA">
            <w:pPr>
              <w:rPr>
                <w:rFonts w:ascii="Lato" w:hAnsi="Lato"/>
                <w:sz w:val="22"/>
                <w:lang w:val="en-IE"/>
              </w:rPr>
            </w:pPr>
          </w:p>
        </w:tc>
        <w:tc>
          <w:tcPr>
            <w:tcW w:w="414" w:type="dxa"/>
            <w:tcBorders>
              <w:top w:val="nil"/>
              <w:left w:val="nil"/>
              <w:bottom w:val="nil"/>
              <w:right w:val="nil"/>
            </w:tcBorders>
          </w:tcPr>
          <w:p w14:paraId="4E501104" w14:textId="77777777" w:rsidR="00085FD6" w:rsidRPr="001362A6" w:rsidRDefault="00085FD6" w:rsidP="005875CA">
            <w:pPr>
              <w:rPr>
                <w:rFonts w:ascii="Lato" w:hAnsi="Lato"/>
                <w:sz w:val="22"/>
                <w:lang w:val="en-IE"/>
              </w:rPr>
            </w:pPr>
          </w:p>
        </w:tc>
        <w:tc>
          <w:tcPr>
            <w:tcW w:w="668" w:type="dxa"/>
            <w:gridSpan w:val="2"/>
            <w:tcBorders>
              <w:top w:val="nil"/>
              <w:left w:val="nil"/>
              <w:bottom w:val="nil"/>
              <w:right w:val="nil"/>
            </w:tcBorders>
          </w:tcPr>
          <w:p w14:paraId="70A9B5F2" w14:textId="77777777" w:rsidR="00085FD6" w:rsidRPr="001362A6" w:rsidRDefault="00085FD6" w:rsidP="005875CA">
            <w:pPr>
              <w:rPr>
                <w:rFonts w:ascii="Lato" w:hAnsi="Lato"/>
                <w:sz w:val="22"/>
                <w:lang w:val="en-IE"/>
              </w:rPr>
            </w:pPr>
          </w:p>
        </w:tc>
      </w:tr>
    </w:tbl>
    <w:p w14:paraId="783A0DB5" w14:textId="77777777" w:rsidR="00E0074D" w:rsidRDefault="00E0074D">
      <w:pPr>
        <w:rPr>
          <w:rFonts w:ascii="Lato" w:hAnsi="Lato"/>
          <w:sz w:val="22"/>
          <w:szCs w:val="22"/>
          <w:lang w:val="en-IE"/>
        </w:rPr>
      </w:pPr>
    </w:p>
    <w:p w14:paraId="662CC4A6" w14:textId="77777777" w:rsidR="00BC3FE0" w:rsidRPr="00780075" w:rsidRDefault="00BC3FE0" w:rsidP="00BC3FE0">
      <w:pPr>
        <w:jc w:val="both"/>
        <w:rPr>
          <w:rFonts w:ascii="Lato" w:hAnsi="Lato"/>
          <w:color w:val="000000"/>
          <w:sz w:val="22"/>
          <w:szCs w:val="22"/>
        </w:rPr>
      </w:pPr>
      <w:r w:rsidRPr="00780075">
        <w:rPr>
          <w:rFonts w:ascii="Lato" w:hAnsi="Lato"/>
          <w:bCs/>
          <w:noProof/>
          <w:color w:val="000000"/>
          <w:sz w:val="22"/>
          <w:szCs w:val="22"/>
          <w:lang w:val="en-US"/>
        </w:rPr>
        <w:t xml:space="preserve">For </w:t>
      </w:r>
      <w:r w:rsidRPr="00780075">
        <w:rPr>
          <w:rFonts w:ascii="Lato" w:hAnsi="Lato"/>
          <w:b/>
          <w:bCs/>
          <w:noProof/>
          <w:color w:val="000000"/>
          <w:sz w:val="22"/>
          <w:szCs w:val="22"/>
          <w:u w:val="single"/>
          <w:lang w:val="en-US"/>
        </w:rPr>
        <w:t>Investment Limited Partnerships</w:t>
      </w:r>
      <w:r w:rsidRPr="00780075">
        <w:rPr>
          <w:rFonts w:ascii="Lato" w:hAnsi="Lato"/>
          <w:bCs/>
          <w:noProof/>
          <w:color w:val="000000"/>
          <w:sz w:val="22"/>
          <w:szCs w:val="22"/>
          <w:lang w:val="en-US"/>
        </w:rPr>
        <w:t xml:space="preserve"> (“ILPs”), please note that </w:t>
      </w:r>
      <w:r>
        <w:rPr>
          <w:rFonts w:ascii="Lato" w:hAnsi="Lato"/>
          <w:bCs/>
          <w:noProof/>
          <w:color w:val="000000"/>
          <w:sz w:val="22"/>
          <w:szCs w:val="22"/>
          <w:lang w:val="en-US"/>
        </w:rPr>
        <w:t>in accordance with</w:t>
      </w:r>
      <w:r w:rsidR="00E31C3B">
        <w:rPr>
          <w:rFonts w:ascii="Lato" w:hAnsi="Lato"/>
          <w:bCs/>
          <w:noProof/>
          <w:color w:val="000000"/>
          <w:sz w:val="22"/>
          <w:szCs w:val="22"/>
          <w:lang w:val="en-US"/>
        </w:rPr>
        <w:t xml:space="preserve"> </w:t>
      </w:r>
      <w:r w:rsidRPr="00780075">
        <w:rPr>
          <w:rFonts w:ascii="Lato" w:hAnsi="Lato"/>
          <w:color w:val="000000"/>
          <w:sz w:val="22"/>
          <w:szCs w:val="22"/>
        </w:rPr>
        <w:t xml:space="preserve">Section 8 (4) of the </w:t>
      </w:r>
      <w:r>
        <w:rPr>
          <w:rFonts w:ascii="Lato" w:hAnsi="Lato"/>
          <w:color w:val="000000"/>
          <w:sz w:val="22"/>
          <w:szCs w:val="22"/>
        </w:rPr>
        <w:t>Investment Limited Partnerships Act, 1994 (as amended)</w:t>
      </w:r>
      <w:r w:rsidRPr="00780075">
        <w:rPr>
          <w:rFonts w:ascii="Lato" w:hAnsi="Lato"/>
          <w:color w:val="000000"/>
          <w:sz w:val="22"/>
          <w:szCs w:val="22"/>
        </w:rPr>
        <w:t xml:space="preserve">: ‘The application shall be in such form as the Bank may prescribe and shall be accompanied by a payment to the Bank of an authorisation fee of such amount as the Minister shall from time to time by regulation prescribe’, and </w:t>
      </w:r>
      <w:r>
        <w:rPr>
          <w:rFonts w:ascii="Lato" w:hAnsi="Lato"/>
          <w:color w:val="000000"/>
          <w:sz w:val="22"/>
          <w:szCs w:val="22"/>
        </w:rPr>
        <w:t xml:space="preserve">in accordance with </w:t>
      </w:r>
      <w:r w:rsidRPr="00AC4F50">
        <w:rPr>
          <w:rFonts w:ascii="Lato" w:hAnsi="Lato"/>
          <w:color w:val="000000"/>
          <w:sz w:val="22"/>
          <w:szCs w:val="22"/>
        </w:rPr>
        <w:t>Investment Limited Partnerships Act, 1994 (Authorisation Fee) Regulations, 1994</w:t>
      </w:r>
      <w:r w:rsidRPr="00780075">
        <w:rPr>
          <w:rFonts w:ascii="Lato" w:hAnsi="Lato"/>
          <w:color w:val="000000"/>
          <w:sz w:val="22"/>
          <w:szCs w:val="22"/>
        </w:rPr>
        <w:t>, that amount is equal to £1,000 (an amount deemed equivalent to €1</w:t>
      </w:r>
      <w:r>
        <w:rPr>
          <w:rFonts w:ascii="Lato" w:hAnsi="Lato"/>
          <w:color w:val="000000"/>
          <w:sz w:val="22"/>
          <w:szCs w:val="22"/>
        </w:rPr>
        <w:t>,</w:t>
      </w:r>
      <w:r w:rsidRPr="00780075">
        <w:rPr>
          <w:rFonts w:ascii="Lato" w:hAnsi="Lato"/>
          <w:color w:val="000000"/>
          <w:sz w:val="22"/>
          <w:szCs w:val="22"/>
        </w:rPr>
        <w:t>269.70).</w:t>
      </w:r>
    </w:p>
    <w:p w14:paraId="5E8103B9" w14:textId="77777777" w:rsidR="00BC3FE0" w:rsidRPr="00780075" w:rsidRDefault="00BC3FE0" w:rsidP="00BC3FE0">
      <w:pPr>
        <w:jc w:val="both"/>
        <w:rPr>
          <w:rFonts w:ascii="Lato" w:hAnsi="Lato"/>
          <w:color w:val="000000"/>
          <w:sz w:val="22"/>
          <w:szCs w:val="22"/>
        </w:rPr>
      </w:pPr>
    </w:p>
    <w:p w14:paraId="1678ADDF" w14:textId="77777777" w:rsidR="00BC3FE0" w:rsidRPr="00780075" w:rsidRDefault="00BC3FE0" w:rsidP="00BC3FE0">
      <w:pPr>
        <w:spacing w:line="300" w:lineRule="exact"/>
        <w:jc w:val="both"/>
        <w:rPr>
          <w:rFonts w:ascii="Lato" w:hAnsi="Lato"/>
          <w:snapToGrid w:val="0"/>
          <w:color w:val="000000"/>
          <w:sz w:val="22"/>
          <w:szCs w:val="22"/>
        </w:rPr>
      </w:pPr>
      <w:r w:rsidRPr="00780075">
        <w:rPr>
          <w:rFonts w:ascii="Lato" w:hAnsi="Lato"/>
          <w:b/>
          <w:snapToGrid w:val="0"/>
          <w:color w:val="000000"/>
          <w:sz w:val="22"/>
          <w:szCs w:val="22"/>
        </w:rPr>
        <w:t>Please note that this fee is payable in euro prior to authorisation and</w:t>
      </w:r>
      <w:r w:rsidRPr="00780075">
        <w:rPr>
          <w:rFonts w:ascii="Lato" w:hAnsi="Lato"/>
          <w:snapToGrid w:val="0"/>
          <w:color w:val="000000"/>
          <w:sz w:val="22"/>
          <w:szCs w:val="22"/>
        </w:rPr>
        <w:t xml:space="preserve"> </w:t>
      </w:r>
      <w:r w:rsidRPr="00780075">
        <w:rPr>
          <w:rFonts w:ascii="Lato" w:hAnsi="Lato"/>
          <w:b/>
          <w:snapToGrid w:val="0"/>
          <w:color w:val="000000"/>
          <w:sz w:val="22"/>
          <w:szCs w:val="22"/>
        </w:rPr>
        <w:t xml:space="preserve">no authorisation can take place until this fee has been received by the </w:t>
      </w:r>
      <w:r>
        <w:rPr>
          <w:rFonts w:ascii="Lato" w:hAnsi="Lato"/>
          <w:b/>
          <w:snapToGrid w:val="0"/>
          <w:color w:val="000000"/>
          <w:sz w:val="22"/>
          <w:szCs w:val="22"/>
        </w:rPr>
        <w:t xml:space="preserve">Central </w:t>
      </w:r>
      <w:r w:rsidRPr="00780075">
        <w:rPr>
          <w:rFonts w:ascii="Lato" w:hAnsi="Lato"/>
          <w:b/>
          <w:snapToGrid w:val="0"/>
          <w:color w:val="000000"/>
          <w:sz w:val="22"/>
          <w:szCs w:val="22"/>
        </w:rPr>
        <w:t>Bank</w:t>
      </w:r>
      <w:r w:rsidRPr="00780075">
        <w:rPr>
          <w:rFonts w:ascii="Lato" w:hAnsi="Lato"/>
          <w:snapToGrid w:val="0"/>
          <w:color w:val="000000"/>
          <w:sz w:val="22"/>
          <w:szCs w:val="22"/>
        </w:rPr>
        <w:t xml:space="preserve">. </w:t>
      </w:r>
    </w:p>
    <w:p w14:paraId="2EB2F970" w14:textId="77777777" w:rsidR="00BC3FE0" w:rsidRPr="00780075" w:rsidRDefault="00BC3FE0" w:rsidP="00BC3FE0">
      <w:pPr>
        <w:spacing w:before="120" w:after="120"/>
        <w:jc w:val="both"/>
        <w:rPr>
          <w:rFonts w:ascii="Lato" w:hAnsi="Lato"/>
          <w:color w:val="000000"/>
          <w:sz w:val="22"/>
          <w:szCs w:val="22"/>
        </w:rPr>
      </w:pPr>
      <w:r w:rsidRPr="00780075">
        <w:rPr>
          <w:rFonts w:ascii="Lato" w:hAnsi="Lato"/>
          <w:color w:val="000000"/>
          <w:sz w:val="22"/>
          <w:szCs w:val="22"/>
        </w:rPr>
        <w:t>Fee                                         €1</w:t>
      </w:r>
      <w:r>
        <w:rPr>
          <w:rFonts w:ascii="Lato" w:hAnsi="Lato"/>
          <w:color w:val="000000"/>
          <w:sz w:val="22"/>
          <w:szCs w:val="22"/>
        </w:rPr>
        <w:t>,</w:t>
      </w:r>
      <w:r w:rsidRPr="00780075">
        <w:rPr>
          <w:rFonts w:ascii="Lato" w:hAnsi="Lato"/>
          <w:color w:val="000000"/>
          <w:sz w:val="22"/>
          <w:szCs w:val="22"/>
        </w:rPr>
        <w:t>269.70</w:t>
      </w:r>
    </w:p>
    <w:p w14:paraId="231804B9" w14:textId="77777777" w:rsidR="00BC3FE0" w:rsidRPr="00780075" w:rsidRDefault="00BC3FE0" w:rsidP="00BC3FE0">
      <w:pPr>
        <w:jc w:val="both"/>
        <w:rPr>
          <w:rFonts w:ascii="Lato" w:hAnsi="Lato"/>
          <w:color w:val="000000"/>
          <w:sz w:val="22"/>
          <w:szCs w:val="22"/>
        </w:rPr>
      </w:pPr>
      <w:r w:rsidRPr="00780075">
        <w:rPr>
          <w:rFonts w:ascii="Lato" w:hAnsi="Lato"/>
          <w:color w:val="000000"/>
          <w:sz w:val="22"/>
          <w:szCs w:val="22"/>
        </w:rPr>
        <w:t>Please make the relevant payment by electronic transfer in the following format to the bank account listed below:</w:t>
      </w:r>
    </w:p>
    <w:p w14:paraId="6B79E82C" w14:textId="77777777" w:rsidR="00BC3FE0" w:rsidRPr="00780075" w:rsidRDefault="00BC3FE0" w:rsidP="00BC3FE0">
      <w:pPr>
        <w:jc w:val="both"/>
        <w:rPr>
          <w:rFonts w:ascii="Lato" w:hAnsi="Lato"/>
          <w:color w:val="000000"/>
          <w:sz w:val="22"/>
          <w:szCs w:val="22"/>
        </w:rPr>
      </w:pPr>
    </w:p>
    <w:p w14:paraId="3ECCDE50" w14:textId="77777777" w:rsidR="00BC3FE0" w:rsidRPr="00780075" w:rsidRDefault="00BC3FE0" w:rsidP="00BC3FE0">
      <w:pPr>
        <w:jc w:val="both"/>
        <w:rPr>
          <w:rFonts w:ascii="Lato" w:hAnsi="Lato"/>
          <w:color w:val="000000"/>
          <w:sz w:val="22"/>
          <w:szCs w:val="22"/>
        </w:rPr>
      </w:pPr>
      <w:r w:rsidRPr="00780075">
        <w:rPr>
          <w:rFonts w:ascii="Lato" w:hAnsi="Lato"/>
          <w:color w:val="000000"/>
          <w:sz w:val="22"/>
          <w:szCs w:val="22"/>
        </w:rPr>
        <w:lastRenderedPageBreak/>
        <w:t>Please quote ILPXXXX (ILP followed by your relevant C-Number without the C, e.g., C12345 should be ILP12345) in the payment advice for an electronic transfer to the account details below.</w:t>
      </w:r>
    </w:p>
    <w:p w14:paraId="5479867E" w14:textId="77777777" w:rsidR="00BC3FE0" w:rsidRPr="00780075" w:rsidRDefault="00BC3FE0" w:rsidP="00BC3FE0">
      <w:pPr>
        <w:jc w:val="both"/>
        <w:rPr>
          <w:rFonts w:ascii="Lato" w:hAnsi="Lato"/>
          <w:color w:val="000000"/>
          <w:sz w:val="22"/>
          <w:szCs w:val="22"/>
        </w:rPr>
      </w:pPr>
    </w:p>
    <w:p w14:paraId="55296B09" w14:textId="77777777" w:rsidR="00BC3FE0" w:rsidRPr="00780075" w:rsidRDefault="00BC3FE0" w:rsidP="00BC3FE0">
      <w:pPr>
        <w:jc w:val="both"/>
        <w:rPr>
          <w:rFonts w:ascii="Lato" w:hAnsi="Lato"/>
          <w:color w:val="000000"/>
          <w:sz w:val="22"/>
          <w:szCs w:val="22"/>
        </w:rPr>
      </w:pPr>
      <w:r w:rsidRPr="00780075">
        <w:rPr>
          <w:rFonts w:ascii="Lato" w:hAnsi="Lato"/>
          <w:bCs/>
          <w:color w:val="000000"/>
          <w:sz w:val="22"/>
          <w:szCs w:val="22"/>
        </w:rPr>
        <w:t>Billing Account Name:</w:t>
      </w:r>
      <w:r w:rsidRPr="00780075">
        <w:rPr>
          <w:rFonts w:ascii="Lato" w:hAnsi="Lato"/>
          <w:color w:val="000000"/>
          <w:sz w:val="22"/>
          <w:szCs w:val="22"/>
        </w:rPr>
        <w:t xml:space="preserve"> </w:t>
      </w:r>
      <w:r w:rsidRPr="00780075">
        <w:rPr>
          <w:rFonts w:ascii="Lato" w:hAnsi="Lato"/>
          <w:bCs/>
          <w:color w:val="000000"/>
          <w:sz w:val="22"/>
          <w:szCs w:val="22"/>
        </w:rPr>
        <w:t xml:space="preserve">Central Bank of Ireland — Application Fees Account </w:t>
      </w:r>
      <w:r w:rsidRPr="00780075">
        <w:rPr>
          <w:rFonts w:ascii="Lato" w:hAnsi="Lato"/>
          <w:color w:val="000000"/>
          <w:sz w:val="22"/>
          <w:szCs w:val="22"/>
        </w:rPr>
        <w:t> </w:t>
      </w:r>
    </w:p>
    <w:p w14:paraId="30FC1B40" w14:textId="77777777" w:rsidR="00BC3FE0" w:rsidRPr="00780075" w:rsidRDefault="00BC3FE0" w:rsidP="00BC3FE0">
      <w:pPr>
        <w:jc w:val="both"/>
        <w:rPr>
          <w:rFonts w:ascii="Lato" w:hAnsi="Lato"/>
          <w:color w:val="000000"/>
          <w:sz w:val="22"/>
          <w:szCs w:val="22"/>
        </w:rPr>
      </w:pPr>
    </w:p>
    <w:p w14:paraId="52AE3E11" w14:textId="77777777" w:rsidR="00BC3FE0" w:rsidRPr="00780075" w:rsidRDefault="00BC3FE0" w:rsidP="00BC3FE0">
      <w:pPr>
        <w:jc w:val="both"/>
        <w:rPr>
          <w:rFonts w:ascii="Lato" w:hAnsi="Lato"/>
          <w:bCs/>
          <w:color w:val="000000"/>
          <w:sz w:val="22"/>
          <w:szCs w:val="22"/>
        </w:rPr>
      </w:pPr>
      <w:r w:rsidRPr="00780075">
        <w:rPr>
          <w:rFonts w:ascii="Lato" w:hAnsi="Lato"/>
          <w:bCs/>
          <w:color w:val="000000"/>
          <w:sz w:val="22"/>
          <w:szCs w:val="22"/>
        </w:rPr>
        <w:t>BIC :       DABAIE2D</w:t>
      </w:r>
    </w:p>
    <w:p w14:paraId="018FE786" w14:textId="77777777" w:rsidR="00BC3FE0" w:rsidRPr="00780075" w:rsidRDefault="00BC3FE0" w:rsidP="00BC3FE0">
      <w:pPr>
        <w:jc w:val="both"/>
        <w:rPr>
          <w:rFonts w:ascii="Lato" w:hAnsi="Lato"/>
          <w:bCs/>
          <w:color w:val="000000"/>
          <w:sz w:val="22"/>
          <w:szCs w:val="22"/>
        </w:rPr>
      </w:pPr>
    </w:p>
    <w:p w14:paraId="08B1AEE3" w14:textId="77777777" w:rsidR="00BC3FE0" w:rsidRPr="00780075" w:rsidRDefault="00BC3FE0" w:rsidP="00BC3FE0">
      <w:pPr>
        <w:jc w:val="both"/>
        <w:rPr>
          <w:rFonts w:ascii="Lato" w:hAnsi="Lato"/>
          <w:bCs/>
          <w:color w:val="000000"/>
          <w:sz w:val="22"/>
          <w:szCs w:val="22"/>
        </w:rPr>
      </w:pPr>
      <w:r w:rsidRPr="00780075">
        <w:rPr>
          <w:rFonts w:ascii="Lato" w:hAnsi="Lato"/>
          <w:bCs/>
          <w:color w:val="000000"/>
          <w:sz w:val="22"/>
          <w:szCs w:val="22"/>
          <w:lang w:val="en-US"/>
        </w:rPr>
        <w:t>IBAN :</w:t>
      </w:r>
      <w:r w:rsidRPr="00780075">
        <w:rPr>
          <w:rFonts w:ascii="Lato" w:hAnsi="Lato"/>
          <w:bCs/>
          <w:color w:val="000000"/>
          <w:sz w:val="22"/>
          <w:szCs w:val="22"/>
        </w:rPr>
        <w:t>    IE93 DABA 951990 1000 3891</w:t>
      </w:r>
    </w:p>
    <w:p w14:paraId="238EFE94" w14:textId="77777777" w:rsidR="00BC3FE0" w:rsidRPr="00780075" w:rsidRDefault="00BC3FE0" w:rsidP="00BC3FE0">
      <w:pPr>
        <w:jc w:val="both"/>
        <w:rPr>
          <w:rFonts w:ascii="Lato" w:hAnsi="Lato"/>
          <w:color w:val="000000"/>
          <w:sz w:val="22"/>
          <w:szCs w:val="22"/>
        </w:rPr>
      </w:pPr>
    </w:p>
    <w:p w14:paraId="3FC93704" w14:textId="77777777" w:rsidR="00BC3FE0" w:rsidRPr="001362A6" w:rsidRDefault="00BC3FE0">
      <w:pPr>
        <w:rPr>
          <w:rFonts w:ascii="Lato" w:hAnsi="Lato"/>
          <w:sz w:val="22"/>
          <w:szCs w:val="22"/>
          <w:lang w:val="en-IE"/>
        </w:rPr>
      </w:pPr>
    </w:p>
    <w:p w14:paraId="25505BF9" w14:textId="77777777" w:rsidR="00C13532" w:rsidRPr="001362A6" w:rsidRDefault="00C13532">
      <w:pPr>
        <w:rPr>
          <w:rFonts w:ascii="Lato" w:hAnsi="Lato"/>
          <w:sz w:val="22"/>
          <w:szCs w:val="22"/>
          <w:lang w:val="en-IE"/>
        </w:rPr>
        <w:sectPr w:rsidR="00C13532" w:rsidRPr="001362A6" w:rsidSect="001362A6">
          <w:headerReference w:type="default" r:id="rId15"/>
          <w:footerReference w:type="default" r:id="rId16"/>
          <w:pgSz w:w="11904" w:h="16834"/>
          <w:pgMar w:top="851" w:right="1800" w:bottom="1440" w:left="1800" w:header="142" w:footer="266" w:gutter="0"/>
          <w:pgNumType w:start="2"/>
          <w:cols w:space="708"/>
        </w:sectPr>
      </w:pPr>
    </w:p>
    <w:tbl>
      <w:tblPr>
        <w:tblW w:w="10575" w:type="dxa"/>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4"/>
        <w:gridCol w:w="7587"/>
        <w:gridCol w:w="607"/>
        <w:gridCol w:w="411"/>
        <w:gridCol w:w="766"/>
      </w:tblGrid>
      <w:tr w:rsidR="00E0074D" w:rsidRPr="001362A6" w14:paraId="2EB02D0A" w14:textId="77777777" w:rsidTr="00AB716D">
        <w:trPr>
          <w:cantSplit/>
        </w:trPr>
        <w:tc>
          <w:tcPr>
            <w:tcW w:w="1204" w:type="dxa"/>
            <w:tcBorders>
              <w:top w:val="nil"/>
              <w:left w:val="nil"/>
              <w:bottom w:val="nil"/>
              <w:right w:val="single" w:sz="4" w:space="0" w:color="auto"/>
            </w:tcBorders>
          </w:tcPr>
          <w:p w14:paraId="16E53494" w14:textId="77777777" w:rsidR="00E0074D" w:rsidRPr="001362A6" w:rsidRDefault="00E0074D">
            <w:pPr>
              <w:rPr>
                <w:rFonts w:ascii="Lato" w:hAnsi="Lato"/>
                <w:b/>
                <w:bCs/>
                <w:sz w:val="22"/>
                <w:lang w:val="en-IE"/>
              </w:rPr>
            </w:pPr>
            <w:r w:rsidRPr="001362A6">
              <w:rPr>
                <w:rFonts w:ascii="Lato" w:hAnsi="Lato"/>
                <w:b/>
                <w:bCs/>
                <w:sz w:val="22"/>
                <w:lang w:val="en-IE"/>
              </w:rPr>
              <w:lastRenderedPageBreak/>
              <w:t>1.6</w:t>
            </w:r>
          </w:p>
        </w:tc>
        <w:tc>
          <w:tcPr>
            <w:tcW w:w="7587" w:type="dxa"/>
            <w:tcBorders>
              <w:top w:val="single" w:sz="4" w:space="0" w:color="auto"/>
              <w:left w:val="single" w:sz="4" w:space="0" w:color="auto"/>
              <w:bottom w:val="single" w:sz="4" w:space="0" w:color="auto"/>
              <w:right w:val="single" w:sz="4" w:space="0" w:color="auto"/>
            </w:tcBorders>
          </w:tcPr>
          <w:p w14:paraId="721ED26D" w14:textId="77777777" w:rsidR="00E0074D" w:rsidRPr="001362A6" w:rsidRDefault="00E0074D">
            <w:pPr>
              <w:rPr>
                <w:rFonts w:ascii="Lato" w:hAnsi="Lato"/>
                <w:b/>
                <w:bCs/>
                <w:sz w:val="22"/>
                <w:lang w:val="en-IE"/>
              </w:rPr>
            </w:pPr>
            <w:r w:rsidRPr="001362A6">
              <w:rPr>
                <w:rFonts w:ascii="Lato" w:hAnsi="Lato"/>
                <w:b/>
                <w:bCs/>
                <w:sz w:val="22"/>
                <w:lang w:val="en-IE"/>
              </w:rPr>
              <w:t>DOCUMENTS TO BE SUBMITTED</w:t>
            </w:r>
          </w:p>
        </w:tc>
        <w:tc>
          <w:tcPr>
            <w:tcW w:w="607" w:type="dxa"/>
            <w:tcBorders>
              <w:top w:val="nil"/>
              <w:left w:val="single" w:sz="4" w:space="0" w:color="auto"/>
              <w:bottom w:val="nil"/>
              <w:right w:val="nil"/>
            </w:tcBorders>
          </w:tcPr>
          <w:p w14:paraId="237B9670" w14:textId="77777777" w:rsidR="00E0074D" w:rsidRPr="001362A6" w:rsidRDefault="00E0074D">
            <w:pPr>
              <w:rPr>
                <w:rFonts w:ascii="Lato" w:hAnsi="Lato"/>
                <w:sz w:val="22"/>
                <w:lang w:val="en-IE"/>
              </w:rPr>
            </w:pPr>
          </w:p>
        </w:tc>
        <w:tc>
          <w:tcPr>
            <w:tcW w:w="411" w:type="dxa"/>
            <w:tcBorders>
              <w:top w:val="nil"/>
              <w:left w:val="nil"/>
              <w:bottom w:val="nil"/>
              <w:right w:val="nil"/>
            </w:tcBorders>
          </w:tcPr>
          <w:p w14:paraId="5746FD76" w14:textId="77777777" w:rsidR="00E0074D" w:rsidRPr="001362A6" w:rsidRDefault="00E0074D">
            <w:pPr>
              <w:rPr>
                <w:rFonts w:ascii="Lato" w:hAnsi="Lato"/>
                <w:sz w:val="22"/>
                <w:lang w:val="en-IE"/>
              </w:rPr>
            </w:pPr>
          </w:p>
        </w:tc>
        <w:tc>
          <w:tcPr>
            <w:tcW w:w="766" w:type="dxa"/>
            <w:tcBorders>
              <w:top w:val="nil"/>
              <w:left w:val="nil"/>
              <w:bottom w:val="nil"/>
              <w:right w:val="nil"/>
            </w:tcBorders>
          </w:tcPr>
          <w:p w14:paraId="5976693D" w14:textId="77777777" w:rsidR="00E0074D" w:rsidRPr="001362A6" w:rsidRDefault="00E0074D">
            <w:pPr>
              <w:rPr>
                <w:rFonts w:ascii="Lato" w:hAnsi="Lato"/>
                <w:sz w:val="22"/>
                <w:lang w:val="en-IE"/>
              </w:rPr>
            </w:pPr>
          </w:p>
        </w:tc>
      </w:tr>
      <w:tr w:rsidR="00E0074D" w:rsidRPr="001362A6" w14:paraId="74669D24" w14:textId="77777777" w:rsidTr="00AB716D">
        <w:trPr>
          <w:cantSplit/>
        </w:trPr>
        <w:tc>
          <w:tcPr>
            <w:tcW w:w="1204" w:type="dxa"/>
            <w:tcBorders>
              <w:top w:val="nil"/>
              <w:left w:val="nil"/>
              <w:bottom w:val="nil"/>
              <w:right w:val="nil"/>
            </w:tcBorders>
          </w:tcPr>
          <w:p w14:paraId="37BCB758" w14:textId="77777777" w:rsidR="00E0074D" w:rsidRPr="001362A6" w:rsidRDefault="00E0074D">
            <w:pPr>
              <w:rPr>
                <w:rFonts w:ascii="Lato" w:hAnsi="Lato"/>
                <w:sz w:val="22"/>
                <w:lang w:val="en-IE"/>
              </w:rPr>
            </w:pPr>
          </w:p>
        </w:tc>
        <w:tc>
          <w:tcPr>
            <w:tcW w:w="8194" w:type="dxa"/>
            <w:gridSpan w:val="2"/>
            <w:tcBorders>
              <w:top w:val="nil"/>
              <w:left w:val="nil"/>
              <w:bottom w:val="nil"/>
              <w:right w:val="nil"/>
            </w:tcBorders>
          </w:tcPr>
          <w:p w14:paraId="5DD27539" w14:textId="77777777" w:rsidR="00E0074D" w:rsidRPr="001362A6" w:rsidRDefault="00E0074D">
            <w:pPr>
              <w:rPr>
                <w:rFonts w:ascii="Lato" w:hAnsi="Lato"/>
                <w:sz w:val="22"/>
                <w:lang w:val="en-IE"/>
              </w:rPr>
            </w:pPr>
          </w:p>
        </w:tc>
        <w:tc>
          <w:tcPr>
            <w:tcW w:w="1177" w:type="dxa"/>
            <w:gridSpan w:val="2"/>
            <w:tcBorders>
              <w:top w:val="nil"/>
              <w:left w:val="nil"/>
              <w:bottom w:val="single" w:sz="4" w:space="0" w:color="auto"/>
              <w:right w:val="nil"/>
            </w:tcBorders>
          </w:tcPr>
          <w:p w14:paraId="6DE7E5C5" w14:textId="77777777" w:rsidR="00E0074D" w:rsidRPr="001362A6" w:rsidRDefault="00E0074D">
            <w:pPr>
              <w:rPr>
                <w:rFonts w:ascii="Lato" w:hAnsi="Lato"/>
                <w:sz w:val="22"/>
                <w:lang w:val="en-IE"/>
              </w:rPr>
            </w:pPr>
          </w:p>
        </w:tc>
      </w:tr>
      <w:tr w:rsidR="00E0074D" w:rsidRPr="001362A6" w14:paraId="458BCA6D" w14:textId="77777777" w:rsidTr="00AB716D">
        <w:trPr>
          <w:cantSplit/>
          <w:trHeight w:val="255"/>
        </w:trPr>
        <w:tc>
          <w:tcPr>
            <w:tcW w:w="1204" w:type="dxa"/>
            <w:vMerge w:val="restart"/>
            <w:tcBorders>
              <w:top w:val="nil"/>
              <w:left w:val="nil"/>
              <w:right w:val="nil"/>
            </w:tcBorders>
          </w:tcPr>
          <w:p w14:paraId="1FA7618C" w14:textId="77777777" w:rsidR="00E0074D" w:rsidRPr="001362A6" w:rsidRDefault="00E0074D">
            <w:pPr>
              <w:rPr>
                <w:rFonts w:ascii="Lato" w:hAnsi="Lato"/>
                <w:sz w:val="22"/>
                <w:szCs w:val="22"/>
              </w:rPr>
            </w:pPr>
          </w:p>
        </w:tc>
        <w:tc>
          <w:tcPr>
            <w:tcW w:w="8194" w:type="dxa"/>
            <w:gridSpan w:val="2"/>
            <w:vMerge w:val="restart"/>
            <w:tcBorders>
              <w:top w:val="nil"/>
              <w:left w:val="nil"/>
              <w:right w:val="single" w:sz="4" w:space="0" w:color="auto"/>
            </w:tcBorders>
          </w:tcPr>
          <w:p w14:paraId="7355E7E3" w14:textId="77777777" w:rsidR="00E0074D" w:rsidRPr="001362A6" w:rsidRDefault="00E0074D" w:rsidP="00D605C6">
            <w:pPr>
              <w:pStyle w:val="Heading1"/>
              <w:numPr>
                <w:ilvl w:val="0"/>
                <w:numId w:val="17"/>
              </w:numPr>
              <w:spacing w:before="0" w:after="0" w:line="240" w:lineRule="auto"/>
              <w:rPr>
                <w:rFonts w:ascii="Lato" w:hAnsi="Lato"/>
                <w:color w:val="auto"/>
                <w:sz w:val="22"/>
                <w:szCs w:val="22"/>
              </w:rPr>
            </w:pPr>
            <w:r w:rsidRPr="001362A6">
              <w:rPr>
                <w:rFonts w:ascii="Lato" w:hAnsi="Lato"/>
                <w:color w:val="auto"/>
                <w:sz w:val="22"/>
                <w:szCs w:val="22"/>
              </w:rPr>
              <w:t>Letter of application from the</w:t>
            </w:r>
            <w:r w:rsidR="00170D8B" w:rsidRPr="001362A6">
              <w:rPr>
                <w:rFonts w:ascii="Lato" w:hAnsi="Lato"/>
                <w:color w:val="auto"/>
                <w:sz w:val="22"/>
                <w:szCs w:val="22"/>
              </w:rPr>
              <w:t xml:space="preserve"> AIFM </w:t>
            </w:r>
            <w:r w:rsidR="00825022" w:rsidRPr="001362A6">
              <w:rPr>
                <w:rFonts w:ascii="Lato" w:hAnsi="Lato"/>
                <w:color w:val="auto"/>
                <w:sz w:val="22"/>
                <w:szCs w:val="22"/>
              </w:rPr>
              <w:t>together with the Investment Company</w:t>
            </w:r>
            <w:r w:rsidR="00D144C7" w:rsidRPr="001362A6">
              <w:rPr>
                <w:rFonts w:ascii="Lato" w:hAnsi="Lato"/>
                <w:color w:val="auto"/>
                <w:sz w:val="22"/>
                <w:szCs w:val="22"/>
              </w:rPr>
              <w:t>, ICAV</w:t>
            </w:r>
            <w:r w:rsidR="00825022" w:rsidRPr="001362A6">
              <w:rPr>
                <w:rFonts w:ascii="Lato" w:hAnsi="Lato"/>
                <w:color w:val="auto"/>
                <w:sz w:val="22"/>
                <w:szCs w:val="22"/>
              </w:rPr>
              <w:t xml:space="preserve"> or </w:t>
            </w:r>
            <w:r w:rsidR="00A34B20" w:rsidRPr="001362A6">
              <w:rPr>
                <w:rFonts w:ascii="Lato" w:hAnsi="Lato"/>
                <w:color w:val="auto"/>
                <w:sz w:val="22"/>
                <w:szCs w:val="22"/>
              </w:rPr>
              <w:t>Management</w:t>
            </w:r>
            <w:r w:rsidR="00FC7B12" w:rsidRPr="001362A6">
              <w:rPr>
                <w:rFonts w:ascii="Lato" w:hAnsi="Lato"/>
                <w:color w:val="auto"/>
                <w:sz w:val="22"/>
                <w:szCs w:val="22"/>
              </w:rPr>
              <w:t xml:space="preserve"> Company</w:t>
            </w:r>
            <w:r w:rsidR="00170D8B" w:rsidRPr="001362A6">
              <w:rPr>
                <w:rFonts w:ascii="Lato" w:hAnsi="Lato"/>
                <w:color w:val="auto"/>
                <w:sz w:val="22"/>
                <w:szCs w:val="22"/>
              </w:rPr>
              <w:t xml:space="preserve"> or the </w:t>
            </w:r>
            <w:r w:rsidR="00DC40DD" w:rsidRPr="001362A6">
              <w:rPr>
                <w:rFonts w:ascii="Lato" w:hAnsi="Lato"/>
                <w:color w:val="auto"/>
                <w:sz w:val="22"/>
                <w:szCs w:val="22"/>
              </w:rPr>
              <w:t>General Partner</w:t>
            </w:r>
            <w:r w:rsidR="00170D8B" w:rsidRPr="001362A6">
              <w:rPr>
                <w:rFonts w:ascii="Lato" w:hAnsi="Lato"/>
                <w:color w:val="auto"/>
                <w:sz w:val="22"/>
                <w:szCs w:val="22"/>
              </w:rPr>
              <w:t xml:space="preserve"> and Depositary</w:t>
            </w:r>
            <w:r w:rsidR="00825022" w:rsidRPr="001362A6">
              <w:rPr>
                <w:rFonts w:ascii="Lato" w:hAnsi="Lato"/>
                <w:color w:val="auto"/>
                <w:sz w:val="22"/>
                <w:szCs w:val="22"/>
              </w:rPr>
              <w:t xml:space="preserve"> as appropriate</w:t>
            </w:r>
            <w:r w:rsidRPr="001362A6">
              <w:rPr>
                <w:rFonts w:ascii="Lato" w:hAnsi="Lato"/>
                <w:color w:val="auto"/>
                <w:sz w:val="22"/>
                <w:szCs w:val="22"/>
              </w:rPr>
              <w:t xml:space="preserve"> seeking authorisation under the applicable legislation</w:t>
            </w:r>
          </w:p>
        </w:tc>
        <w:tc>
          <w:tcPr>
            <w:tcW w:w="1177" w:type="dxa"/>
            <w:gridSpan w:val="2"/>
            <w:tcBorders>
              <w:top w:val="single" w:sz="4" w:space="0" w:color="auto"/>
              <w:left w:val="single" w:sz="4" w:space="0" w:color="auto"/>
              <w:bottom w:val="single" w:sz="4" w:space="0" w:color="auto"/>
              <w:right w:val="single" w:sz="4" w:space="0" w:color="auto"/>
            </w:tcBorders>
          </w:tcPr>
          <w:p w14:paraId="41ADD9DD" w14:textId="77777777" w:rsidR="00E0074D" w:rsidRPr="001362A6" w:rsidRDefault="00E0074D">
            <w:pPr>
              <w:rPr>
                <w:rFonts w:ascii="Lato" w:hAnsi="Lato"/>
                <w:sz w:val="22"/>
                <w:szCs w:val="22"/>
              </w:rPr>
            </w:pPr>
            <w:r w:rsidRPr="001362A6">
              <w:rPr>
                <w:rFonts w:ascii="Lato" w:hAnsi="Lato"/>
                <w:sz w:val="22"/>
                <w:szCs w:val="22"/>
              </w:rPr>
              <w:t xml:space="preserve"> </w:t>
            </w:r>
          </w:p>
        </w:tc>
      </w:tr>
      <w:tr w:rsidR="00E0074D" w:rsidRPr="001362A6" w14:paraId="6C605C89" w14:textId="77777777" w:rsidTr="00AB716D">
        <w:trPr>
          <w:cantSplit/>
          <w:trHeight w:val="254"/>
        </w:trPr>
        <w:tc>
          <w:tcPr>
            <w:tcW w:w="1204" w:type="dxa"/>
            <w:vMerge/>
            <w:tcBorders>
              <w:left w:val="nil"/>
              <w:bottom w:val="nil"/>
              <w:right w:val="nil"/>
            </w:tcBorders>
          </w:tcPr>
          <w:p w14:paraId="1EE19AF4" w14:textId="77777777" w:rsidR="00E0074D" w:rsidRPr="001362A6" w:rsidRDefault="00E0074D">
            <w:pPr>
              <w:rPr>
                <w:rFonts w:ascii="Lato" w:hAnsi="Lato"/>
                <w:sz w:val="22"/>
                <w:szCs w:val="22"/>
              </w:rPr>
            </w:pPr>
          </w:p>
        </w:tc>
        <w:tc>
          <w:tcPr>
            <w:tcW w:w="8194" w:type="dxa"/>
            <w:gridSpan w:val="2"/>
            <w:vMerge/>
            <w:tcBorders>
              <w:left w:val="nil"/>
              <w:bottom w:val="nil"/>
              <w:right w:val="nil"/>
            </w:tcBorders>
          </w:tcPr>
          <w:p w14:paraId="500256EF" w14:textId="77777777" w:rsidR="00E0074D" w:rsidRPr="001362A6" w:rsidRDefault="00E0074D" w:rsidP="00D605C6">
            <w:pPr>
              <w:pStyle w:val="Heading1"/>
              <w:numPr>
                <w:ilvl w:val="0"/>
                <w:numId w:val="17"/>
              </w:numPr>
              <w:spacing w:before="0" w:after="0" w:line="240" w:lineRule="auto"/>
              <w:rPr>
                <w:rFonts w:ascii="Lato" w:hAnsi="Lato"/>
                <w:color w:val="auto"/>
                <w:sz w:val="22"/>
                <w:szCs w:val="22"/>
              </w:rPr>
            </w:pPr>
          </w:p>
        </w:tc>
        <w:tc>
          <w:tcPr>
            <w:tcW w:w="1177" w:type="dxa"/>
            <w:gridSpan w:val="2"/>
            <w:tcBorders>
              <w:top w:val="single" w:sz="4" w:space="0" w:color="auto"/>
              <w:left w:val="nil"/>
              <w:bottom w:val="single" w:sz="4" w:space="0" w:color="auto"/>
              <w:right w:val="nil"/>
            </w:tcBorders>
          </w:tcPr>
          <w:p w14:paraId="04CDF5EE" w14:textId="77777777" w:rsidR="00E0074D" w:rsidRPr="001362A6" w:rsidRDefault="00E0074D">
            <w:pPr>
              <w:rPr>
                <w:rFonts w:ascii="Lato" w:hAnsi="Lato"/>
                <w:sz w:val="22"/>
                <w:szCs w:val="22"/>
              </w:rPr>
            </w:pPr>
          </w:p>
        </w:tc>
      </w:tr>
      <w:tr w:rsidR="00E0074D" w:rsidRPr="001362A6" w14:paraId="3FA6489C" w14:textId="77777777" w:rsidTr="00AB716D">
        <w:trPr>
          <w:cantSplit/>
        </w:trPr>
        <w:tc>
          <w:tcPr>
            <w:tcW w:w="1204" w:type="dxa"/>
            <w:tcBorders>
              <w:top w:val="nil"/>
              <w:left w:val="nil"/>
              <w:bottom w:val="nil"/>
              <w:right w:val="nil"/>
            </w:tcBorders>
          </w:tcPr>
          <w:p w14:paraId="47CAF2FF" w14:textId="77777777" w:rsidR="00E0074D" w:rsidRPr="001362A6" w:rsidRDefault="00E0074D">
            <w:pPr>
              <w:rPr>
                <w:rFonts w:ascii="Lato" w:hAnsi="Lato"/>
                <w:sz w:val="22"/>
                <w:szCs w:val="22"/>
              </w:rPr>
            </w:pPr>
          </w:p>
        </w:tc>
        <w:tc>
          <w:tcPr>
            <w:tcW w:w="8194" w:type="dxa"/>
            <w:gridSpan w:val="2"/>
            <w:tcBorders>
              <w:top w:val="nil"/>
              <w:left w:val="nil"/>
              <w:bottom w:val="nil"/>
              <w:right w:val="single" w:sz="4" w:space="0" w:color="auto"/>
            </w:tcBorders>
          </w:tcPr>
          <w:p w14:paraId="4FD90AF6" w14:textId="77777777" w:rsidR="00E0074D" w:rsidRPr="001362A6" w:rsidRDefault="00E0074D" w:rsidP="00D605C6">
            <w:pPr>
              <w:pStyle w:val="Heading1"/>
              <w:numPr>
                <w:ilvl w:val="0"/>
                <w:numId w:val="17"/>
              </w:numPr>
              <w:spacing w:before="0" w:after="0" w:line="240" w:lineRule="auto"/>
              <w:rPr>
                <w:rFonts w:ascii="Lato" w:hAnsi="Lato"/>
                <w:color w:val="auto"/>
                <w:sz w:val="22"/>
                <w:szCs w:val="22"/>
              </w:rPr>
            </w:pPr>
            <w:r w:rsidRPr="001362A6">
              <w:rPr>
                <w:rFonts w:ascii="Lato" w:hAnsi="Lato"/>
                <w:color w:val="auto"/>
                <w:sz w:val="22"/>
                <w:szCs w:val="22"/>
              </w:rPr>
              <w:t>Completed Application Form</w:t>
            </w:r>
          </w:p>
        </w:tc>
        <w:tc>
          <w:tcPr>
            <w:tcW w:w="1177" w:type="dxa"/>
            <w:gridSpan w:val="2"/>
            <w:tcBorders>
              <w:top w:val="single" w:sz="4" w:space="0" w:color="auto"/>
              <w:left w:val="single" w:sz="4" w:space="0" w:color="auto"/>
              <w:bottom w:val="single" w:sz="4" w:space="0" w:color="auto"/>
              <w:right w:val="single" w:sz="4" w:space="0" w:color="auto"/>
            </w:tcBorders>
          </w:tcPr>
          <w:p w14:paraId="54864F8A" w14:textId="77777777" w:rsidR="00E0074D" w:rsidRPr="001362A6" w:rsidRDefault="00E0074D">
            <w:pPr>
              <w:rPr>
                <w:rFonts w:ascii="Lato" w:hAnsi="Lato"/>
                <w:sz w:val="22"/>
                <w:szCs w:val="22"/>
              </w:rPr>
            </w:pPr>
          </w:p>
        </w:tc>
      </w:tr>
      <w:tr w:rsidR="00E0074D" w:rsidRPr="001362A6" w14:paraId="62BDC023" w14:textId="77777777" w:rsidTr="00AB716D">
        <w:trPr>
          <w:cantSplit/>
        </w:trPr>
        <w:tc>
          <w:tcPr>
            <w:tcW w:w="1204" w:type="dxa"/>
            <w:tcBorders>
              <w:top w:val="nil"/>
              <w:left w:val="nil"/>
              <w:bottom w:val="nil"/>
              <w:right w:val="nil"/>
            </w:tcBorders>
          </w:tcPr>
          <w:p w14:paraId="693C5C97" w14:textId="77777777" w:rsidR="00E0074D" w:rsidRPr="001362A6" w:rsidRDefault="00E0074D">
            <w:pPr>
              <w:rPr>
                <w:rFonts w:ascii="Lato" w:hAnsi="Lato"/>
                <w:b/>
                <w:bCs/>
                <w:sz w:val="22"/>
                <w:szCs w:val="22"/>
              </w:rPr>
            </w:pPr>
          </w:p>
        </w:tc>
        <w:tc>
          <w:tcPr>
            <w:tcW w:w="8194" w:type="dxa"/>
            <w:gridSpan w:val="2"/>
            <w:tcBorders>
              <w:top w:val="nil"/>
              <w:left w:val="nil"/>
              <w:bottom w:val="nil"/>
              <w:right w:val="single" w:sz="4" w:space="0" w:color="auto"/>
            </w:tcBorders>
          </w:tcPr>
          <w:p w14:paraId="4BB8F77A" w14:textId="77777777" w:rsidR="00E0074D" w:rsidRPr="001362A6" w:rsidRDefault="00E0074D" w:rsidP="00D605C6">
            <w:pPr>
              <w:pStyle w:val="Heading3"/>
              <w:numPr>
                <w:ilvl w:val="0"/>
                <w:numId w:val="17"/>
              </w:numPr>
              <w:spacing w:before="0" w:after="0" w:line="240" w:lineRule="auto"/>
              <w:rPr>
                <w:rFonts w:ascii="Lato" w:hAnsi="Lato"/>
                <w:b w:val="0"/>
                <w:bCs/>
                <w:color w:val="auto"/>
                <w:sz w:val="22"/>
                <w:szCs w:val="22"/>
              </w:rPr>
            </w:pPr>
            <w:r w:rsidRPr="001362A6">
              <w:rPr>
                <w:rFonts w:ascii="Lato" w:hAnsi="Lato"/>
                <w:b w:val="0"/>
                <w:bCs/>
                <w:color w:val="auto"/>
                <w:sz w:val="22"/>
                <w:szCs w:val="22"/>
              </w:rPr>
              <w:t>Dated Prospectus(es)</w:t>
            </w:r>
            <w:r w:rsidRPr="001362A6">
              <w:rPr>
                <w:rStyle w:val="FootnoteReference"/>
                <w:rFonts w:ascii="Lato" w:hAnsi="Lato"/>
                <w:b w:val="0"/>
                <w:bCs/>
                <w:color w:val="auto"/>
                <w:sz w:val="22"/>
                <w:szCs w:val="22"/>
              </w:rPr>
              <w:footnoteReference w:id="6"/>
            </w:r>
          </w:p>
        </w:tc>
        <w:tc>
          <w:tcPr>
            <w:tcW w:w="1177" w:type="dxa"/>
            <w:gridSpan w:val="2"/>
            <w:tcBorders>
              <w:top w:val="single" w:sz="4" w:space="0" w:color="auto"/>
              <w:left w:val="single" w:sz="4" w:space="0" w:color="auto"/>
              <w:bottom w:val="single" w:sz="4" w:space="0" w:color="auto"/>
              <w:right w:val="single" w:sz="4" w:space="0" w:color="auto"/>
            </w:tcBorders>
          </w:tcPr>
          <w:p w14:paraId="11FAEF5F" w14:textId="77777777" w:rsidR="005C2825" w:rsidRPr="001362A6" w:rsidRDefault="005C2825">
            <w:pPr>
              <w:rPr>
                <w:rFonts w:ascii="Lato" w:hAnsi="Lato"/>
                <w:b/>
                <w:bCs/>
                <w:sz w:val="22"/>
                <w:szCs w:val="22"/>
              </w:rPr>
            </w:pPr>
          </w:p>
        </w:tc>
      </w:tr>
      <w:tr w:rsidR="005C2825" w:rsidRPr="001362A6" w14:paraId="30F4523B" w14:textId="77777777" w:rsidTr="00AB716D">
        <w:trPr>
          <w:cantSplit/>
        </w:trPr>
        <w:tc>
          <w:tcPr>
            <w:tcW w:w="1204" w:type="dxa"/>
            <w:tcBorders>
              <w:top w:val="nil"/>
              <w:left w:val="nil"/>
              <w:bottom w:val="nil"/>
              <w:right w:val="nil"/>
            </w:tcBorders>
          </w:tcPr>
          <w:p w14:paraId="2480FA80" w14:textId="77777777" w:rsidR="005C2825" w:rsidRPr="001362A6" w:rsidRDefault="005C2825">
            <w:pPr>
              <w:rPr>
                <w:rFonts w:ascii="Lato" w:hAnsi="Lato"/>
                <w:b/>
                <w:bCs/>
                <w:sz w:val="22"/>
                <w:szCs w:val="22"/>
              </w:rPr>
            </w:pPr>
          </w:p>
        </w:tc>
        <w:tc>
          <w:tcPr>
            <w:tcW w:w="8194" w:type="dxa"/>
            <w:gridSpan w:val="2"/>
            <w:tcBorders>
              <w:top w:val="nil"/>
              <w:left w:val="nil"/>
              <w:bottom w:val="nil"/>
              <w:right w:val="single" w:sz="4" w:space="0" w:color="auto"/>
            </w:tcBorders>
          </w:tcPr>
          <w:p w14:paraId="0316B6AD" w14:textId="77777777" w:rsidR="005C2825" w:rsidRPr="001362A6" w:rsidRDefault="005C2825" w:rsidP="00D605C6">
            <w:pPr>
              <w:pStyle w:val="Heading3"/>
              <w:numPr>
                <w:ilvl w:val="0"/>
                <w:numId w:val="17"/>
              </w:numPr>
              <w:spacing w:before="0" w:after="0" w:line="240" w:lineRule="auto"/>
              <w:rPr>
                <w:rFonts w:ascii="Lato" w:hAnsi="Lato"/>
                <w:b w:val="0"/>
                <w:bCs/>
                <w:color w:val="auto"/>
                <w:sz w:val="22"/>
                <w:szCs w:val="22"/>
              </w:rPr>
            </w:pPr>
            <w:r w:rsidRPr="001362A6">
              <w:rPr>
                <w:rFonts w:ascii="Lato" w:hAnsi="Lato"/>
                <w:b w:val="0"/>
                <w:color w:val="auto"/>
                <w:sz w:val="22"/>
                <w:szCs w:val="22"/>
              </w:rPr>
              <w:t>Dated Supplement(s), if applicable</w:t>
            </w:r>
          </w:p>
        </w:tc>
        <w:tc>
          <w:tcPr>
            <w:tcW w:w="1177" w:type="dxa"/>
            <w:gridSpan w:val="2"/>
            <w:tcBorders>
              <w:top w:val="single" w:sz="4" w:space="0" w:color="auto"/>
              <w:left w:val="single" w:sz="4" w:space="0" w:color="auto"/>
              <w:bottom w:val="single" w:sz="4" w:space="0" w:color="auto"/>
              <w:right w:val="single" w:sz="4" w:space="0" w:color="auto"/>
            </w:tcBorders>
          </w:tcPr>
          <w:p w14:paraId="196ACAD7" w14:textId="77777777" w:rsidR="005C2825" w:rsidRPr="001362A6" w:rsidRDefault="005C2825">
            <w:pPr>
              <w:rPr>
                <w:rFonts w:ascii="Lato" w:hAnsi="Lato"/>
                <w:b/>
                <w:bCs/>
                <w:sz w:val="22"/>
                <w:szCs w:val="22"/>
              </w:rPr>
            </w:pPr>
          </w:p>
        </w:tc>
      </w:tr>
      <w:tr w:rsidR="00E0074D" w:rsidRPr="001362A6" w14:paraId="6796EF78" w14:textId="77777777" w:rsidTr="00A34B20">
        <w:trPr>
          <w:cantSplit/>
        </w:trPr>
        <w:tc>
          <w:tcPr>
            <w:tcW w:w="1204" w:type="dxa"/>
            <w:tcBorders>
              <w:top w:val="nil"/>
              <w:left w:val="nil"/>
              <w:bottom w:val="nil"/>
              <w:right w:val="nil"/>
            </w:tcBorders>
          </w:tcPr>
          <w:p w14:paraId="28036DCA" w14:textId="77777777" w:rsidR="00E0074D" w:rsidRPr="001362A6" w:rsidRDefault="00E0074D">
            <w:pPr>
              <w:rPr>
                <w:rFonts w:ascii="Lato" w:hAnsi="Lato"/>
                <w:sz w:val="22"/>
                <w:szCs w:val="22"/>
              </w:rPr>
            </w:pPr>
          </w:p>
        </w:tc>
        <w:tc>
          <w:tcPr>
            <w:tcW w:w="8194" w:type="dxa"/>
            <w:gridSpan w:val="2"/>
            <w:tcBorders>
              <w:top w:val="nil"/>
              <w:left w:val="nil"/>
              <w:bottom w:val="nil"/>
              <w:right w:val="nil"/>
            </w:tcBorders>
          </w:tcPr>
          <w:p w14:paraId="26979562" w14:textId="77777777" w:rsidR="00E0074D" w:rsidRPr="001362A6" w:rsidRDefault="00E0074D">
            <w:pPr>
              <w:rPr>
                <w:rFonts w:ascii="Lato" w:hAnsi="Lato"/>
                <w:sz w:val="22"/>
                <w:szCs w:val="22"/>
              </w:rPr>
            </w:pPr>
          </w:p>
        </w:tc>
        <w:tc>
          <w:tcPr>
            <w:tcW w:w="1177" w:type="dxa"/>
            <w:gridSpan w:val="2"/>
            <w:tcBorders>
              <w:top w:val="single" w:sz="4" w:space="0" w:color="auto"/>
              <w:left w:val="nil"/>
              <w:bottom w:val="nil"/>
              <w:right w:val="nil"/>
            </w:tcBorders>
          </w:tcPr>
          <w:p w14:paraId="204A9085" w14:textId="77777777" w:rsidR="00E0074D" w:rsidRPr="001362A6" w:rsidRDefault="00E0074D">
            <w:pPr>
              <w:rPr>
                <w:rFonts w:ascii="Lato" w:hAnsi="Lato"/>
                <w:sz w:val="22"/>
                <w:szCs w:val="22"/>
              </w:rPr>
            </w:pPr>
          </w:p>
        </w:tc>
      </w:tr>
      <w:tr w:rsidR="009368F5" w:rsidRPr="001362A6" w14:paraId="473E4DFD" w14:textId="77777777" w:rsidTr="00A34B20">
        <w:trPr>
          <w:cantSplit/>
        </w:trPr>
        <w:tc>
          <w:tcPr>
            <w:tcW w:w="1204" w:type="dxa"/>
            <w:tcBorders>
              <w:top w:val="nil"/>
              <w:left w:val="nil"/>
              <w:bottom w:val="nil"/>
              <w:right w:val="nil"/>
            </w:tcBorders>
          </w:tcPr>
          <w:p w14:paraId="246DAE6E" w14:textId="77777777" w:rsidR="009368F5" w:rsidRPr="001362A6" w:rsidRDefault="009368F5">
            <w:pPr>
              <w:rPr>
                <w:rFonts w:ascii="Lato" w:hAnsi="Lato"/>
                <w:sz w:val="22"/>
                <w:szCs w:val="22"/>
              </w:rPr>
            </w:pPr>
          </w:p>
        </w:tc>
        <w:tc>
          <w:tcPr>
            <w:tcW w:w="8194" w:type="dxa"/>
            <w:gridSpan w:val="2"/>
            <w:tcBorders>
              <w:top w:val="nil"/>
              <w:left w:val="nil"/>
              <w:bottom w:val="nil"/>
              <w:right w:val="nil"/>
            </w:tcBorders>
          </w:tcPr>
          <w:p w14:paraId="1EC971A7" w14:textId="77777777" w:rsidR="009368F5" w:rsidRPr="001362A6" w:rsidRDefault="009368F5">
            <w:pPr>
              <w:rPr>
                <w:rFonts w:ascii="Lato" w:hAnsi="Lato"/>
                <w:b/>
                <w:sz w:val="22"/>
                <w:szCs w:val="22"/>
                <w:u w:val="single"/>
              </w:rPr>
            </w:pPr>
            <w:r w:rsidRPr="001362A6">
              <w:rPr>
                <w:rFonts w:ascii="Lato" w:hAnsi="Lato"/>
                <w:b/>
                <w:sz w:val="22"/>
                <w:szCs w:val="22"/>
                <w:u w:val="single"/>
              </w:rPr>
              <w:t>Investment Companies</w:t>
            </w:r>
          </w:p>
        </w:tc>
        <w:tc>
          <w:tcPr>
            <w:tcW w:w="1177" w:type="dxa"/>
            <w:gridSpan w:val="2"/>
            <w:tcBorders>
              <w:top w:val="nil"/>
              <w:left w:val="nil"/>
              <w:bottom w:val="single" w:sz="4" w:space="0" w:color="auto"/>
              <w:right w:val="nil"/>
            </w:tcBorders>
          </w:tcPr>
          <w:p w14:paraId="3119D648" w14:textId="77777777" w:rsidR="009368F5" w:rsidRPr="001362A6" w:rsidRDefault="009368F5">
            <w:pPr>
              <w:rPr>
                <w:rFonts w:ascii="Lato" w:hAnsi="Lato"/>
                <w:sz w:val="22"/>
                <w:szCs w:val="22"/>
              </w:rPr>
            </w:pPr>
          </w:p>
        </w:tc>
      </w:tr>
      <w:tr w:rsidR="009368F5" w:rsidRPr="001362A6" w14:paraId="214F495D" w14:textId="77777777" w:rsidTr="00A34B20">
        <w:trPr>
          <w:cantSplit/>
        </w:trPr>
        <w:tc>
          <w:tcPr>
            <w:tcW w:w="1204" w:type="dxa"/>
            <w:tcBorders>
              <w:top w:val="nil"/>
              <w:left w:val="nil"/>
              <w:bottom w:val="nil"/>
              <w:right w:val="nil"/>
            </w:tcBorders>
          </w:tcPr>
          <w:p w14:paraId="3C42C7D7" w14:textId="77777777" w:rsidR="009368F5" w:rsidRPr="001362A6" w:rsidRDefault="009368F5">
            <w:pPr>
              <w:rPr>
                <w:rFonts w:ascii="Lato" w:hAnsi="Lato"/>
                <w:sz w:val="22"/>
                <w:szCs w:val="22"/>
              </w:rPr>
            </w:pPr>
          </w:p>
        </w:tc>
        <w:tc>
          <w:tcPr>
            <w:tcW w:w="8194" w:type="dxa"/>
            <w:gridSpan w:val="2"/>
            <w:tcBorders>
              <w:top w:val="nil"/>
              <w:left w:val="nil"/>
              <w:bottom w:val="nil"/>
              <w:right w:val="single" w:sz="4" w:space="0" w:color="auto"/>
            </w:tcBorders>
          </w:tcPr>
          <w:p w14:paraId="68F95048" w14:textId="77777777" w:rsidR="009368F5" w:rsidRPr="001362A6" w:rsidRDefault="009368F5" w:rsidP="00D605C6">
            <w:pPr>
              <w:numPr>
                <w:ilvl w:val="0"/>
                <w:numId w:val="18"/>
              </w:numPr>
              <w:rPr>
                <w:rFonts w:ascii="Lato" w:hAnsi="Lato"/>
                <w:sz w:val="22"/>
                <w:szCs w:val="22"/>
              </w:rPr>
            </w:pPr>
            <w:r w:rsidRPr="001362A6">
              <w:rPr>
                <w:rFonts w:ascii="Lato" w:hAnsi="Lato"/>
                <w:sz w:val="22"/>
                <w:szCs w:val="22"/>
              </w:rPr>
              <w:t>Certified copy of the Memorandum and Articles of Association</w:t>
            </w:r>
          </w:p>
        </w:tc>
        <w:tc>
          <w:tcPr>
            <w:tcW w:w="1177" w:type="dxa"/>
            <w:gridSpan w:val="2"/>
            <w:tcBorders>
              <w:top w:val="single" w:sz="4" w:space="0" w:color="auto"/>
              <w:left w:val="single" w:sz="4" w:space="0" w:color="auto"/>
              <w:bottom w:val="single" w:sz="4" w:space="0" w:color="auto"/>
              <w:right w:val="single" w:sz="4" w:space="0" w:color="auto"/>
            </w:tcBorders>
          </w:tcPr>
          <w:p w14:paraId="3F89B771" w14:textId="77777777" w:rsidR="009368F5" w:rsidRPr="001362A6" w:rsidRDefault="009368F5">
            <w:pPr>
              <w:rPr>
                <w:rFonts w:ascii="Lato" w:hAnsi="Lato"/>
                <w:sz w:val="22"/>
                <w:szCs w:val="22"/>
              </w:rPr>
            </w:pPr>
          </w:p>
        </w:tc>
      </w:tr>
      <w:tr w:rsidR="009368F5" w:rsidRPr="001362A6" w14:paraId="68BEA184" w14:textId="77777777" w:rsidTr="00A34B20">
        <w:trPr>
          <w:cantSplit/>
        </w:trPr>
        <w:tc>
          <w:tcPr>
            <w:tcW w:w="1204" w:type="dxa"/>
            <w:tcBorders>
              <w:top w:val="nil"/>
              <w:left w:val="nil"/>
              <w:bottom w:val="nil"/>
              <w:right w:val="nil"/>
            </w:tcBorders>
          </w:tcPr>
          <w:p w14:paraId="79BE2A0E" w14:textId="77777777" w:rsidR="009368F5" w:rsidRPr="001362A6" w:rsidRDefault="009368F5">
            <w:pPr>
              <w:rPr>
                <w:rFonts w:ascii="Lato" w:hAnsi="Lato"/>
                <w:sz w:val="22"/>
                <w:szCs w:val="22"/>
              </w:rPr>
            </w:pPr>
          </w:p>
        </w:tc>
        <w:tc>
          <w:tcPr>
            <w:tcW w:w="8194" w:type="dxa"/>
            <w:gridSpan w:val="2"/>
            <w:tcBorders>
              <w:top w:val="nil"/>
              <w:left w:val="nil"/>
              <w:bottom w:val="nil"/>
              <w:right w:val="single" w:sz="4" w:space="0" w:color="auto"/>
            </w:tcBorders>
          </w:tcPr>
          <w:p w14:paraId="0F6060E9" w14:textId="77777777" w:rsidR="009368F5" w:rsidRPr="001362A6" w:rsidRDefault="009368F5" w:rsidP="007E3170">
            <w:pPr>
              <w:numPr>
                <w:ilvl w:val="0"/>
                <w:numId w:val="18"/>
              </w:numPr>
              <w:rPr>
                <w:rFonts w:ascii="Lato" w:hAnsi="Lato"/>
                <w:sz w:val="22"/>
                <w:szCs w:val="22"/>
              </w:rPr>
            </w:pPr>
            <w:r w:rsidRPr="001362A6">
              <w:rPr>
                <w:rFonts w:ascii="Lato" w:hAnsi="Lato"/>
                <w:sz w:val="22"/>
                <w:szCs w:val="22"/>
              </w:rPr>
              <w:t>Certified copy of the Certificate of Incorporation</w:t>
            </w:r>
          </w:p>
        </w:tc>
        <w:tc>
          <w:tcPr>
            <w:tcW w:w="1177" w:type="dxa"/>
            <w:gridSpan w:val="2"/>
            <w:tcBorders>
              <w:top w:val="single" w:sz="4" w:space="0" w:color="auto"/>
              <w:left w:val="single" w:sz="4" w:space="0" w:color="auto"/>
              <w:bottom w:val="single" w:sz="4" w:space="0" w:color="auto"/>
              <w:right w:val="single" w:sz="4" w:space="0" w:color="auto"/>
            </w:tcBorders>
          </w:tcPr>
          <w:p w14:paraId="7F728E00" w14:textId="77777777" w:rsidR="009368F5" w:rsidRPr="001362A6" w:rsidRDefault="009368F5">
            <w:pPr>
              <w:rPr>
                <w:rFonts w:ascii="Lato" w:hAnsi="Lato"/>
                <w:sz w:val="22"/>
                <w:szCs w:val="22"/>
                <w:highlight w:val="yellow"/>
              </w:rPr>
            </w:pPr>
          </w:p>
        </w:tc>
      </w:tr>
      <w:tr w:rsidR="009368F5" w:rsidRPr="001362A6" w14:paraId="02594405" w14:textId="77777777" w:rsidTr="00A34B20">
        <w:trPr>
          <w:cantSplit/>
        </w:trPr>
        <w:tc>
          <w:tcPr>
            <w:tcW w:w="1204" w:type="dxa"/>
            <w:tcBorders>
              <w:top w:val="nil"/>
              <w:left w:val="nil"/>
              <w:bottom w:val="nil"/>
              <w:right w:val="nil"/>
            </w:tcBorders>
          </w:tcPr>
          <w:p w14:paraId="7447272E" w14:textId="77777777" w:rsidR="009368F5" w:rsidRPr="001362A6" w:rsidRDefault="009368F5">
            <w:pPr>
              <w:rPr>
                <w:rFonts w:ascii="Lato" w:hAnsi="Lato"/>
                <w:sz w:val="22"/>
                <w:szCs w:val="22"/>
                <w:highlight w:val="yellow"/>
              </w:rPr>
            </w:pPr>
          </w:p>
        </w:tc>
        <w:tc>
          <w:tcPr>
            <w:tcW w:w="8194" w:type="dxa"/>
            <w:gridSpan w:val="2"/>
            <w:tcBorders>
              <w:top w:val="nil"/>
              <w:left w:val="nil"/>
              <w:bottom w:val="nil"/>
              <w:right w:val="single" w:sz="4" w:space="0" w:color="auto"/>
            </w:tcBorders>
          </w:tcPr>
          <w:p w14:paraId="68B714EE" w14:textId="77777777" w:rsidR="009368F5" w:rsidRPr="001362A6" w:rsidRDefault="009368F5" w:rsidP="0042571B">
            <w:pPr>
              <w:numPr>
                <w:ilvl w:val="0"/>
                <w:numId w:val="18"/>
              </w:numPr>
              <w:rPr>
                <w:rFonts w:ascii="Lato" w:hAnsi="Lato"/>
                <w:sz w:val="22"/>
                <w:szCs w:val="22"/>
              </w:rPr>
            </w:pPr>
            <w:r w:rsidRPr="001362A6">
              <w:rPr>
                <w:rFonts w:ascii="Lato" w:hAnsi="Lato"/>
                <w:sz w:val="22"/>
                <w:szCs w:val="22"/>
              </w:rPr>
              <w:t xml:space="preserve">Certified copy of a shareholders resolution amending the Memorandum and </w:t>
            </w:r>
          </w:p>
        </w:tc>
        <w:tc>
          <w:tcPr>
            <w:tcW w:w="1177" w:type="dxa"/>
            <w:gridSpan w:val="2"/>
            <w:tcBorders>
              <w:top w:val="single" w:sz="4" w:space="0" w:color="auto"/>
              <w:left w:val="single" w:sz="4" w:space="0" w:color="auto"/>
              <w:bottom w:val="single" w:sz="4" w:space="0" w:color="auto"/>
              <w:right w:val="single" w:sz="4" w:space="0" w:color="auto"/>
            </w:tcBorders>
          </w:tcPr>
          <w:p w14:paraId="52AAED2A" w14:textId="77777777" w:rsidR="009368F5" w:rsidRPr="001362A6" w:rsidRDefault="009368F5">
            <w:pPr>
              <w:rPr>
                <w:rFonts w:ascii="Lato" w:hAnsi="Lato"/>
                <w:sz w:val="22"/>
                <w:szCs w:val="22"/>
                <w:highlight w:val="yellow"/>
              </w:rPr>
            </w:pPr>
          </w:p>
        </w:tc>
      </w:tr>
      <w:tr w:rsidR="009368F5" w:rsidRPr="001362A6" w14:paraId="29E0FE8F" w14:textId="77777777" w:rsidTr="00A34B20">
        <w:trPr>
          <w:cantSplit/>
        </w:trPr>
        <w:tc>
          <w:tcPr>
            <w:tcW w:w="1204" w:type="dxa"/>
            <w:tcBorders>
              <w:top w:val="nil"/>
              <w:left w:val="nil"/>
              <w:bottom w:val="nil"/>
              <w:right w:val="nil"/>
            </w:tcBorders>
          </w:tcPr>
          <w:p w14:paraId="35932C8A" w14:textId="77777777" w:rsidR="009368F5" w:rsidRPr="001362A6" w:rsidRDefault="009368F5">
            <w:pPr>
              <w:rPr>
                <w:rFonts w:ascii="Lato" w:hAnsi="Lato"/>
                <w:sz w:val="22"/>
                <w:szCs w:val="22"/>
                <w:highlight w:val="yellow"/>
              </w:rPr>
            </w:pPr>
          </w:p>
        </w:tc>
        <w:tc>
          <w:tcPr>
            <w:tcW w:w="8194" w:type="dxa"/>
            <w:gridSpan w:val="2"/>
            <w:tcBorders>
              <w:top w:val="nil"/>
              <w:left w:val="nil"/>
              <w:bottom w:val="nil"/>
              <w:right w:val="nil"/>
            </w:tcBorders>
          </w:tcPr>
          <w:p w14:paraId="6A2070DD" w14:textId="77777777" w:rsidR="009368F5" w:rsidRPr="001362A6" w:rsidRDefault="0042571B" w:rsidP="00A34B20">
            <w:pPr>
              <w:rPr>
                <w:rFonts w:ascii="Lato" w:hAnsi="Lato"/>
                <w:sz w:val="22"/>
                <w:szCs w:val="22"/>
              </w:rPr>
            </w:pPr>
            <w:r w:rsidRPr="001362A6">
              <w:rPr>
                <w:rFonts w:ascii="Lato" w:hAnsi="Lato"/>
                <w:sz w:val="22"/>
                <w:szCs w:val="22"/>
              </w:rPr>
              <w:t xml:space="preserve">Articles of </w:t>
            </w:r>
            <w:r w:rsidR="009368F5" w:rsidRPr="001362A6">
              <w:rPr>
                <w:rFonts w:ascii="Lato" w:hAnsi="Lato"/>
                <w:sz w:val="22"/>
                <w:szCs w:val="22"/>
              </w:rPr>
              <w:t>Association (if applicable)</w:t>
            </w:r>
            <w:r w:rsidR="000F09CA" w:rsidRPr="001362A6">
              <w:rPr>
                <w:rFonts w:ascii="Lato" w:hAnsi="Lato"/>
                <w:sz w:val="22"/>
                <w:szCs w:val="22"/>
              </w:rPr>
              <w:t xml:space="preserve"> </w:t>
            </w:r>
          </w:p>
        </w:tc>
        <w:tc>
          <w:tcPr>
            <w:tcW w:w="1177" w:type="dxa"/>
            <w:gridSpan w:val="2"/>
            <w:tcBorders>
              <w:top w:val="single" w:sz="4" w:space="0" w:color="auto"/>
              <w:left w:val="nil"/>
              <w:bottom w:val="single" w:sz="4" w:space="0" w:color="auto"/>
              <w:right w:val="nil"/>
            </w:tcBorders>
          </w:tcPr>
          <w:p w14:paraId="7996D11B" w14:textId="77777777" w:rsidR="009368F5" w:rsidRPr="001362A6" w:rsidRDefault="009368F5">
            <w:pPr>
              <w:rPr>
                <w:rFonts w:ascii="Lato" w:hAnsi="Lato"/>
                <w:sz w:val="22"/>
                <w:szCs w:val="22"/>
              </w:rPr>
            </w:pPr>
          </w:p>
        </w:tc>
      </w:tr>
      <w:tr w:rsidR="009368F5" w:rsidRPr="001362A6" w14:paraId="2CDA60A8" w14:textId="77777777" w:rsidTr="0042571B">
        <w:trPr>
          <w:cantSplit/>
        </w:trPr>
        <w:tc>
          <w:tcPr>
            <w:tcW w:w="1204" w:type="dxa"/>
            <w:tcBorders>
              <w:top w:val="nil"/>
              <w:left w:val="nil"/>
              <w:bottom w:val="nil"/>
              <w:right w:val="nil"/>
            </w:tcBorders>
          </w:tcPr>
          <w:p w14:paraId="37927044" w14:textId="77777777" w:rsidR="009368F5" w:rsidRPr="001362A6" w:rsidRDefault="009368F5">
            <w:pPr>
              <w:rPr>
                <w:rFonts w:ascii="Lato" w:hAnsi="Lato"/>
                <w:sz w:val="22"/>
                <w:szCs w:val="22"/>
              </w:rPr>
            </w:pPr>
          </w:p>
        </w:tc>
        <w:tc>
          <w:tcPr>
            <w:tcW w:w="8194" w:type="dxa"/>
            <w:gridSpan w:val="2"/>
            <w:tcBorders>
              <w:top w:val="nil"/>
              <w:left w:val="nil"/>
              <w:bottom w:val="nil"/>
              <w:right w:val="single" w:sz="4" w:space="0" w:color="auto"/>
            </w:tcBorders>
          </w:tcPr>
          <w:p w14:paraId="07E9C303" w14:textId="77777777" w:rsidR="009368F5" w:rsidRPr="001362A6" w:rsidRDefault="00655286" w:rsidP="00D95E9D">
            <w:pPr>
              <w:numPr>
                <w:ilvl w:val="0"/>
                <w:numId w:val="19"/>
              </w:numPr>
              <w:rPr>
                <w:rFonts w:ascii="Lato" w:hAnsi="Lato"/>
                <w:sz w:val="22"/>
                <w:szCs w:val="22"/>
              </w:rPr>
            </w:pPr>
            <w:r w:rsidRPr="001362A6">
              <w:rPr>
                <w:rFonts w:ascii="Lato" w:hAnsi="Lato"/>
                <w:sz w:val="22"/>
                <w:szCs w:val="22"/>
              </w:rPr>
              <w:t>The A</w:t>
            </w:r>
            <w:r w:rsidR="009368F5" w:rsidRPr="001362A6">
              <w:rPr>
                <w:rFonts w:ascii="Lato" w:hAnsi="Lato"/>
                <w:sz w:val="22"/>
                <w:szCs w:val="22"/>
              </w:rPr>
              <w:t>greement between the company and the depositary</w:t>
            </w:r>
            <w:r w:rsidR="000F09CA" w:rsidRPr="001362A6">
              <w:rPr>
                <w:rFonts w:ascii="Lato" w:hAnsi="Lato"/>
                <w:sz w:val="22"/>
                <w:szCs w:val="22"/>
              </w:rPr>
              <w:t xml:space="preserve"> </w:t>
            </w:r>
            <w:r w:rsidRPr="001362A6">
              <w:rPr>
                <w:rFonts w:ascii="Lato" w:hAnsi="Lato"/>
                <w:sz w:val="22"/>
                <w:szCs w:val="22"/>
              </w:rPr>
              <w:t xml:space="preserve">(original </w:t>
            </w:r>
          </w:p>
        </w:tc>
        <w:tc>
          <w:tcPr>
            <w:tcW w:w="1177" w:type="dxa"/>
            <w:gridSpan w:val="2"/>
            <w:tcBorders>
              <w:top w:val="single" w:sz="4" w:space="0" w:color="auto"/>
              <w:left w:val="single" w:sz="4" w:space="0" w:color="auto"/>
              <w:bottom w:val="single" w:sz="4" w:space="0" w:color="auto"/>
              <w:right w:val="single" w:sz="4" w:space="0" w:color="auto"/>
            </w:tcBorders>
          </w:tcPr>
          <w:p w14:paraId="2DEB098E" w14:textId="77777777" w:rsidR="009368F5" w:rsidRPr="001362A6" w:rsidRDefault="009368F5">
            <w:pPr>
              <w:rPr>
                <w:rFonts w:ascii="Lato" w:hAnsi="Lato"/>
                <w:sz w:val="22"/>
                <w:szCs w:val="22"/>
              </w:rPr>
            </w:pPr>
          </w:p>
        </w:tc>
      </w:tr>
      <w:tr w:rsidR="009368F5" w:rsidRPr="001362A6" w14:paraId="5B970146" w14:textId="77777777" w:rsidTr="0042571B">
        <w:trPr>
          <w:cantSplit/>
        </w:trPr>
        <w:tc>
          <w:tcPr>
            <w:tcW w:w="1204" w:type="dxa"/>
            <w:tcBorders>
              <w:top w:val="nil"/>
              <w:left w:val="nil"/>
              <w:bottom w:val="nil"/>
              <w:right w:val="nil"/>
            </w:tcBorders>
          </w:tcPr>
          <w:p w14:paraId="50BADF3A" w14:textId="77777777" w:rsidR="009368F5" w:rsidRPr="001362A6" w:rsidRDefault="009368F5">
            <w:pPr>
              <w:rPr>
                <w:rFonts w:ascii="Lato" w:hAnsi="Lato"/>
                <w:sz w:val="22"/>
                <w:szCs w:val="22"/>
              </w:rPr>
            </w:pPr>
          </w:p>
        </w:tc>
        <w:tc>
          <w:tcPr>
            <w:tcW w:w="8194" w:type="dxa"/>
            <w:gridSpan w:val="2"/>
            <w:tcBorders>
              <w:top w:val="nil"/>
              <w:left w:val="nil"/>
              <w:bottom w:val="nil"/>
              <w:right w:val="nil"/>
            </w:tcBorders>
          </w:tcPr>
          <w:p w14:paraId="2C1297E0" w14:textId="77777777" w:rsidR="009368F5" w:rsidRPr="001362A6" w:rsidRDefault="005B3769">
            <w:pPr>
              <w:rPr>
                <w:rFonts w:ascii="Lato" w:hAnsi="Lato"/>
                <w:sz w:val="22"/>
                <w:szCs w:val="22"/>
              </w:rPr>
            </w:pPr>
            <w:r w:rsidRPr="00590C6D">
              <w:rPr>
                <w:rFonts w:ascii="Lato" w:hAnsi="Lato"/>
                <w:sz w:val="22"/>
                <w:szCs w:val="22"/>
              </w:rPr>
              <w:t xml:space="preserve">signatures </w:t>
            </w:r>
            <w:r w:rsidR="0042571B" w:rsidRPr="001362A6">
              <w:rPr>
                <w:rFonts w:ascii="Lato" w:hAnsi="Lato"/>
                <w:sz w:val="22"/>
                <w:szCs w:val="22"/>
              </w:rPr>
              <w:t>required)</w:t>
            </w:r>
          </w:p>
        </w:tc>
        <w:tc>
          <w:tcPr>
            <w:tcW w:w="1177" w:type="dxa"/>
            <w:gridSpan w:val="2"/>
            <w:tcBorders>
              <w:top w:val="single" w:sz="4" w:space="0" w:color="auto"/>
              <w:left w:val="nil"/>
              <w:bottom w:val="nil"/>
              <w:right w:val="nil"/>
            </w:tcBorders>
          </w:tcPr>
          <w:p w14:paraId="6059441D" w14:textId="77777777" w:rsidR="009368F5" w:rsidRPr="001362A6" w:rsidRDefault="009368F5">
            <w:pPr>
              <w:rPr>
                <w:rFonts w:ascii="Lato" w:hAnsi="Lato"/>
                <w:sz w:val="22"/>
                <w:szCs w:val="22"/>
              </w:rPr>
            </w:pPr>
          </w:p>
        </w:tc>
      </w:tr>
      <w:tr w:rsidR="0042571B" w:rsidRPr="001362A6" w14:paraId="64C5088A" w14:textId="77777777" w:rsidTr="0042571B">
        <w:trPr>
          <w:cantSplit/>
        </w:trPr>
        <w:tc>
          <w:tcPr>
            <w:tcW w:w="1204" w:type="dxa"/>
            <w:tcBorders>
              <w:top w:val="nil"/>
              <w:left w:val="nil"/>
              <w:bottom w:val="nil"/>
              <w:right w:val="nil"/>
            </w:tcBorders>
          </w:tcPr>
          <w:p w14:paraId="4B18B41E" w14:textId="77777777" w:rsidR="0042571B" w:rsidRPr="001362A6" w:rsidRDefault="0042571B">
            <w:pPr>
              <w:rPr>
                <w:rFonts w:ascii="Lato" w:hAnsi="Lato"/>
                <w:sz w:val="22"/>
                <w:szCs w:val="22"/>
              </w:rPr>
            </w:pPr>
          </w:p>
        </w:tc>
        <w:tc>
          <w:tcPr>
            <w:tcW w:w="8194" w:type="dxa"/>
            <w:gridSpan w:val="2"/>
            <w:tcBorders>
              <w:top w:val="nil"/>
              <w:left w:val="nil"/>
              <w:bottom w:val="nil"/>
              <w:right w:val="nil"/>
            </w:tcBorders>
          </w:tcPr>
          <w:p w14:paraId="0DC2CD00" w14:textId="77777777" w:rsidR="0042571B" w:rsidRPr="001362A6" w:rsidRDefault="0042571B">
            <w:pPr>
              <w:rPr>
                <w:rFonts w:ascii="Lato" w:hAnsi="Lato"/>
                <w:sz w:val="22"/>
                <w:szCs w:val="22"/>
              </w:rPr>
            </w:pPr>
          </w:p>
        </w:tc>
        <w:tc>
          <w:tcPr>
            <w:tcW w:w="1177" w:type="dxa"/>
            <w:gridSpan w:val="2"/>
            <w:tcBorders>
              <w:top w:val="nil"/>
              <w:left w:val="nil"/>
              <w:bottom w:val="nil"/>
              <w:right w:val="nil"/>
            </w:tcBorders>
          </w:tcPr>
          <w:p w14:paraId="053F3446" w14:textId="77777777" w:rsidR="0042571B" w:rsidRPr="001362A6" w:rsidRDefault="0042571B">
            <w:pPr>
              <w:rPr>
                <w:rFonts w:ascii="Lato" w:hAnsi="Lato"/>
                <w:sz w:val="22"/>
                <w:szCs w:val="22"/>
              </w:rPr>
            </w:pPr>
          </w:p>
        </w:tc>
      </w:tr>
      <w:tr w:rsidR="00D144C7" w:rsidRPr="001362A6" w14:paraId="3BF8E839" w14:textId="77777777" w:rsidTr="00521989">
        <w:trPr>
          <w:cantSplit/>
        </w:trPr>
        <w:tc>
          <w:tcPr>
            <w:tcW w:w="1204" w:type="dxa"/>
            <w:tcBorders>
              <w:top w:val="nil"/>
              <w:left w:val="nil"/>
              <w:bottom w:val="nil"/>
              <w:right w:val="nil"/>
            </w:tcBorders>
          </w:tcPr>
          <w:p w14:paraId="75E58F4A" w14:textId="77777777" w:rsidR="00D144C7" w:rsidRPr="001362A6" w:rsidRDefault="00D144C7">
            <w:pPr>
              <w:rPr>
                <w:rFonts w:ascii="Lato" w:hAnsi="Lato"/>
                <w:sz w:val="22"/>
                <w:szCs w:val="22"/>
              </w:rPr>
            </w:pPr>
          </w:p>
        </w:tc>
        <w:tc>
          <w:tcPr>
            <w:tcW w:w="8194" w:type="dxa"/>
            <w:gridSpan w:val="2"/>
            <w:tcBorders>
              <w:top w:val="nil"/>
              <w:left w:val="nil"/>
              <w:bottom w:val="nil"/>
              <w:right w:val="nil"/>
            </w:tcBorders>
          </w:tcPr>
          <w:p w14:paraId="02B6FF13" w14:textId="77777777" w:rsidR="00D144C7" w:rsidRPr="001362A6" w:rsidRDefault="00D144C7">
            <w:pPr>
              <w:rPr>
                <w:rFonts w:ascii="Lato" w:hAnsi="Lato"/>
                <w:b/>
                <w:sz w:val="22"/>
                <w:szCs w:val="22"/>
                <w:u w:val="single"/>
              </w:rPr>
            </w:pPr>
            <w:r w:rsidRPr="001362A6">
              <w:rPr>
                <w:rFonts w:ascii="Lato" w:hAnsi="Lato"/>
                <w:b/>
                <w:sz w:val="22"/>
                <w:szCs w:val="22"/>
                <w:u w:val="single"/>
              </w:rPr>
              <w:t>ICAV</w:t>
            </w:r>
          </w:p>
        </w:tc>
        <w:tc>
          <w:tcPr>
            <w:tcW w:w="1177" w:type="dxa"/>
            <w:gridSpan w:val="2"/>
            <w:tcBorders>
              <w:top w:val="nil"/>
              <w:left w:val="nil"/>
              <w:bottom w:val="single" w:sz="4" w:space="0" w:color="auto"/>
              <w:right w:val="nil"/>
            </w:tcBorders>
          </w:tcPr>
          <w:p w14:paraId="416432AD" w14:textId="77777777" w:rsidR="00D144C7" w:rsidRPr="001362A6" w:rsidRDefault="00D144C7">
            <w:pPr>
              <w:rPr>
                <w:rFonts w:ascii="Lato" w:hAnsi="Lato"/>
                <w:sz w:val="22"/>
                <w:szCs w:val="22"/>
              </w:rPr>
            </w:pPr>
          </w:p>
        </w:tc>
      </w:tr>
      <w:tr w:rsidR="00D144C7" w:rsidRPr="001362A6" w14:paraId="34ECBBF0" w14:textId="77777777" w:rsidTr="00521989">
        <w:trPr>
          <w:cantSplit/>
        </w:trPr>
        <w:tc>
          <w:tcPr>
            <w:tcW w:w="1204" w:type="dxa"/>
            <w:tcBorders>
              <w:top w:val="nil"/>
              <w:left w:val="nil"/>
              <w:bottom w:val="nil"/>
              <w:right w:val="nil"/>
            </w:tcBorders>
          </w:tcPr>
          <w:p w14:paraId="56F1A73A" w14:textId="77777777" w:rsidR="00D144C7" w:rsidRPr="001362A6" w:rsidRDefault="00D144C7">
            <w:pPr>
              <w:rPr>
                <w:rFonts w:ascii="Lato" w:hAnsi="Lato"/>
                <w:sz w:val="22"/>
                <w:szCs w:val="22"/>
              </w:rPr>
            </w:pPr>
          </w:p>
        </w:tc>
        <w:tc>
          <w:tcPr>
            <w:tcW w:w="8194" w:type="dxa"/>
            <w:gridSpan w:val="2"/>
            <w:tcBorders>
              <w:top w:val="nil"/>
              <w:left w:val="nil"/>
              <w:bottom w:val="nil"/>
              <w:right w:val="single" w:sz="4" w:space="0" w:color="auto"/>
            </w:tcBorders>
          </w:tcPr>
          <w:p w14:paraId="0FA931B7" w14:textId="77777777" w:rsidR="00D144C7" w:rsidRPr="001362A6" w:rsidRDefault="00D144C7" w:rsidP="00521989">
            <w:pPr>
              <w:numPr>
                <w:ilvl w:val="0"/>
                <w:numId w:val="19"/>
              </w:numPr>
              <w:rPr>
                <w:rFonts w:ascii="Lato" w:hAnsi="Lato"/>
                <w:sz w:val="22"/>
                <w:szCs w:val="22"/>
              </w:rPr>
            </w:pPr>
            <w:r w:rsidRPr="001362A6">
              <w:rPr>
                <w:rFonts w:ascii="Lato" w:hAnsi="Lato"/>
                <w:sz w:val="22"/>
                <w:szCs w:val="22"/>
              </w:rPr>
              <w:t>Certified Copy of the Instrument of Incorporation</w:t>
            </w:r>
          </w:p>
        </w:tc>
        <w:tc>
          <w:tcPr>
            <w:tcW w:w="1177" w:type="dxa"/>
            <w:gridSpan w:val="2"/>
            <w:tcBorders>
              <w:top w:val="single" w:sz="4" w:space="0" w:color="auto"/>
              <w:left w:val="single" w:sz="4" w:space="0" w:color="auto"/>
              <w:bottom w:val="single" w:sz="4" w:space="0" w:color="auto"/>
              <w:right w:val="single" w:sz="4" w:space="0" w:color="auto"/>
            </w:tcBorders>
          </w:tcPr>
          <w:p w14:paraId="68E5048E" w14:textId="77777777" w:rsidR="00D144C7" w:rsidRPr="001362A6" w:rsidRDefault="00D144C7">
            <w:pPr>
              <w:rPr>
                <w:rFonts w:ascii="Lato" w:hAnsi="Lato"/>
                <w:sz w:val="22"/>
                <w:szCs w:val="22"/>
              </w:rPr>
            </w:pPr>
          </w:p>
        </w:tc>
      </w:tr>
      <w:tr w:rsidR="00D144C7" w:rsidRPr="001362A6" w14:paraId="70AC7338" w14:textId="77777777" w:rsidTr="00521989">
        <w:trPr>
          <w:cantSplit/>
        </w:trPr>
        <w:tc>
          <w:tcPr>
            <w:tcW w:w="1204" w:type="dxa"/>
            <w:tcBorders>
              <w:top w:val="nil"/>
              <w:left w:val="nil"/>
              <w:bottom w:val="nil"/>
              <w:right w:val="nil"/>
            </w:tcBorders>
          </w:tcPr>
          <w:p w14:paraId="78F2C5CB" w14:textId="77777777" w:rsidR="00D144C7" w:rsidRPr="001362A6" w:rsidRDefault="00D144C7">
            <w:pPr>
              <w:rPr>
                <w:rFonts w:ascii="Lato" w:hAnsi="Lato"/>
                <w:sz w:val="22"/>
                <w:szCs w:val="22"/>
              </w:rPr>
            </w:pPr>
          </w:p>
        </w:tc>
        <w:tc>
          <w:tcPr>
            <w:tcW w:w="8194" w:type="dxa"/>
            <w:gridSpan w:val="2"/>
            <w:tcBorders>
              <w:top w:val="nil"/>
              <w:left w:val="nil"/>
              <w:bottom w:val="nil"/>
              <w:right w:val="single" w:sz="4" w:space="0" w:color="auto"/>
            </w:tcBorders>
          </w:tcPr>
          <w:p w14:paraId="149AF442" w14:textId="77777777" w:rsidR="00D144C7" w:rsidRPr="001362A6" w:rsidRDefault="00D144C7" w:rsidP="00D95E9D">
            <w:pPr>
              <w:numPr>
                <w:ilvl w:val="0"/>
                <w:numId w:val="19"/>
              </w:numPr>
              <w:rPr>
                <w:rFonts w:ascii="Lato" w:hAnsi="Lato"/>
                <w:sz w:val="22"/>
                <w:szCs w:val="22"/>
              </w:rPr>
            </w:pPr>
            <w:r w:rsidRPr="001362A6">
              <w:rPr>
                <w:rFonts w:ascii="Lato" w:hAnsi="Lato"/>
                <w:sz w:val="22"/>
                <w:szCs w:val="22"/>
              </w:rPr>
              <w:t xml:space="preserve">Confirmation that a registration order has been made by the Central Bank </w:t>
            </w:r>
          </w:p>
        </w:tc>
        <w:tc>
          <w:tcPr>
            <w:tcW w:w="1177" w:type="dxa"/>
            <w:gridSpan w:val="2"/>
            <w:tcBorders>
              <w:top w:val="single" w:sz="4" w:space="0" w:color="auto"/>
              <w:left w:val="single" w:sz="4" w:space="0" w:color="auto"/>
              <w:bottom w:val="single" w:sz="4" w:space="0" w:color="auto"/>
              <w:right w:val="single" w:sz="4" w:space="0" w:color="auto"/>
            </w:tcBorders>
          </w:tcPr>
          <w:p w14:paraId="17995707" w14:textId="77777777" w:rsidR="00D144C7" w:rsidRPr="001362A6" w:rsidRDefault="00D144C7">
            <w:pPr>
              <w:rPr>
                <w:rFonts w:ascii="Lato" w:hAnsi="Lato"/>
                <w:sz w:val="22"/>
                <w:szCs w:val="22"/>
              </w:rPr>
            </w:pPr>
          </w:p>
        </w:tc>
      </w:tr>
      <w:tr w:rsidR="00D144C7" w:rsidRPr="001362A6" w14:paraId="1BFFC6DC" w14:textId="77777777" w:rsidTr="00521989">
        <w:trPr>
          <w:cantSplit/>
        </w:trPr>
        <w:tc>
          <w:tcPr>
            <w:tcW w:w="1204" w:type="dxa"/>
            <w:tcBorders>
              <w:top w:val="nil"/>
              <w:left w:val="nil"/>
              <w:bottom w:val="nil"/>
              <w:right w:val="nil"/>
            </w:tcBorders>
          </w:tcPr>
          <w:p w14:paraId="22CD16B8" w14:textId="77777777" w:rsidR="00D144C7" w:rsidRPr="001362A6" w:rsidRDefault="00D144C7">
            <w:pPr>
              <w:rPr>
                <w:rFonts w:ascii="Lato" w:hAnsi="Lato"/>
                <w:sz w:val="22"/>
                <w:szCs w:val="22"/>
              </w:rPr>
            </w:pPr>
          </w:p>
        </w:tc>
        <w:tc>
          <w:tcPr>
            <w:tcW w:w="8194" w:type="dxa"/>
            <w:gridSpan w:val="2"/>
            <w:tcBorders>
              <w:top w:val="nil"/>
              <w:left w:val="nil"/>
              <w:bottom w:val="nil"/>
              <w:right w:val="nil"/>
            </w:tcBorders>
          </w:tcPr>
          <w:p w14:paraId="30ED4F8F" w14:textId="77777777" w:rsidR="00D144C7" w:rsidRPr="001362A6" w:rsidRDefault="005B3769" w:rsidP="00521989">
            <w:pPr>
              <w:rPr>
                <w:rFonts w:ascii="Lato" w:hAnsi="Lato"/>
                <w:sz w:val="22"/>
                <w:szCs w:val="22"/>
              </w:rPr>
            </w:pPr>
            <w:r w:rsidRPr="00590C6D">
              <w:rPr>
                <w:rFonts w:ascii="Lato" w:hAnsi="Lato"/>
                <w:sz w:val="22"/>
                <w:szCs w:val="22"/>
              </w:rPr>
              <w:t xml:space="preserve">in </w:t>
            </w:r>
            <w:r w:rsidR="00D144C7" w:rsidRPr="001362A6">
              <w:rPr>
                <w:rFonts w:ascii="Lato" w:hAnsi="Lato"/>
                <w:sz w:val="22"/>
                <w:szCs w:val="22"/>
              </w:rPr>
              <w:t>respect</w:t>
            </w:r>
            <w:r>
              <w:rPr>
                <w:rFonts w:ascii="Lato" w:hAnsi="Lato"/>
                <w:sz w:val="22"/>
                <w:szCs w:val="22"/>
              </w:rPr>
              <w:t xml:space="preserve"> </w:t>
            </w:r>
            <w:r w:rsidR="00D144C7" w:rsidRPr="001362A6">
              <w:rPr>
                <w:rFonts w:ascii="Lato" w:hAnsi="Lato"/>
                <w:sz w:val="22"/>
                <w:szCs w:val="22"/>
              </w:rPr>
              <w:t>of the ICAV</w:t>
            </w:r>
          </w:p>
        </w:tc>
        <w:tc>
          <w:tcPr>
            <w:tcW w:w="1177" w:type="dxa"/>
            <w:gridSpan w:val="2"/>
            <w:tcBorders>
              <w:top w:val="single" w:sz="4" w:space="0" w:color="auto"/>
              <w:left w:val="nil"/>
              <w:bottom w:val="single" w:sz="4" w:space="0" w:color="auto"/>
              <w:right w:val="nil"/>
            </w:tcBorders>
          </w:tcPr>
          <w:p w14:paraId="1B11FC11" w14:textId="77777777" w:rsidR="00D144C7" w:rsidRPr="001362A6" w:rsidRDefault="00D144C7">
            <w:pPr>
              <w:rPr>
                <w:rFonts w:ascii="Lato" w:hAnsi="Lato"/>
                <w:sz w:val="22"/>
                <w:szCs w:val="22"/>
              </w:rPr>
            </w:pPr>
          </w:p>
        </w:tc>
      </w:tr>
      <w:tr w:rsidR="00D144C7" w:rsidRPr="001362A6" w14:paraId="2F43EB6C" w14:textId="77777777" w:rsidTr="00521989">
        <w:trPr>
          <w:cantSplit/>
        </w:trPr>
        <w:tc>
          <w:tcPr>
            <w:tcW w:w="1204" w:type="dxa"/>
            <w:tcBorders>
              <w:top w:val="nil"/>
              <w:left w:val="nil"/>
              <w:bottom w:val="nil"/>
              <w:right w:val="nil"/>
            </w:tcBorders>
          </w:tcPr>
          <w:p w14:paraId="3E7C9F9E" w14:textId="77777777" w:rsidR="00D144C7" w:rsidRPr="001362A6" w:rsidRDefault="00D144C7">
            <w:pPr>
              <w:rPr>
                <w:rFonts w:ascii="Lato" w:hAnsi="Lato"/>
                <w:sz w:val="22"/>
                <w:szCs w:val="22"/>
              </w:rPr>
            </w:pPr>
          </w:p>
        </w:tc>
        <w:tc>
          <w:tcPr>
            <w:tcW w:w="8194" w:type="dxa"/>
            <w:gridSpan w:val="2"/>
            <w:tcBorders>
              <w:top w:val="nil"/>
              <w:left w:val="nil"/>
              <w:bottom w:val="nil"/>
              <w:right w:val="single" w:sz="4" w:space="0" w:color="auto"/>
            </w:tcBorders>
          </w:tcPr>
          <w:p w14:paraId="4E0444FE" w14:textId="77777777" w:rsidR="00D144C7" w:rsidRPr="001362A6" w:rsidRDefault="00D144C7" w:rsidP="00521989">
            <w:pPr>
              <w:numPr>
                <w:ilvl w:val="0"/>
                <w:numId w:val="38"/>
              </w:numPr>
              <w:rPr>
                <w:rFonts w:ascii="Lato" w:hAnsi="Lato"/>
                <w:sz w:val="22"/>
                <w:szCs w:val="22"/>
              </w:rPr>
            </w:pPr>
            <w:r w:rsidRPr="001362A6">
              <w:rPr>
                <w:rFonts w:ascii="Lato" w:hAnsi="Lato"/>
                <w:sz w:val="22"/>
                <w:szCs w:val="22"/>
              </w:rPr>
              <w:t xml:space="preserve">The agreement between the ICAV and the Depositary (original signatures </w:t>
            </w:r>
          </w:p>
        </w:tc>
        <w:tc>
          <w:tcPr>
            <w:tcW w:w="1177" w:type="dxa"/>
            <w:gridSpan w:val="2"/>
            <w:tcBorders>
              <w:top w:val="single" w:sz="4" w:space="0" w:color="auto"/>
              <w:left w:val="single" w:sz="4" w:space="0" w:color="auto"/>
              <w:bottom w:val="single" w:sz="4" w:space="0" w:color="auto"/>
              <w:right w:val="single" w:sz="4" w:space="0" w:color="auto"/>
            </w:tcBorders>
          </w:tcPr>
          <w:p w14:paraId="14D7A0E3" w14:textId="77777777" w:rsidR="00D144C7" w:rsidRPr="001362A6" w:rsidRDefault="00D144C7">
            <w:pPr>
              <w:rPr>
                <w:rFonts w:ascii="Lato" w:hAnsi="Lato"/>
                <w:sz w:val="22"/>
                <w:szCs w:val="22"/>
              </w:rPr>
            </w:pPr>
          </w:p>
        </w:tc>
      </w:tr>
      <w:tr w:rsidR="00D144C7" w:rsidRPr="001362A6" w14:paraId="4C944D64" w14:textId="77777777" w:rsidTr="00521989">
        <w:trPr>
          <w:cantSplit/>
        </w:trPr>
        <w:tc>
          <w:tcPr>
            <w:tcW w:w="1204" w:type="dxa"/>
            <w:tcBorders>
              <w:top w:val="nil"/>
              <w:left w:val="nil"/>
              <w:bottom w:val="nil"/>
              <w:right w:val="nil"/>
            </w:tcBorders>
          </w:tcPr>
          <w:p w14:paraId="5BAB6899" w14:textId="77777777" w:rsidR="00D144C7" w:rsidRPr="001362A6" w:rsidRDefault="00D144C7">
            <w:pPr>
              <w:rPr>
                <w:rFonts w:ascii="Lato" w:hAnsi="Lato"/>
                <w:sz w:val="22"/>
                <w:szCs w:val="22"/>
              </w:rPr>
            </w:pPr>
          </w:p>
        </w:tc>
        <w:tc>
          <w:tcPr>
            <w:tcW w:w="8194" w:type="dxa"/>
            <w:gridSpan w:val="2"/>
            <w:tcBorders>
              <w:top w:val="nil"/>
              <w:left w:val="nil"/>
              <w:bottom w:val="nil"/>
              <w:right w:val="nil"/>
            </w:tcBorders>
          </w:tcPr>
          <w:p w14:paraId="59D891AB" w14:textId="77777777" w:rsidR="00D144C7" w:rsidRPr="001362A6" w:rsidRDefault="00D144C7" w:rsidP="00521989">
            <w:pPr>
              <w:rPr>
                <w:rFonts w:ascii="Lato" w:hAnsi="Lato"/>
                <w:sz w:val="22"/>
                <w:szCs w:val="22"/>
              </w:rPr>
            </w:pPr>
            <w:r w:rsidRPr="001362A6">
              <w:rPr>
                <w:rFonts w:ascii="Lato" w:hAnsi="Lato"/>
                <w:sz w:val="22"/>
                <w:szCs w:val="22"/>
              </w:rPr>
              <w:t>required)</w:t>
            </w:r>
          </w:p>
        </w:tc>
        <w:tc>
          <w:tcPr>
            <w:tcW w:w="1177" w:type="dxa"/>
            <w:gridSpan w:val="2"/>
            <w:tcBorders>
              <w:top w:val="single" w:sz="4" w:space="0" w:color="auto"/>
              <w:left w:val="nil"/>
              <w:bottom w:val="nil"/>
              <w:right w:val="nil"/>
            </w:tcBorders>
          </w:tcPr>
          <w:p w14:paraId="64593006" w14:textId="77777777" w:rsidR="00D144C7" w:rsidRPr="001362A6" w:rsidRDefault="00D144C7">
            <w:pPr>
              <w:rPr>
                <w:rFonts w:ascii="Lato" w:hAnsi="Lato"/>
                <w:sz w:val="22"/>
                <w:szCs w:val="22"/>
              </w:rPr>
            </w:pPr>
          </w:p>
        </w:tc>
      </w:tr>
      <w:tr w:rsidR="00D144C7" w:rsidRPr="001362A6" w14:paraId="660E2E4B" w14:textId="77777777" w:rsidTr="0042571B">
        <w:trPr>
          <w:cantSplit/>
        </w:trPr>
        <w:tc>
          <w:tcPr>
            <w:tcW w:w="1204" w:type="dxa"/>
            <w:tcBorders>
              <w:top w:val="nil"/>
              <w:left w:val="nil"/>
              <w:bottom w:val="nil"/>
              <w:right w:val="nil"/>
            </w:tcBorders>
          </w:tcPr>
          <w:p w14:paraId="7069CECA" w14:textId="77777777" w:rsidR="00D144C7" w:rsidRPr="001362A6" w:rsidRDefault="00D144C7">
            <w:pPr>
              <w:rPr>
                <w:rFonts w:ascii="Lato" w:hAnsi="Lato"/>
                <w:sz w:val="22"/>
                <w:szCs w:val="22"/>
              </w:rPr>
            </w:pPr>
          </w:p>
        </w:tc>
        <w:tc>
          <w:tcPr>
            <w:tcW w:w="8194" w:type="dxa"/>
            <w:gridSpan w:val="2"/>
            <w:tcBorders>
              <w:top w:val="nil"/>
              <w:left w:val="nil"/>
              <w:bottom w:val="nil"/>
              <w:right w:val="nil"/>
            </w:tcBorders>
          </w:tcPr>
          <w:p w14:paraId="262F16F1" w14:textId="77777777" w:rsidR="00D144C7" w:rsidRPr="001362A6" w:rsidRDefault="00D144C7">
            <w:pPr>
              <w:rPr>
                <w:rFonts w:ascii="Lato" w:hAnsi="Lato"/>
                <w:sz w:val="22"/>
                <w:szCs w:val="22"/>
              </w:rPr>
            </w:pPr>
          </w:p>
        </w:tc>
        <w:tc>
          <w:tcPr>
            <w:tcW w:w="1177" w:type="dxa"/>
            <w:gridSpan w:val="2"/>
            <w:tcBorders>
              <w:top w:val="nil"/>
              <w:left w:val="nil"/>
              <w:bottom w:val="nil"/>
              <w:right w:val="nil"/>
            </w:tcBorders>
          </w:tcPr>
          <w:p w14:paraId="778FE341" w14:textId="77777777" w:rsidR="00D144C7" w:rsidRPr="001362A6" w:rsidRDefault="00D144C7">
            <w:pPr>
              <w:rPr>
                <w:rFonts w:ascii="Lato" w:hAnsi="Lato"/>
                <w:sz w:val="22"/>
                <w:szCs w:val="22"/>
              </w:rPr>
            </w:pPr>
          </w:p>
        </w:tc>
      </w:tr>
      <w:tr w:rsidR="009368F5" w:rsidRPr="001362A6" w14:paraId="0324534E" w14:textId="77777777" w:rsidTr="00A34B20">
        <w:trPr>
          <w:cantSplit/>
        </w:trPr>
        <w:tc>
          <w:tcPr>
            <w:tcW w:w="1204" w:type="dxa"/>
            <w:tcBorders>
              <w:top w:val="nil"/>
              <w:left w:val="nil"/>
              <w:bottom w:val="nil"/>
              <w:right w:val="nil"/>
            </w:tcBorders>
          </w:tcPr>
          <w:p w14:paraId="4912F2D9" w14:textId="77777777" w:rsidR="009368F5" w:rsidRPr="001362A6" w:rsidRDefault="009368F5">
            <w:pPr>
              <w:rPr>
                <w:rFonts w:ascii="Lato" w:hAnsi="Lato"/>
                <w:sz w:val="22"/>
                <w:szCs w:val="22"/>
              </w:rPr>
            </w:pPr>
          </w:p>
        </w:tc>
        <w:tc>
          <w:tcPr>
            <w:tcW w:w="8194" w:type="dxa"/>
            <w:gridSpan w:val="2"/>
            <w:tcBorders>
              <w:top w:val="nil"/>
              <w:left w:val="nil"/>
              <w:bottom w:val="nil"/>
              <w:right w:val="nil"/>
            </w:tcBorders>
          </w:tcPr>
          <w:p w14:paraId="76FB557B" w14:textId="77777777" w:rsidR="009368F5" w:rsidRPr="001362A6" w:rsidRDefault="009368F5">
            <w:pPr>
              <w:rPr>
                <w:rFonts w:ascii="Lato" w:hAnsi="Lato"/>
                <w:b/>
                <w:sz w:val="22"/>
                <w:szCs w:val="22"/>
                <w:u w:val="single"/>
              </w:rPr>
            </w:pPr>
            <w:r w:rsidRPr="001362A6">
              <w:rPr>
                <w:rFonts w:ascii="Lato" w:hAnsi="Lato"/>
                <w:b/>
                <w:sz w:val="22"/>
                <w:szCs w:val="22"/>
                <w:u w:val="single"/>
              </w:rPr>
              <w:t>Unit Trust</w:t>
            </w:r>
          </w:p>
        </w:tc>
        <w:tc>
          <w:tcPr>
            <w:tcW w:w="1177" w:type="dxa"/>
            <w:gridSpan w:val="2"/>
            <w:tcBorders>
              <w:top w:val="nil"/>
              <w:left w:val="nil"/>
              <w:bottom w:val="single" w:sz="4" w:space="0" w:color="auto"/>
              <w:right w:val="nil"/>
            </w:tcBorders>
          </w:tcPr>
          <w:p w14:paraId="230B4A0B" w14:textId="77777777" w:rsidR="009368F5" w:rsidRPr="001362A6" w:rsidRDefault="009368F5">
            <w:pPr>
              <w:rPr>
                <w:rFonts w:ascii="Lato" w:hAnsi="Lato"/>
                <w:sz w:val="22"/>
                <w:szCs w:val="22"/>
              </w:rPr>
            </w:pPr>
          </w:p>
        </w:tc>
      </w:tr>
      <w:tr w:rsidR="009368F5" w:rsidRPr="001362A6" w14:paraId="07B48B20" w14:textId="77777777" w:rsidTr="00A34B20">
        <w:trPr>
          <w:cantSplit/>
        </w:trPr>
        <w:tc>
          <w:tcPr>
            <w:tcW w:w="1204" w:type="dxa"/>
            <w:tcBorders>
              <w:top w:val="nil"/>
              <w:left w:val="nil"/>
              <w:bottom w:val="nil"/>
              <w:right w:val="nil"/>
            </w:tcBorders>
          </w:tcPr>
          <w:p w14:paraId="239C7981" w14:textId="77777777" w:rsidR="009368F5" w:rsidRPr="001362A6" w:rsidRDefault="009368F5">
            <w:pPr>
              <w:rPr>
                <w:rFonts w:ascii="Lato" w:hAnsi="Lato"/>
                <w:sz w:val="22"/>
                <w:szCs w:val="22"/>
              </w:rPr>
            </w:pPr>
          </w:p>
        </w:tc>
        <w:tc>
          <w:tcPr>
            <w:tcW w:w="8194" w:type="dxa"/>
            <w:gridSpan w:val="2"/>
            <w:tcBorders>
              <w:top w:val="nil"/>
              <w:left w:val="nil"/>
              <w:bottom w:val="nil"/>
              <w:right w:val="single" w:sz="4" w:space="0" w:color="auto"/>
            </w:tcBorders>
          </w:tcPr>
          <w:p w14:paraId="44EE1D1C" w14:textId="77777777" w:rsidR="009368F5" w:rsidRPr="001362A6" w:rsidRDefault="009368F5" w:rsidP="00D605C6">
            <w:pPr>
              <w:numPr>
                <w:ilvl w:val="0"/>
                <w:numId w:val="19"/>
              </w:numPr>
              <w:rPr>
                <w:rFonts w:ascii="Lato" w:hAnsi="Lato"/>
                <w:sz w:val="22"/>
                <w:szCs w:val="22"/>
              </w:rPr>
            </w:pPr>
            <w:r w:rsidRPr="001362A6">
              <w:rPr>
                <w:rFonts w:ascii="Lato" w:hAnsi="Lato"/>
                <w:bCs/>
                <w:sz w:val="22"/>
                <w:szCs w:val="22"/>
              </w:rPr>
              <w:t xml:space="preserve">Trust Deed </w:t>
            </w:r>
            <w:r w:rsidR="00D605C6" w:rsidRPr="001362A6">
              <w:rPr>
                <w:rFonts w:ascii="Lato" w:hAnsi="Lato"/>
                <w:bCs/>
                <w:sz w:val="22"/>
                <w:szCs w:val="22"/>
              </w:rPr>
              <w:t>(</w:t>
            </w:r>
            <w:r w:rsidRPr="001362A6">
              <w:rPr>
                <w:rFonts w:ascii="Lato" w:hAnsi="Lato"/>
                <w:bCs/>
                <w:sz w:val="22"/>
                <w:szCs w:val="22"/>
              </w:rPr>
              <w:t>original signatures</w:t>
            </w:r>
            <w:r w:rsidR="00572154" w:rsidRPr="001362A6">
              <w:rPr>
                <w:rFonts w:ascii="Lato" w:hAnsi="Lato"/>
                <w:bCs/>
                <w:sz w:val="22"/>
                <w:szCs w:val="22"/>
              </w:rPr>
              <w:t xml:space="preserve"> </w:t>
            </w:r>
            <w:r w:rsidR="00572154" w:rsidRPr="001362A6">
              <w:rPr>
                <w:rFonts w:ascii="Lato" w:hAnsi="Lato"/>
                <w:sz w:val="22"/>
                <w:szCs w:val="22"/>
              </w:rPr>
              <w:t>required</w:t>
            </w:r>
            <w:r w:rsidRPr="001362A6">
              <w:rPr>
                <w:rFonts w:ascii="Lato" w:hAnsi="Lato"/>
                <w:bCs/>
                <w:sz w:val="22"/>
                <w:szCs w:val="22"/>
              </w:rPr>
              <w:t>)</w:t>
            </w:r>
            <w:r w:rsidR="000F09CA" w:rsidRPr="001362A6">
              <w:rPr>
                <w:rFonts w:ascii="Lato" w:hAnsi="Lato"/>
                <w:bCs/>
                <w:sz w:val="22"/>
                <w:szCs w:val="22"/>
              </w:rPr>
              <w:t xml:space="preserve"> </w:t>
            </w:r>
          </w:p>
        </w:tc>
        <w:tc>
          <w:tcPr>
            <w:tcW w:w="1177" w:type="dxa"/>
            <w:gridSpan w:val="2"/>
            <w:tcBorders>
              <w:top w:val="single" w:sz="4" w:space="0" w:color="auto"/>
              <w:left w:val="single" w:sz="4" w:space="0" w:color="auto"/>
              <w:bottom w:val="single" w:sz="4" w:space="0" w:color="auto"/>
              <w:right w:val="single" w:sz="4" w:space="0" w:color="auto"/>
            </w:tcBorders>
          </w:tcPr>
          <w:p w14:paraId="7DDFA471" w14:textId="77777777" w:rsidR="009368F5" w:rsidRPr="001362A6" w:rsidRDefault="009368F5">
            <w:pPr>
              <w:rPr>
                <w:rFonts w:ascii="Lato" w:hAnsi="Lato"/>
                <w:sz w:val="22"/>
                <w:szCs w:val="22"/>
              </w:rPr>
            </w:pPr>
          </w:p>
        </w:tc>
      </w:tr>
      <w:tr w:rsidR="009368F5" w:rsidRPr="001362A6" w14:paraId="641AF382" w14:textId="77777777" w:rsidTr="00A34B20">
        <w:trPr>
          <w:cantSplit/>
        </w:trPr>
        <w:tc>
          <w:tcPr>
            <w:tcW w:w="1204" w:type="dxa"/>
            <w:tcBorders>
              <w:top w:val="nil"/>
              <w:left w:val="nil"/>
              <w:bottom w:val="nil"/>
              <w:right w:val="nil"/>
            </w:tcBorders>
          </w:tcPr>
          <w:p w14:paraId="3449F8B5" w14:textId="77777777" w:rsidR="009368F5" w:rsidRPr="001362A6" w:rsidRDefault="009368F5">
            <w:pPr>
              <w:rPr>
                <w:rFonts w:ascii="Lato" w:hAnsi="Lato"/>
                <w:sz w:val="22"/>
                <w:szCs w:val="22"/>
              </w:rPr>
            </w:pPr>
          </w:p>
        </w:tc>
        <w:tc>
          <w:tcPr>
            <w:tcW w:w="8194" w:type="dxa"/>
            <w:gridSpan w:val="2"/>
            <w:tcBorders>
              <w:top w:val="nil"/>
              <w:left w:val="nil"/>
              <w:bottom w:val="nil"/>
              <w:right w:val="nil"/>
            </w:tcBorders>
          </w:tcPr>
          <w:p w14:paraId="14D7066E" w14:textId="77777777" w:rsidR="009368F5" w:rsidRPr="001362A6" w:rsidRDefault="009368F5">
            <w:pPr>
              <w:rPr>
                <w:rFonts w:ascii="Lato" w:hAnsi="Lato"/>
                <w:sz w:val="22"/>
                <w:szCs w:val="22"/>
              </w:rPr>
            </w:pPr>
          </w:p>
        </w:tc>
        <w:tc>
          <w:tcPr>
            <w:tcW w:w="1177" w:type="dxa"/>
            <w:gridSpan w:val="2"/>
            <w:tcBorders>
              <w:top w:val="single" w:sz="4" w:space="0" w:color="auto"/>
              <w:left w:val="nil"/>
              <w:bottom w:val="nil"/>
              <w:right w:val="nil"/>
            </w:tcBorders>
          </w:tcPr>
          <w:p w14:paraId="181E792A" w14:textId="77777777" w:rsidR="009368F5" w:rsidRPr="001362A6" w:rsidRDefault="009368F5">
            <w:pPr>
              <w:rPr>
                <w:rFonts w:ascii="Lato" w:hAnsi="Lato"/>
                <w:sz w:val="22"/>
                <w:szCs w:val="22"/>
              </w:rPr>
            </w:pPr>
          </w:p>
        </w:tc>
      </w:tr>
      <w:tr w:rsidR="009368F5" w:rsidRPr="001362A6" w14:paraId="140928D2" w14:textId="77777777" w:rsidTr="00A34B20">
        <w:trPr>
          <w:cantSplit/>
        </w:trPr>
        <w:tc>
          <w:tcPr>
            <w:tcW w:w="1204" w:type="dxa"/>
            <w:tcBorders>
              <w:top w:val="nil"/>
              <w:left w:val="nil"/>
              <w:bottom w:val="nil"/>
              <w:right w:val="nil"/>
            </w:tcBorders>
          </w:tcPr>
          <w:p w14:paraId="78FCA55B" w14:textId="77777777" w:rsidR="009368F5" w:rsidRPr="001362A6" w:rsidRDefault="009368F5">
            <w:pPr>
              <w:rPr>
                <w:rFonts w:ascii="Lato" w:hAnsi="Lato"/>
                <w:sz w:val="22"/>
                <w:szCs w:val="22"/>
              </w:rPr>
            </w:pPr>
          </w:p>
        </w:tc>
        <w:tc>
          <w:tcPr>
            <w:tcW w:w="8194" w:type="dxa"/>
            <w:gridSpan w:val="2"/>
            <w:tcBorders>
              <w:top w:val="nil"/>
              <w:left w:val="nil"/>
              <w:bottom w:val="nil"/>
              <w:right w:val="nil"/>
            </w:tcBorders>
          </w:tcPr>
          <w:p w14:paraId="0F6079D1" w14:textId="77777777" w:rsidR="009368F5" w:rsidRPr="001362A6" w:rsidRDefault="009368F5">
            <w:pPr>
              <w:rPr>
                <w:rFonts w:ascii="Lato" w:hAnsi="Lato"/>
                <w:b/>
                <w:sz w:val="22"/>
                <w:szCs w:val="22"/>
                <w:u w:val="single"/>
              </w:rPr>
            </w:pPr>
            <w:r w:rsidRPr="001362A6">
              <w:rPr>
                <w:rFonts w:ascii="Lato" w:hAnsi="Lato"/>
                <w:b/>
                <w:bCs/>
                <w:sz w:val="22"/>
                <w:szCs w:val="22"/>
                <w:u w:val="single"/>
              </w:rPr>
              <w:t>Common Contractual Funds</w:t>
            </w:r>
          </w:p>
        </w:tc>
        <w:tc>
          <w:tcPr>
            <w:tcW w:w="1177" w:type="dxa"/>
            <w:gridSpan w:val="2"/>
            <w:tcBorders>
              <w:top w:val="nil"/>
              <w:left w:val="nil"/>
              <w:bottom w:val="single" w:sz="4" w:space="0" w:color="auto"/>
              <w:right w:val="nil"/>
            </w:tcBorders>
          </w:tcPr>
          <w:p w14:paraId="032DEDD1" w14:textId="77777777" w:rsidR="009368F5" w:rsidRPr="001362A6" w:rsidRDefault="009368F5">
            <w:pPr>
              <w:rPr>
                <w:rFonts w:ascii="Lato" w:hAnsi="Lato"/>
                <w:sz w:val="22"/>
                <w:szCs w:val="22"/>
              </w:rPr>
            </w:pPr>
          </w:p>
        </w:tc>
      </w:tr>
      <w:tr w:rsidR="009368F5" w:rsidRPr="001362A6" w14:paraId="27277E83" w14:textId="77777777" w:rsidTr="00A34B20">
        <w:trPr>
          <w:cantSplit/>
        </w:trPr>
        <w:tc>
          <w:tcPr>
            <w:tcW w:w="1204" w:type="dxa"/>
            <w:tcBorders>
              <w:top w:val="nil"/>
              <w:left w:val="nil"/>
              <w:bottom w:val="nil"/>
              <w:right w:val="nil"/>
            </w:tcBorders>
          </w:tcPr>
          <w:p w14:paraId="3E6FB51E" w14:textId="77777777" w:rsidR="009368F5" w:rsidRPr="001362A6" w:rsidRDefault="009368F5">
            <w:pPr>
              <w:rPr>
                <w:rFonts w:ascii="Lato" w:hAnsi="Lato"/>
                <w:sz w:val="22"/>
                <w:szCs w:val="22"/>
              </w:rPr>
            </w:pPr>
          </w:p>
        </w:tc>
        <w:tc>
          <w:tcPr>
            <w:tcW w:w="8194" w:type="dxa"/>
            <w:gridSpan w:val="2"/>
            <w:tcBorders>
              <w:top w:val="nil"/>
              <w:left w:val="nil"/>
              <w:bottom w:val="nil"/>
              <w:right w:val="single" w:sz="4" w:space="0" w:color="auto"/>
            </w:tcBorders>
          </w:tcPr>
          <w:p w14:paraId="5E840C8C" w14:textId="77777777" w:rsidR="009368F5" w:rsidRPr="001362A6" w:rsidRDefault="009368F5" w:rsidP="00D605C6">
            <w:pPr>
              <w:numPr>
                <w:ilvl w:val="0"/>
                <w:numId w:val="19"/>
              </w:numPr>
              <w:rPr>
                <w:rFonts w:ascii="Lato" w:hAnsi="Lato"/>
                <w:sz w:val="22"/>
                <w:szCs w:val="22"/>
              </w:rPr>
            </w:pPr>
            <w:r w:rsidRPr="001362A6">
              <w:rPr>
                <w:rFonts w:ascii="Lato" w:hAnsi="Lato"/>
                <w:bCs/>
                <w:sz w:val="22"/>
                <w:szCs w:val="22"/>
              </w:rPr>
              <w:t>Deed of Constitution (original signatures</w:t>
            </w:r>
            <w:r w:rsidR="00572154" w:rsidRPr="001362A6">
              <w:rPr>
                <w:rFonts w:ascii="Lato" w:hAnsi="Lato"/>
                <w:bCs/>
                <w:sz w:val="22"/>
                <w:szCs w:val="22"/>
              </w:rPr>
              <w:t xml:space="preserve"> </w:t>
            </w:r>
            <w:r w:rsidR="00572154" w:rsidRPr="001362A6">
              <w:rPr>
                <w:rFonts w:ascii="Lato" w:hAnsi="Lato"/>
                <w:sz w:val="22"/>
                <w:szCs w:val="22"/>
              </w:rPr>
              <w:t>required</w:t>
            </w:r>
            <w:r w:rsidRPr="001362A6">
              <w:rPr>
                <w:rFonts w:ascii="Lato" w:hAnsi="Lato"/>
                <w:bCs/>
                <w:sz w:val="22"/>
                <w:szCs w:val="22"/>
              </w:rPr>
              <w:t>)</w:t>
            </w:r>
          </w:p>
        </w:tc>
        <w:tc>
          <w:tcPr>
            <w:tcW w:w="1177" w:type="dxa"/>
            <w:gridSpan w:val="2"/>
            <w:tcBorders>
              <w:top w:val="single" w:sz="4" w:space="0" w:color="auto"/>
              <w:left w:val="single" w:sz="4" w:space="0" w:color="auto"/>
              <w:bottom w:val="single" w:sz="4" w:space="0" w:color="auto"/>
              <w:right w:val="single" w:sz="4" w:space="0" w:color="auto"/>
            </w:tcBorders>
          </w:tcPr>
          <w:p w14:paraId="0AE25019" w14:textId="77777777" w:rsidR="009368F5" w:rsidRPr="001362A6" w:rsidRDefault="009368F5">
            <w:pPr>
              <w:rPr>
                <w:rFonts w:ascii="Lato" w:hAnsi="Lato"/>
                <w:sz w:val="22"/>
                <w:szCs w:val="22"/>
              </w:rPr>
            </w:pPr>
          </w:p>
        </w:tc>
      </w:tr>
      <w:tr w:rsidR="009368F5" w:rsidRPr="001362A6" w14:paraId="18900085" w14:textId="77777777" w:rsidTr="00A34B20">
        <w:trPr>
          <w:cantSplit/>
        </w:trPr>
        <w:tc>
          <w:tcPr>
            <w:tcW w:w="1204" w:type="dxa"/>
            <w:tcBorders>
              <w:top w:val="nil"/>
              <w:left w:val="nil"/>
              <w:bottom w:val="nil"/>
              <w:right w:val="nil"/>
            </w:tcBorders>
          </w:tcPr>
          <w:p w14:paraId="312D409B" w14:textId="77777777" w:rsidR="009368F5" w:rsidRPr="001362A6" w:rsidRDefault="009368F5">
            <w:pPr>
              <w:rPr>
                <w:rFonts w:ascii="Lato" w:hAnsi="Lato"/>
                <w:sz w:val="22"/>
                <w:szCs w:val="22"/>
              </w:rPr>
            </w:pPr>
          </w:p>
        </w:tc>
        <w:tc>
          <w:tcPr>
            <w:tcW w:w="8194" w:type="dxa"/>
            <w:gridSpan w:val="2"/>
            <w:tcBorders>
              <w:top w:val="nil"/>
              <w:left w:val="nil"/>
              <w:bottom w:val="nil"/>
              <w:right w:val="single" w:sz="4" w:space="0" w:color="auto"/>
            </w:tcBorders>
          </w:tcPr>
          <w:p w14:paraId="30144C0F" w14:textId="77777777" w:rsidR="009368F5" w:rsidRPr="001362A6" w:rsidRDefault="00655286" w:rsidP="00D605C6">
            <w:pPr>
              <w:numPr>
                <w:ilvl w:val="0"/>
                <w:numId w:val="19"/>
              </w:numPr>
              <w:rPr>
                <w:rFonts w:ascii="Lato" w:hAnsi="Lato"/>
                <w:bCs/>
                <w:sz w:val="22"/>
                <w:szCs w:val="22"/>
              </w:rPr>
            </w:pPr>
            <w:r w:rsidRPr="001362A6">
              <w:rPr>
                <w:rFonts w:ascii="Lato" w:hAnsi="Lato"/>
                <w:bCs/>
                <w:sz w:val="22"/>
                <w:szCs w:val="22"/>
              </w:rPr>
              <w:t>D</w:t>
            </w:r>
            <w:r w:rsidR="009368F5" w:rsidRPr="001362A6">
              <w:rPr>
                <w:rFonts w:ascii="Lato" w:hAnsi="Lato"/>
                <w:bCs/>
                <w:sz w:val="22"/>
                <w:szCs w:val="22"/>
              </w:rPr>
              <w:t>epositary agreement</w:t>
            </w:r>
            <w:r w:rsidRPr="001362A6">
              <w:rPr>
                <w:rFonts w:ascii="Lato" w:hAnsi="Lato"/>
                <w:bCs/>
                <w:sz w:val="22"/>
                <w:szCs w:val="22"/>
              </w:rPr>
              <w:t xml:space="preserve"> (original signatures</w:t>
            </w:r>
            <w:r w:rsidR="00572154" w:rsidRPr="001362A6">
              <w:rPr>
                <w:rFonts w:ascii="Lato" w:hAnsi="Lato"/>
                <w:bCs/>
                <w:sz w:val="22"/>
                <w:szCs w:val="22"/>
              </w:rPr>
              <w:t xml:space="preserve"> </w:t>
            </w:r>
            <w:r w:rsidR="00572154" w:rsidRPr="001362A6">
              <w:rPr>
                <w:rFonts w:ascii="Lato" w:hAnsi="Lato"/>
                <w:sz w:val="22"/>
                <w:szCs w:val="22"/>
              </w:rPr>
              <w:t>required</w:t>
            </w:r>
            <w:r w:rsidRPr="001362A6">
              <w:rPr>
                <w:rFonts w:ascii="Lato" w:hAnsi="Lato"/>
                <w:bCs/>
                <w:sz w:val="22"/>
                <w:szCs w:val="22"/>
              </w:rPr>
              <w:t>)</w:t>
            </w:r>
          </w:p>
        </w:tc>
        <w:tc>
          <w:tcPr>
            <w:tcW w:w="1177" w:type="dxa"/>
            <w:gridSpan w:val="2"/>
            <w:tcBorders>
              <w:top w:val="single" w:sz="4" w:space="0" w:color="auto"/>
              <w:left w:val="single" w:sz="4" w:space="0" w:color="auto"/>
              <w:bottom w:val="single" w:sz="4" w:space="0" w:color="auto"/>
              <w:right w:val="single" w:sz="4" w:space="0" w:color="auto"/>
            </w:tcBorders>
          </w:tcPr>
          <w:p w14:paraId="15B69572" w14:textId="77777777" w:rsidR="009368F5" w:rsidRPr="001362A6" w:rsidRDefault="009368F5">
            <w:pPr>
              <w:rPr>
                <w:rFonts w:ascii="Lato" w:hAnsi="Lato"/>
                <w:sz w:val="22"/>
                <w:szCs w:val="22"/>
              </w:rPr>
            </w:pPr>
          </w:p>
        </w:tc>
      </w:tr>
      <w:tr w:rsidR="009368F5" w:rsidRPr="001362A6" w14:paraId="752B0F46" w14:textId="77777777" w:rsidTr="00A34B20">
        <w:trPr>
          <w:cantSplit/>
        </w:trPr>
        <w:tc>
          <w:tcPr>
            <w:tcW w:w="1204" w:type="dxa"/>
            <w:tcBorders>
              <w:top w:val="nil"/>
              <w:left w:val="nil"/>
              <w:bottom w:val="nil"/>
              <w:right w:val="nil"/>
            </w:tcBorders>
          </w:tcPr>
          <w:p w14:paraId="6770BA71" w14:textId="77777777" w:rsidR="009368F5" w:rsidRPr="001362A6" w:rsidRDefault="009368F5">
            <w:pPr>
              <w:rPr>
                <w:rFonts w:ascii="Lato" w:hAnsi="Lato"/>
                <w:sz w:val="22"/>
                <w:szCs w:val="22"/>
              </w:rPr>
            </w:pPr>
          </w:p>
        </w:tc>
        <w:tc>
          <w:tcPr>
            <w:tcW w:w="8194" w:type="dxa"/>
            <w:gridSpan w:val="2"/>
            <w:tcBorders>
              <w:top w:val="nil"/>
              <w:left w:val="nil"/>
              <w:bottom w:val="nil"/>
              <w:right w:val="nil"/>
            </w:tcBorders>
          </w:tcPr>
          <w:p w14:paraId="6AAD6FDE" w14:textId="77777777" w:rsidR="009368F5" w:rsidRPr="001362A6" w:rsidRDefault="009368F5">
            <w:pPr>
              <w:rPr>
                <w:rFonts w:ascii="Lato" w:hAnsi="Lato"/>
                <w:sz w:val="22"/>
                <w:szCs w:val="22"/>
              </w:rPr>
            </w:pPr>
          </w:p>
        </w:tc>
        <w:tc>
          <w:tcPr>
            <w:tcW w:w="1177" w:type="dxa"/>
            <w:gridSpan w:val="2"/>
            <w:tcBorders>
              <w:top w:val="single" w:sz="4" w:space="0" w:color="auto"/>
              <w:left w:val="nil"/>
              <w:bottom w:val="nil"/>
              <w:right w:val="nil"/>
            </w:tcBorders>
          </w:tcPr>
          <w:p w14:paraId="1AA98A4B" w14:textId="77777777" w:rsidR="009368F5" w:rsidRPr="001362A6" w:rsidRDefault="009368F5">
            <w:pPr>
              <w:rPr>
                <w:rFonts w:ascii="Lato" w:hAnsi="Lato"/>
                <w:sz w:val="22"/>
                <w:szCs w:val="22"/>
              </w:rPr>
            </w:pPr>
          </w:p>
        </w:tc>
      </w:tr>
      <w:tr w:rsidR="009368F5" w:rsidRPr="001362A6" w14:paraId="77C053C2" w14:textId="77777777" w:rsidTr="00A34B20">
        <w:trPr>
          <w:cantSplit/>
        </w:trPr>
        <w:tc>
          <w:tcPr>
            <w:tcW w:w="1204" w:type="dxa"/>
            <w:tcBorders>
              <w:top w:val="nil"/>
              <w:left w:val="nil"/>
              <w:bottom w:val="nil"/>
              <w:right w:val="nil"/>
            </w:tcBorders>
          </w:tcPr>
          <w:p w14:paraId="0FF5DAD5" w14:textId="77777777" w:rsidR="009368F5" w:rsidRPr="001362A6" w:rsidRDefault="009368F5">
            <w:pPr>
              <w:rPr>
                <w:rFonts w:ascii="Lato" w:hAnsi="Lato"/>
                <w:sz w:val="22"/>
                <w:szCs w:val="22"/>
              </w:rPr>
            </w:pPr>
          </w:p>
        </w:tc>
        <w:tc>
          <w:tcPr>
            <w:tcW w:w="8194" w:type="dxa"/>
            <w:gridSpan w:val="2"/>
            <w:tcBorders>
              <w:top w:val="nil"/>
              <w:left w:val="nil"/>
              <w:bottom w:val="nil"/>
              <w:right w:val="nil"/>
            </w:tcBorders>
          </w:tcPr>
          <w:p w14:paraId="65D8CE28" w14:textId="77777777" w:rsidR="009368F5" w:rsidRPr="001362A6" w:rsidRDefault="009368F5">
            <w:pPr>
              <w:rPr>
                <w:rFonts w:ascii="Lato" w:hAnsi="Lato"/>
                <w:b/>
                <w:sz w:val="22"/>
                <w:szCs w:val="22"/>
                <w:u w:val="single"/>
              </w:rPr>
            </w:pPr>
            <w:r w:rsidRPr="001362A6">
              <w:rPr>
                <w:rFonts w:ascii="Lato" w:hAnsi="Lato"/>
                <w:b/>
                <w:sz w:val="22"/>
                <w:szCs w:val="22"/>
                <w:u w:val="single"/>
              </w:rPr>
              <w:t>Investment Limited Partnerships</w:t>
            </w:r>
          </w:p>
        </w:tc>
        <w:tc>
          <w:tcPr>
            <w:tcW w:w="1177" w:type="dxa"/>
            <w:gridSpan w:val="2"/>
            <w:tcBorders>
              <w:top w:val="nil"/>
              <w:left w:val="nil"/>
              <w:bottom w:val="single" w:sz="4" w:space="0" w:color="auto"/>
              <w:right w:val="nil"/>
            </w:tcBorders>
          </w:tcPr>
          <w:p w14:paraId="4969B7E3" w14:textId="77777777" w:rsidR="009368F5" w:rsidRPr="001362A6" w:rsidRDefault="009368F5">
            <w:pPr>
              <w:rPr>
                <w:rFonts w:ascii="Lato" w:hAnsi="Lato"/>
                <w:sz w:val="22"/>
                <w:szCs w:val="22"/>
              </w:rPr>
            </w:pPr>
          </w:p>
        </w:tc>
      </w:tr>
      <w:tr w:rsidR="009368F5" w:rsidRPr="001362A6" w14:paraId="7E8D5811" w14:textId="77777777" w:rsidTr="00A34B20">
        <w:trPr>
          <w:cantSplit/>
        </w:trPr>
        <w:tc>
          <w:tcPr>
            <w:tcW w:w="1204" w:type="dxa"/>
            <w:tcBorders>
              <w:top w:val="nil"/>
              <w:left w:val="nil"/>
              <w:bottom w:val="nil"/>
              <w:right w:val="nil"/>
            </w:tcBorders>
          </w:tcPr>
          <w:p w14:paraId="285A2094" w14:textId="77777777" w:rsidR="009368F5" w:rsidRPr="001362A6" w:rsidRDefault="009368F5">
            <w:pPr>
              <w:rPr>
                <w:rFonts w:ascii="Lato" w:hAnsi="Lato"/>
                <w:sz w:val="22"/>
                <w:szCs w:val="22"/>
              </w:rPr>
            </w:pPr>
          </w:p>
        </w:tc>
        <w:tc>
          <w:tcPr>
            <w:tcW w:w="8194" w:type="dxa"/>
            <w:gridSpan w:val="2"/>
            <w:tcBorders>
              <w:top w:val="nil"/>
              <w:left w:val="nil"/>
              <w:bottom w:val="nil"/>
              <w:right w:val="single" w:sz="4" w:space="0" w:color="auto"/>
            </w:tcBorders>
          </w:tcPr>
          <w:p w14:paraId="24A0A535" w14:textId="77777777" w:rsidR="009368F5" w:rsidRPr="001362A6" w:rsidRDefault="009368F5" w:rsidP="00D605C6">
            <w:pPr>
              <w:numPr>
                <w:ilvl w:val="0"/>
                <w:numId w:val="20"/>
              </w:numPr>
              <w:rPr>
                <w:rFonts w:ascii="Lato" w:hAnsi="Lato"/>
                <w:sz w:val="22"/>
                <w:szCs w:val="22"/>
              </w:rPr>
            </w:pPr>
            <w:r w:rsidRPr="001362A6">
              <w:rPr>
                <w:rFonts w:ascii="Lato" w:hAnsi="Lato"/>
                <w:sz w:val="22"/>
                <w:szCs w:val="22"/>
              </w:rPr>
              <w:t>Partnership Agreement (original signatures</w:t>
            </w:r>
            <w:r w:rsidR="00572154" w:rsidRPr="001362A6">
              <w:rPr>
                <w:rFonts w:ascii="Lato" w:hAnsi="Lato"/>
                <w:sz w:val="22"/>
                <w:szCs w:val="22"/>
              </w:rPr>
              <w:t xml:space="preserve"> required</w:t>
            </w:r>
            <w:r w:rsidRPr="001362A6">
              <w:rPr>
                <w:rFonts w:ascii="Lato" w:hAnsi="Lato"/>
                <w:sz w:val="22"/>
                <w:szCs w:val="22"/>
              </w:rPr>
              <w:t>)</w:t>
            </w:r>
          </w:p>
        </w:tc>
        <w:tc>
          <w:tcPr>
            <w:tcW w:w="1177" w:type="dxa"/>
            <w:gridSpan w:val="2"/>
            <w:tcBorders>
              <w:top w:val="single" w:sz="4" w:space="0" w:color="auto"/>
              <w:left w:val="single" w:sz="4" w:space="0" w:color="auto"/>
              <w:bottom w:val="single" w:sz="4" w:space="0" w:color="auto"/>
              <w:right w:val="single" w:sz="4" w:space="0" w:color="auto"/>
            </w:tcBorders>
          </w:tcPr>
          <w:p w14:paraId="41EEBB1E" w14:textId="77777777" w:rsidR="009368F5" w:rsidRPr="001362A6" w:rsidRDefault="009368F5">
            <w:pPr>
              <w:rPr>
                <w:rFonts w:ascii="Lato" w:hAnsi="Lato"/>
                <w:sz w:val="22"/>
                <w:szCs w:val="22"/>
              </w:rPr>
            </w:pPr>
          </w:p>
        </w:tc>
      </w:tr>
      <w:tr w:rsidR="009368F5" w:rsidRPr="001362A6" w14:paraId="7CA05170" w14:textId="77777777" w:rsidTr="0042571B">
        <w:trPr>
          <w:cantSplit/>
        </w:trPr>
        <w:tc>
          <w:tcPr>
            <w:tcW w:w="1204" w:type="dxa"/>
            <w:tcBorders>
              <w:top w:val="nil"/>
              <w:left w:val="nil"/>
              <w:bottom w:val="nil"/>
              <w:right w:val="nil"/>
            </w:tcBorders>
          </w:tcPr>
          <w:p w14:paraId="0F789324" w14:textId="77777777" w:rsidR="009368F5" w:rsidRPr="001362A6" w:rsidRDefault="009368F5">
            <w:pPr>
              <w:rPr>
                <w:rFonts w:ascii="Lato" w:hAnsi="Lato"/>
                <w:sz w:val="22"/>
                <w:szCs w:val="22"/>
              </w:rPr>
            </w:pPr>
          </w:p>
        </w:tc>
        <w:tc>
          <w:tcPr>
            <w:tcW w:w="8194" w:type="dxa"/>
            <w:gridSpan w:val="2"/>
            <w:tcBorders>
              <w:top w:val="nil"/>
              <w:left w:val="nil"/>
              <w:bottom w:val="nil"/>
              <w:right w:val="single" w:sz="4" w:space="0" w:color="auto"/>
            </w:tcBorders>
          </w:tcPr>
          <w:p w14:paraId="1FB1956F" w14:textId="77777777" w:rsidR="009368F5" w:rsidRPr="001362A6" w:rsidRDefault="00655286" w:rsidP="00D95E9D">
            <w:pPr>
              <w:numPr>
                <w:ilvl w:val="0"/>
                <w:numId w:val="20"/>
              </w:numPr>
              <w:rPr>
                <w:rFonts w:ascii="Lato" w:hAnsi="Lato"/>
                <w:sz w:val="22"/>
                <w:szCs w:val="22"/>
              </w:rPr>
            </w:pPr>
            <w:r w:rsidRPr="001362A6">
              <w:rPr>
                <w:rFonts w:ascii="Lato" w:hAnsi="Lato"/>
                <w:sz w:val="22"/>
                <w:szCs w:val="22"/>
              </w:rPr>
              <w:t>The A</w:t>
            </w:r>
            <w:r w:rsidR="009368F5" w:rsidRPr="001362A6">
              <w:rPr>
                <w:rFonts w:ascii="Lato" w:hAnsi="Lato"/>
                <w:sz w:val="22"/>
                <w:szCs w:val="22"/>
              </w:rPr>
              <w:t>greement between the partnership and the depositary</w:t>
            </w:r>
            <w:r w:rsidRPr="001362A6">
              <w:rPr>
                <w:rFonts w:ascii="Lato" w:hAnsi="Lato"/>
                <w:sz w:val="22"/>
                <w:szCs w:val="22"/>
              </w:rPr>
              <w:t xml:space="preserve"> (original </w:t>
            </w:r>
          </w:p>
        </w:tc>
        <w:tc>
          <w:tcPr>
            <w:tcW w:w="1177" w:type="dxa"/>
            <w:gridSpan w:val="2"/>
            <w:tcBorders>
              <w:top w:val="single" w:sz="4" w:space="0" w:color="auto"/>
              <w:left w:val="single" w:sz="4" w:space="0" w:color="auto"/>
              <w:bottom w:val="single" w:sz="4" w:space="0" w:color="auto"/>
              <w:right w:val="single" w:sz="4" w:space="0" w:color="auto"/>
            </w:tcBorders>
          </w:tcPr>
          <w:p w14:paraId="7ABE967E" w14:textId="77777777" w:rsidR="009368F5" w:rsidRPr="001362A6" w:rsidRDefault="009368F5">
            <w:pPr>
              <w:rPr>
                <w:rFonts w:ascii="Lato" w:hAnsi="Lato"/>
                <w:sz w:val="22"/>
                <w:szCs w:val="22"/>
              </w:rPr>
            </w:pPr>
          </w:p>
        </w:tc>
      </w:tr>
      <w:tr w:rsidR="0042571B" w:rsidRPr="001362A6" w14:paraId="3DCFC44F" w14:textId="77777777" w:rsidTr="0042571B">
        <w:trPr>
          <w:cantSplit/>
        </w:trPr>
        <w:tc>
          <w:tcPr>
            <w:tcW w:w="1204" w:type="dxa"/>
            <w:tcBorders>
              <w:top w:val="nil"/>
              <w:left w:val="nil"/>
              <w:bottom w:val="nil"/>
              <w:right w:val="nil"/>
            </w:tcBorders>
          </w:tcPr>
          <w:p w14:paraId="2D6124A8" w14:textId="77777777" w:rsidR="0042571B" w:rsidRPr="001362A6" w:rsidRDefault="0042571B">
            <w:pPr>
              <w:rPr>
                <w:rFonts w:ascii="Lato" w:hAnsi="Lato"/>
                <w:sz w:val="22"/>
                <w:szCs w:val="22"/>
              </w:rPr>
            </w:pPr>
          </w:p>
        </w:tc>
        <w:tc>
          <w:tcPr>
            <w:tcW w:w="8194" w:type="dxa"/>
            <w:gridSpan w:val="2"/>
            <w:tcBorders>
              <w:top w:val="nil"/>
              <w:left w:val="nil"/>
              <w:bottom w:val="nil"/>
              <w:right w:val="nil"/>
            </w:tcBorders>
          </w:tcPr>
          <w:p w14:paraId="02C81B53" w14:textId="77777777" w:rsidR="0042571B" w:rsidRPr="001362A6" w:rsidRDefault="005B3769" w:rsidP="0042571B">
            <w:pPr>
              <w:ind w:left="720"/>
              <w:rPr>
                <w:rFonts w:ascii="Lato" w:hAnsi="Lato"/>
                <w:sz w:val="22"/>
                <w:szCs w:val="22"/>
              </w:rPr>
            </w:pPr>
            <w:r w:rsidRPr="00590C6D">
              <w:rPr>
                <w:rFonts w:ascii="Lato" w:hAnsi="Lato"/>
                <w:sz w:val="22"/>
                <w:szCs w:val="22"/>
              </w:rPr>
              <w:t xml:space="preserve">signatures </w:t>
            </w:r>
            <w:r w:rsidR="0042571B" w:rsidRPr="001362A6">
              <w:rPr>
                <w:rFonts w:ascii="Lato" w:hAnsi="Lato"/>
                <w:sz w:val="22"/>
                <w:szCs w:val="22"/>
              </w:rPr>
              <w:t>required)</w:t>
            </w:r>
          </w:p>
        </w:tc>
        <w:tc>
          <w:tcPr>
            <w:tcW w:w="1177" w:type="dxa"/>
            <w:gridSpan w:val="2"/>
            <w:tcBorders>
              <w:top w:val="single" w:sz="4" w:space="0" w:color="auto"/>
              <w:left w:val="nil"/>
              <w:bottom w:val="single" w:sz="4" w:space="0" w:color="auto"/>
              <w:right w:val="nil"/>
            </w:tcBorders>
          </w:tcPr>
          <w:p w14:paraId="51CCEDE8" w14:textId="77777777" w:rsidR="0042571B" w:rsidRPr="001362A6" w:rsidRDefault="0042571B">
            <w:pPr>
              <w:rPr>
                <w:rFonts w:ascii="Lato" w:hAnsi="Lato"/>
                <w:sz w:val="22"/>
                <w:szCs w:val="22"/>
              </w:rPr>
            </w:pPr>
          </w:p>
        </w:tc>
      </w:tr>
      <w:tr w:rsidR="009368F5" w:rsidRPr="001362A6" w14:paraId="080E8734" w14:textId="77777777" w:rsidTr="0042571B">
        <w:trPr>
          <w:cantSplit/>
        </w:trPr>
        <w:tc>
          <w:tcPr>
            <w:tcW w:w="1204" w:type="dxa"/>
            <w:tcBorders>
              <w:top w:val="nil"/>
              <w:left w:val="nil"/>
              <w:bottom w:val="nil"/>
              <w:right w:val="nil"/>
            </w:tcBorders>
          </w:tcPr>
          <w:p w14:paraId="66AAF22C" w14:textId="77777777" w:rsidR="009368F5" w:rsidRPr="001362A6" w:rsidRDefault="009368F5">
            <w:pPr>
              <w:rPr>
                <w:rFonts w:ascii="Lato" w:hAnsi="Lato"/>
                <w:sz w:val="22"/>
                <w:szCs w:val="22"/>
              </w:rPr>
            </w:pPr>
          </w:p>
        </w:tc>
        <w:tc>
          <w:tcPr>
            <w:tcW w:w="8194" w:type="dxa"/>
            <w:gridSpan w:val="2"/>
            <w:tcBorders>
              <w:top w:val="nil"/>
              <w:left w:val="nil"/>
              <w:bottom w:val="nil"/>
              <w:right w:val="single" w:sz="4" w:space="0" w:color="auto"/>
            </w:tcBorders>
          </w:tcPr>
          <w:p w14:paraId="47197C44" w14:textId="77777777" w:rsidR="009368F5" w:rsidRPr="001362A6" w:rsidRDefault="009368F5" w:rsidP="00D95E9D">
            <w:pPr>
              <w:numPr>
                <w:ilvl w:val="0"/>
                <w:numId w:val="20"/>
              </w:numPr>
              <w:rPr>
                <w:rFonts w:ascii="Lato" w:hAnsi="Lato"/>
                <w:sz w:val="22"/>
                <w:szCs w:val="22"/>
              </w:rPr>
            </w:pPr>
            <w:r w:rsidRPr="001362A6">
              <w:rPr>
                <w:rFonts w:ascii="Lato" w:hAnsi="Lato"/>
                <w:sz w:val="22"/>
                <w:szCs w:val="22"/>
              </w:rPr>
              <w:t xml:space="preserve">A statement signed by the proposed general partner in accordance with </w:t>
            </w:r>
          </w:p>
        </w:tc>
        <w:tc>
          <w:tcPr>
            <w:tcW w:w="1177" w:type="dxa"/>
            <w:gridSpan w:val="2"/>
            <w:tcBorders>
              <w:top w:val="single" w:sz="4" w:space="0" w:color="auto"/>
              <w:left w:val="single" w:sz="4" w:space="0" w:color="auto"/>
              <w:bottom w:val="single" w:sz="4" w:space="0" w:color="auto"/>
              <w:right w:val="single" w:sz="4" w:space="0" w:color="auto"/>
            </w:tcBorders>
          </w:tcPr>
          <w:p w14:paraId="37C12754" w14:textId="77777777" w:rsidR="009368F5" w:rsidRPr="001362A6" w:rsidRDefault="009368F5">
            <w:pPr>
              <w:rPr>
                <w:rFonts w:ascii="Lato" w:hAnsi="Lato"/>
                <w:sz w:val="22"/>
                <w:szCs w:val="22"/>
              </w:rPr>
            </w:pPr>
          </w:p>
        </w:tc>
      </w:tr>
      <w:tr w:rsidR="0042571B" w:rsidRPr="001362A6" w14:paraId="3EA072BB" w14:textId="77777777" w:rsidTr="0042571B">
        <w:trPr>
          <w:cantSplit/>
        </w:trPr>
        <w:tc>
          <w:tcPr>
            <w:tcW w:w="1204" w:type="dxa"/>
            <w:tcBorders>
              <w:top w:val="nil"/>
              <w:left w:val="nil"/>
              <w:bottom w:val="nil"/>
              <w:right w:val="nil"/>
            </w:tcBorders>
          </w:tcPr>
          <w:p w14:paraId="30658685" w14:textId="77777777" w:rsidR="0042571B" w:rsidRPr="001362A6" w:rsidRDefault="0042571B">
            <w:pPr>
              <w:rPr>
                <w:rFonts w:ascii="Lato" w:hAnsi="Lato"/>
                <w:sz w:val="22"/>
                <w:szCs w:val="22"/>
              </w:rPr>
            </w:pPr>
          </w:p>
        </w:tc>
        <w:tc>
          <w:tcPr>
            <w:tcW w:w="8194" w:type="dxa"/>
            <w:gridSpan w:val="2"/>
            <w:tcBorders>
              <w:top w:val="nil"/>
              <w:left w:val="nil"/>
              <w:bottom w:val="nil"/>
              <w:right w:val="nil"/>
            </w:tcBorders>
          </w:tcPr>
          <w:p w14:paraId="41E671BC" w14:textId="77777777" w:rsidR="0042571B" w:rsidRPr="001362A6" w:rsidRDefault="005B3769" w:rsidP="0042571B">
            <w:pPr>
              <w:ind w:left="720"/>
              <w:rPr>
                <w:rFonts w:ascii="Lato" w:hAnsi="Lato"/>
                <w:sz w:val="22"/>
                <w:szCs w:val="22"/>
              </w:rPr>
            </w:pPr>
            <w:r w:rsidRPr="00590C6D">
              <w:rPr>
                <w:rFonts w:ascii="Lato" w:hAnsi="Lato"/>
                <w:sz w:val="22"/>
                <w:szCs w:val="22"/>
              </w:rPr>
              <w:t xml:space="preserve">section </w:t>
            </w:r>
            <w:r w:rsidR="0042571B" w:rsidRPr="001362A6">
              <w:rPr>
                <w:rFonts w:ascii="Lato" w:hAnsi="Lato"/>
                <w:sz w:val="22"/>
                <w:szCs w:val="22"/>
              </w:rPr>
              <w:t>8(4) of the Investment Limited Partnership Act 1994</w:t>
            </w:r>
            <w:r w:rsidR="001970B6">
              <w:rPr>
                <w:rFonts w:ascii="Lato" w:hAnsi="Lato"/>
                <w:sz w:val="22"/>
                <w:szCs w:val="22"/>
              </w:rPr>
              <w:t>, as amended</w:t>
            </w:r>
          </w:p>
        </w:tc>
        <w:tc>
          <w:tcPr>
            <w:tcW w:w="1177" w:type="dxa"/>
            <w:gridSpan w:val="2"/>
            <w:tcBorders>
              <w:top w:val="single" w:sz="4" w:space="0" w:color="auto"/>
              <w:left w:val="nil"/>
              <w:bottom w:val="single" w:sz="4" w:space="0" w:color="auto"/>
              <w:right w:val="nil"/>
            </w:tcBorders>
          </w:tcPr>
          <w:p w14:paraId="40A615D5" w14:textId="77777777" w:rsidR="0042571B" w:rsidRPr="001362A6" w:rsidRDefault="0042571B">
            <w:pPr>
              <w:rPr>
                <w:rFonts w:ascii="Lato" w:hAnsi="Lato"/>
                <w:sz w:val="22"/>
                <w:szCs w:val="22"/>
              </w:rPr>
            </w:pPr>
          </w:p>
        </w:tc>
      </w:tr>
      <w:tr w:rsidR="009368F5" w:rsidRPr="001362A6" w14:paraId="4054C90A" w14:textId="77777777" w:rsidTr="00FF62DE">
        <w:trPr>
          <w:cantSplit/>
        </w:trPr>
        <w:tc>
          <w:tcPr>
            <w:tcW w:w="1204" w:type="dxa"/>
            <w:tcBorders>
              <w:top w:val="nil"/>
              <w:left w:val="nil"/>
              <w:bottom w:val="nil"/>
              <w:right w:val="nil"/>
            </w:tcBorders>
          </w:tcPr>
          <w:p w14:paraId="2C5E4E6B" w14:textId="77777777" w:rsidR="009368F5" w:rsidRPr="001362A6" w:rsidRDefault="009368F5">
            <w:pPr>
              <w:rPr>
                <w:rFonts w:ascii="Lato" w:hAnsi="Lato"/>
                <w:sz w:val="22"/>
                <w:szCs w:val="22"/>
              </w:rPr>
            </w:pPr>
          </w:p>
        </w:tc>
        <w:tc>
          <w:tcPr>
            <w:tcW w:w="8194" w:type="dxa"/>
            <w:gridSpan w:val="2"/>
            <w:tcBorders>
              <w:top w:val="nil"/>
              <w:left w:val="nil"/>
              <w:bottom w:val="nil"/>
              <w:right w:val="single" w:sz="4" w:space="0" w:color="auto"/>
            </w:tcBorders>
          </w:tcPr>
          <w:p w14:paraId="38F33A96" w14:textId="77777777" w:rsidR="00342F03" w:rsidRPr="001362A6" w:rsidRDefault="00FF62DE" w:rsidP="00D605C6">
            <w:pPr>
              <w:numPr>
                <w:ilvl w:val="0"/>
                <w:numId w:val="27"/>
              </w:numPr>
              <w:rPr>
                <w:rFonts w:ascii="Lato" w:hAnsi="Lato"/>
                <w:sz w:val="22"/>
                <w:szCs w:val="22"/>
              </w:rPr>
            </w:pPr>
            <w:r w:rsidRPr="001362A6">
              <w:rPr>
                <w:rFonts w:ascii="Lato" w:hAnsi="Lato"/>
                <w:sz w:val="22"/>
                <w:szCs w:val="22"/>
              </w:rPr>
              <w:t>Authorisation fee</w:t>
            </w:r>
          </w:p>
        </w:tc>
        <w:tc>
          <w:tcPr>
            <w:tcW w:w="1177" w:type="dxa"/>
            <w:gridSpan w:val="2"/>
            <w:tcBorders>
              <w:top w:val="single" w:sz="4" w:space="0" w:color="auto"/>
              <w:left w:val="single" w:sz="4" w:space="0" w:color="auto"/>
              <w:bottom w:val="single" w:sz="4" w:space="0" w:color="auto"/>
              <w:right w:val="single" w:sz="4" w:space="0" w:color="auto"/>
            </w:tcBorders>
          </w:tcPr>
          <w:p w14:paraId="661B4C8E" w14:textId="77777777" w:rsidR="009368F5" w:rsidRPr="001362A6" w:rsidRDefault="009368F5">
            <w:pPr>
              <w:rPr>
                <w:rFonts w:ascii="Lato" w:hAnsi="Lato"/>
                <w:sz w:val="22"/>
                <w:szCs w:val="22"/>
              </w:rPr>
            </w:pPr>
          </w:p>
        </w:tc>
      </w:tr>
      <w:tr w:rsidR="00E0074D" w:rsidRPr="001362A6" w14:paraId="5D3C35E1" w14:textId="77777777" w:rsidTr="00FF62DE">
        <w:trPr>
          <w:cantSplit/>
        </w:trPr>
        <w:tc>
          <w:tcPr>
            <w:tcW w:w="1204" w:type="dxa"/>
            <w:tcBorders>
              <w:top w:val="nil"/>
              <w:left w:val="nil"/>
              <w:bottom w:val="nil"/>
              <w:right w:val="nil"/>
            </w:tcBorders>
          </w:tcPr>
          <w:p w14:paraId="0FB15C3A" w14:textId="77777777" w:rsidR="00E0074D" w:rsidRPr="001362A6" w:rsidRDefault="00E0074D">
            <w:pPr>
              <w:rPr>
                <w:rFonts w:ascii="Lato" w:hAnsi="Lato"/>
                <w:sz w:val="22"/>
                <w:szCs w:val="22"/>
              </w:rPr>
            </w:pPr>
          </w:p>
        </w:tc>
        <w:tc>
          <w:tcPr>
            <w:tcW w:w="8194" w:type="dxa"/>
            <w:gridSpan w:val="2"/>
            <w:tcBorders>
              <w:top w:val="nil"/>
              <w:left w:val="nil"/>
              <w:bottom w:val="nil"/>
              <w:right w:val="nil"/>
            </w:tcBorders>
          </w:tcPr>
          <w:p w14:paraId="222BDD83" w14:textId="77777777" w:rsidR="00E0074D" w:rsidRPr="001362A6" w:rsidRDefault="00E0074D">
            <w:pPr>
              <w:rPr>
                <w:rFonts w:ascii="Lato" w:hAnsi="Lato"/>
                <w:sz w:val="22"/>
                <w:szCs w:val="22"/>
              </w:rPr>
            </w:pPr>
          </w:p>
        </w:tc>
        <w:tc>
          <w:tcPr>
            <w:tcW w:w="1177" w:type="dxa"/>
            <w:gridSpan w:val="2"/>
            <w:tcBorders>
              <w:top w:val="single" w:sz="4" w:space="0" w:color="auto"/>
              <w:left w:val="nil"/>
              <w:bottom w:val="nil"/>
              <w:right w:val="nil"/>
            </w:tcBorders>
          </w:tcPr>
          <w:p w14:paraId="07DDA629" w14:textId="77777777" w:rsidR="00E0074D" w:rsidRPr="001362A6" w:rsidRDefault="00E0074D">
            <w:pPr>
              <w:rPr>
                <w:rFonts w:ascii="Lato" w:hAnsi="Lato"/>
                <w:sz w:val="22"/>
                <w:szCs w:val="22"/>
              </w:rPr>
            </w:pPr>
          </w:p>
        </w:tc>
      </w:tr>
      <w:tr w:rsidR="00E0074D" w:rsidRPr="001362A6" w14:paraId="314E00A4" w14:textId="77777777" w:rsidTr="00AB716D">
        <w:trPr>
          <w:cantSplit/>
        </w:trPr>
        <w:tc>
          <w:tcPr>
            <w:tcW w:w="1204" w:type="dxa"/>
            <w:tcBorders>
              <w:top w:val="nil"/>
              <w:left w:val="nil"/>
              <w:bottom w:val="nil"/>
              <w:right w:val="nil"/>
            </w:tcBorders>
          </w:tcPr>
          <w:p w14:paraId="69EBE169" w14:textId="77777777" w:rsidR="00E0074D" w:rsidRPr="001362A6" w:rsidRDefault="00E0074D">
            <w:pPr>
              <w:rPr>
                <w:rFonts w:ascii="Lato" w:hAnsi="Lato"/>
                <w:sz w:val="22"/>
                <w:szCs w:val="22"/>
              </w:rPr>
            </w:pPr>
          </w:p>
        </w:tc>
        <w:tc>
          <w:tcPr>
            <w:tcW w:w="8194" w:type="dxa"/>
            <w:gridSpan w:val="2"/>
            <w:tcBorders>
              <w:top w:val="nil"/>
              <w:left w:val="nil"/>
              <w:bottom w:val="nil"/>
              <w:right w:val="nil"/>
            </w:tcBorders>
          </w:tcPr>
          <w:p w14:paraId="19336FD5" w14:textId="77777777" w:rsidR="00E0074D" w:rsidRPr="001362A6" w:rsidRDefault="00E0074D" w:rsidP="00572154">
            <w:pPr>
              <w:pStyle w:val="Heading8"/>
              <w:rPr>
                <w:rFonts w:ascii="Lato" w:hAnsi="Lato"/>
                <w:szCs w:val="22"/>
              </w:rPr>
            </w:pPr>
            <w:r w:rsidRPr="001362A6">
              <w:rPr>
                <w:rFonts w:ascii="Lato" w:hAnsi="Lato"/>
                <w:szCs w:val="22"/>
              </w:rPr>
              <w:t xml:space="preserve">Material Contracts, as applicable, duly executed </w:t>
            </w:r>
            <w:r w:rsidRPr="001362A6">
              <w:rPr>
                <w:rFonts w:ascii="Lato" w:hAnsi="Lato"/>
                <w:b w:val="0"/>
                <w:bCs w:val="0"/>
                <w:szCs w:val="22"/>
              </w:rPr>
              <w:t xml:space="preserve">(original signatures </w:t>
            </w:r>
            <w:r w:rsidR="00572154" w:rsidRPr="001362A6">
              <w:rPr>
                <w:rFonts w:ascii="Lato" w:hAnsi="Lato"/>
                <w:b w:val="0"/>
                <w:bCs w:val="0"/>
                <w:szCs w:val="22"/>
              </w:rPr>
              <w:t xml:space="preserve"> </w:t>
            </w:r>
            <w:r w:rsidR="00572154" w:rsidRPr="001362A6">
              <w:rPr>
                <w:rFonts w:ascii="Lato" w:hAnsi="Lato"/>
                <w:szCs w:val="22"/>
              </w:rPr>
              <w:t>required</w:t>
            </w:r>
            <w:r w:rsidR="00572154" w:rsidRPr="001362A6">
              <w:rPr>
                <w:rFonts w:ascii="Lato" w:hAnsi="Lato"/>
                <w:b w:val="0"/>
                <w:bCs w:val="0"/>
                <w:szCs w:val="22"/>
              </w:rPr>
              <w:t xml:space="preserve"> </w:t>
            </w:r>
            <w:r w:rsidRPr="001362A6">
              <w:rPr>
                <w:rFonts w:ascii="Lato" w:hAnsi="Lato"/>
                <w:b w:val="0"/>
                <w:bCs w:val="0"/>
                <w:szCs w:val="22"/>
              </w:rPr>
              <w:t xml:space="preserve">for Irish </w:t>
            </w:r>
            <w:r w:rsidR="00655286" w:rsidRPr="001362A6">
              <w:rPr>
                <w:rFonts w:ascii="Lato" w:hAnsi="Lato"/>
                <w:b w:val="0"/>
                <w:bCs w:val="0"/>
                <w:szCs w:val="22"/>
              </w:rPr>
              <w:t>parties</w:t>
            </w:r>
            <w:r w:rsidRPr="001362A6">
              <w:rPr>
                <w:rFonts w:ascii="Lato" w:hAnsi="Lato"/>
                <w:b w:val="0"/>
                <w:bCs w:val="0"/>
                <w:szCs w:val="22"/>
              </w:rPr>
              <w:t>)</w:t>
            </w:r>
          </w:p>
        </w:tc>
        <w:tc>
          <w:tcPr>
            <w:tcW w:w="1177" w:type="dxa"/>
            <w:gridSpan w:val="2"/>
            <w:tcBorders>
              <w:top w:val="nil"/>
              <w:left w:val="nil"/>
              <w:bottom w:val="single" w:sz="4" w:space="0" w:color="auto"/>
              <w:right w:val="nil"/>
            </w:tcBorders>
          </w:tcPr>
          <w:p w14:paraId="65560D6D" w14:textId="77777777" w:rsidR="00E0074D" w:rsidRPr="001362A6" w:rsidRDefault="00E0074D">
            <w:pPr>
              <w:rPr>
                <w:rFonts w:ascii="Lato" w:hAnsi="Lato"/>
                <w:sz w:val="22"/>
                <w:szCs w:val="22"/>
              </w:rPr>
            </w:pPr>
          </w:p>
        </w:tc>
      </w:tr>
      <w:tr w:rsidR="00E0074D" w:rsidRPr="001362A6" w14:paraId="5C63DE52" w14:textId="77777777" w:rsidTr="00AB716D">
        <w:trPr>
          <w:cantSplit/>
        </w:trPr>
        <w:tc>
          <w:tcPr>
            <w:tcW w:w="1204" w:type="dxa"/>
            <w:tcBorders>
              <w:top w:val="nil"/>
              <w:left w:val="nil"/>
              <w:bottom w:val="nil"/>
              <w:right w:val="nil"/>
            </w:tcBorders>
          </w:tcPr>
          <w:p w14:paraId="187B5897" w14:textId="77777777" w:rsidR="00E0074D" w:rsidRPr="001362A6" w:rsidRDefault="00E0074D">
            <w:pPr>
              <w:rPr>
                <w:rFonts w:ascii="Lato" w:hAnsi="Lato"/>
                <w:sz w:val="22"/>
                <w:szCs w:val="22"/>
              </w:rPr>
            </w:pPr>
          </w:p>
        </w:tc>
        <w:tc>
          <w:tcPr>
            <w:tcW w:w="8194" w:type="dxa"/>
            <w:gridSpan w:val="2"/>
            <w:tcBorders>
              <w:top w:val="nil"/>
              <w:left w:val="nil"/>
              <w:bottom w:val="nil"/>
              <w:right w:val="single" w:sz="4" w:space="0" w:color="auto"/>
            </w:tcBorders>
          </w:tcPr>
          <w:p w14:paraId="4F02577F" w14:textId="77777777" w:rsidR="00E0074D" w:rsidRPr="001362A6" w:rsidRDefault="00E0074D" w:rsidP="00CA3C8A">
            <w:pPr>
              <w:numPr>
                <w:ilvl w:val="0"/>
                <w:numId w:val="21"/>
              </w:numPr>
              <w:rPr>
                <w:rFonts w:ascii="Lato" w:hAnsi="Lato"/>
                <w:sz w:val="22"/>
                <w:szCs w:val="22"/>
              </w:rPr>
            </w:pPr>
            <w:r w:rsidRPr="001362A6">
              <w:rPr>
                <w:rFonts w:ascii="Lato" w:hAnsi="Lato"/>
                <w:sz w:val="22"/>
                <w:szCs w:val="22"/>
              </w:rPr>
              <w:t xml:space="preserve">Management Agreement </w:t>
            </w:r>
            <w:r w:rsidR="00E04D7C" w:rsidRPr="001362A6">
              <w:rPr>
                <w:rFonts w:ascii="Lato" w:hAnsi="Lato"/>
                <w:sz w:val="22"/>
                <w:szCs w:val="22"/>
              </w:rPr>
              <w:t xml:space="preserve"> </w:t>
            </w:r>
          </w:p>
        </w:tc>
        <w:tc>
          <w:tcPr>
            <w:tcW w:w="1177" w:type="dxa"/>
            <w:gridSpan w:val="2"/>
            <w:tcBorders>
              <w:top w:val="single" w:sz="4" w:space="0" w:color="auto"/>
              <w:left w:val="single" w:sz="4" w:space="0" w:color="auto"/>
              <w:right w:val="single" w:sz="4" w:space="0" w:color="auto"/>
            </w:tcBorders>
          </w:tcPr>
          <w:p w14:paraId="27E37748" w14:textId="77777777" w:rsidR="00E0074D" w:rsidRPr="001362A6" w:rsidRDefault="00E0074D">
            <w:pPr>
              <w:rPr>
                <w:rFonts w:ascii="Lato" w:hAnsi="Lato"/>
                <w:sz w:val="22"/>
                <w:szCs w:val="22"/>
              </w:rPr>
            </w:pPr>
          </w:p>
        </w:tc>
      </w:tr>
      <w:tr w:rsidR="002667F0" w:rsidRPr="001362A6" w14:paraId="484E638F" w14:textId="77777777" w:rsidTr="00AB716D">
        <w:trPr>
          <w:cantSplit/>
        </w:trPr>
        <w:tc>
          <w:tcPr>
            <w:tcW w:w="1204" w:type="dxa"/>
            <w:tcBorders>
              <w:top w:val="nil"/>
              <w:left w:val="nil"/>
              <w:bottom w:val="nil"/>
              <w:right w:val="nil"/>
            </w:tcBorders>
          </w:tcPr>
          <w:p w14:paraId="7E54CF78" w14:textId="77777777" w:rsidR="002667F0" w:rsidRPr="001362A6" w:rsidRDefault="002667F0">
            <w:pPr>
              <w:rPr>
                <w:rFonts w:ascii="Lato" w:hAnsi="Lato"/>
                <w:sz w:val="22"/>
                <w:szCs w:val="22"/>
              </w:rPr>
            </w:pPr>
          </w:p>
        </w:tc>
        <w:tc>
          <w:tcPr>
            <w:tcW w:w="8194" w:type="dxa"/>
            <w:gridSpan w:val="2"/>
            <w:tcBorders>
              <w:top w:val="nil"/>
              <w:left w:val="nil"/>
              <w:bottom w:val="nil"/>
              <w:right w:val="single" w:sz="4" w:space="0" w:color="auto"/>
            </w:tcBorders>
          </w:tcPr>
          <w:p w14:paraId="16A82D13" w14:textId="77777777" w:rsidR="002667F0" w:rsidRPr="001362A6" w:rsidRDefault="002667F0" w:rsidP="00CA3C8A">
            <w:pPr>
              <w:numPr>
                <w:ilvl w:val="0"/>
                <w:numId w:val="21"/>
              </w:numPr>
              <w:rPr>
                <w:rFonts w:ascii="Lato" w:hAnsi="Lato"/>
                <w:sz w:val="22"/>
                <w:szCs w:val="22"/>
              </w:rPr>
            </w:pPr>
            <w:r w:rsidRPr="001362A6">
              <w:rPr>
                <w:rFonts w:ascii="Lato" w:hAnsi="Lato"/>
                <w:sz w:val="22"/>
                <w:szCs w:val="22"/>
              </w:rPr>
              <w:t>AIFM Agreement</w:t>
            </w:r>
          </w:p>
        </w:tc>
        <w:tc>
          <w:tcPr>
            <w:tcW w:w="1177" w:type="dxa"/>
            <w:gridSpan w:val="2"/>
            <w:tcBorders>
              <w:top w:val="single" w:sz="4" w:space="0" w:color="auto"/>
              <w:left w:val="single" w:sz="4" w:space="0" w:color="auto"/>
              <w:right w:val="single" w:sz="4" w:space="0" w:color="auto"/>
            </w:tcBorders>
          </w:tcPr>
          <w:p w14:paraId="4CD5FCC1" w14:textId="77777777" w:rsidR="002667F0" w:rsidRPr="001362A6" w:rsidRDefault="002667F0">
            <w:pPr>
              <w:rPr>
                <w:rFonts w:ascii="Lato" w:hAnsi="Lato"/>
                <w:sz w:val="22"/>
                <w:szCs w:val="22"/>
              </w:rPr>
            </w:pPr>
          </w:p>
        </w:tc>
      </w:tr>
      <w:tr w:rsidR="00E0074D" w:rsidRPr="001362A6" w14:paraId="59642D9E" w14:textId="77777777" w:rsidTr="00AB716D">
        <w:trPr>
          <w:cantSplit/>
        </w:trPr>
        <w:tc>
          <w:tcPr>
            <w:tcW w:w="1204" w:type="dxa"/>
            <w:tcBorders>
              <w:top w:val="nil"/>
              <w:left w:val="nil"/>
              <w:bottom w:val="nil"/>
              <w:right w:val="nil"/>
            </w:tcBorders>
          </w:tcPr>
          <w:p w14:paraId="024E50ED" w14:textId="77777777" w:rsidR="00E0074D" w:rsidRPr="001362A6" w:rsidRDefault="00E0074D">
            <w:pPr>
              <w:rPr>
                <w:rFonts w:ascii="Lato" w:hAnsi="Lato"/>
                <w:sz w:val="22"/>
                <w:szCs w:val="22"/>
              </w:rPr>
            </w:pPr>
          </w:p>
        </w:tc>
        <w:tc>
          <w:tcPr>
            <w:tcW w:w="8194" w:type="dxa"/>
            <w:gridSpan w:val="2"/>
            <w:tcBorders>
              <w:top w:val="nil"/>
              <w:left w:val="nil"/>
              <w:bottom w:val="nil"/>
              <w:right w:val="single" w:sz="4" w:space="0" w:color="auto"/>
            </w:tcBorders>
          </w:tcPr>
          <w:p w14:paraId="11833DC3" w14:textId="77777777" w:rsidR="00E0074D" w:rsidRPr="001362A6" w:rsidRDefault="00E0074D" w:rsidP="00CA3C8A">
            <w:pPr>
              <w:numPr>
                <w:ilvl w:val="0"/>
                <w:numId w:val="21"/>
              </w:numPr>
              <w:rPr>
                <w:rFonts w:ascii="Lato" w:hAnsi="Lato"/>
                <w:sz w:val="22"/>
                <w:szCs w:val="22"/>
              </w:rPr>
            </w:pPr>
            <w:r w:rsidRPr="001362A6">
              <w:rPr>
                <w:rFonts w:ascii="Lato" w:hAnsi="Lato"/>
                <w:sz w:val="22"/>
                <w:szCs w:val="22"/>
              </w:rPr>
              <w:t>Investment Management Agreement</w:t>
            </w:r>
          </w:p>
        </w:tc>
        <w:tc>
          <w:tcPr>
            <w:tcW w:w="1177" w:type="dxa"/>
            <w:gridSpan w:val="2"/>
            <w:tcBorders>
              <w:top w:val="single" w:sz="4" w:space="0" w:color="auto"/>
              <w:left w:val="single" w:sz="4" w:space="0" w:color="auto"/>
              <w:bottom w:val="single" w:sz="4" w:space="0" w:color="auto"/>
              <w:right w:val="single" w:sz="4" w:space="0" w:color="auto"/>
            </w:tcBorders>
          </w:tcPr>
          <w:p w14:paraId="72E51504" w14:textId="77777777" w:rsidR="00E0074D" w:rsidRPr="001362A6" w:rsidRDefault="00E0074D">
            <w:pPr>
              <w:rPr>
                <w:rFonts w:ascii="Lato" w:hAnsi="Lato"/>
                <w:sz w:val="22"/>
                <w:szCs w:val="22"/>
              </w:rPr>
            </w:pPr>
          </w:p>
        </w:tc>
      </w:tr>
      <w:tr w:rsidR="00D20B4D" w:rsidRPr="001362A6" w14:paraId="59BBB7DA" w14:textId="77777777" w:rsidTr="00AB716D">
        <w:trPr>
          <w:cantSplit/>
        </w:trPr>
        <w:tc>
          <w:tcPr>
            <w:tcW w:w="1204" w:type="dxa"/>
            <w:tcBorders>
              <w:top w:val="nil"/>
              <w:left w:val="nil"/>
              <w:bottom w:val="nil"/>
              <w:right w:val="nil"/>
            </w:tcBorders>
          </w:tcPr>
          <w:p w14:paraId="7336E747" w14:textId="77777777" w:rsidR="00D20B4D" w:rsidRPr="001362A6" w:rsidRDefault="00D20B4D">
            <w:pPr>
              <w:rPr>
                <w:rFonts w:ascii="Lato" w:hAnsi="Lato"/>
                <w:sz w:val="22"/>
                <w:szCs w:val="22"/>
              </w:rPr>
            </w:pPr>
          </w:p>
        </w:tc>
        <w:tc>
          <w:tcPr>
            <w:tcW w:w="8194" w:type="dxa"/>
            <w:gridSpan w:val="2"/>
            <w:tcBorders>
              <w:top w:val="nil"/>
              <w:left w:val="nil"/>
              <w:bottom w:val="nil"/>
              <w:right w:val="single" w:sz="4" w:space="0" w:color="auto"/>
            </w:tcBorders>
          </w:tcPr>
          <w:p w14:paraId="1C5389AE" w14:textId="77777777" w:rsidR="00D20B4D" w:rsidRPr="001362A6" w:rsidRDefault="00D20B4D" w:rsidP="00CA3C8A">
            <w:pPr>
              <w:numPr>
                <w:ilvl w:val="0"/>
                <w:numId w:val="21"/>
              </w:numPr>
              <w:rPr>
                <w:rFonts w:ascii="Lato" w:hAnsi="Lato"/>
                <w:sz w:val="22"/>
                <w:szCs w:val="22"/>
              </w:rPr>
            </w:pPr>
            <w:r w:rsidRPr="001362A6">
              <w:rPr>
                <w:rFonts w:ascii="Lato" w:hAnsi="Lato"/>
                <w:sz w:val="22"/>
                <w:szCs w:val="22"/>
              </w:rPr>
              <w:t>Depositary Agreement</w:t>
            </w:r>
          </w:p>
        </w:tc>
        <w:tc>
          <w:tcPr>
            <w:tcW w:w="1177" w:type="dxa"/>
            <w:gridSpan w:val="2"/>
            <w:tcBorders>
              <w:top w:val="single" w:sz="4" w:space="0" w:color="auto"/>
              <w:left w:val="single" w:sz="4" w:space="0" w:color="auto"/>
              <w:bottom w:val="single" w:sz="4" w:space="0" w:color="auto"/>
              <w:right w:val="single" w:sz="4" w:space="0" w:color="auto"/>
            </w:tcBorders>
          </w:tcPr>
          <w:p w14:paraId="4BD5877E" w14:textId="77777777" w:rsidR="00D20B4D" w:rsidRPr="001362A6" w:rsidRDefault="00D20B4D">
            <w:pPr>
              <w:rPr>
                <w:rFonts w:ascii="Lato" w:hAnsi="Lato"/>
                <w:sz w:val="22"/>
                <w:szCs w:val="22"/>
              </w:rPr>
            </w:pPr>
          </w:p>
        </w:tc>
      </w:tr>
      <w:tr w:rsidR="00E0074D" w:rsidRPr="001362A6" w14:paraId="2FE4E42F" w14:textId="77777777" w:rsidTr="00AB716D">
        <w:trPr>
          <w:cantSplit/>
        </w:trPr>
        <w:tc>
          <w:tcPr>
            <w:tcW w:w="1204" w:type="dxa"/>
            <w:tcBorders>
              <w:top w:val="nil"/>
              <w:left w:val="nil"/>
              <w:bottom w:val="nil"/>
              <w:right w:val="nil"/>
            </w:tcBorders>
          </w:tcPr>
          <w:p w14:paraId="11890030" w14:textId="77777777" w:rsidR="00E0074D" w:rsidRPr="001362A6" w:rsidRDefault="00E0074D">
            <w:pPr>
              <w:rPr>
                <w:rFonts w:ascii="Lato" w:hAnsi="Lato"/>
                <w:sz w:val="22"/>
                <w:szCs w:val="22"/>
              </w:rPr>
            </w:pPr>
          </w:p>
        </w:tc>
        <w:tc>
          <w:tcPr>
            <w:tcW w:w="8194" w:type="dxa"/>
            <w:gridSpan w:val="2"/>
            <w:tcBorders>
              <w:top w:val="nil"/>
              <w:left w:val="nil"/>
              <w:bottom w:val="nil"/>
              <w:right w:val="single" w:sz="4" w:space="0" w:color="auto"/>
            </w:tcBorders>
          </w:tcPr>
          <w:p w14:paraId="4FD8EAAF" w14:textId="77777777" w:rsidR="00E0074D" w:rsidRPr="001362A6" w:rsidRDefault="00E0074D" w:rsidP="00CA3C8A">
            <w:pPr>
              <w:pStyle w:val="Heading8"/>
              <w:numPr>
                <w:ilvl w:val="0"/>
                <w:numId w:val="21"/>
              </w:numPr>
              <w:rPr>
                <w:rFonts w:ascii="Lato" w:hAnsi="Lato"/>
                <w:szCs w:val="22"/>
              </w:rPr>
            </w:pPr>
            <w:r w:rsidRPr="001362A6">
              <w:rPr>
                <w:rFonts w:ascii="Lato" w:hAnsi="Lato"/>
                <w:b w:val="0"/>
                <w:bCs w:val="0"/>
                <w:szCs w:val="22"/>
                <w:u w:val="none"/>
              </w:rPr>
              <w:t>Administration Agreement</w:t>
            </w:r>
          </w:p>
        </w:tc>
        <w:tc>
          <w:tcPr>
            <w:tcW w:w="1177" w:type="dxa"/>
            <w:gridSpan w:val="2"/>
            <w:tcBorders>
              <w:top w:val="single" w:sz="4" w:space="0" w:color="auto"/>
              <w:left w:val="single" w:sz="4" w:space="0" w:color="auto"/>
              <w:bottom w:val="single" w:sz="4" w:space="0" w:color="auto"/>
              <w:right w:val="single" w:sz="4" w:space="0" w:color="auto"/>
            </w:tcBorders>
          </w:tcPr>
          <w:p w14:paraId="4FB00CB9" w14:textId="77777777" w:rsidR="00E0074D" w:rsidRPr="001362A6" w:rsidRDefault="00E0074D">
            <w:pPr>
              <w:rPr>
                <w:rFonts w:ascii="Lato" w:hAnsi="Lato"/>
                <w:sz w:val="22"/>
                <w:szCs w:val="22"/>
              </w:rPr>
            </w:pPr>
          </w:p>
        </w:tc>
      </w:tr>
      <w:tr w:rsidR="00E0074D" w:rsidRPr="001362A6" w14:paraId="1CCF4EFE" w14:textId="77777777" w:rsidTr="00AB716D">
        <w:trPr>
          <w:cantSplit/>
        </w:trPr>
        <w:tc>
          <w:tcPr>
            <w:tcW w:w="1204" w:type="dxa"/>
            <w:tcBorders>
              <w:top w:val="nil"/>
              <w:left w:val="nil"/>
              <w:bottom w:val="nil"/>
              <w:right w:val="nil"/>
            </w:tcBorders>
          </w:tcPr>
          <w:p w14:paraId="7B12A3C8" w14:textId="77777777" w:rsidR="00E0074D" w:rsidRPr="001362A6" w:rsidRDefault="00E0074D">
            <w:pPr>
              <w:rPr>
                <w:rFonts w:ascii="Lato" w:hAnsi="Lato"/>
                <w:sz w:val="22"/>
                <w:szCs w:val="22"/>
              </w:rPr>
            </w:pPr>
          </w:p>
        </w:tc>
        <w:tc>
          <w:tcPr>
            <w:tcW w:w="8194" w:type="dxa"/>
            <w:gridSpan w:val="2"/>
            <w:tcBorders>
              <w:top w:val="nil"/>
              <w:left w:val="nil"/>
              <w:bottom w:val="nil"/>
              <w:right w:val="single" w:sz="4" w:space="0" w:color="auto"/>
            </w:tcBorders>
          </w:tcPr>
          <w:p w14:paraId="15221F27" w14:textId="77777777" w:rsidR="00E0074D" w:rsidRPr="001362A6" w:rsidRDefault="00E0074D" w:rsidP="00CA3C8A">
            <w:pPr>
              <w:numPr>
                <w:ilvl w:val="0"/>
                <w:numId w:val="21"/>
              </w:numPr>
              <w:rPr>
                <w:rFonts w:ascii="Lato" w:hAnsi="Lato"/>
                <w:sz w:val="22"/>
                <w:szCs w:val="22"/>
              </w:rPr>
            </w:pPr>
            <w:r w:rsidRPr="001362A6">
              <w:rPr>
                <w:rFonts w:ascii="Lato" w:hAnsi="Lato"/>
                <w:sz w:val="22"/>
                <w:szCs w:val="22"/>
              </w:rPr>
              <w:t>Transfer Agent Agreement</w:t>
            </w:r>
          </w:p>
        </w:tc>
        <w:tc>
          <w:tcPr>
            <w:tcW w:w="1177" w:type="dxa"/>
            <w:gridSpan w:val="2"/>
            <w:tcBorders>
              <w:top w:val="single" w:sz="4" w:space="0" w:color="auto"/>
              <w:left w:val="single" w:sz="4" w:space="0" w:color="auto"/>
              <w:bottom w:val="single" w:sz="4" w:space="0" w:color="auto"/>
              <w:right w:val="single" w:sz="4" w:space="0" w:color="auto"/>
            </w:tcBorders>
          </w:tcPr>
          <w:p w14:paraId="5911D96F" w14:textId="77777777" w:rsidR="00E0074D" w:rsidRPr="001362A6" w:rsidRDefault="00E0074D">
            <w:pPr>
              <w:rPr>
                <w:rFonts w:ascii="Lato" w:hAnsi="Lato"/>
                <w:sz w:val="22"/>
                <w:szCs w:val="22"/>
              </w:rPr>
            </w:pPr>
          </w:p>
        </w:tc>
      </w:tr>
      <w:tr w:rsidR="00E0074D" w:rsidRPr="001362A6" w14:paraId="79451248" w14:textId="77777777" w:rsidTr="00AB716D">
        <w:trPr>
          <w:cantSplit/>
        </w:trPr>
        <w:tc>
          <w:tcPr>
            <w:tcW w:w="1204" w:type="dxa"/>
            <w:tcBorders>
              <w:top w:val="nil"/>
              <w:left w:val="nil"/>
              <w:bottom w:val="nil"/>
              <w:right w:val="nil"/>
            </w:tcBorders>
          </w:tcPr>
          <w:p w14:paraId="58162DAE" w14:textId="77777777" w:rsidR="00E0074D" w:rsidRPr="001362A6" w:rsidRDefault="00E0074D">
            <w:pPr>
              <w:rPr>
                <w:rFonts w:ascii="Lato" w:hAnsi="Lato"/>
                <w:sz w:val="22"/>
                <w:szCs w:val="22"/>
              </w:rPr>
            </w:pPr>
          </w:p>
        </w:tc>
        <w:tc>
          <w:tcPr>
            <w:tcW w:w="8194" w:type="dxa"/>
            <w:gridSpan w:val="2"/>
            <w:tcBorders>
              <w:top w:val="nil"/>
              <w:left w:val="nil"/>
              <w:bottom w:val="nil"/>
              <w:right w:val="single" w:sz="4" w:space="0" w:color="auto"/>
            </w:tcBorders>
          </w:tcPr>
          <w:p w14:paraId="65E34A05" w14:textId="77777777" w:rsidR="00E0074D" w:rsidRPr="001362A6" w:rsidRDefault="00E0074D" w:rsidP="00CA3C8A">
            <w:pPr>
              <w:pStyle w:val="Heading8"/>
              <w:numPr>
                <w:ilvl w:val="0"/>
                <w:numId w:val="21"/>
              </w:numPr>
              <w:rPr>
                <w:rFonts w:ascii="Lato" w:hAnsi="Lato"/>
                <w:szCs w:val="22"/>
              </w:rPr>
            </w:pPr>
            <w:r w:rsidRPr="001362A6">
              <w:rPr>
                <w:rFonts w:ascii="Lato" w:hAnsi="Lato"/>
                <w:b w:val="0"/>
                <w:bCs w:val="0"/>
                <w:szCs w:val="22"/>
                <w:u w:val="none"/>
              </w:rPr>
              <w:t>Investment Advis</w:t>
            </w:r>
            <w:r w:rsidR="00825022" w:rsidRPr="001362A6">
              <w:rPr>
                <w:rFonts w:ascii="Lato" w:hAnsi="Lato"/>
                <w:b w:val="0"/>
                <w:bCs w:val="0"/>
                <w:szCs w:val="22"/>
                <w:u w:val="none"/>
              </w:rPr>
              <w:t>o</w:t>
            </w:r>
            <w:r w:rsidRPr="001362A6">
              <w:rPr>
                <w:rFonts w:ascii="Lato" w:hAnsi="Lato"/>
                <w:b w:val="0"/>
                <w:bCs w:val="0"/>
                <w:szCs w:val="22"/>
                <w:u w:val="none"/>
              </w:rPr>
              <w:t>r</w:t>
            </w:r>
            <w:r w:rsidR="00825022" w:rsidRPr="001362A6">
              <w:rPr>
                <w:rFonts w:ascii="Lato" w:hAnsi="Lato"/>
                <w:b w:val="0"/>
                <w:bCs w:val="0"/>
                <w:szCs w:val="22"/>
                <w:u w:val="none"/>
              </w:rPr>
              <w:t>y</w:t>
            </w:r>
            <w:r w:rsidRPr="001362A6">
              <w:rPr>
                <w:rFonts w:ascii="Lato" w:hAnsi="Lato"/>
                <w:b w:val="0"/>
                <w:bCs w:val="0"/>
                <w:szCs w:val="22"/>
                <w:u w:val="none"/>
              </w:rPr>
              <w:t xml:space="preserve"> Agreement</w:t>
            </w:r>
          </w:p>
        </w:tc>
        <w:tc>
          <w:tcPr>
            <w:tcW w:w="1177" w:type="dxa"/>
            <w:gridSpan w:val="2"/>
            <w:tcBorders>
              <w:top w:val="single" w:sz="4" w:space="0" w:color="auto"/>
              <w:left w:val="single" w:sz="4" w:space="0" w:color="auto"/>
              <w:bottom w:val="single" w:sz="4" w:space="0" w:color="auto"/>
              <w:right w:val="single" w:sz="4" w:space="0" w:color="auto"/>
            </w:tcBorders>
          </w:tcPr>
          <w:p w14:paraId="5B9B8B8A" w14:textId="77777777" w:rsidR="00E0074D" w:rsidRPr="001362A6" w:rsidRDefault="00E0074D">
            <w:pPr>
              <w:rPr>
                <w:rFonts w:ascii="Lato" w:hAnsi="Lato"/>
                <w:sz w:val="22"/>
                <w:szCs w:val="22"/>
              </w:rPr>
            </w:pPr>
          </w:p>
        </w:tc>
      </w:tr>
      <w:tr w:rsidR="00E0074D" w:rsidRPr="001362A6" w14:paraId="7242A197" w14:textId="77777777" w:rsidTr="00AB716D">
        <w:trPr>
          <w:cantSplit/>
          <w:trHeight w:val="268"/>
        </w:trPr>
        <w:tc>
          <w:tcPr>
            <w:tcW w:w="1204" w:type="dxa"/>
            <w:tcBorders>
              <w:top w:val="nil"/>
              <w:left w:val="nil"/>
              <w:bottom w:val="nil"/>
              <w:right w:val="nil"/>
            </w:tcBorders>
          </w:tcPr>
          <w:p w14:paraId="69DB5C99" w14:textId="77777777" w:rsidR="00E0074D" w:rsidRPr="001362A6" w:rsidRDefault="00E0074D">
            <w:pPr>
              <w:rPr>
                <w:rFonts w:ascii="Lato" w:hAnsi="Lato"/>
                <w:sz w:val="22"/>
                <w:szCs w:val="22"/>
              </w:rPr>
            </w:pPr>
          </w:p>
        </w:tc>
        <w:tc>
          <w:tcPr>
            <w:tcW w:w="8194" w:type="dxa"/>
            <w:gridSpan w:val="2"/>
            <w:tcBorders>
              <w:top w:val="nil"/>
              <w:left w:val="nil"/>
              <w:bottom w:val="nil"/>
              <w:right w:val="single" w:sz="4" w:space="0" w:color="auto"/>
            </w:tcBorders>
          </w:tcPr>
          <w:p w14:paraId="1F7C50F2" w14:textId="77777777" w:rsidR="00E0074D" w:rsidRPr="001362A6" w:rsidRDefault="00E0074D" w:rsidP="00CA3C8A">
            <w:pPr>
              <w:numPr>
                <w:ilvl w:val="0"/>
                <w:numId w:val="21"/>
              </w:numPr>
              <w:rPr>
                <w:rFonts w:ascii="Lato" w:hAnsi="Lato"/>
                <w:sz w:val="22"/>
                <w:szCs w:val="22"/>
              </w:rPr>
            </w:pPr>
            <w:r w:rsidRPr="001362A6">
              <w:rPr>
                <w:rFonts w:ascii="Lato" w:hAnsi="Lato"/>
                <w:sz w:val="22"/>
                <w:szCs w:val="22"/>
              </w:rPr>
              <w:t xml:space="preserve">Distribution/Paying Agent/Representative Agent Agreement </w:t>
            </w:r>
          </w:p>
        </w:tc>
        <w:tc>
          <w:tcPr>
            <w:tcW w:w="1177" w:type="dxa"/>
            <w:gridSpan w:val="2"/>
            <w:tcBorders>
              <w:top w:val="single" w:sz="4" w:space="0" w:color="auto"/>
              <w:left w:val="single" w:sz="4" w:space="0" w:color="auto"/>
              <w:bottom w:val="single" w:sz="4" w:space="0" w:color="auto"/>
              <w:right w:val="single" w:sz="4" w:space="0" w:color="auto"/>
            </w:tcBorders>
          </w:tcPr>
          <w:p w14:paraId="7F3A14F3" w14:textId="77777777" w:rsidR="00E0074D" w:rsidRPr="001362A6" w:rsidRDefault="00E0074D">
            <w:pPr>
              <w:rPr>
                <w:rFonts w:ascii="Lato" w:hAnsi="Lato"/>
                <w:sz w:val="22"/>
                <w:szCs w:val="22"/>
              </w:rPr>
            </w:pPr>
          </w:p>
        </w:tc>
      </w:tr>
      <w:tr w:rsidR="004E0507" w:rsidRPr="001362A6" w14:paraId="4F5A5035" w14:textId="77777777" w:rsidTr="00AB716D">
        <w:trPr>
          <w:cantSplit/>
          <w:trHeight w:val="268"/>
        </w:trPr>
        <w:tc>
          <w:tcPr>
            <w:tcW w:w="1204" w:type="dxa"/>
            <w:tcBorders>
              <w:top w:val="nil"/>
              <w:left w:val="nil"/>
              <w:bottom w:val="nil"/>
              <w:right w:val="nil"/>
            </w:tcBorders>
          </w:tcPr>
          <w:p w14:paraId="013E0CAE" w14:textId="77777777" w:rsidR="004E0507" w:rsidRPr="001362A6" w:rsidRDefault="004E0507">
            <w:pPr>
              <w:rPr>
                <w:rFonts w:ascii="Lato" w:hAnsi="Lato"/>
                <w:sz w:val="22"/>
                <w:szCs w:val="22"/>
              </w:rPr>
            </w:pPr>
          </w:p>
        </w:tc>
        <w:tc>
          <w:tcPr>
            <w:tcW w:w="8194" w:type="dxa"/>
            <w:gridSpan w:val="2"/>
            <w:tcBorders>
              <w:top w:val="nil"/>
              <w:left w:val="nil"/>
              <w:bottom w:val="nil"/>
              <w:right w:val="single" w:sz="4" w:space="0" w:color="auto"/>
            </w:tcBorders>
          </w:tcPr>
          <w:p w14:paraId="44791533" w14:textId="77777777" w:rsidR="004E0507" w:rsidRPr="001362A6" w:rsidRDefault="004E0507" w:rsidP="00CA3C8A">
            <w:pPr>
              <w:numPr>
                <w:ilvl w:val="0"/>
                <w:numId w:val="21"/>
              </w:numPr>
              <w:rPr>
                <w:rFonts w:ascii="Lato" w:hAnsi="Lato"/>
                <w:sz w:val="22"/>
                <w:szCs w:val="22"/>
              </w:rPr>
            </w:pPr>
            <w:r w:rsidRPr="001362A6">
              <w:rPr>
                <w:rFonts w:ascii="Lato" w:hAnsi="Lato"/>
                <w:sz w:val="22"/>
                <w:szCs w:val="22"/>
              </w:rPr>
              <w:t>Prime Broker Agreement</w:t>
            </w:r>
          </w:p>
        </w:tc>
        <w:tc>
          <w:tcPr>
            <w:tcW w:w="1177" w:type="dxa"/>
            <w:gridSpan w:val="2"/>
            <w:tcBorders>
              <w:top w:val="single" w:sz="4" w:space="0" w:color="auto"/>
              <w:left w:val="single" w:sz="4" w:space="0" w:color="auto"/>
              <w:bottom w:val="single" w:sz="4" w:space="0" w:color="auto"/>
              <w:right w:val="single" w:sz="4" w:space="0" w:color="auto"/>
            </w:tcBorders>
          </w:tcPr>
          <w:p w14:paraId="742F22E3" w14:textId="77777777" w:rsidR="004E0507" w:rsidRPr="001362A6" w:rsidRDefault="004E0507">
            <w:pPr>
              <w:rPr>
                <w:rFonts w:ascii="Lato" w:hAnsi="Lato"/>
                <w:sz w:val="22"/>
                <w:szCs w:val="22"/>
              </w:rPr>
            </w:pPr>
          </w:p>
        </w:tc>
      </w:tr>
      <w:tr w:rsidR="003856B3" w:rsidRPr="001362A6" w14:paraId="7F68A77D" w14:textId="77777777" w:rsidTr="00AB716D">
        <w:trPr>
          <w:cantSplit/>
          <w:trHeight w:val="268"/>
        </w:trPr>
        <w:tc>
          <w:tcPr>
            <w:tcW w:w="1204" w:type="dxa"/>
            <w:tcBorders>
              <w:top w:val="nil"/>
              <w:left w:val="nil"/>
              <w:bottom w:val="nil"/>
              <w:right w:val="nil"/>
            </w:tcBorders>
          </w:tcPr>
          <w:p w14:paraId="56C3D0E7" w14:textId="77777777" w:rsidR="003856B3" w:rsidRPr="001362A6" w:rsidRDefault="003856B3">
            <w:pPr>
              <w:rPr>
                <w:rFonts w:ascii="Lato" w:hAnsi="Lato"/>
                <w:sz w:val="22"/>
                <w:szCs w:val="22"/>
              </w:rPr>
            </w:pPr>
          </w:p>
        </w:tc>
        <w:tc>
          <w:tcPr>
            <w:tcW w:w="8194" w:type="dxa"/>
            <w:gridSpan w:val="2"/>
            <w:tcBorders>
              <w:top w:val="nil"/>
              <w:left w:val="nil"/>
              <w:bottom w:val="nil"/>
              <w:right w:val="single" w:sz="4" w:space="0" w:color="auto"/>
            </w:tcBorders>
          </w:tcPr>
          <w:p w14:paraId="31320AFB" w14:textId="77777777" w:rsidR="003856B3" w:rsidRPr="001362A6" w:rsidRDefault="00F455DD" w:rsidP="00CA3C8A">
            <w:pPr>
              <w:numPr>
                <w:ilvl w:val="0"/>
                <w:numId w:val="21"/>
              </w:numPr>
              <w:rPr>
                <w:rFonts w:ascii="Lato" w:hAnsi="Lato"/>
                <w:sz w:val="22"/>
                <w:szCs w:val="22"/>
              </w:rPr>
            </w:pPr>
            <w:r w:rsidRPr="001362A6">
              <w:rPr>
                <w:rFonts w:ascii="Lato" w:hAnsi="Lato"/>
                <w:sz w:val="22"/>
                <w:szCs w:val="22"/>
              </w:rPr>
              <w:t>Sub-Depositary Agreement</w:t>
            </w:r>
          </w:p>
        </w:tc>
        <w:tc>
          <w:tcPr>
            <w:tcW w:w="1177" w:type="dxa"/>
            <w:gridSpan w:val="2"/>
            <w:tcBorders>
              <w:top w:val="single" w:sz="4" w:space="0" w:color="auto"/>
              <w:left w:val="single" w:sz="4" w:space="0" w:color="auto"/>
              <w:bottom w:val="single" w:sz="4" w:space="0" w:color="auto"/>
              <w:right w:val="single" w:sz="4" w:space="0" w:color="auto"/>
            </w:tcBorders>
          </w:tcPr>
          <w:p w14:paraId="67DC0996" w14:textId="77777777" w:rsidR="003856B3" w:rsidRPr="001362A6" w:rsidRDefault="003856B3">
            <w:pPr>
              <w:rPr>
                <w:rFonts w:ascii="Lato" w:hAnsi="Lato"/>
                <w:sz w:val="22"/>
                <w:szCs w:val="22"/>
              </w:rPr>
            </w:pPr>
          </w:p>
        </w:tc>
      </w:tr>
      <w:tr w:rsidR="00E0074D" w:rsidRPr="001362A6" w14:paraId="53A4741B" w14:textId="77777777" w:rsidTr="00AB716D">
        <w:tc>
          <w:tcPr>
            <w:tcW w:w="1204" w:type="dxa"/>
            <w:tcBorders>
              <w:top w:val="nil"/>
              <w:left w:val="nil"/>
              <w:bottom w:val="nil"/>
              <w:right w:val="nil"/>
            </w:tcBorders>
          </w:tcPr>
          <w:p w14:paraId="6CEE6B1B" w14:textId="77777777" w:rsidR="00E0074D" w:rsidRPr="001362A6" w:rsidRDefault="00E0074D">
            <w:pPr>
              <w:rPr>
                <w:rFonts w:ascii="Lato" w:hAnsi="Lato"/>
                <w:sz w:val="22"/>
                <w:szCs w:val="22"/>
              </w:rPr>
            </w:pPr>
          </w:p>
        </w:tc>
        <w:tc>
          <w:tcPr>
            <w:tcW w:w="8194" w:type="dxa"/>
            <w:gridSpan w:val="2"/>
            <w:tcBorders>
              <w:top w:val="nil"/>
              <w:left w:val="nil"/>
              <w:bottom w:val="nil"/>
              <w:right w:val="nil"/>
            </w:tcBorders>
          </w:tcPr>
          <w:p w14:paraId="118FDF07" w14:textId="77777777" w:rsidR="00E0074D" w:rsidRPr="001362A6" w:rsidRDefault="00E0074D">
            <w:pPr>
              <w:rPr>
                <w:rFonts w:ascii="Lato" w:hAnsi="Lato"/>
                <w:sz w:val="22"/>
                <w:szCs w:val="22"/>
              </w:rPr>
            </w:pPr>
          </w:p>
        </w:tc>
        <w:tc>
          <w:tcPr>
            <w:tcW w:w="411" w:type="dxa"/>
            <w:tcBorders>
              <w:top w:val="single" w:sz="4" w:space="0" w:color="auto"/>
              <w:left w:val="nil"/>
              <w:bottom w:val="nil"/>
              <w:right w:val="nil"/>
            </w:tcBorders>
          </w:tcPr>
          <w:p w14:paraId="576BB887" w14:textId="77777777" w:rsidR="00E0074D" w:rsidRPr="001362A6" w:rsidRDefault="00E0074D">
            <w:pPr>
              <w:rPr>
                <w:rFonts w:ascii="Lato" w:hAnsi="Lato"/>
                <w:sz w:val="22"/>
                <w:szCs w:val="22"/>
              </w:rPr>
            </w:pPr>
          </w:p>
        </w:tc>
        <w:tc>
          <w:tcPr>
            <w:tcW w:w="766" w:type="dxa"/>
            <w:tcBorders>
              <w:top w:val="single" w:sz="4" w:space="0" w:color="auto"/>
              <w:left w:val="nil"/>
              <w:bottom w:val="nil"/>
              <w:right w:val="nil"/>
            </w:tcBorders>
          </w:tcPr>
          <w:p w14:paraId="5A92FA98" w14:textId="77777777" w:rsidR="00E0074D" w:rsidRPr="001362A6" w:rsidRDefault="00E0074D">
            <w:pPr>
              <w:rPr>
                <w:rFonts w:ascii="Lato" w:hAnsi="Lato"/>
                <w:sz w:val="22"/>
                <w:szCs w:val="22"/>
              </w:rPr>
            </w:pPr>
          </w:p>
        </w:tc>
      </w:tr>
      <w:tr w:rsidR="00F26B2A" w:rsidRPr="001362A6" w14:paraId="09E32696" w14:textId="77777777" w:rsidTr="00AB716D">
        <w:tc>
          <w:tcPr>
            <w:tcW w:w="1204" w:type="dxa"/>
            <w:tcBorders>
              <w:top w:val="nil"/>
              <w:left w:val="nil"/>
              <w:bottom w:val="nil"/>
              <w:right w:val="nil"/>
            </w:tcBorders>
          </w:tcPr>
          <w:p w14:paraId="6707164F" w14:textId="77777777" w:rsidR="00F26B2A" w:rsidRPr="001362A6" w:rsidRDefault="00F26B2A">
            <w:pPr>
              <w:rPr>
                <w:rFonts w:ascii="Lato" w:hAnsi="Lato"/>
                <w:sz w:val="22"/>
                <w:szCs w:val="22"/>
              </w:rPr>
            </w:pPr>
          </w:p>
        </w:tc>
        <w:tc>
          <w:tcPr>
            <w:tcW w:w="8194" w:type="dxa"/>
            <w:gridSpan w:val="2"/>
            <w:tcBorders>
              <w:top w:val="nil"/>
              <w:left w:val="nil"/>
              <w:bottom w:val="nil"/>
              <w:right w:val="nil"/>
            </w:tcBorders>
          </w:tcPr>
          <w:p w14:paraId="15EFC120" w14:textId="77777777" w:rsidR="00F26B2A" w:rsidRPr="001362A6" w:rsidRDefault="00BC753B" w:rsidP="00BC753B">
            <w:pPr>
              <w:rPr>
                <w:rFonts w:ascii="Lato" w:hAnsi="Lato"/>
                <w:b/>
                <w:sz w:val="22"/>
                <w:szCs w:val="22"/>
              </w:rPr>
            </w:pPr>
            <w:r w:rsidRPr="001362A6">
              <w:rPr>
                <w:rFonts w:ascii="Lato" w:hAnsi="Lato"/>
                <w:b/>
                <w:sz w:val="22"/>
                <w:szCs w:val="22"/>
              </w:rPr>
              <w:t>Money Market Schemes</w:t>
            </w:r>
          </w:p>
        </w:tc>
        <w:tc>
          <w:tcPr>
            <w:tcW w:w="411" w:type="dxa"/>
            <w:tcBorders>
              <w:top w:val="nil"/>
              <w:left w:val="nil"/>
              <w:bottom w:val="nil"/>
              <w:right w:val="nil"/>
            </w:tcBorders>
          </w:tcPr>
          <w:p w14:paraId="29D095BC" w14:textId="77777777" w:rsidR="00F26B2A" w:rsidRPr="001362A6" w:rsidRDefault="00F26B2A">
            <w:pPr>
              <w:rPr>
                <w:rFonts w:ascii="Lato" w:hAnsi="Lato"/>
                <w:sz w:val="22"/>
                <w:szCs w:val="22"/>
              </w:rPr>
            </w:pPr>
          </w:p>
        </w:tc>
        <w:tc>
          <w:tcPr>
            <w:tcW w:w="766" w:type="dxa"/>
            <w:tcBorders>
              <w:top w:val="nil"/>
              <w:left w:val="nil"/>
              <w:bottom w:val="nil"/>
              <w:right w:val="nil"/>
            </w:tcBorders>
          </w:tcPr>
          <w:p w14:paraId="420D0E1C" w14:textId="77777777" w:rsidR="00F26B2A" w:rsidRPr="001362A6" w:rsidRDefault="00F26B2A">
            <w:pPr>
              <w:rPr>
                <w:rFonts w:ascii="Lato" w:hAnsi="Lato"/>
                <w:sz w:val="22"/>
                <w:szCs w:val="22"/>
              </w:rPr>
            </w:pPr>
          </w:p>
        </w:tc>
      </w:tr>
      <w:tr w:rsidR="00BC753B" w:rsidRPr="001362A6" w14:paraId="73077705" w14:textId="77777777" w:rsidTr="00D47A86">
        <w:tc>
          <w:tcPr>
            <w:tcW w:w="1204" w:type="dxa"/>
            <w:tcBorders>
              <w:top w:val="nil"/>
              <w:left w:val="nil"/>
              <w:bottom w:val="nil"/>
              <w:right w:val="nil"/>
            </w:tcBorders>
          </w:tcPr>
          <w:p w14:paraId="6A4BF6DF" w14:textId="77777777" w:rsidR="00BC753B" w:rsidRPr="001362A6" w:rsidRDefault="00BC753B">
            <w:pPr>
              <w:rPr>
                <w:rFonts w:ascii="Lato" w:hAnsi="Lato"/>
                <w:sz w:val="22"/>
                <w:szCs w:val="22"/>
              </w:rPr>
            </w:pPr>
          </w:p>
        </w:tc>
        <w:tc>
          <w:tcPr>
            <w:tcW w:w="8194" w:type="dxa"/>
            <w:gridSpan w:val="2"/>
            <w:tcBorders>
              <w:top w:val="nil"/>
              <w:left w:val="nil"/>
              <w:bottom w:val="nil"/>
              <w:right w:val="nil"/>
            </w:tcBorders>
          </w:tcPr>
          <w:p w14:paraId="7F4AB38E" w14:textId="77777777" w:rsidR="00BC753B" w:rsidRPr="001362A6" w:rsidRDefault="00BC753B" w:rsidP="00A70AEC">
            <w:pPr>
              <w:rPr>
                <w:rFonts w:ascii="Lato" w:hAnsi="Lato"/>
                <w:sz w:val="22"/>
                <w:szCs w:val="22"/>
              </w:rPr>
            </w:pPr>
            <w:r w:rsidRPr="001362A6">
              <w:rPr>
                <w:rFonts w:ascii="Lato" w:hAnsi="Lato"/>
                <w:sz w:val="22"/>
                <w:szCs w:val="22"/>
                <w:lang w:val="en-IE"/>
              </w:rPr>
              <w:t>A Short-Term Money Market Fund</w:t>
            </w:r>
            <w:r w:rsidR="005B47C0" w:rsidRPr="001362A6">
              <w:rPr>
                <w:rFonts w:ascii="Lato" w:hAnsi="Lato"/>
                <w:sz w:val="22"/>
                <w:szCs w:val="22"/>
                <w:lang w:val="en-IE"/>
              </w:rPr>
              <w:t xml:space="preserve"> (as per </w:t>
            </w:r>
            <w:r w:rsidR="0041483F" w:rsidRPr="001362A6">
              <w:rPr>
                <w:rFonts w:ascii="Lato" w:hAnsi="Lato"/>
                <w:sz w:val="22"/>
                <w:szCs w:val="22"/>
                <w:lang w:val="en-IE"/>
              </w:rPr>
              <w:t xml:space="preserve">the AIF </w:t>
            </w:r>
            <w:r w:rsidR="00705736" w:rsidRPr="001362A6">
              <w:rPr>
                <w:rFonts w:ascii="Lato" w:hAnsi="Lato"/>
                <w:sz w:val="22"/>
                <w:szCs w:val="22"/>
                <w:lang w:val="en-IE"/>
              </w:rPr>
              <w:t>Rulebook</w:t>
            </w:r>
            <w:r w:rsidR="005B47C0" w:rsidRPr="001362A6">
              <w:rPr>
                <w:rFonts w:ascii="Lato" w:hAnsi="Lato"/>
                <w:sz w:val="22"/>
                <w:szCs w:val="22"/>
                <w:lang w:val="en-IE"/>
              </w:rPr>
              <w:t>)</w:t>
            </w:r>
            <w:r w:rsidRPr="001362A6">
              <w:rPr>
                <w:rFonts w:ascii="Lato" w:hAnsi="Lato"/>
                <w:sz w:val="22"/>
                <w:szCs w:val="22"/>
                <w:lang w:val="en-IE"/>
              </w:rPr>
              <w:t xml:space="preserve"> which follow</w:t>
            </w:r>
            <w:r w:rsidR="005B47C0" w:rsidRPr="001362A6">
              <w:rPr>
                <w:rFonts w:ascii="Lato" w:hAnsi="Lato"/>
                <w:sz w:val="22"/>
                <w:szCs w:val="22"/>
                <w:lang w:val="en-IE"/>
              </w:rPr>
              <w:t>s</w:t>
            </w:r>
            <w:r w:rsidRPr="001362A6">
              <w:rPr>
                <w:rFonts w:ascii="Lato" w:hAnsi="Lato"/>
                <w:sz w:val="22"/>
                <w:szCs w:val="22"/>
                <w:lang w:val="en-IE"/>
              </w:rPr>
              <w:t xml:space="preserve"> an amortised cost valuation methodology </w:t>
            </w:r>
            <w:r w:rsidR="00050F27" w:rsidRPr="001362A6">
              <w:rPr>
                <w:rFonts w:ascii="Lato" w:hAnsi="Lato"/>
                <w:sz w:val="22"/>
                <w:szCs w:val="22"/>
                <w:lang w:val="en-IE"/>
              </w:rPr>
              <w:t>must:</w:t>
            </w:r>
            <w:r w:rsidR="00050F27" w:rsidRPr="001362A6" w:rsidDel="00050F27">
              <w:rPr>
                <w:rFonts w:ascii="Lato" w:hAnsi="Lato"/>
                <w:sz w:val="22"/>
                <w:szCs w:val="22"/>
                <w:lang w:val="en-IE"/>
              </w:rPr>
              <w:t xml:space="preserve"> </w:t>
            </w:r>
          </w:p>
        </w:tc>
        <w:tc>
          <w:tcPr>
            <w:tcW w:w="411" w:type="dxa"/>
            <w:tcBorders>
              <w:top w:val="nil"/>
              <w:left w:val="nil"/>
              <w:bottom w:val="nil"/>
              <w:right w:val="nil"/>
            </w:tcBorders>
          </w:tcPr>
          <w:p w14:paraId="6FD75A06" w14:textId="77777777" w:rsidR="00BC753B" w:rsidRPr="001362A6" w:rsidRDefault="00BC753B">
            <w:pPr>
              <w:rPr>
                <w:rFonts w:ascii="Lato" w:hAnsi="Lato"/>
                <w:sz w:val="22"/>
                <w:szCs w:val="22"/>
              </w:rPr>
            </w:pPr>
          </w:p>
        </w:tc>
        <w:tc>
          <w:tcPr>
            <w:tcW w:w="766" w:type="dxa"/>
            <w:tcBorders>
              <w:top w:val="nil"/>
              <w:left w:val="nil"/>
              <w:bottom w:val="nil"/>
              <w:right w:val="nil"/>
            </w:tcBorders>
          </w:tcPr>
          <w:p w14:paraId="33A599BB" w14:textId="77777777" w:rsidR="00BC753B" w:rsidRPr="001362A6" w:rsidRDefault="00BC753B">
            <w:pPr>
              <w:rPr>
                <w:rFonts w:ascii="Lato" w:hAnsi="Lato"/>
                <w:sz w:val="22"/>
                <w:szCs w:val="22"/>
              </w:rPr>
            </w:pPr>
          </w:p>
        </w:tc>
      </w:tr>
      <w:tr w:rsidR="00BC753B" w:rsidRPr="001362A6" w14:paraId="774D8BAF" w14:textId="77777777" w:rsidTr="00AB716D">
        <w:tc>
          <w:tcPr>
            <w:tcW w:w="1204" w:type="dxa"/>
            <w:tcBorders>
              <w:top w:val="nil"/>
              <w:left w:val="nil"/>
              <w:bottom w:val="nil"/>
              <w:right w:val="nil"/>
            </w:tcBorders>
          </w:tcPr>
          <w:p w14:paraId="006DDDBA" w14:textId="77777777" w:rsidR="00BC753B" w:rsidRPr="001362A6" w:rsidRDefault="00BC753B">
            <w:pPr>
              <w:rPr>
                <w:rFonts w:ascii="Lato" w:hAnsi="Lato"/>
                <w:sz w:val="22"/>
                <w:szCs w:val="22"/>
              </w:rPr>
            </w:pPr>
          </w:p>
        </w:tc>
        <w:tc>
          <w:tcPr>
            <w:tcW w:w="8194" w:type="dxa"/>
            <w:gridSpan w:val="2"/>
            <w:tcBorders>
              <w:top w:val="nil"/>
              <w:left w:val="nil"/>
              <w:bottom w:val="nil"/>
              <w:right w:val="single" w:sz="4" w:space="0" w:color="auto"/>
            </w:tcBorders>
          </w:tcPr>
          <w:p w14:paraId="11DFD30F" w14:textId="77777777" w:rsidR="00BC753B" w:rsidRPr="001362A6" w:rsidRDefault="00BC753B" w:rsidP="00D95E9D">
            <w:pPr>
              <w:rPr>
                <w:rFonts w:ascii="Lato" w:hAnsi="Lato"/>
                <w:sz w:val="22"/>
                <w:szCs w:val="22"/>
              </w:rPr>
            </w:pPr>
            <w:r w:rsidRPr="001362A6">
              <w:rPr>
                <w:rFonts w:ascii="Lato" w:hAnsi="Lato"/>
                <w:sz w:val="22"/>
                <w:szCs w:val="22"/>
                <w:lang w:val="en-IE"/>
              </w:rPr>
              <w:t xml:space="preserve">(i)  Provide confirmation that the Short-Term Money Market fund is obtaining a </w:t>
            </w:r>
          </w:p>
        </w:tc>
        <w:tc>
          <w:tcPr>
            <w:tcW w:w="411" w:type="dxa"/>
            <w:tcBorders>
              <w:top w:val="single" w:sz="4" w:space="0" w:color="auto"/>
              <w:left w:val="single" w:sz="4" w:space="0" w:color="auto"/>
              <w:bottom w:val="single" w:sz="4" w:space="0" w:color="auto"/>
              <w:right w:val="nil"/>
            </w:tcBorders>
          </w:tcPr>
          <w:p w14:paraId="52B0998D" w14:textId="77777777" w:rsidR="00BC753B" w:rsidRPr="001362A6" w:rsidRDefault="00BC753B">
            <w:pPr>
              <w:rPr>
                <w:rFonts w:ascii="Lato" w:hAnsi="Lato"/>
                <w:sz w:val="22"/>
                <w:szCs w:val="22"/>
              </w:rPr>
            </w:pPr>
          </w:p>
        </w:tc>
        <w:tc>
          <w:tcPr>
            <w:tcW w:w="766" w:type="dxa"/>
            <w:tcBorders>
              <w:top w:val="single" w:sz="4" w:space="0" w:color="auto"/>
              <w:left w:val="nil"/>
              <w:bottom w:val="single" w:sz="4" w:space="0" w:color="auto"/>
              <w:right w:val="single" w:sz="4" w:space="0" w:color="auto"/>
            </w:tcBorders>
          </w:tcPr>
          <w:p w14:paraId="5BFF96EB" w14:textId="77777777" w:rsidR="00BC753B" w:rsidRPr="001362A6" w:rsidRDefault="00BC753B">
            <w:pPr>
              <w:rPr>
                <w:rFonts w:ascii="Lato" w:hAnsi="Lato"/>
                <w:sz w:val="22"/>
                <w:szCs w:val="22"/>
              </w:rPr>
            </w:pPr>
          </w:p>
        </w:tc>
      </w:tr>
      <w:tr w:rsidR="00BC753B" w:rsidRPr="001362A6" w14:paraId="78D8835B" w14:textId="77777777" w:rsidTr="00AB716D">
        <w:tc>
          <w:tcPr>
            <w:tcW w:w="1204" w:type="dxa"/>
            <w:tcBorders>
              <w:top w:val="nil"/>
              <w:left w:val="nil"/>
              <w:bottom w:val="nil"/>
              <w:right w:val="nil"/>
            </w:tcBorders>
          </w:tcPr>
          <w:p w14:paraId="74F4C25D" w14:textId="77777777" w:rsidR="00BC753B" w:rsidRPr="001362A6" w:rsidRDefault="00BC753B">
            <w:pPr>
              <w:rPr>
                <w:rFonts w:ascii="Lato" w:hAnsi="Lato"/>
                <w:sz w:val="22"/>
                <w:szCs w:val="22"/>
              </w:rPr>
            </w:pPr>
          </w:p>
        </w:tc>
        <w:tc>
          <w:tcPr>
            <w:tcW w:w="8194" w:type="dxa"/>
            <w:gridSpan w:val="2"/>
            <w:tcBorders>
              <w:top w:val="nil"/>
              <w:left w:val="nil"/>
              <w:bottom w:val="nil"/>
              <w:right w:val="nil"/>
            </w:tcBorders>
          </w:tcPr>
          <w:p w14:paraId="6CD16B7C" w14:textId="77777777" w:rsidR="00BC753B" w:rsidRPr="001362A6" w:rsidRDefault="005B3769">
            <w:pPr>
              <w:rPr>
                <w:rFonts w:ascii="Lato" w:hAnsi="Lato"/>
                <w:sz w:val="22"/>
                <w:szCs w:val="22"/>
              </w:rPr>
            </w:pPr>
            <w:r w:rsidRPr="00590C6D">
              <w:rPr>
                <w:rFonts w:ascii="Lato" w:hAnsi="Lato"/>
                <w:sz w:val="22"/>
                <w:szCs w:val="22"/>
                <w:lang w:val="en-IE"/>
              </w:rPr>
              <w:t xml:space="preserve">triple-A </w:t>
            </w:r>
            <w:r w:rsidR="00BC753B" w:rsidRPr="001362A6">
              <w:rPr>
                <w:rFonts w:ascii="Lato" w:hAnsi="Lato"/>
                <w:sz w:val="22"/>
                <w:szCs w:val="22"/>
                <w:lang w:val="en-IE"/>
              </w:rPr>
              <w:t xml:space="preserve">rating from   an internationally recognised rating agency </w:t>
            </w:r>
          </w:p>
        </w:tc>
        <w:tc>
          <w:tcPr>
            <w:tcW w:w="411" w:type="dxa"/>
            <w:tcBorders>
              <w:top w:val="single" w:sz="4" w:space="0" w:color="auto"/>
              <w:left w:val="nil"/>
              <w:bottom w:val="nil"/>
              <w:right w:val="nil"/>
            </w:tcBorders>
          </w:tcPr>
          <w:p w14:paraId="39155E12" w14:textId="77777777" w:rsidR="00BC753B" w:rsidRPr="001362A6" w:rsidRDefault="00BC753B">
            <w:pPr>
              <w:rPr>
                <w:rFonts w:ascii="Lato" w:hAnsi="Lato"/>
                <w:sz w:val="22"/>
                <w:szCs w:val="22"/>
              </w:rPr>
            </w:pPr>
          </w:p>
        </w:tc>
        <w:tc>
          <w:tcPr>
            <w:tcW w:w="766" w:type="dxa"/>
            <w:tcBorders>
              <w:top w:val="single" w:sz="4" w:space="0" w:color="auto"/>
              <w:left w:val="nil"/>
              <w:bottom w:val="nil"/>
              <w:right w:val="nil"/>
            </w:tcBorders>
          </w:tcPr>
          <w:p w14:paraId="03C6B348" w14:textId="77777777" w:rsidR="00BC753B" w:rsidRPr="001362A6" w:rsidRDefault="00BC753B">
            <w:pPr>
              <w:rPr>
                <w:rFonts w:ascii="Lato" w:hAnsi="Lato"/>
                <w:sz w:val="22"/>
                <w:szCs w:val="22"/>
              </w:rPr>
            </w:pPr>
          </w:p>
        </w:tc>
      </w:tr>
      <w:tr w:rsidR="00BC753B" w:rsidRPr="001362A6" w14:paraId="3BD395C6" w14:textId="77777777" w:rsidTr="00AB716D">
        <w:tc>
          <w:tcPr>
            <w:tcW w:w="1204" w:type="dxa"/>
            <w:tcBorders>
              <w:top w:val="nil"/>
              <w:left w:val="nil"/>
              <w:bottom w:val="nil"/>
              <w:right w:val="nil"/>
            </w:tcBorders>
          </w:tcPr>
          <w:p w14:paraId="25342EB9" w14:textId="77777777" w:rsidR="00BC753B" w:rsidRPr="001362A6" w:rsidRDefault="00BC753B">
            <w:pPr>
              <w:rPr>
                <w:rFonts w:ascii="Lato" w:hAnsi="Lato"/>
                <w:sz w:val="22"/>
                <w:szCs w:val="22"/>
              </w:rPr>
            </w:pPr>
          </w:p>
        </w:tc>
        <w:tc>
          <w:tcPr>
            <w:tcW w:w="8194" w:type="dxa"/>
            <w:gridSpan w:val="2"/>
            <w:tcBorders>
              <w:top w:val="nil"/>
              <w:left w:val="nil"/>
              <w:bottom w:val="nil"/>
              <w:right w:val="nil"/>
            </w:tcBorders>
          </w:tcPr>
          <w:p w14:paraId="5DF14200" w14:textId="77777777" w:rsidR="00BC753B" w:rsidRPr="001362A6" w:rsidRDefault="00BC753B">
            <w:pPr>
              <w:rPr>
                <w:rFonts w:ascii="Lato" w:hAnsi="Lato"/>
                <w:sz w:val="22"/>
                <w:szCs w:val="22"/>
              </w:rPr>
            </w:pPr>
            <w:r w:rsidRPr="001362A6">
              <w:rPr>
                <w:rFonts w:ascii="Lato" w:hAnsi="Lato"/>
                <w:sz w:val="22"/>
                <w:szCs w:val="22"/>
                <w:lang w:val="en-IE"/>
              </w:rPr>
              <w:t>OR</w:t>
            </w:r>
          </w:p>
        </w:tc>
        <w:tc>
          <w:tcPr>
            <w:tcW w:w="411" w:type="dxa"/>
            <w:tcBorders>
              <w:top w:val="nil"/>
              <w:left w:val="nil"/>
              <w:bottom w:val="single" w:sz="4" w:space="0" w:color="auto"/>
              <w:right w:val="nil"/>
            </w:tcBorders>
          </w:tcPr>
          <w:p w14:paraId="0B7DEF31" w14:textId="77777777" w:rsidR="00BC753B" w:rsidRPr="001362A6" w:rsidRDefault="00BC753B">
            <w:pPr>
              <w:rPr>
                <w:rFonts w:ascii="Lato" w:hAnsi="Lato"/>
                <w:sz w:val="22"/>
                <w:szCs w:val="22"/>
              </w:rPr>
            </w:pPr>
          </w:p>
        </w:tc>
        <w:tc>
          <w:tcPr>
            <w:tcW w:w="766" w:type="dxa"/>
            <w:tcBorders>
              <w:top w:val="nil"/>
              <w:left w:val="nil"/>
              <w:bottom w:val="single" w:sz="4" w:space="0" w:color="auto"/>
              <w:right w:val="nil"/>
            </w:tcBorders>
          </w:tcPr>
          <w:p w14:paraId="794DE192" w14:textId="77777777" w:rsidR="00BC753B" w:rsidRPr="001362A6" w:rsidRDefault="00BC753B">
            <w:pPr>
              <w:rPr>
                <w:rFonts w:ascii="Lato" w:hAnsi="Lato"/>
                <w:sz w:val="22"/>
                <w:szCs w:val="22"/>
              </w:rPr>
            </w:pPr>
          </w:p>
        </w:tc>
      </w:tr>
      <w:tr w:rsidR="00BC753B" w:rsidRPr="001362A6" w14:paraId="0CBD22B7" w14:textId="77777777" w:rsidTr="00AB716D">
        <w:tc>
          <w:tcPr>
            <w:tcW w:w="1204" w:type="dxa"/>
            <w:tcBorders>
              <w:top w:val="nil"/>
              <w:left w:val="nil"/>
              <w:bottom w:val="nil"/>
              <w:right w:val="nil"/>
            </w:tcBorders>
          </w:tcPr>
          <w:p w14:paraId="3F25B0F6" w14:textId="77777777" w:rsidR="00BC753B" w:rsidRPr="001362A6" w:rsidRDefault="00BC753B">
            <w:pPr>
              <w:rPr>
                <w:rFonts w:ascii="Lato" w:hAnsi="Lato"/>
                <w:sz w:val="22"/>
                <w:szCs w:val="22"/>
              </w:rPr>
            </w:pPr>
          </w:p>
        </w:tc>
        <w:tc>
          <w:tcPr>
            <w:tcW w:w="8194" w:type="dxa"/>
            <w:gridSpan w:val="2"/>
            <w:tcBorders>
              <w:top w:val="nil"/>
              <w:left w:val="nil"/>
              <w:bottom w:val="nil"/>
              <w:right w:val="single" w:sz="4" w:space="0" w:color="auto"/>
            </w:tcBorders>
          </w:tcPr>
          <w:p w14:paraId="240293A7" w14:textId="77777777" w:rsidR="00BC753B" w:rsidRPr="001362A6" w:rsidRDefault="00BC753B" w:rsidP="00D95E9D">
            <w:pPr>
              <w:rPr>
                <w:rFonts w:ascii="Lato" w:hAnsi="Lato"/>
                <w:sz w:val="22"/>
                <w:szCs w:val="22"/>
              </w:rPr>
            </w:pPr>
            <w:r w:rsidRPr="001362A6">
              <w:rPr>
                <w:rFonts w:ascii="Lato" w:hAnsi="Lato"/>
                <w:sz w:val="22"/>
                <w:szCs w:val="22"/>
                <w:lang w:val="en-IE"/>
              </w:rPr>
              <w:t>(ii)  Attach a letter from the management</w:t>
            </w:r>
            <w:r w:rsidR="0077358B" w:rsidRPr="001362A6">
              <w:rPr>
                <w:rFonts w:ascii="Lato" w:hAnsi="Lato"/>
                <w:sz w:val="22"/>
                <w:szCs w:val="22"/>
                <w:lang w:val="en-IE"/>
              </w:rPr>
              <w:t xml:space="preserve"> company</w:t>
            </w:r>
            <w:r w:rsidRPr="001362A6">
              <w:rPr>
                <w:rFonts w:ascii="Lato" w:hAnsi="Lato"/>
                <w:sz w:val="22"/>
                <w:szCs w:val="22"/>
                <w:lang w:val="en-IE"/>
              </w:rPr>
              <w:t xml:space="preserve">/investment manager confirming </w:t>
            </w:r>
          </w:p>
        </w:tc>
        <w:tc>
          <w:tcPr>
            <w:tcW w:w="411" w:type="dxa"/>
            <w:tcBorders>
              <w:top w:val="single" w:sz="4" w:space="0" w:color="auto"/>
              <w:left w:val="single" w:sz="4" w:space="0" w:color="auto"/>
              <w:bottom w:val="single" w:sz="4" w:space="0" w:color="auto"/>
              <w:right w:val="nil"/>
            </w:tcBorders>
          </w:tcPr>
          <w:p w14:paraId="11E72FAF" w14:textId="77777777" w:rsidR="00BC753B" w:rsidRPr="001362A6" w:rsidRDefault="00BC753B">
            <w:pPr>
              <w:rPr>
                <w:rFonts w:ascii="Lato" w:hAnsi="Lato"/>
                <w:sz w:val="22"/>
                <w:szCs w:val="22"/>
              </w:rPr>
            </w:pPr>
          </w:p>
        </w:tc>
        <w:tc>
          <w:tcPr>
            <w:tcW w:w="766" w:type="dxa"/>
            <w:tcBorders>
              <w:top w:val="single" w:sz="4" w:space="0" w:color="auto"/>
              <w:left w:val="nil"/>
              <w:bottom w:val="single" w:sz="4" w:space="0" w:color="auto"/>
              <w:right w:val="single" w:sz="4" w:space="0" w:color="auto"/>
            </w:tcBorders>
          </w:tcPr>
          <w:p w14:paraId="6D1D0106" w14:textId="77777777" w:rsidR="00BC753B" w:rsidRPr="001362A6" w:rsidRDefault="00BC753B">
            <w:pPr>
              <w:rPr>
                <w:rFonts w:ascii="Lato" w:hAnsi="Lato"/>
                <w:sz w:val="22"/>
                <w:szCs w:val="22"/>
              </w:rPr>
            </w:pPr>
          </w:p>
        </w:tc>
      </w:tr>
      <w:tr w:rsidR="00BC753B" w:rsidRPr="001362A6" w14:paraId="0D2512C4" w14:textId="77777777" w:rsidTr="00AB716D">
        <w:tc>
          <w:tcPr>
            <w:tcW w:w="1204" w:type="dxa"/>
            <w:tcBorders>
              <w:top w:val="nil"/>
              <w:left w:val="nil"/>
              <w:bottom w:val="nil"/>
              <w:right w:val="nil"/>
            </w:tcBorders>
          </w:tcPr>
          <w:p w14:paraId="4EE990BC" w14:textId="77777777" w:rsidR="00BC753B" w:rsidRPr="001362A6" w:rsidRDefault="00BC753B">
            <w:pPr>
              <w:rPr>
                <w:rFonts w:ascii="Lato" w:hAnsi="Lato"/>
                <w:sz w:val="22"/>
                <w:szCs w:val="22"/>
              </w:rPr>
            </w:pPr>
          </w:p>
        </w:tc>
        <w:tc>
          <w:tcPr>
            <w:tcW w:w="8194" w:type="dxa"/>
            <w:gridSpan w:val="2"/>
            <w:tcBorders>
              <w:top w:val="nil"/>
              <w:left w:val="nil"/>
              <w:bottom w:val="nil"/>
              <w:right w:val="nil"/>
            </w:tcBorders>
          </w:tcPr>
          <w:p w14:paraId="7162565C" w14:textId="77777777" w:rsidR="00BC753B" w:rsidRPr="001362A6" w:rsidRDefault="00BC753B">
            <w:pPr>
              <w:rPr>
                <w:rFonts w:ascii="Lato" w:hAnsi="Lato"/>
                <w:sz w:val="22"/>
                <w:szCs w:val="22"/>
              </w:rPr>
            </w:pPr>
            <w:r w:rsidRPr="001362A6">
              <w:rPr>
                <w:rFonts w:ascii="Lato" w:hAnsi="Lato"/>
                <w:sz w:val="22"/>
                <w:szCs w:val="22"/>
                <w:lang w:val="en-IE"/>
              </w:rPr>
              <w:t xml:space="preserve">     </w:t>
            </w:r>
            <w:r w:rsidR="005B3769" w:rsidRPr="00590C6D">
              <w:rPr>
                <w:rFonts w:ascii="Lato" w:hAnsi="Lato"/>
                <w:sz w:val="22"/>
                <w:szCs w:val="22"/>
                <w:lang w:val="en-IE"/>
              </w:rPr>
              <w:t>that it</w:t>
            </w:r>
            <w:r w:rsidRPr="001362A6">
              <w:rPr>
                <w:rFonts w:ascii="Lato" w:hAnsi="Lato"/>
                <w:sz w:val="22"/>
                <w:szCs w:val="22"/>
                <w:lang w:val="en-IE"/>
              </w:rPr>
              <w:t xml:space="preserve"> </w:t>
            </w:r>
            <w:r w:rsidR="00854B06" w:rsidRPr="001362A6">
              <w:rPr>
                <w:rFonts w:ascii="Lato" w:hAnsi="Lato"/>
                <w:sz w:val="22"/>
                <w:szCs w:val="22"/>
                <w:lang w:val="en-IE"/>
              </w:rPr>
              <w:t xml:space="preserve">is </w:t>
            </w:r>
            <w:r w:rsidRPr="001362A6">
              <w:rPr>
                <w:rFonts w:ascii="Lato" w:hAnsi="Lato"/>
                <w:sz w:val="22"/>
                <w:szCs w:val="22"/>
                <w:lang w:val="en-IE"/>
              </w:rPr>
              <w:t xml:space="preserve">currently managing, or has previously managed, a triple-A rated money market fund  </w:t>
            </w:r>
          </w:p>
        </w:tc>
        <w:tc>
          <w:tcPr>
            <w:tcW w:w="411" w:type="dxa"/>
            <w:tcBorders>
              <w:top w:val="single" w:sz="4" w:space="0" w:color="auto"/>
              <w:left w:val="nil"/>
              <w:bottom w:val="nil"/>
              <w:right w:val="nil"/>
            </w:tcBorders>
          </w:tcPr>
          <w:p w14:paraId="6497EDFF" w14:textId="77777777" w:rsidR="00BC753B" w:rsidRPr="001362A6" w:rsidRDefault="00BC753B">
            <w:pPr>
              <w:rPr>
                <w:rFonts w:ascii="Lato" w:hAnsi="Lato"/>
                <w:sz w:val="22"/>
                <w:szCs w:val="22"/>
              </w:rPr>
            </w:pPr>
          </w:p>
        </w:tc>
        <w:tc>
          <w:tcPr>
            <w:tcW w:w="766" w:type="dxa"/>
            <w:tcBorders>
              <w:top w:val="single" w:sz="4" w:space="0" w:color="auto"/>
              <w:left w:val="nil"/>
              <w:bottom w:val="nil"/>
              <w:right w:val="nil"/>
            </w:tcBorders>
          </w:tcPr>
          <w:p w14:paraId="3392431A" w14:textId="77777777" w:rsidR="00BC753B" w:rsidRPr="001362A6" w:rsidRDefault="00BC753B">
            <w:pPr>
              <w:rPr>
                <w:rFonts w:ascii="Lato" w:hAnsi="Lato"/>
                <w:sz w:val="22"/>
                <w:szCs w:val="22"/>
              </w:rPr>
            </w:pPr>
          </w:p>
        </w:tc>
      </w:tr>
      <w:tr w:rsidR="00BC753B" w:rsidRPr="001362A6" w14:paraId="28E6E9FC" w14:textId="77777777" w:rsidTr="00AB716D">
        <w:tc>
          <w:tcPr>
            <w:tcW w:w="1204" w:type="dxa"/>
            <w:tcBorders>
              <w:top w:val="nil"/>
              <w:left w:val="nil"/>
              <w:bottom w:val="nil"/>
              <w:right w:val="nil"/>
            </w:tcBorders>
          </w:tcPr>
          <w:p w14:paraId="624DA645" w14:textId="77777777" w:rsidR="00BC753B" w:rsidRPr="001362A6" w:rsidRDefault="00BC753B">
            <w:pPr>
              <w:rPr>
                <w:rFonts w:ascii="Lato" w:hAnsi="Lato"/>
                <w:sz w:val="22"/>
                <w:szCs w:val="22"/>
              </w:rPr>
            </w:pPr>
          </w:p>
        </w:tc>
        <w:tc>
          <w:tcPr>
            <w:tcW w:w="8194" w:type="dxa"/>
            <w:gridSpan w:val="2"/>
            <w:tcBorders>
              <w:top w:val="nil"/>
              <w:left w:val="nil"/>
              <w:bottom w:val="nil"/>
              <w:right w:val="nil"/>
            </w:tcBorders>
          </w:tcPr>
          <w:p w14:paraId="57F08054" w14:textId="77777777" w:rsidR="00BC753B" w:rsidRPr="001362A6" w:rsidRDefault="00BC753B">
            <w:pPr>
              <w:rPr>
                <w:rFonts w:ascii="Lato" w:hAnsi="Lato"/>
                <w:sz w:val="22"/>
                <w:szCs w:val="22"/>
              </w:rPr>
            </w:pPr>
            <w:r w:rsidRPr="001362A6">
              <w:rPr>
                <w:rFonts w:ascii="Lato" w:hAnsi="Lato"/>
                <w:bCs/>
                <w:sz w:val="22"/>
                <w:szCs w:val="22"/>
                <w:lang w:val="en-IE"/>
              </w:rPr>
              <w:t>OR</w:t>
            </w:r>
          </w:p>
        </w:tc>
        <w:tc>
          <w:tcPr>
            <w:tcW w:w="411" w:type="dxa"/>
            <w:tcBorders>
              <w:top w:val="nil"/>
              <w:left w:val="nil"/>
              <w:bottom w:val="single" w:sz="4" w:space="0" w:color="auto"/>
              <w:right w:val="nil"/>
            </w:tcBorders>
          </w:tcPr>
          <w:p w14:paraId="4077F97F" w14:textId="77777777" w:rsidR="00BC753B" w:rsidRPr="001362A6" w:rsidRDefault="00BC753B">
            <w:pPr>
              <w:rPr>
                <w:rFonts w:ascii="Lato" w:hAnsi="Lato"/>
                <w:sz w:val="22"/>
                <w:szCs w:val="22"/>
              </w:rPr>
            </w:pPr>
          </w:p>
        </w:tc>
        <w:tc>
          <w:tcPr>
            <w:tcW w:w="766" w:type="dxa"/>
            <w:tcBorders>
              <w:top w:val="nil"/>
              <w:left w:val="nil"/>
              <w:bottom w:val="single" w:sz="4" w:space="0" w:color="auto"/>
              <w:right w:val="nil"/>
            </w:tcBorders>
          </w:tcPr>
          <w:p w14:paraId="55AB54F4" w14:textId="77777777" w:rsidR="00BC753B" w:rsidRPr="001362A6" w:rsidRDefault="00BC753B">
            <w:pPr>
              <w:rPr>
                <w:rFonts w:ascii="Lato" w:hAnsi="Lato"/>
                <w:sz w:val="22"/>
                <w:szCs w:val="22"/>
              </w:rPr>
            </w:pPr>
          </w:p>
        </w:tc>
      </w:tr>
      <w:tr w:rsidR="00BC753B" w:rsidRPr="001362A6" w14:paraId="2CEB627E" w14:textId="77777777" w:rsidTr="00E52504">
        <w:tc>
          <w:tcPr>
            <w:tcW w:w="1204" w:type="dxa"/>
            <w:tcBorders>
              <w:top w:val="nil"/>
              <w:left w:val="nil"/>
              <w:bottom w:val="nil"/>
              <w:right w:val="nil"/>
            </w:tcBorders>
          </w:tcPr>
          <w:p w14:paraId="3DAB3E1E" w14:textId="77777777" w:rsidR="00BC753B" w:rsidRPr="001362A6" w:rsidRDefault="00BC753B">
            <w:pPr>
              <w:rPr>
                <w:rFonts w:ascii="Lato" w:hAnsi="Lato"/>
                <w:sz w:val="22"/>
                <w:szCs w:val="22"/>
              </w:rPr>
            </w:pPr>
          </w:p>
        </w:tc>
        <w:tc>
          <w:tcPr>
            <w:tcW w:w="8194" w:type="dxa"/>
            <w:gridSpan w:val="2"/>
            <w:tcBorders>
              <w:top w:val="nil"/>
              <w:left w:val="nil"/>
              <w:bottom w:val="nil"/>
              <w:right w:val="single" w:sz="4" w:space="0" w:color="auto"/>
            </w:tcBorders>
          </w:tcPr>
          <w:p w14:paraId="6D7AC901" w14:textId="77777777" w:rsidR="00BC753B" w:rsidRPr="001362A6" w:rsidRDefault="00BC753B" w:rsidP="00BC753B">
            <w:pPr>
              <w:jc w:val="both"/>
              <w:rPr>
                <w:rFonts w:ascii="Lato" w:hAnsi="Lato"/>
                <w:sz w:val="22"/>
                <w:szCs w:val="22"/>
              </w:rPr>
            </w:pPr>
            <w:r w:rsidRPr="001362A6">
              <w:rPr>
                <w:rFonts w:ascii="Lato" w:hAnsi="Lato"/>
                <w:sz w:val="22"/>
                <w:szCs w:val="22"/>
                <w:lang w:val="en-IE"/>
              </w:rPr>
              <w:t>(iii)  Confirm that the manager or the investment manager has supplied sufficient</w:t>
            </w:r>
          </w:p>
        </w:tc>
        <w:tc>
          <w:tcPr>
            <w:tcW w:w="411" w:type="dxa"/>
            <w:tcBorders>
              <w:top w:val="single" w:sz="4" w:space="0" w:color="auto"/>
              <w:left w:val="single" w:sz="4" w:space="0" w:color="auto"/>
              <w:bottom w:val="single" w:sz="4" w:space="0" w:color="auto"/>
              <w:right w:val="nil"/>
            </w:tcBorders>
          </w:tcPr>
          <w:p w14:paraId="1A7E2FD7" w14:textId="77777777" w:rsidR="00BC753B" w:rsidRPr="001362A6" w:rsidRDefault="00BC753B">
            <w:pPr>
              <w:rPr>
                <w:rFonts w:ascii="Lato" w:hAnsi="Lato"/>
                <w:sz w:val="22"/>
                <w:szCs w:val="22"/>
              </w:rPr>
            </w:pPr>
          </w:p>
        </w:tc>
        <w:tc>
          <w:tcPr>
            <w:tcW w:w="766" w:type="dxa"/>
            <w:tcBorders>
              <w:top w:val="single" w:sz="4" w:space="0" w:color="auto"/>
              <w:left w:val="nil"/>
              <w:bottom w:val="single" w:sz="4" w:space="0" w:color="auto"/>
              <w:right w:val="single" w:sz="4" w:space="0" w:color="auto"/>
            </w:tcBorders>
          </w:tcPr>
          <w:p w14:paraId="75FE03F9" w14:textId="77777777" w:rsidR="00BC753B" w:rsidRPr="001362A6" w:rsidRDefault="00BC753B">
            <w:pPr>
              <w:rPr>
                <w:rFonts w:ascii="Lato" w:hAnsi="Lato"/>
                <w:sz w:val="22"/>
                <w:szCs w:val="22"/>
              </w:rPr>
            </w:pPr>
          </w:p>
        </w:tc>
      </w:tr>
      <w:tr w:rsidR="004C67EC" w:rsidRPr="001362A6" w14:paraId="4ECED5AE" w14:textId="77777777" w:rsidTr="00AC4296">
        <w:trPr>
          <w:trHeight w:val="300"/>
        </w:trPr>
        <w:tc>
          <w:tcPr>
            <w:tcW w:w="1204" w:type="dxa"/>
            <w:tcBorders>
              <w:top w:val="nil"/>
              <w:left w:val="nil"/>
              <w:bottom w:val="nil"/>
              <w:right w:val="nil"/>
            </w:tcBorders>
          </w:tcPr>
          <w:p w14:paraId="5D2E3923" w14:textId="77777777" w:rsidR="004C67EC" w:rsidRPr="001362A6" w:rsidRDefault="004C67EC">
            <w:pPr>
              <w:rPr>
                <w:rFonts w:ascii="Lato" w:hAnsi="Lato"/>
                <w:sz w:val="22"/>
                <w:szCs w:val="22"/>
              </w:rPr>
            </w:pPr>
          </w:p>
          <w:p w14:paraId="5152EADA" w14:textId="77777777" w:rsidR="004C67EC" w:rsidRPr="001362A6" w:rsidRDefault="004C67EC">
            <w:pPr>
              <w:rPr>
                <w:rFonts w:ascii="Lato" w:hAnsi="Lato"/>
                <w:sz w:val="22"/>
                <w:szCs w:val="22"/>
              </w:rPr>
            </w:pPr>
          </w:p>
          <w:p w14:paraId="75087FB0" w14:textId="77777777" w:rsidR="004C67EC" w:rsidRPr="001362A6" w:rsidRDefault="004C67EC">
            <w:pPr>
              <w:rPr>
                <w:rFonts w:ascii="Lato" w:hAnsi="Lato"/>
                <w:sz w:val="22"/>
                <w:szCs w:val="22"/>
              </w:rPr>
            </w:pPr>
          </w:p>
          <w:p w14:paraId="6217829D" w14:textId="77777777" w:rsidR="004C67EC" w:rsidRPr="001362A6" w:rsidRDefault="004C67EC">
            <w:pPr>
              <w:rPr>
                <w:rFonts w:ascii="Lato" w:hAnsi="Lato"/>
                <w:sz w:val="22"/>
                <w:szCs w:val="22"/>
              </w:rPr>
            </w:pPr>
          </w:p>
        </w:tc>
        <w:tc>
          <w:tcPr>
            <w:tcW w:w="8194" w:type="dxa"/>
            <w:gridSpan w:val="2"/>
            <w:tcBorders>
              <w:top w:val="nil"/>
              <w:left w:val="nil"/>
              <w:bottom w:val="single" w:sz="4" w:space="0" w:color="auto"/>
              <w:right w:val="nil"/>
            </w:tcBorders>
          </w:tcPr>
          <w:p w14:paraId="3AFAAEA8" w14:textId="77777777" w:rsidR="004C67EC" w:rsidRPr="001362A6" w:rsidRDefault="004C67EC" w:rsidP="00EA6211">
            <w:pPr>
              <w:jc w:val="both"/>
              <w:rPr>
                <w:rFonts w:ascii="Lato" w:hAnsi="Lato"/>
                <w:sz w:val="22"/>
                <w:szCs w:val="22"/>
              </w:rPr>
            </w:pPr>
            <w:r w:rsidRPr="001362A6">
              <w:rPr>
                <w:rFonts w:ascii="Lato" w:hAnsi="Lato"/>
                <w:sz w:val="22"/>
                <w:szCs w:val="22"/>
                <w:lang w:val="en-IE"/>
              </w:rPr>
              <w:t>information to the Central Bank to demonstrate appropriate expertise</w:t>
            </w:r>
            <w:r w:rsidR="00EA6211" w:rsidRPr="001362A6">
              <w:rPr>
                <w:rFonts w:ascii="Lato" w:hAnsi="Lato"/>
                <w:sz w:val="22"/>
                <w:szCs w:val="22"/>
                <w:lang w:val="en-IE"/>
              </w:rPr>
              <w:t xml:space="preserve"> exists </w:t>
            </w:r>
            <w:r w:rsidRPr="001362A6">
              <w:rPr>
                <w:rFonts w:ascii="Lato" w:hAnsi="Lato"/>
                <w:sz w:val="22"/>
                <w:szCs w:val="22"/>
                <w:lang w:val="en-IE"/>
              </w:rPr>
              <w:t>in the  operation of this type of money market fund and the Central Bank has indicated that the fund application may be submitted</w:t>
            </w:r>
          </w:p>
        </w:tc>
        <w:tc>
          <w:tcPr>
            <w:tcW w:w="411" w:type="dxa"/>
            <w:tcBorders>
              <w:top w:val="single" w:sz="4" w:space="0" w:color="auto"/>
              <w:left w:val="nil"/>
              <w:bottom w:val="nil"/>
              <w:right w:val="nil"/>
            </w:tcBorders>
          </w:tcPr>
          <w:p w14:paraId="3E0B32E8" w14:textId="77777777" w:rsidR="004C67EC" w:rsidRPr="001362A6" w:rsidRDefault="004C67EC">
            <w:pPr>
              <w:rPr>
                <w:rFonts w:ascii="Lato" w:hAnsi="Lato"/>
                <w:sz w:val="22"/>
                <w:szCs w:val="22"/>
              </w:rPr>
            </w:pPr>
          </w:p>
          <w:p w14:paraId="4EACB9E2" w14:textId="77777777" w:rsidR="004C67EC" w:rsidRPr="001362A6" w:rsidRDefault="004C67EC">
            <w:pPr>
              <w:rPr>
                <w:rFonts w:ascii="Lato" w:hAnsi="Lato"/>
                <w:sz w:val="22"/>
                <w:szCs w:val="22"/>
              </w:rPr>
            </w:pPr>
          </w:p>
          <w:p w14:paraId="5363F781" w14:textId="77777777" w:rsidR="004C67EC" w:rsidRPr="001362A6" w:rsidRDefault="004C67EC">
            <w:pPr>
              <w:rPr>
                <w:rFonts w:ascii="Lato" w:hAnsi="Lato"/>
                <w:sz w:val="22"/>
                <w:szCs w:val="22"/>
              </w:rPr>
            </w:pPr>
          </w:p>
        </w:tc>
        <w:tc>
          <w:tcPr>
            <w:tcW w:w="766" w:type="dxa"/>
            <w:tcBorders>
              <w:top w:val="single" w:sz="4" w:space="0" w:color="auto"/>
              <w:left w:val="nil"/>
              <w:bottom w:val="nil"/>
              <w:right w:val="nil"/>
            </w:tcBorders>
          </w:tcPr>
          <w:p w14:paraId="3D1AF8FD" w14:textId="77777777" w:rsidR="004C67EC" w:rsidRPr="001362A6" w:rsidRDefault="004C67EC">
            <w:pPr>
              <w:rPr>
                <w:rFonts w:ascii="Lato" w:hAnsi="Lato"/>
                <w:sz w:val="22"/>
                <w:szCs w:val="22"/>
              </w:rPr>
            </w:pPr>
          </w:p>
        </w:tc>
      </w:tr>
      <w:tr w:rsidR="00BC753B" w:rsidRPr="001362A6" w14:paraId="70633A55" w14:textId="77777777" w:rsidTr="00AC4296">
        <w:tc>
          <w:tcPr>
            <w:tcW w:w="1204" w:type="dxa"/>
            <w:tcBorders>
              <w:top w:val="nil"/>
              <w:left w:val="nil"/>
              <w:bottom w:val="nil"/>
              <w:right w:val="single" w:sz="4" w:space="0" w:color="auto"/>
            </w:tcBorders>
          </w:tcPr>
          <w:p w14:paraId="6FE850E5" w14:textId="77777777" w:rsidR="00BC753B" w:rsidRPr="001362A6" w:rsidRDefault="00BC753B">
            <w:pPr>
              <w:rPr>
                <w:rFonts w:ascii="Lato" w:hAnsi="Lato"/>
                <w:b/>
                <w:bCs/>
                <w:sz w:val="22"/>
                <w:szCs w:val="22"/>
              </w:rPr>
            </w:pPr>
            <w:r w:rsidRPr="001362A6">
              <w:rPr>
                <w:rFonts w:ascii="Lato" w:hAnsi="Lato"/>
                <w:b/>
                <w:bCs/>
                <w:sz w:val="22"/>
                <w:szCs w:val="22"/>
              </w:rPr>
              <w:t>1.7</w:t>
            </w:r>
          </w:p>
        </w:tc>
        <w:tc>
          <w:tcPr>
            <w:tcW w:w="8194" w:type="dxa"/>
            <w:gridSpan w:val="2"/>
            <w:tcBorders>
              <w:top w:val="single" w:sz="4" w:space="0" w:color="auto"/>
              <w:left w:val="single" w:sz="4" w:space="0" w:color="auto"/>
              <w:bottom w:val="single" w:sz="4" w:space="0" w:color="auto"/>
              <w:right w:val="single" w:sz="4" w:space="0" w:color="auto"/>
            </w:tcBorders>
          </w:tcPr>
          <w:p w14:paraId="3E74557B" w14:textId="77777777" w:rsidR="00BC753B" w:rsidRPr="001362A6" w:rsidRDefault="00BC753B">
            <w:pPr>
              <w:rPr>
                <w:rFonts w:ascii="Lato" w:hAnsi="Lato"/>
                <w:b/>
                <w:bCs/>
                <w:sz w:val="22"/>
                <w:szCs w:val="22"/>
              </w:rPr>
            </w:pPr>
            <w:r w:rsidRPr="001362A6">
              <w:rPr>
                <w:rFonts w:ascii="Lato" w:hAnsi="Lato"/>
                <w:b/>
                <w:bCs/>
                <w:sz w:val="22"/>
                <w:szCs w:val="22"/>
              </w:rPr>
              <w:t>ADDITIONAL LETTERS OF CONFIRMATION (as applicable)</w:t>
            </w:r>
          </w:p>
        </w:tc>
        <w:tc>
          <w:tcPr>
            <w:tcW w:w="411" w:type="dxa"/>
            <w:tcBorders>
              <w:top w:val="nil"/>
              <w:left w:val="single" w:sz="4" w:space="0" w:color="auto"/>
              <w:bottom w:val="nil"/>
              <w:right w:val="nil"/>
            </w:tcBorders>
          </w:tcPr>
          <w:p w14:paraId="100025EE" w14:textId="77777777" w:rsidR="00BC753B" w:rsidRPr="001362A6" w:rsidRDefault="00BC753B">
            <w:pPr>
              <w:rPr>
                <w:rFonts w:ascii="Lato" w:hAnsi="Lato"/>
                <w:b/>
                <w:bCs/>
                <w:sz w:val="22"/>
                <w:szCs w:val="22"/>
              </w:rPr>
            </w:pPr>
          </w:p>
        </w:tc>
        <w:tc>
          <w:tcPr>
            <w:tcW w:w="766" w:type="dxa"/>
            <w:tcBorders>
              <w:top w:val="nil"/>
              <w:left w:val="nil"/>
              <w:bottom w:val="nil"/>
              <w:right w:val="nil"/>
            </w:tcBorders>
          </w:tcPr>
          <w:p w14:paraId="70BBD18E" w14:textId="77777777" w:rsidR="00BC753B" w:rsidRPr="001362A6" w:rsidRDefault="00BC753B">
            <w:pPr>
              <w:rPr>
                <w:rFonts w:ascii="Lato" w:hAnsi="Lato"/>
                <w:b/>
                <w:bCs/>
                <w:sz w:val="22"/>
                <w:szCs w:val="22"/>
              </w:rPr>
            </w:pPr>
          </w:p>
        </w:tc>
      </w:tr>
      <w:tr w:rsidR="00BC753B" w:rsidRPr="001362A6" w14:paraId="66C0AAA9" w14:textId="77777777" w:rsidTr="00E24B91">
        <w:tc>
          <w:tcPr>
            <w:tcW w:w="1204" w:type="dxa"/>
            <w:tcBorders>
              <w:top w:val="nil"/>
              <w:left w:val="nil"/>
              <w:bottom w:val="nil"/>
              <w:right w:val="nil"/>
            </w:tcBorders>
          </w:tcPr>
          <w:p w14:paraId="29C1B190" w14:textId="77777777" w:rsidR="00BC753B" w:rsidRPr="001362A6" w:rsidRDefault="00CA3C8A">
            <w:pPr>
              <w:rPr>
                <w:rFonts w:ascii="Lato" w:hAnsi="Lato"/>
                <w:sz w:val="22"/>
                <w:szCs w:val="22"/>
              </w:rPr>
            </w:pPr>
            <w:r w:rsidRPr="001362A6">
              <w:rPr>
                <w:rFonts w:ascii="Lato" w:hAnsi="Lato"/>
                <w:sz w:val="22"/>
                <w:szCs w:val="22"/>
              </w:rPr>
              <w:t>1.7.1</w:t>
            </w:r>
          </w:p>
        </w:tc>
        <w:tc>
          <w:tcPr>
            <w:tcW w:w="8194" w:type="dxa"/>
            <w:gridSpan w:val="2"/>
            <w:tcBorders>
              <w:top w:val="single" w:sz="4" w:space="0" w:color="auto"/>
              <w:left w:val="nil"/>
              <w:bottom w:val="nil"/>
              <w:right w:val="nil"/>
            </w:tcBorders>
          </w:tcPr>
          <w:p w14:paraId="06C59D55" w14:textId="77777777" w:rsidR="00BC753B" w:rsidRPr="001362A6" w:rsidRDefault="00BC753B" w:rsidP="00E24B91">
            <w:pPr>
              <w:rPr>
                <w:rFonts w:ascii="Lato" w:hAnsi="Lato"/>
                <w:sz w:val="22"/>
                <w:szCs w:val="22"/>
              </w:rPr>
            </w:pPr>
          </w:p>
        </w:tc>
        <w:tc>
          <w:tcPr>
            <w:tcW w:w="411" w:type="dxa"/>
            <w:tcBorders>
              <w:top w:val="nil"/>
              <w:left w:val="nil"/>
              <w:bottom w:val="nil"/>
              <w:right w:val="nil"/>
            </w:tcBorders>
          </w:tcPr>
          <w:p w14:paraId="66318C4F" w14:textId="77777777" w:rsidR="00BC753B" w:rsidRPr="001362A6" w:rsidRDefault="00BC753B">
            <w:pPr>
              <w:rPr>
                <w:rFonts w:ascii="Lato" w:hAnsi="Lato"/>
                <w:sz w:val="22"/>
                <w:szCs w:val="22"/>
              </w:rPr>
            </w:pPr>
          </w:p>
        </w:tc>
        <w:tc>
          <w:tcPr>
            <w:tcW w:w="766" w:type="dxa"/>
            <w:tcBorders>
              <w:top w:val="nil"/>
              <w:left w:val="nil"/>
              <w:bottom w:val="nil"/>
              <w:right w:val="nil"/>
            </w:tcBorders>
          </w:tcPr>
          <w:p w14:paraId="15E0A904" w14:textId="77777777" w:rsidR="00BC753B" w:rsidRPr="001362A6" w:rsidRDefault="00BC753B">
            <w:pPr>
              <w:rPr>
                <w:rFonts w:ascii="Lato" w:hAnsi="Lato"/>
                <w:sz w:val="22"/>
                <w:szCs w:val="22"/>
              </w:rPr>
            </w:pPr>
          </w:p>
        </w:tc>
      </w:tr>
      <w:tr w:rsidR="00E24B91" w:rsidRPr="001362A6" w14:paraId="6F701C90" w14:textId="77777777" w:rsidTr="00E24B91">
        <w:trPr>
          <w:trHeight w:val="285"/>
        </w:trPr>
        <w:tc>
          <w:tcPr>
            <w:tcW w:w="1204" w:type="dxa"/>
            <w:tcBorders>
              <w:top w:val="nil"/>
              <w:left w:val="nil"/>
              <w:bottom w:val="nil"/>
              <w:right w:val="nil"/>
            </w:tcBorders>
          </w:tcPr>
          <w:p w14:paraId="085FF5AE" w14:textId="77777777" w:rsidR="00E24B91" w:rsidRPr="001362A6" w:rsidRDefault="00E24B91">
            <w:pPr>
              <w:rPr>
                <w:rFonts w:ascii="Lato" w:hAnsi="Lato"/>
                <w:sz w:val="22"/>
                <w:szCs w:val="22"/>
              </w:rPr>
            </w:pPr>
          </w:p>
        </w:tc>
        <w:tc>
          <w:tcPr>
            <w:tcW w:w="8194" w:type="dxa"/>
            <w:gridSpan w:val="2"/>
            <w:tcBorders>
              <w:top w:val="nil"/>
              <w:left w:val="nil"/>
              <w:bottom w:val="nil"/>
              <w:right w:val="nil"/>
            </w:tcBorders>
          </w:tcPr>
          <w:p w14:paraId="6460D758" w14:textId="77777777" w:rsidR="00E24B91" w:rsidRPr="001362A6" w:rsidRDefault="00E24B91" w:rsidP="002D594C">
            <w:pPr>
              <w:rPr>
                <w:rFonts w:ascii="Lato" w:hAnsi="Lato"/>
                <w:b/>
                <w:sz w:val="22"/>
                <w:szCs w:val="22"/>
              </w:rPr>
            </w:pPr>
            <w:r w:rsidRPr="001362A6">
              <w:rPr>
                <w:rFonts w:ascii="Lato" w:hAnsi="Lato"/>
                <w:b/>
                <w:sz w:val="22"/>
                <w:szCs w:val="22"/>
              </w:rPr>
              <w:t>Derogations Granted</w:t>
            </w:r>
          </w:p>
        </w:tc>
        <w:tc>
          <w:tcPr>
            <w:tcW w:w="411" w:type="dxa"/>
            <w:tcBorders>
              <w:top w:val="nil"/>
              <w:left w:val="nil"/>
              <w:bottom w:val="single" w:sz="4" w:space="0" w:color="auto"/>
              <w:right w:val="nil"/>
            </w:tcBorders>
          </w:tcPr>
          <w:p w14:paraId="72324194" w14:textId="77777777" w:rsidR="00E24B91" w:rsidRPr="001362A6" w:rsidRDefault="00E24B91">
            <w:pPr>
              <w:rPr>
                <w:rFonts w:ascii="Lato" w:hAnsi="Lato"/>
                <w:sz w:val="22"/>
                <w:szCs w:val="22"/>
              </w:rPr>
            </w:pPr>
          </w:p>
        </w:tc>
        <w:tc>
          <w:tcPr>
            <w:tcW w:w="766" w:type="dxa"/>
            <w:tcBorders>
              <w:top w:val="nil"/>
              <w:left w:val="nil"/>
              <w:bottom w:val="single" w:sz="4" w:space="0" w:color="auto"/>
              <w:right w:val="nil"/>
            </w:tcBorders>
          </w:tcPr>
          <w:p w14:paraId="0D0AB937" w14:textId="77777777" w:rsidR="00E24B91" w:rsidRPr="001362A6" w:rsidRDefault="00E24B91">
            <w:pPr>
              <w:rPr>
                <w:rFonts w:ascii="Lato" w:hAnsi="Lato"/>
                <w:sz w:val="22"/>
                <w:szCs w:val="22"/>
              </w:rPr>
            </w:pPr>
          </w:p>
        </w:tc>
      </w:tr>
      <w:tr w:rsidR="0042571B" w:rsidRPr="001362A6" w14:paraId="2D1A8E4B" w14:textId="77777777" w:rsidTr="0042571B">
        <w:tc>
          <w:tcPr>
            <w:tcW w:w="1204" w:type="dxa"/>
            <w:tcBorders>
              <w:top w:val="nil"/>
              <w:left w:val="nil"/>
              <w:bottom w:val="nil"/>
              <w:right w:val="nil"/>
            </w:tcBorders>
          </w:tcPr>
          <w:p w14:paraId="3B04B93F" w14:textId="77777777" w:rsidR="0042571B" w:rsidRPr="001362A6" w:rsidRDefault="0042571B">
            <w:pPr>
              <w:rPr>
                <w:rFonts w:ascii="Lato" w:hAnsi="Lato"/>
                <w:sz w:val="22"/>
                <w:szCs w:val="22"/>
              </w:rPr>
            </w:pPr>
          </w:p>
        </w:tc>
        <w:tc>
          <w:tcPr>
            <w:tcW w:w="8194" w:type="dxa"/>
            <w:gridSpan w:val="2"/>
            <w:tcBorders>
              <w:top w:val="nil"/>
              <w:left w:val="nil"/>
              <w:bottom w:val="nil"/>
              <w:right w:val="single" w:sz="4" w:space="0" w:color="auto"/>
            </w:tcBorders>
          </w:tcPr>
          <w:p w14:paraId="3F438652" w14:textId="77777777" w:rsidR="0042571B" w:rsidRPr="001362A6" w:rsidRDefault="0042571B" w:rsidP="00E24B91">
            <w:pPr>
              <w:rPr>
                <w:rFonts w:ascii="Lato" w:hAnsi="Lato"/>
                <w:b/>
                <w:sz w:val="22"/>
                <w:szCs w:val="22"/>
              </w:rPr>
            </w:pPr>
            <w:r w:rsidRPr="001362A6">
              <w:rPr>
                <w:rFonts w:ascii="Lato" w:hAnsi="Lato"/>
                <w:sz w:val="22"/>
                <w:szCs w:val="22"/>
              </w:rPr>
              <w:t>Details of derogations granted by the Central Bank in respect of this application (if</w:t>
            </w:r>
          </w:p>
        </w:tc>
        <w:tc>
          <w:tcPr>
            <w:tcW w:w="1177" w:type="dxa"/>
            <w:gridSpan w:val="2"/>
            <w:tcBorders>
              <w:top w:val="single" w:sz="4" w:space="0" w:color="auto"/>
              <w:left w:val="single" w:sz="4" w:space="0" w:color="auto"/>
              <w:bottom w:val="single" w:sz="4" w:space="0" w:color="auto"/>
              <w:right w:val="single" w:sz="4" w:space="0" w:color="auto"/>
            </w:tcBorders>
          </w:tcPr>
          <w:p w14:paraId="1C84C8DD" w14:textId="77777777" w:rsidR="0042571B" w:rsidRPr="001362A6" w:rsidRDefault="0042571B">
            <w:pPr>
              <w:rPr>
                <w:rFonts w:ascii="Lato" w:hAnsi="Lato"/>
                <w:sz w:val="22"/>
                <w:szCs w:val="22"/>
              </w:rPr>
            </w:pPr>
          </w:p>
        </w:tc>
      </w:tr>
      <w:tr w:rsidR="00E24B91" w:rsidRPr="001362A6" w14:paraId="4190C8BC" w14:textId="77777777" w:rsidTr="00E24B91">
        <w:tc>
          <w:tcPr>
            <w:tcW w:w="1204" w:type="dxa"/>
            <w:tcBorders>
              <w:top w:val="nil"/>
              <w:left w:val="nil"/>
              <w:bottom w:val="nil"/>
              <w:right w:val="nil"/>
            </w:tcBorders>
          </w:tcPr>
          <w:p w14:paraId="6ED19C13" w14:textId="77777777" w:rsidR="00E24B91" w:rsidRPr="001362A6" w:rsidRDefault="00E24B91">
            <w:pPr>
              <w:rPr>
                <w:rFonts w:ascii="Lato" w:hAnsi="Lato"/>
                <w:sz w:val="22"/>
                <w:szCs w:val="22"/>
              </w:rPr>
            </w:pPr>
          </w:p>
        </w:tc>
        <w:tc>
          <w:tcPr>
            <w:tcW w:w="8194" w:type="dxa"/>
            <w:gridSpan w:val="2"/>
            <w:tcBorders>
              <w:top w:val="nil"/>
              <w:left w:val="nil"/>
              <w:bottom w:val="nil"/>
              <w:right w:val="nil"/>
            </w:tcBorders>
          </w:tcPr>
          <w:p w14:paraId="7A5D7405" w14:textId="77777777" w:rsidR="00E24B91" w:rsidRPr="001362A6" w:rsidRDefault="00854B06" w:rsidP="00E24B91">
            <w:pPr>
              <w:rPr>
                <w:rFonts w:ascii="Lato" w:hAnsi="Lato"/>
                <w:sz w:val="22"/>
                <w:szCs w:val="22"/>
              </w:rPr>
            </w:pPr>
            <w:r w:rsidRPr="001362A6">
              <w:rPr>
                <w:rFonts w:ascii="Lato" w:hAnsi="Lato"/>
                <w:sz w:val="22"/>
                <w:szCs w:val="22"/>
              </w:rPr>
              <w:t>r</w:t>
            </w:r>
            <w:r w:rsidR="00E24B91" w:rsidRPr="001362A6">
              <w:rPr>
                <w:rFonts w:ascii="Lato" w:hAnsi="Lato"/>
                <w:sz w:val="22"/>
                <w:szCs w:val="22"/>
              </w:rPr>
              <w:t>elevant)</w:t>
            </w:r>
          </w:p>
        </w:tc>
        <w:tc>
          <w:tcPr>
            <w:tcW w:w="411" w:type="dxa"/>
            <w:tcBorders>
              <w:top w:val="single" w:sz="4" w:space="0" w:color="auto"/>
              <w:left w:val="nil"/>
              <w:bottom w:val="nil"/>
              <w:right w:val="nil"/>
            </w:tcBorders>
          </w:tcPr>
          <w:p w14:paraId="6E38CC0A" w14:textId="77777777" w:rsidR="00E24B91" w:rsidRPr="001362A6" w:rsidRDefault="00E24B91">
            <w:pPr>
              <w:rPr>
                <w:rFonts w:ascii="Lato" w:hAnsi="Lato"/>
                <w:sz w:val="22"/>
                <w:szCs w:val="22"/>
              </w:rPr>
            </w:pPr>
          </w:p>
        </w:tc>
        <w:tc>
          <w:tcPr>
            <w:tcW w:w="766" w:type="dxa"/>
            <w:tcBorders>
              <w:top w:val="single" w:sz="4" w:space="0" w:color="auto"/>
              <w:left w:val="nil"/>
              <w:bottom w:val="nil"/>
              <w:right w:val="nil"/>
            </w:tcBorders>
          </w:tcPr>
          <w:p w14:paraId="13F88EF3" w14:textId="77777777" w:rsidR="00E24B91" w:rsidRPr="001362A6" w:rsidRDefault="00E24B91">
            <w:pPr>
              <w:rPr>
                <w:rFonts w:ascii="Lato" w:hAnsi="Lato"/>
                <w:sz w:val="22"/>
                <w:szCs w:val="22"/>
              </w:rPr>
            </w:pPr>
          </w:p>
        </w:tc>
      </w:tr>
      <w:tr w:rsidR="00CA3C8A" w:rsidRPr="001362A6" w14:paraId="325B488F" w14:textId="77777777" w:rsidTr="00CA3C8A">
        <w:tc>
          <w:tcPr>
            <w:tcW w:w="1204" w:type="dxa"/>
            <w:tcBorders>
              <w:top w:val="nil"/>
              <w:left w:val="nil"/>
              <w:bottom w:val="nil"/>
              <w:right w:val="nil"/>
            </w:tcBorders>
          </w:tcPr>
          <w:p w14:paraId="6A71A092" w14:textId="77777777" w:rsidR="00CA3C8A" w:rsidRPr="001362A6" w:rsidRDefault="00CA3C8A">
            <w:pPr>
              <w:rPr>
                <w:rFonts w:ascii="Lato" w:hAnsi="Lato"/>
                <w:sz w:val="22"/>
                <w:szCs w:val="22"/>
              </w:rPr>
            </w:pPr>
          </w:p>
        </w:tc>
        <w:tc>
          <w:tcPr>
            <w:tcW w:w="8194" w:type="dxa"/>
            <w:gridSpan w:val="2"/>
            <w:tcBorders>
              <w:top w:val="nil"/>
              <w:left w:val="nil"/>
              <w:bottom w:val="nil"/>
              <w:right w:val="nil"/>
            </w:tcBorders>
          </w:tcPr>
          <w:p w14:paraId="2429FDCC" w14:textId="77777777" w:rsidR="00CA3C8A" w:rsidRPr="001362A6" w:rsidRDefault="00CA3C8A">
            <w:pPr>
              <w:rPr>
                <w:rFonts w:ascii="Lato" w:hAnsi="Lato"/>
                <w:sz w:val="22"/>
                <w:szCs w:val="22"/>
              </w:rPr>
            </w:pPr>
          </w:p>
        </w:tc>
        <w:tc>
          <w:tcPr>
            <w:tcW w:w="411" w:type="dxa"/>
            <w:tcBorders>
              <w:top w:val="nil"/>
              <w:left w:val="nil"/>
              <w:bottom w:val="nil"/>
              <w:right w:val="nil"/>
            </w:tcBorders>
          </w:tcPr>
          <w:p w14:paraId="79FA3F24" w14:textId="77777777" w:rsidR="00CA3C8A" w:rsidRPr="001362A6" w:rsidRDefault="00CA3C8A">
            <w:pPr>
              <w:rPr>
                <w:rFonts w:ascii="Lato" w:hAnsi="Lato"/>
                <w:sz w:val="22"/>
                <w:szCs w:val="22"/>
              </w:rPr>
            </w:pPr>
          </w:p>
        </w:tc>
        <w:tc>
          <w:tcPr>
            <w:tcW w:w="766" w:type="dxa"/>
            <w:tcBorders>
              <w:top w:val="nil"/>
              <w:left w:val="nil"/>
              <w:bottom w:val="nil"/>
              <w:right w:val="nil"/>
            </w:tcBorders>
          </w:tcPr>
          <w:p w14:paraId="10554596" w14:textId="77777777" w:rsidR="00CA3C8A" w:rsidRPr="001362A6" w:rsidRDefault="00CA3C8A">
            <w:pPr>
              <w:rPr>
                <w:rFonts w:ascii="Lato" w:hAnsi="Lato"/>
                <w:sz w:val="22"/>
                <w:szCs w:val="22"/>
              </w:rPr>
            </w:pPr>
          </w:p>
        </w:tc>
      </w:tr>
      <w:tr w:rsidR="00CA3C8A" w:rsidRPr="001362A6" w14:paraId="640B3E83" w14:textId="77777777" w:rsidTr="00CA3C8A">
        <w:tc>
          <w:tcPr>
            <w:tcW w:w="1204" w:type="dxa"/>
            <w:tcBorders>
              <w:top w:val="nil"/>
              <w:left w:val="nil"/>
              <w:bottom w:val="nil"/>
              <w:right w:val="nil"/>
            </w:tcBorders>
          </w:tcPr>
          <w:p w14:paraId="72FB7136" w14:textId="77777777" w:rsidR="00CA3C8A" w:rsidRPr="001362A6" w:rsidRDefault="00CA3C8A">
            <w:pPr>
              <w:rPr>
                <w:rFonts w:ascii="Lato" w:hAnsi="Lato"/>
                <w:sz w:val="22"/>
                <w:szCs w:val="22"/>
              </w:rPr>
            </w:pPr>
            <w:r w:rsidRPr="001362A6">
              <w:rPr>
                <w:rFonts w:ascii="Lato" w:hAnsi="Lato"/>
                <w:sz w:val="22"/>
                <w:szCs w:val="22"/>
              </w:rPr>
              <w:t>1.7.2</w:t>
            </w:r>
          </w:p>
        </w:tc>
        <w:tc>
          <w:tcPr>
            <w:tcW w:w="8194" w:type="dxa"/>
            <w:gridSpan w:val="2"/>
            <w:tcBorders>
              <w:top w:val="nil"/>
              <w:left w:val="nil"/>
              <w:bottom w:val="nil"/>
              <w:right w:val="nil"/>
            </w:tcBorders>
          </w:tcPr>
          <w:p w14:paraId="33330799" w14:textId="77777777" w:rsidR="00CA3C8A" w:rsidRPr="001362A6" w:rsidRDefault="00CA3C8A">
            <w:pPr>
              <w:rPr>
                <w:rFonts w:ascii="Lato" w:hAnsi="Lato"/>
                <w:b/>
                <w:sz w:val="22"/>
                <w:szCs w:val="22"/>
              </w:rPr>
            </w:pPr>
            <w:r w:rsidRPr="001362A6">
              <w:rPr>
                <w:rFonts w:ascii="Lato" w:hAnsi="Lato"/>
                <w:b/>
                <w:sz w:val="22"/>
                <w:szCs w:val="22"/>
              </w:rPr>
              <w:t>Unit Trust</w:t>
            </w:r>
          </w:p>
        </w:tc>
        <w:tc>
          <w:tcPr>
            <w:tcW w:w="411" w:type="dxa"/>
            <w:tcBorders>
              <w:top w:val="nil"/>
              <w:left w:val="nil"/>
              <w:bottom w:val="nil"/>
              <w:right w:val="nil"/>
            </w:tcBorders>
          </w:tcPr>
          <w:p w14:paraId="47B75079" w14:textId="77777777" w:rsidR="00CA3C8A" w:rsidRPr="001362A6" w:rsidRDefault="00CA3C8A">
            <w:pPr>
              <w:rPr>
                <w:rFonts w:ascii="Lato" w:hAnsi="Lato"/>
                <w:sz w:val="22"/>
                <w:szCs w:val="22"/>
              </w:rPr>
            </w:pPr>
          </w:p>
        </w:tc>
        <w:tc>
          <w:tcPr>
            <w:tcW w:w="766" w:type="dxa"/>
            <w:tcBorders>
              <w:top w:val="nil"/>
              <w:left w:val="nil"/>
              <w:bottom w:val="nil"/>
              <w:right w:val="nil"/>
            </w:tcBorders>
          </w:tcPr>
          <w:p w14:paraId="5E970E44" w14:textId="77777777" w:rsidR="00CA3C8A" w:rsidRPr="001362A6" w:rsidRDefault="00CA3C8A">
            <w:pPr>
              <w:rPr>
                <w:rFonts w:ascii="Lato" w:hAnsi="Lato"/>
                <w:sz w:val="22"/>
                <w:szCs w:val="22"/>
              </w:rPr>
            </w:pPr>
          </w:p>
        </w:tc>
      </w:tr>
      <w:tr w:rsidR="00EA0905" w:rsidRPr="001362A6" w14:paraId="30D1B457" w14:textId="77777777" w:rsidTr="00EA0905">
        <w:tc>
          <w:tcPr>
            <w:tcW w:w="1204" w:type="dxa"/>
            <w:tcBorders>
              <w:top w:val="nil"/>
              <w:left w:val="nil"/>
              <w:bottom w:val="nil"/>
              <w:right w:val="nil"/>
            </w:tcBorders>
          </w:tcPr>
          <w:p w14:paraId="1E6A1271" w14:textId="77777777" w:rsidR="00EA0905" w:rsidRPr="001362A6" w:rsidRDefault="00EA0905">
            <w:pPr>
              <w:rPr>
                <w:rFonts w:ascii="Lato" w:hAnsi="Lato"/>
                <w:sz w:val="22"/>
                <w:szCs w:val="22"/>
              </w:rPr>
            </w:pPr>
          </w:p>
        </w:tc>
        <w:tc>
          <w:tcPr>
            <w:tcW w:w="8194" w:type="dxa"/>
            <w:gridSpan w:val="2"/>
            <w:tcBorders>
              <w:top w:val="nil"/>
              <w:left w:val="nil"/>
              <w:bottom w:val="nil"/>
              <w:right w:val="single" w:sz="4" w:space="0" w:color="auto"/>
            </w:tcBorders>
          </w:tcPr>
          <w:p w14:paraId="66522D46" w14:textId="77777777" w:rsidR="00EA0905" w:rsidRPr="001362A6" w:rsidRDefault="00EA0905" w:rsidP="00EA0905">
            <w:pPr>
              <w:rPr>
                <w:rFonts w:ascii="Lato" w:hAnsi="Lato"/>
                <w:sz w:val="22"/>
                <w:szCs w:val="22"/>
              </w:rPr>
            </w:pPr>
            <w:r w:rsidRPr="001362A6">
              <w:rPr>
                <w:rFonts w:ascii="Lato" w:hAnsi="Lato"/>
                <w:sz w:val="22"/>
                <w:szCs w:val="22"/>
              </w:rPr>
              <w:t xml:space="preserve">Where classes are being created that restrict investment to specific categories of </w:t>
            </w:r>
          </w:p>
        </w:tc>
        <w:tc>
          <w:tcPr>
            <w:tcW w:w="411" w:type="dxa"/>
            <w:tcBorders>
              <w:top w:val="single" w:sz="4" w:space="0" w:color="auto"/>
              <w:left w:val="single" w:sz="4" w:space="0" w:color="auto"/>
              <w:bottom w:val="single" w:sz="4" w:space="0" w:color="auto"/>
              <w:right w:val="nil"/>
            </w:tcBorders>
          </w:tcPr>
          <w:p w14:paraId="799FC76B" w14:textId="77777777" w:rsidR="00EA0905" w:rsidRPr="001362A6" w:rsidRDefault="00EA0905">
            <w:pPr>
              <w:rPr>
                <w:rFonts w:ascii="Lato" w:hAnsi="Lato"/>
                <w:sz w:val="22"/>
                <w:szCs w:val="22"/>
              </w:rPr>
            </w:pPr>
          </w:p>
        </w:tc>
        <w:tc>
          <w:tcPr>
            <w:tcW w:w="766" w:type="dxa"/>
            <w:tcBorders>
              <w:top w:val="single" w:sz="4" w:space="0" w:color="auto"/>
              <w:left w:val="nil"/>
              <w:bottom w:val="single" w:sz="4" w:space="0" w:color="auto"/>
              <w:right w:val="single" w:sz="4" w:space="0" w:color="auto"/>
            </w:tcBorders>
          </w:tcPr>
          <w:p w14:paraId="01B250C8" w14:textId="77777777" w:rsidR="00EA0905" w:rsidRPr="001362A6" w:rsidRDefault="00EA0905">
            <w:pPr>
              <w:rPr>
                <w:rFonts w:ascii="Lato" w:hAnsi="Lato"/>
                <w:sz w:val="22"/>
                <w:szCs w:val="22"/>
              </w:rPr>
            </w:pPr>
          </w:p>
        </w:tc>
      </w:tr>
      <w:tr w:rsidR="00EA0905" w:rsidRPr="001362A6" w14:paraId="21C5189D" w14:textId="77777777" w:rsidTr="00EA0905">
        <w:tc>
          <w:tcPr>
            <w:tcW w:w="1204" w:type="dxa"/>
            <w:tcBorders>
              <w:top w:val="nil"/>
              <w:left w:val="nil"/>
              <w:bottom w:val="nil"/>
              <w:right w:val="nil"/>
            </w:tcBorders>
          </w:tcPr>
          <w:p w14:paraId="78004379" w14:textId="77777777" w:rsidR="00EA0905" w:rsidRPr="001362A6" w:rsidRDefault="00EA0905">
            <w:pPr>
              <w:rPr>
                <w:rFonts w:ascii="Lato" w:hAnsi="Lato"/>
                <w:sz w:val="22"/>
                <w:szCs w:val="22"/>
              </w:rPr>
            </w:pPr>
          </w:p>
        </w:tc>
        <w:tc>
          <w:tcPr>
            <w:tcW w:w="8194" w:type="dxa"/>
            <w:gridSpan w:val="2"/>
            <w:tcBorders>
              <w:top w:val="nil"/>
              <w:left w:val="nil"/>
              <w:bottom w:val="nil"/>
              <w:right w:val="nil"/>
            </w:tcBorders>
          </w:tcPr>
          <w:p w14:paraId="3D296FF2" w14:textId="77777777" w:rsidR="00EA0905" w:rsidRPr="001362A6" w:rsidRDefault="00EA0905">
            <w:pPr>
              <w:rPr>
                <w:rFonts w:ascii="Lato" w:hAnsi="Lato"/>
                <w:sz w:val="22"/>
                <w:szCs w:val="22"/>
              </w:rPr>
            </w:pPr>
            <w:r w:rsidRPr="001362A6">
              <w:rPr>
                <w:rFonts w:ascii="Lato" w:hAnsi="Lato"/>
                <w:sz w:val="22"/>
                <w:szCs w:val="22"/>
              </w:rPr>
              <w:t>unitholders, confirm in a covering letter that the proposal complies with the Unit Trust Act 1990, in relation to public participation</w:t>
            </w:r>
          </w:p>
        </w:tc>
        <w:tc>
          <w:tcPr>
            <w:tcW w:w="411" w:type="dxa"/>
            <w:tcBorders>
              <w:top w:val="single" w:sz="4" w:space="0" w:color="auto"/>
              <w:left w:val="nil"/>
              <w:bottom w:val="nil"/>
              <w:right w:val="nil"/>
            </w:tcBorders>
          </w:tcPr>
          <w:p w14:paraId="79B85B78" w14:textId="77777777" w:rsidR="00EA0905" w:rsidRPr="001362A6" w:rsidRDefault="00EA0905">
            <w:pPr>
              <w:rPr>
                <w:rFonts w:ascii="Lato" w:hAnsi="Lato"/>
                <w:sz w:val="22"/>
                <w:szCs w:val="22"/>
              </w:rPr>
            </w:pPr>
          </w:p>
        </w:tc>
        <w:tc>
          <w:tcPr>
            <w:tcW w:w="766" w:type="dxa"/>
            <w:tcBorders>
              <w:top w:val="single" w:sz="4" w:space="0" w:color="auto"/>
              <w:left w:val="nil"/>
              <w:bottom w:val="nil"/>
              <w:right w:val="nil"/>
            </w:tcBorders>
          </w:tcPr>
          <w:p w14:paraId="309A1284" w14:textId="77777777" w:rsidR="00EA0905" w:rsidRPr="001362A6" w:rsidRDefault="00EA0905">
            <w:pPr>
              <w:rPr>
                <w:rFonts w:ascii="Lato" w:hAnsi="Lato"/>
                <w:sz w:val="22"/>
                <w:szCs w:val="22"/>
              </w:rPr>
            </w:pPr>
          </w:p>
        </w:tc>
      </w:tr>
      <w:tr w:rsidR="00EA0905" w:rsidRPr="001362A6" w14:paraId="55C5ABE3" w14:textId="77777777" w:rsidTr="00EA0905">
        <w:tc>
          <w:tcPr>
            <w:tcW w:w="1204" w:type="dxa"/>
            <w:tcBorders>
              <w:top w:val="nil"/>
              <w:left w:val="nil"/>
              <w:bottom w:val="nil"/>
              <w:right w:val="nil"/>
            </w:tcBorders>
          </w:tcPr>
          <w:p w14:paraId="214DFD87" w14:textId="77777777" w:rsidR="00EA0905" w:rsidRPr="001362A6" w:rsidRDefault="00EA0905">
            <w:pPr>
              <w:rPr>
                <w:rFonts w:ascii="Lato" w:hAnsi="Lato"/>
                <w:sz w:val="22"/>
                <w:szCs w:val="22"/>
              </w:rPr>
            </w:pPr>
          </w:p>
        </w:tc>
        <w:tc>
          <w:tcPr>
            <w:tcW w:w="8194" w:type="dxa"/>
            <w:gridSpan w:val="2"/>
            <w:tcBorders>
              <w:top w:val="nil"/>
              <w:left w:val="nil"/>
              <w:bottom w:val="nil"/>
              <w:right w:val="nil"/>
            </w:tcBorders>
          </w:tcPr>
          <w:p w14:paraId="4803EA40" w14:textId="77777777" w:rsidR="00EA0905" w:rsidRPr="001362A6" w:rsidRDefault="00EA0905">
            <w:pPr>
              <w:rPr>
                <w:rFonts w:ascii="Lato" w:hAnsi="Lato"/>
                <w:sz w:val="22"/>
                <w:szCs w:val="22"/>
              </w:rPr>
            </w:pPr>
          </w:p>
        </w:tc>
        <w:tc>
          <w:tcPr>
            <w:tcW w:w="411" w:type="dxa"/>
            <w:tcBorders>
              <w:top w:val="nil"/>
              <w:left w:val="nil"/>
              <w:bottom w:val="nil"/>
              <w:right w:val="nil"/>
            </w:tcBorders>
          </w:tcPr>
          <w:p w14:paraId="593E7AA8" w14:textId="77777777" w:rsidR="00EA0905" w:rsidRPr="001362A6" w:rsidRDefault="00EA0905">
            <w:pPr>
              <w:rPr>
                <w:rFonts w:ascii="Lato" w:hAnsi="Lato"/>
                <w:sz w:val="22"/>
                <w:szCs w:val="22"/>
              </w:rPr>
            </w:pPr>
          </w:p>
        </w:tc>
        <w:tc>
          <w:tcPr>
            <w:tcW w:w="766" w:type="dxa"/>
            <w:tcBorders>
              <w:top w:val="nil"/>
              <w:left w:val="nil"/>
              <w:bottom w:val="nil"/>
              <w:right w:val="nil"/>
            </w:tcBorders>
          </w:tcPr>
          <w:p w14:paraId="4CF45DF7" w14:textId="77777777" w:rsidR="00EA0905" w:rsidRPr="001362A6" w:rsidRDefault="00EA0905">
            <w:pPr>
              <w:rPr>
                <w:rFonts w:ascii="Lato" w:hAnsi="Lato"/>
                <w:sz w:val="22"/>
                <w:szCs w:val="22"/>
              </w:rPr>
            </w:pPr>
          </w:p>
        </w:tc>
      </w:tr>
      <w:tr w:rsidR="00EA0905" w:rsidRPr="001362A6" w14:paraId="4942F0AD" w14:textId="77777777" w:rsidTr="00EA0905">
        <w:tc>
          <w:tcPr>
            <w:tcW w:w="1204" w:type="dxa"/>
            <w:tcBorders>
              <w:top w:val="nil"/>
              <w:left w:val="nil"/>
              <w:bottom w:val="nil"/>
              <w:right w:val="nil"/>
            </w:tcBorders>
          </w:tcPr>
          <w:p w14:paraId="1B601788" w14:textId="77777777" w:rsidR="00EA0905" w:rsidRPr="001362A6" w:rsidRDefault="00E411F4">
            <w:pPr>
              <w:rPr>
                <w:rFonts w:ascii="Lato" w:hAnsi="Lato"/>
                <w:sz w:val="22"/>
                <w:szCs w:val="22"/>
              </w:rPr>
            </w:pPr>
            <w:r w:rsidRPr="001362A6">
              <w:rPr>
                <w:rFonts w:ascii="Lato" w:hAnsi="Lato"/>
                <w:sz w:val="22"/>
                <w:szCs w:val="22"/>
              </w:rPr>
              <w:t>1.7.3</w:t>
            </w:r>
          </w:p>
        </w:tc>
        <w:tc>
          <w:tcPr>
            <w:tcW w:w="8194" w:type="dxa"/>
            <w:gridSpan w:val="2"/>
            <w:tcBorders>
              <w:top w:val="nil"/>
              <w:left w:val="nil"/>
              <w:bottom w:val="nil"/>
              <w:right w:val="nil"/>
            </w:tcBorders>
          </w:tcPr>
          <w:p w14:paraId="50737DBE" w14:textId="77777777" w:rsidR="00EA0905" w:rsidRPr="001362A6" w:rsidRDefault="00EA0905">
            <w:pPr>
              <w:pStyle w:val="Heading8"/>
              <w:rPr>
                <w:rFonts w:ascii="Lato" w:hAnsi="Lato"/>
                <w:szCs w:val="22"/>
                <w:u w:val="none"/>
              </w:rPr>
            </w:pPr>
            <w:r w:rsidRPr="001362A6">
              <w:rPr>
                <w:rFonts w:ascii="Lato" w:hAnsi="Lato"/>
                <w:szCs w:val="22"/>
                <w:u w:val="none"/>
              </w:rPr>
              <w:t>Share Class Prospectus</w:t>
            </w:r>
          </w:p>
        </w:tc>
        <w:tc>
          <w:tcPr>
            <w:tcW w:w="411" w:type="dxa"/>
            <w:tcBorders>
              <w:top w:val="nil"/>
              <w:left w:val="nil"/>
              <w:bottom w:val="single" w:sz="4" w:space="0" w:color="auto"/>
              <w:right w:val="nil"/>
            </w:tcBorders>
          </w:tcPr>
          <w:p w14:paraId="79ABCAD8" w14:textId="77777777" w:rsidR="00EA0905" w:rsidRPr="001362A6" w:rsidRDefault="00EA0905">
            <w:pPr>
              <w:rPr>
                <w:rFonts w:ascii="Lato" w:hAnsi="Lato"/>
                <w:sz w:val="22"/>
                <w:szCs w:val="22"/>
              </w:rPr>
            </w:pPr>
          </w:p>
        </w:tc>
        <w:tc>
          <w:tcPr>
            <w:tcW w:w="766" w:type="dxa"/>
            <w:tcBorders>
              <w:top w:val="nil"/>
              <w:left w:val="nil"/>
              <w:bottom w:val="single" w:sz="4" w:space="0" w:color="auto"/>
              <w:right w:val="nil"/>
            </w:tcBorders>
          </w:tcPr>
          <w:p w14:paraId="4E91C517" w14:textId="77777777" w:rsidR="00EA0905" w:rsidRPr="001362A6" w:rsidRDefault="00EA0905">
            <w:pPr>
              <w:rPr>
                <w:rFonts w:ascii="Lato" w:hAnsi="Lato"/>
                <w:sz w:val="22"/>
                <w:szCs w:val="22"/>
              </w:rPr>
            </w:pPr>
          </w:p>
        </w:tc>
      </w:tr>
      <w:tr w:rsidR="00EA0905" w:rsidRPr="001362A6" w14:paraId="5C8B67F8" w14:textId="77777777" w:rsidTr="00EA0905">
        <w:tc>
          <w:tcPr>
            <w:tcW w:w="1204" w:type="dxa"/>
            <w:tcBorders>
              <w:top w:val="nil"/>
              <w:left w:val="nil"/>
              <w:bottom w:val="nil"/>
              <w:right w:val="nil"/>
            </w:tcBorders>
          </w:tcPr>
          <w:p w14:paraId="2817F737" w14:textId="77777777" w:rsidR="00EA0905" w:rsidRPr="001362A6" w:rsidRDefault="00EA0905">
            <w:pPr>
              <w:rPr>
                <w:rFonts w:ascii="Lato" w:hAnsi="Lato"/>
                <w:sz w:val="22"/>
                <w:szCs w:val="22"/>
              </w:rPr>
            </w:pPr>
          </w:p>
        </w:tc>
        <w:tc>
          <w:tcPr>
            <w:tcW w:w="8194" w:type="dxa"/>
            <w:gridSpan w:val="2"/>
            <w:tcBorders>
              <w:top w:val="nil"/>
              <w:left w:val="nil"/>
              <w:bottom w:val="nil"/>
              <w:right w:val="single" w:sz="4" w:space="0" w:color="auto"/>
            </w:tcBorders>
          </w:tcPr>
          <w:p w14:paraId="3A73AEB4" w14:textId="77777777" w:rsidR="00EA0905" w:rsidRPr="001362A6" w:rsidRDefault="00EA0905" w:rsidP="00EA0905">
            <w:pPr>
              <w:pStyle w:val="Heading8"/>
              <w:jc w:val="both"/>
              <w:rPr>
                <w:rFonts w:ascii="Lato" w:hAnsi="Lato"/>
                <w:b w:val="0"/>
                <w:bCs w:val="0"/>
                <w:szCs w:val="22"/>
                <w:u w:val="none"/>
              </w:rPr>
            </w:pPr>
            <w:r w:rsidRPr="001362A6">
              <w:rPr>
                <w:rFonts w:ascii="Lato" w:hAnsi="Lato"/>
                <w:b w:val="0"/>
                <w:bCs w:val="0"/>
                <w:szCs w:val="22"/>
                <w:u w:val="none"/>
              </w:rPr>
              <w:t xml:space="preserve">Where it is proposed to issue </w:t>
            </w:r>
            <w:r w:rsidR="00430598" w:rsidRPr="001362A6">
              <w:rPr>
                <w:rFonts w:ascii="Lato" w:hAnsi="Lato"/>
                <w:b w:val="0"/>
                <w:bCs w:val="0"/>
                <w:szCs w:val="22"/>
                <w:u w:val="none"/>
              </w:rPr>
              <w:t xml:space="preserve">a </w:t>
            </w:r>
            <w:r w:rsidRPr="001362A6">
              <w:rPr>
                <w:rFonts w:ascii="Lato" w:hAnsi="Lato"/>
                <w:b w:val="0"/>
                <w:bCs w:val="0"/>
                <w:szCs w:val="22"/>
                <w:u w:val="none"/>
              </w:rPr>
              <w:t>prospectus for share classes the directors/AIFM/</w:t>
            </w:r>
          </w:p>
        </w:tc>
        <w:tc>
          <w:tcPr>
            <w:tcW w:w="411" w:type="dxa"/>
            <w:tcBorders>
              <w:top w:val="single" w:sz="4" w:space="0" w:color="auto"/>
              <w:left w:val="single" w:sz="4" w:space="0" w:color="auto"/>
              <w:bottom w:val="single" w:sz="4" w:space="0" w:color="auto"/>
              <w:right w:val="nil"/>
            </w:tcBorders>
          </w:tcPr>
          <w:p w14:paraId="0302124D" w14:textId="77777777" w:rsidR="00EA0905" w:rsidRPr="001362A6" w:rsidRDefault="00EA0905">
            <w:pPr>
              <w:rPr>
                <w:rFonts w:ascii="Lato" w:hAnsi="Lato"/>
                <w:sz w:val="22"/>
                <w:szCs w:val="22"/>
              </w:rPr>
            </w:pPr>
          </w:p>
        </w:tc>
        <w:tc>
          <w:tcPr>
            <w:tcW w:w="766" w:type="dxa"/>
            <w:tcBorders>
              <w:top w:val="single" w:sz="4" w:space="0" w:color="auto"/>
              <w:left w:val="nil"/>
              <w:bottom w:val="single" w:sz="4" w:space="0" w:color="auto"/>
              <w:right w:val="single" w:sz="4" w:space="0" w:color="auto"/>
            </w:tcBorders>
          </w:tcPr>
          <w:p w14:paraId="0184BE76" w14:textId="77777777" w:rsidR="00EA0905" w:rsidRPr="001362A6" w:rsidRDefault="00EA0905">
            <w:pPr>
              <w:rPr>
                <w:rFonts w:ascii="Lato" w:hAnsi="Lato"/>
                <w:sz w:val="22"/>
                <w:szCs w:val="22"/>
              </w:rPr>
            </w:pPr>
          </w:p>
        </w:tc>
      </w:tr>
      <w:tr w:rsidR="00EA0905" w:rsidRPr="001362A6" w14:paraId="561ADAB3" w14:textId="77777777" w:rsidTr="00EA0905">
        <w:tc>
          <w:tcPr>
            <w:tcW w:w="1204" w:type="dxa"/>
            <w:tcBorders>
              <w:top w:val="nil"/>
              <w:left w:val="nil"/>
              <w:bottom w:val="nil"/>
              <w:right w:val="nil"/>
            </w:tcBorders>
          </w:tcPr>
          <w:p w14:paraId="6B208148" w14:textId="77777777" w:rsidR="00EA0905" w:rsidRPr="001362A6" w:rsidRDefault="00EA0905">
            <w:pPr>
              <w:rPr>
                <w:rFonts w:ascii="Lato" w:hAnsi="Lato"/>
                <w:sz w:val="22"/>
                <w:szCs w:val="22"/>
              </w:rPr>
            </w:pPr>
          </w:p>
        </w:tc>
        <w:tc>
          <w:tcPr>
            <w:tcW w:w="8194" w:type="dxa"/>
            <w:gridSpan w:val="2"/>
            <w:tcBorders>
              <w:top w:val="nil"/>
              <w:left w:val="nil"/>
              <w:bottom w:val="nil"/>
              <w:right w:val="nil"/>
            </w:tcBorders>
          </w:tcPr>
          <w:p w14:paraId="590C9F57" w14:textId="77777777" w:rsidR="00EA0905" w:rsidRPr="001362A6" w:rsidRDefault="00EA0905" w:rsidP="00430598">
            <w:pPr>
              <w:pStyle w:val="Heading8"/>
              <w:jc w:val="both"/>
              <w:rPr>
                <w:rFonts w:ascii="Lato" w:hAnsi="Lato"/>
                <w:b w:val="0"/>
                <w:bCs w:val="0"/>
                <w:szCs w:val="22"/>
                <w:u w:val="none"/>
              </w:rPr>
            </w:pPr>
            <w:r w:rsidRPr="001362A6">
              <w:rPr>
                <w:rFonts w:ascii="Lato" w:hAnsi="Lato"/>
                <w:b w:val="0"/>
                <w:bCs w:val="0"/>
                <w:szCs w:val="22"/>
                <w:u w:val="none"/>
              </w:rPr>
              <w:t xml:space="preserve">Management Company/General Partner or their legal advisers must confirm that the prospectus </w:t>
            </w:r>
            <w:r w:rsidR="00430598" w:rsidRPr="001362A6">
              <w:rPr>
                <w:rFonts w:ascii="Lato" w:hAnsi="Lato"/>
                <w:b w:val="0"/>
                <w:bCs w:val="0"/>
                <w:szCs w:val="22"/>
                <w:u w:val="none"/>
              </w:rPr>
              <w:t>is</w:t>
            </w:r>
            <w:r w:rsidRPr="001362A6">
              <w:rPr>
                <w:rFonts w:ascii="Lato" w:hAnsi="Lato"/>
                <w:b w:val="0"/>
                <w:bCs w:val="0"/>
                <w:szCs w:val="22"/>
                <w:u w:val="none"/>
              </w:rPr>
              <w:t xml:space="preserve"> consistent with the other prospectus’ for the</w:t>
            </w:r>
            <w:r w:rsidR="00C87E19" w:rsidRPr="001362A6">
              <w:rPr>
                <w:rFonts w:ascii="Lato" w:hAnsi="Lato"/>
                <w:b w:val="0"/>
                <w:bCs w:val="0"/>
                <w:szCs w:val="22"/>
                <w:u w:val="none"/>
              </w:rPr>
              <w:t xml:space="preserve"> </w:t>
            </w:r>
            <w:r w:rsidR="00E411F4" w:rsidRPr="001362A6">
              <w:rPr>
                <w:rFonts w:ascii="Lato" w:hAnsi="Lato"/>
                <w:b w:val="0"/>
                <w:bCs w:val="0"/>
                <w:szCs w:val="22"/>
                <w:u w:val="none"/>
              </w:rPr>
              <w:t>Qualifying Investor AIF</w:t>
            </w:r>
            <w:r w:rsidRPr="001362A6">
              <w:rPr>
                <w:rFonts w:ascii="Lato" w:hAnsi="Lato"/>
                <w:b w:val="0"/>
                <w:bCs w:val="0"/>
                <w:szCs w:val="22"/>
                <w:u w:val="none"/>
              </w:rPr>
              <w:t xml:space="preserve">/Sub-fund of an umbrella </w:t>
            </w:r>
            <w:r w:rsidR="00E411F4" w:rsidRPr="001362A6">
              <w:rPr>
                <w:rFonts w:ascii="Lato" w:hAnsi="Lato"/>
                <w:b w:val="0"/>
                <w:bCs w:val="0"/>
                <w:szCs w:val="22"/>
                <w:u w:val="none"/>
              </w:rPr>
              <w:t xml:space="preserve">Qualifying Investor </w:t>
            </w:r>
            <w:r w:rsidRPr="001362A6">
              <w:rPr>
                <w:rFonts w:ascii="Lato" w:hAnsi="Lato"/>
                <w:b w:val="0"/>
                <w:bCs w:val="0"/>
                <w:szCs w:val="22"/>
                <w:u w:val="none"/>
              </w:rPr>
              <w:t>AIF (except in relation to that information which is class specific).</w:t>
            </w:r>
          </w:p>
        </w:tc>
        <w:tc>
          <w:tcPr>
            <w:tcW w:w="411" w:type="dxa"/>
            <w:tcBorders>
              <w:top w:val="single" w:sz="4" w:space="0" w:color="auto"/>
              <w:left w:val="nil"/>
              <w:bottom w:val="nil"/>
              <w:right w:val="nil"/>
            </w:tcBorders>
          </w:tcPr>
          <w:p w14:paraId="5449B3EE" w14:textId="77777777" w:rsidR="00EA0905" w:rsidRPr="001362A6" w:rsidRDefault="00EA0905">
            <w:pPr>
              <w:rPr>
                <w:rFonts w:ascii="Lato" w:hAnsi="Lato"/>
                <w:sz w:val="22"/>
                <w:szCs w:val="22"/>
              </w:rPr>
            </w:pPr>
          </w:p>
        </w:tc>
        <w:tc>
          <w:tcPr>
            <w:tcW w:w="766" w:type="dxa"/>
            <w:tcBorders>
              <w:top w:val="single" w:sz="4" w:space="0" w:color="auto"/>
              <w:left w:val="nil"/>
              <w:bottom w:val="nil"/>
              <w:right w:val="nil"/>
            </w:tcBorders>
          </w:tcPr>
          <w:p w14:paraId="2A889DCF" w14:textId="77777777" w:rsidR="00EA0905" w:rsidRPr="001362A6" w:rsidRDefault="00EA0905">
            <w:pPr>
              <w:rPr>
                <w:rFonts w:ascii="Lato" w:hAnsi="Lato"/>
                <w:sz w:val="22"/>
                <w:szCs w:val="22"/>
              </w:rPr>
            </w:pPr>
          </w:p>
        </w:tc>
      </w:tr>
      <w:tr w:rsidR="00EA0905" w:rsidRPr="001362A6" w14:paraId="406358BC" w14:textId="77777777" w:rsidTr="00AB716D">
        <w:tc>
          <w:tcPr>
            <w:tcW w:w="1204" w:type="dxa"/>
            <w:tcBorders>
              <w:top w:val="nil"/>
              <w:left w:val="nil"/>
              <w:bottom w:val="nil"/>
              <w:right w:val="nil"/>
            </w:tcBorders>
          </w:tcPr>
          <w:p w14:paraId="5F44F053" w14:textId="77777777" w:rsidR="00EA0905" w:rsidRPr="001362A6" w:rsidRDefault="00EA0905">
            <w:pPr>
              <w:rPr>
                <w:rFonts w:ascii="Lato" w:hAnsi="Lato"/>
                <w:sz w:val="22"/>
                <w:szCs w:val="22"/>
              </w:rPr>
            </w:pPr>
          </w:p>
        </w:tc>
        <w:tc>
          <w:tcPr>
            <w:tcW w:w="8194" w:type="dxa"/>
            <w:gridSpan w:val="2"/>
            <w:tcBorders>
              <w:top w:val="nil"/>
              <w:left w:val="nil"/>
              <w:bottom w:val="nil"/>
              <w:right w:val="nil"/>
            </w:tcBorders>
          </w:tcPr>
          <w:p w14:paraId="72C47E2F" w14:textId="77777777" w:rsidR="00EA0905" w:rsidRPr="001362A6" w:rsidRDefault="00EA0905">
            <w:pPr>
              <w:pStyle w:val="Heading8"/>
              <w:rPr>
                <w:rFonts w:ascii="Lato" w:hAnsi="Lato"/>
                <w:szCs w:val="22"/>
              </w:rPr>
            </w:pPr>
          </w:p>
        </w:tc>
        <w:tc>
          <w:tcPr>
            <w:tcW w:w="411" w:type="dxa"/>
            <w:tcBorders>
              <w:top w:val="nil"/>
              <w:left w:val="nil"/>
              <w:bottom w:val="nil"/>
              <w:right w:val="nil"/>
            </w:tcBorders>
          </w:tcPr>
          <w:p w14:paraId="7729CFB3" w14:textId="77777777" w:rsidR="00EA0905" w:rsidRPr="001362A6" w:rsidRDefault="00EA0905">
            <w:pPr>
              <w:rPr>
                <w:rFonts w:ascii="Lato" w:hAnsi="Lato"/>
                <w:sz w:val="22"/>
                <w:szCs w:val="22"/>
              </w:rPr>
            </w:pPr>
          </w:p>
        </w:tc>
        <w:tc>
          <w:tcPr>
            <w:tcW w:w="766" w:type="dxa"/>
            <w:tcBorders>
              <w:top w:val="nil"/>
              <w:left w:val="nil"/>
              <w:bottom w:val="nil"/>
              <w:right w:val="nil"/>
            </w:tcBorders>
          </w:tcPr>
          <w:p w14:paraId="1A120555" w14:textId="77777777" w:rsidR="00EA0905" w:rsidRPr="001362A6" w:rsidRDefault="00EA0905">
            <w:pPr>
              <w:rPr>
                <w:rFonts w:ascii="Lato" w:hAnsi="Lato"/>
                <w:sz w:val="22"/>
                <w:szCs w:val="22"/>
              </w:rPr>
            </w:pPr>
          </w:p>
        </w:tc>
      </w:tr>
      <w:tr w:rsidR="00EA0905" w:rsidRPr="001362A6" w14:paraId="20B9D510" w14:textId="77777777" w:rsidTr="00AB716D">
        <w:tc>
          <w:tcPr>
            <w:tcW w:w="1204" w:type="dxa"/>
            <w:tcBorders>
              <w:top w:val="nil"/>
              <w:left w:val="nil"/>
              <w:bottom w:val="nil"/>
              <w:right w:val="nil"/>
            </w:tcBorders>
          </w:tcPr>
          <w:p w14:paraId="3E4FE962" w14:textId="77777777" w:rsidR="00EA0905" w:rsidRPr="001362A6" w:rsidRDefault="001504C8">
            <w:pPr>
              <w:rPr>
                <w:rFonts w:ascii="Lato" w:hAnsi="Lato"/>
                <w:sz w:val="22"/>
                <w:szCs w:val="22"/>
              </w:rPr>
            </w:pPr>
            <w:r w:rsidRPr="001362A6">
              <w:rPr>
                <w:rFonts w:ascii="Lato" w:hAnsi="Lato"/>
                <w:sz w:val="22"/>
                <w:szCs w:val="22"/>
              </w:rPr>
              <w:t>1.7.4</w:t>
            </w:r>
          </w:p>
        </w:tc>
        <w:tc>
          <w:tcPr>
            <w:tcW w:w="8194" w:type="dxa"/>
            <w:gridSpan w:val="2"/>
            <w:tcBorders>
              <w:top w:val="nil"/>
              <w:left w:val="nil"/>
              <w:bottom w:val="nil"/>
              <w:right w:val="nil"/>
            </w:tcBorders>
          </w:tcPr>
          <w:p w14:paraId="1AB91A36" w14:textId="77777777" w:rsidR="00EA0905" w:rsidRPr="001362A6" w:rsidRDefault="00EA0905" w:rsidP="001B79B1">
            <w:pPr>
              <w:pStyle w:val="Heading8"/>
              <w:rPr>
                <w:rFonts w:ascii="Lato" w:hAnsi="Lato"/>
                <w:szCs w:val="22"/>
                <w:u w:val="none"/>
              </w:rPr>
            </w:pPr>
            <w:r w:rsidRPr="001362A6">
              <w:rPr>
                <w:rFonts w:ascii="Lato" w:hAnsi="Lato"/>
                <w:szCs w:val="22"/>
                <w:u w:val="none"/>
              </w:rPr>
              <w:t>Q</w:t>
            </w:r>
            <w:r w:rsidR="001B79B1" w:rsidRPr="001362A6">
              <w:rPr>
                <w:rFonts w:ascii="Lato" w:hAnsi="Lato"/>
                <w:szCs w:val="22"/>
                <w:u w:val="none"/>
              </w:rPr>
              <w:t xml:space="preserve">ualifying </w:t>
            </w:r>
            <w:r w:rsidRPr="001362A6">
              <w:rPr>
                <w:rFonts w:ascii="Lato" w:hAnsi="Lato"/>
                <w:szCs w:val="22"/>
                <w:u w:val="none"/>
              </w:rPr>
              <w:t>I</w:t>
            </w:r>
            <w:r w:rsidR="001B79B1" w:rsidRPr="001362A6">
              <w:rPr>
                <w:rFonts w:ascii="Lato" w:hAnsi="Lato"/>
                <w:szCs w:val="22"/>
                <w:u w:val="none"/>
              </w:rPr>
              <w:t xml:space="preserve">nvestor </w:t>
            </w:r>
            <w:r w:rsidRPr="001362A6">
              <w:rPr>
                <w:rFonts w:ascii="Lato" w:hAnsi="Lato"/>
                <w:szCs w:val="22"/>
                <w:u w:val="none"/>
              </w:rPr>
              <w:t xml:space="preserve">AIFs which invest more than 50% </w:t>
            </w:r>
            <w:r w:rsidR="0077358B" w:rsidRPr="001362A6">
              <w:rPr>
                <w:rFonts w:ascii="Lato" w:hAnsi="Lato"/>
                <w:szCs w:val="22"/>
                <w:u w:val="none"/>
              </w:rPr>
              <w:t xml:space="preserve">of net assets in another </w:t>
            </w:r>
          </w:p>
        </w:tc>
        <w:tc>
          <w:tcPr>
            <w:tcW w:w="411" w:type="dxa"/>
            <w:tcBorders>
              <w:top w:val="nil"/>
              <w:left w:val="nil"/>
              <w:bottom w:val="single" w:sz="4" w:space="0" w:color="auto"/>
              <w:right w:val="nil"/>
            </w:tcBorders>
          </w:tcPr>
          <w:p w14:paraId="4A2F59A4" w14:textId="77777777" w:rsidR="00EA0905" w:rsidRPr="001362A6" w:rsidRDefault="00EA0905">
            <w:pPr>
              <w:rPr>
                <w:rFonts w:ascii="Lato" w:hAnsi="Lato"/>
                <w:sz w:val="22"/>
                <w:szCs w:val="22"/>
              </w:rPr>
            </w:pPr>
          </w:p>
        </w:tc>
        <w:tc>
          <w:tcPr>
            <w:tcW w:w="766" w:type="dxa"/>
            <w:tcBorders>
              <w:top w:val="nil"/>
              <w:left w:val="nil"/>
              <w:bottom w:val="single" w:sz="4" w:space="0" w:color="auto"/>
              <w:right w:val="nil"/>
            </w:tcBorders>
          </w:tcPr>
          <w:p w14:paraId="158EC21F" w14:textId="77777777" w:rsidR="00EA0905" w:rsidRPr="001362A6" w:rsidRDefault="00EA0905">
            <w:pPr>
              <w:rPr>
                <w:rFonts w:ascii="Lato" w:hAnsi="Lato"/>
                <w:sz w:val="22"/>
                <w:szCs w:val="22"/>
              </w:rPr>
            </w:pPr>
          </w:p>
        </w:tc>
      </w:tr>
      <w:tr w:rsidR="001B79B1" w:rsidRPr="001362A6" w14:paraId="1E01D3F3" w14:textId="77777777" w:rsidTr="00AB716D">
        <w:tc>
          <w:tcPr>
            <w:tcW w:w="1204" w:type="dxa"/>
            <w:tcBorders>
              <w:top w:val="nil"/>
              <w:left w:val="nil"/>
              <w:bottom w:val="nil"/>
              <w:right w:val="nil"/>
            </w:tcBorders>
          </w:tcPr>
          <w:p w14:paraId="142F8A53" w14:textId="77777777" w:rsidR="001B79B1" w:rsidRPr="001362A6" w:rsidRDefault="001B79B1">
            <w:pPr>
              <w:rPr>
                <w:rFonts w:ascii="Lato" w:hAnsi="Lato"/>
                <w:sz w:val="22"/>
                <w:szCs w:val="22"/>
              </w:rPr>
            </w:pPr>
          </w:p>
        </w:tc>
        <w:tc>
          <w:tcPr>
            <w:tcW w:w="8194" w:type="dxa"/>
            <w:gridSpan w:val="2"/>
            <w:tcBorders>
              <w:top w:val="nil"/>
              <w:left w:val="nil"/>
              <w:bottom w:val="nil"/>
              <w:right w:val="nil"/>
            </w:tcBorders>
          </w:tcPr>
          <w:p w14:paraId="7EDA5EE0" w14:textId="77777777" w:rsidR="001B79B1" w:rsidRPr="001362A6" w:rsidRDefault="001B79B1" w:rsidP="00A70AEC">
            <w:pPr>
              <w:pStyle w:val="Heading8"/>
              <w:rPr>
                <w:rFonts w:ascii="Lato" w:hAnsi="Lato"/>
                <w:szCs w:val="22"/>
                <w:u w:val="none"/>
              </w:rPr>
            </w:pPr>
            <w:r w:rsidRPr="001362A6">
              <w:rPr>
                <w:rFonts w:ascii="Lato" w:hAnsi="Lato"/>
                <w:szCs w:val="22"/>
                <w:u w:val="none"/>
              </w:rPr>
              <w:t>investment fund</w:t>
            </w:r>
            <w:r w:rsidR="003F57C4" w:rsidRPr="001362A6">
              <w:rPr>
                <w:rFonts w:ascii="Lato" w:hAnsi="Lato"/>
                <w:szCs w:val="22"/>
                <w:u w:val="none"/>
              </w:rPr>
              <w:t xml:space="preserve"> which falls within Category 2 of Chapter 2</w:t>
            </w:r>
            <w:r w:rsidR="000B6E77" w:rsidRPr="001362A6">
              <w:rPr>
                <w:rFonts w:ascii="Lato" w:hAnsi="Lato"/>
                <w:szCs w:val="22"/>
                <w:u w:val="none"/>
              </w:rPr>
              <w:t xml:space="preserve"> of the AIF </w:t>
            </w:r>
            <w:r w:rsidR="00705736" w:rsidRPr="001362A6">
              <w:rPr>
                <w:rFonts w:ascii="Lato" w:hAnsi="Lato"/>
                <w:szCs w:val="22"/>
                <w:u w:val="none"/>
              </w:rPr>
              <w:t>Rulebook</w:t>
            </w:r>
          </w:p>
        </w:tc>
        <w:tc>
          <w:tcPr>
            <w:tcW w:w="411" w:type="dxa"/>
            <w:tcBorders>
              <w:top w:val="nil"/>
              <w:left w:val="nil"/>
              <w:bottom w:val="single" w:sz="4" w:space="0" w:color="auto"/>
              <w:right w:val="nil"/>
            </w:tcBorders>
          </w:tcPr>
          <w:p w14:paraId="1A76B794" w14:textId="77777777" w:rsidR="001B79B1" w:rsidRPr="001362A6" w:rsidRDefault="001B79B1">
            <w:pPr>
              <w:rPr>
                <w:rFonts w:ascii="Lato" w:hAnsi="Lato"/>
                <w:sz w:val="22"/>
                <w:szCs w:val="22"/>
              </w:rPr>
            </w:pPr>
          </w:p>
        </w:tc>
        <w:tc>
          <w:tcPr>
            <w:tcW w:w="766" w:type="dxa"/>
            <w:tcBorders>
              <w:top w:val="nil"/>
              <w:left w:val="nil"/>
              <w:bottom w:val="single" w:sz="4" w:space="0" w:color="auto"/>
              <w:right w:val="nil"/>
            </w:tcBorders>
          </w:tcPr>
          <w:p w14:paraId="576D7A83" w14:textId="77777777" w:rsidR="001B79B1" w:rsidRPr="001362A6" w:rsidRDefault="001B79B1">
            <w:pPr>
              <w:rPr>
                <w:rFonts w:ascii="Lato" w:hAnsi="Lato"/>
                <w:sz w:val="22"/>
                <w:szCs w:val="22"/>
              </w:rPr>
            </w:pPr>
          </w:p>
        </w:tc>
      </w:tr>
      <w:tr w:rsidR="00EA0905" w:rsidRPr="001362A6" w14:paraId="4EDD789B" w14:textId="77777777" w:rsidTr="00AB716D">
        <w:trPr>
          <w:cantSplit/>
          <w:trHeight w:val="255"/>
        </w:trPr>
        <w:tc>
          <w:tcPr>
            <w:tcW w:w="1204" w:type="dxa"/>
            <w:vMerge w:val="restart"/>
            <w:tcBorders>
              <w:top w:val="nil"/>
              <w:left w:val="nil"/>
              <w:bottom w:val="nil"/>
              <w:right w:val="nil"/>
            </w:tcBorders>
          </w:tcPr>
          <w:p w14:paraId="472CDB62" w14:textId="77777777" w:rsidR="00EA0905" w:rsidRPr="001362A6" w:rsidRDefault="00EA0905">
            <w:pPr>
              <w:rPr>
                <w:rFonts w:ascii="Lato" w:hAnsi="Lato"/>
                <w:sz w:val="22"/>
                <w:szCs w:val="22"/>
              </w:rPr>
            </w:pPr>
          </w:p>
        </w:tc>
        <w:tc>
          <w:tcPr>
            <w:tcW w:w="8194" w:type="dxa"/>
            <w:gridSpan w:val="2"/>
            <w:vMerge w:val="restart"/>
            <w:tcBorders>
              <w:top w:val="nil"/>
              <w:left w:val="nil"/>
              <w:bottom w:val="nil"/>
              <w:right w:val="single" w:sz="4" w:space="0" w:color="auto"/>
            </w:tcBorders>
          </w:tcPr>
          <w:p w14:paraId="1EE90ABB" w14:textId="77777777" w:rsidR="00EA0905" w:rsidRPr="001362A6" w:rsidRDefault="0077358B" w:rsidP="00A70AEC">
            <w:pPr>
              <w:pStyle w:val="Body"/>
              <w:tabs>
                <w:tab w:val="left" w:pos="1276"/>
              </w:tabs>
              <w:spacing w:after="0" w:line="240" w:lineRule="auto"/>
              <w:rPr>
                <w:rFonts w:ascii="Lato" w:hAnsi="Lato"/>
                <w:sz w:val="22"/>
                <w:szCs w:val="22"/>
              </w:rPr>
            </w:pPr>
            <w:r w:rsidRPr="001362A6">
              <w:rPr>
                <w:rFonts w:ascii="Lato" w:hAnsi="Lato"/>
                <w:sz w:val="22"/>
                <w:szCs w:val="22"/>
                <w:lang w:val="en-IE"/>
              </w:rPr>
              <w:t xml:space="preserve">Confirm that a letter is attached that provides </w:t>
            </w:r>
            <w:r w:rsidR="00871445" w:rsidRPr="001362A6">
              <w:rPr>
                <w:rFonts w:ascii="Lato" w:hAnsi="Lato"/>
                <w:sz w:val="22"/>
                <w:szCs w:val="22"/>
                <w:lang w:val="en-IE"/>
              </w:rPr>
              <w:t>c</w:t>
            </w:r>
            <w:r w:rsidR="00EA0905" w:rsidRPr="001362A6">
              <w:rPr>
                <w:rFonts w:ascii="Lato" w:hAnsi="Lato"/>
                <w:sz w:val="22"/>
                <w:szCs w:val="22"/>
                <w:lang w:val="en-IE"/>
              </w:rPr>
              <w:t xml:space="preserve">onfirmation from the </w:t>
            </w:r>
            <w:r w:rsidR="00572154" w:rsidRPr="001362A6">
              <w:rPr>
                <w:rFonts w:ascii="Lato" w:hAnsi="Lato"/>
                <w:sz w:val="22"/>
                <w:szCs w:val="22"/>
                <w:lang w:val="en-IE"/>
              </w:rPr>
              <w:t>Qualified Investor AIF</w:t>
            </w:r>
            <w:r w:rsidR="00871445" w:rsidRPr="001362A6">
              <w:rPr>
                <w:rFonts w:ascii="Lato" w:hAnsi="Lato"/>
                <w:sz w:val="22"/>
                <w:szCs w:val="22"/>
                <w:lang w:val="en-IE"/>
              </w:rPr>
              <w:t xml:space="preserve"> </w:t>
            </w:r>
            <w:r w:rsidR="00EA0905" w:rsidRPr="001362A6">
              <w:rPr>
                <w:rFonts w:ascii="Lato" w:hAnsi="Lato"/>
                <w:sz w:val="22"/>
                <w:szCs w:val="22"/>
              </w:rPr>
              <w:t>that the underlying</w:t>
            </w:r>
            <w:r w:rsidR="00572154" w:rsidRPr="001362A6">
              <w:rPr>
                <w:rFonts w:ascii="Lato" w:hAnsi="Lato"/>
                <w:sz w:val="22"/>
                <w:szCs w:val="22"/>
              </w:rPr>
              <w:t xml:space="preserve"> investment fund</w:t>
            </w:r>
            <w:r w:rsidR="00EA0905" w:rsidRPr="001362A6">
              <w:rPr>
                <w:rFonts w:ascii="Lato" w:hAnsi="Lato"/>
                <w:sz w:val="22"/>
                <w:szCs w:val="22"/>
              </w:rPr>
              <w:t xml:space="preserve"> complies in all material respects with the provisions of the AIF </w:t>
            </w:r>
            <w:r w:rsidR="00705736" w:rsidRPr="001362A6">
              <w:rPr>
                <w:rFonts w:ascii="Lato" w:hAnsi="Lato"/>
                <w:sz w:val="22"/>
                <w:szCs w:val="22"/>
              </w:rPr>
              <w:t>Rulebook</w:t>
            </w:r>
            <w:r w:rsidR="00A70AEC" w:rsidRPr="001362A6">
              <w:rPr>
                <w:rFonts w:ascii="Lato" w:hAnsi="Lato"/>
                <w:sz w:val="22"/>
                <w:szCs w:val="22"/>
              </w:rPr>
              <w:t xml:space="preserve"> </w:t>
            </w:r>
            <w:r w:rsidR="00572154" w:rsidRPr="001362A6">
              <w:rPr>
                <w:rFonts w:ascii="Lato" w:hAnsi="Lato"/>
                <w:sz w:val="22"/>
                <w:szCs w:val="22"/>
              </w:rPr>
              <w:t>in respect of Qualified Investor AIFs</w:t>
            </w:r>
            <w:r w:rsidR="00EA0905" w:rsidRPr="001362A6">
              <w:rPr>
                <w:rFonts w:ascii="Lato" w:hAnsi="Lato"/>
                <w:sz w:val="22"/>
                <w:szCs w:val="22"/>
              </w:rPr>
              <w:t xml:space="preserve"> </w:t>
            </w:r>
            <w:r w:rsidR="00572154" w:rsidRPr="001362A6">
              <w:rPr>
                <w:rFonts w:ascii="Lato" w:hAnsi="Lato"/>
                <w:sz w:val="22"/>
                <w:szCs w:val="22"/>
              </w:rPr>
              <w:t xml:space="preserve"> </w:t>
            </w:r>
          </w:p>
        </w:tc>
        <w:tc>
          <w:tcPr>
            <w:tcW w:w="1177" w:type="dxa"/>
            <w:gridSpan w:val="2"/>
            <w:tcBorders>
              <w:top w:val="single" w:sz="4" w:space="0" w:color="auto"/>
              <w:left w:val="single" w:sz="4" w:space="0" w:color="auto"/>
              <w:bottom w:val="single" w:sz="4" w:space="0" w:color="auto"/>
              <w:right w:val="single" w:sz="4" w:space="0" w:color="auto"/>
            </w:tcBorders>
          </w:tcPr>
          <w:p w14:paraId="6D4D7063" w14:textId="77777777" w:rsidR="00EA0905" w:rsidRPr="001362A6" w:rsidRDefault="00EA0905">
            <w:pPr>
              <w:rPr>
                <w:rFonts w:ascii="Lato" w:hAnsi="Lato"/>
                <w:sz w:val="22"/>
                <w:szCs w:val="22"/>
              </w:rPr>
            </w:pPr>
          </w:p>
        </w:tc>
      </w:tr>
      <w:tr w:rsidR="00EA0905" w:rsidRPr="001362A6" w14:paraId="5DEA7F6B" w14:textId="77777777" w:rsidTr="00AB716D">
        <w:trPr>
          <w:cantSplit/>
          <w:trHeight w:val="254"/>
        </w:trPr>
        <w:tc>
          <w:tcPr>
            <w:tcW w:w="1204" w:type="dxa"/>
            <w:vMerge/>
            <w:tcBorders>
              <w:top w:val="nil"/>
              <w:left w:val="nil"/>
              <w:bottom w:val="nil"/>
              <w:right w:val="nil"/>
            </w:tcBorders>
          </w:tcPr>
          <w:p w14:paraId="2168A8DA" w14:textId="77777777" w:rsidR="00EA0905" w:rsidRPr="001362A6" w:rsidRDefault="00EA0905">
            <w:pPr>
              <w:rPr>
                <w:rFonts w:ascii="Lato" w:hAnsi="Lato"/>
                <w:sz w:val="22"/>
                <w:szCs w:val="22"/>
              </w:rPr>
            </w:pPr>
          </w:p>
        </w:tc>
        <w:tc>
          <w:tcPr>
            <w:tcW w:w="8194" w:type="dxa"/>
            <w:gridSpan w:val="2"/>
            <w:vMerge/>
            <w:tcBorders>
              <w:top w:val="nil"/>
              <w:left w:val="nil"/>
              <w:bottom w:val="nil"/>
              <w:right w:val="nil"/>
            </w:tcBorders>
          </w:tcPr>
          <w:p w14:paraId="4722852B" w14:textId="77777777" w:rsidR="00EA0905" w:rsidRPr="001362A6" w:rsidRDefault="00EA0905">
            <w:pPr>
              <w:rPr>
                <w:rFonts w:ascii="Lato" w:hAnsi="Lato"/>
                <w:sz w:val="22"/>
                <w:szCs w:val="22"/>
                <w:lang w:val="en-IE"/>
              </w:rPr>
            </w:pPr>
          </w:p>
        </w:tc>
        <w:tc>
          <w:tcPr>
            <w:tcW w:w="1177" w:type="dxa"/>
            <w:gridSpan w:val="2"/>
            <w:tcBorders>
              <w:top w:val="single" w:sz="4" w:space="0" w:color="auto"/>
              <w:left w:val="nil"/>
              <w:bottom w:val="nil"/>
              <w:right w:val="nil"/>
            </w:tcBorders>
          </w:tcPr>
          <w:p w14:paraId="125B9186" w14:textId="77777777" w:rsidR="00EA0905" w:rsidRPr="001362A6" w:rsidRDefault="00EA0905">
            <w:pPr>
              <w:rPr>
                <w:rFonts w:ascii="Lato" w:hAnsi="Lato"/>
                <w:sz w:val="22"/>
                <w:szCs w:val="22"/>
              </w:rPr>
            </w:pPr>
          </w:p>
        </w:tc>
      </w:tr>
      <w:tr w:rsidR="00EA0905" w:rsidRPr="001362A6" w14:paraId="26F44DE9" w14:textId="77777777" w:rsidTr="00AB716D">
        <w:trPr>
          <w:cantSplit/>
          <w:trHeight w:val="258"/>
        </w:trPr>
        <w:tc>
          <w:tcPr>
            <w:tcW w:w="1204" w:type="dxa"/>
            <w:tcBorders>
              <w:top w:val="nil"/>
              <w:left w:val="nil"/>
              <w:bottom w:val="nil"/>
              <w:right w:val="nil"/>
            </w:tcBorders>
          </w:tcPr>
          <w:p w14:paraId="08271F7D" w14:textId="77777777" w:rsidR="00EA0905" w:rsidRPr="001362A6" w:rsidRDefault="00EA0905">
            <w:pPr>
              <w:rPr>
                <w:rFonts w:ascii="Lato" w:hAnsi="Lato"/>
                <w:sz w:val="22"/>
                <w:szCs w:val="22"/>
              </w:rPr>
            </w:pPr>
          </w:p>
        </w:tc>
        <w:tc>
          <w:tcPr>
            <w:tcW w:w="8194" w:type="dxa"/>
            <w:gridSpan w:val="2"/>
            <w:tcBorders>
              <w:top w:val="nil"/>
              <w:left w:val="nil"/>
              <w:bottom w:val="nil"/>
              <w:right w:val="nil"/>
            </w:tcBorders>
          </w:tcPr>
          <w:p w14:paraId="5FEFBC4D" w14:textId="77777777" w:rsidR="00EA0905" w:rsidRPr="001362A6" w:rsidRDefault="00EA0905">
            <w:pPr>
              <w:pStyle w:val="Body"/>
              <w:tabs>
                <w:tab w:val="left" w:pos="1276"/>
              </w:tabs>
              <w:spacing w:after="0" w:line="240" w:lineRule="auto"/>
              <w:rPr>
                <w:rFonts w:ascii="Lato" w:hAnsi="Lato"/>
                <w:sz w:val="22"/>
                <w:szCs w:val="22"/>
              </w:rPr>
            </w:pPr>
          </w:p>
        </w:tc>
        <w:tc>
          <w:tcPr>
            <w:tcW w:w="1177" w:type="dxa"/>
            <w:gridSpan w:val="2"/>
            <w:tcBorders>
              <w:top w:val="nil"/>
              <w:left w:val="nil"/>
              <w:bottom w:val="single" w:sz="4" w:space="0" w:color="auto"/>
              <w:right w:val="nil"/>
            </w:tcBorders>
          </w:tcPr>
          <w:p w14:paraId="0B17B12A" w14:textId="77777777" w:rsidR="00EA0905" w:rsidRPr="001362A6" w:rsidRDefault="00EA0905">
            <w:pPr>
              <w:rPr>
                <w:rFonts w:ascii="Lato" w:hAnsi="Lato"/>
                <w:sz w:val="22"/>
                <w:szCs w:val="22"/>
              </w:rPr>
            </w:pPr>
          </w:p>
        </w:tc>
      </w:tr>
      <w:tr w:rsidR="00EA0905" w:rsidRPr="001362A6" w14:paraId="7F835BF9" w14:textId="77777777" w:rsidTr="00AB716D">
        <w:trPr>
          <w:cantSplit/>
          <w:trHeight w:val="258"/>
        </w:trPr>
        <w:tc>
          <w:tcPr>
            <w:tcW w:w="1204" w:type="dxa"/>
            <w:vMerge w:val="restart"/>
            <w:tcBorders>
              <w:top w:val="nil"/>
              <w:left w:val="nil"/>
              <w:bottom w:val="nil"/>
              <w:right w:val="nil"/>
            </w:tcBorders>
          </w:tcPr>
          <w:p w14:paraId="055D9939" w14:textId="77777777" w:rsidR="00EA0905" w:rsidRPr="001362A6" w:rsidRDefault="001504C8">
            <w:pPr>
              <w:rPr>
                <w:rFonts w:ascii="Lato" w:hAnsi="Lato"/>
                <w:sz w:val="22"/>
                <w:szCs w:val="22"/>
              </w:rPr>
            </w:pPr>
            <w:r w:rsidRPr="001362A6">
              <w:rPr>
                <w:rFonts w:ascii="Lato" w:hAnsi="Lato"/>
                <w:sz w:val="22"/>
                <w:szCs w:val="22"/>
              </w:rPr>
              <w:t>1.7.5</w:t>
            </w:r>
          </w:p>
        </w:tc>
        <w:tc>
          <w:tcPr>
            <w:tcW w:w="8194" w:type="dxa"/>
            <w:gridSpan w:val="2"/>
            <w:vMerge w:val="restart"/>
            <w:tcBorders>
              <w:top w:val="nil"/>
              <w:left w:val="nil"/>
              <w:bottom w:val="nil"/>
              <w:right w:val="single" w:sz="4" w:space="0" w:color="auto"/>
            </w:tcBorders>
          </w:tcPr>
          <w:p w14:paraId="72CBCE4F" w14:textId="77777777" w:rsidR="00EA0905" w:rsidRPr="001362A6" w:rsidRDefault="00EA0905">
            <w:pPr>
              <w:pStyle w:val="Body"/>
              <w:tabs>
                <w:tab w:val="left" w:pos="1276"/>
              </w:tabs>
              <w:spacing w:after="0" w:line="240" w:lineRule="auto"/>
              <w:rPr>
                <w:rFonts w:ascii="Lato" w:hAnsi="Lato"/>
                <w:sz w:val="22"/>
                <w:szCs w:val="22"/>
              </w:rPr>
            </w:pPr>
            <w:r w:rsidRPr="001362A6">
              <w:rPr>
                <w:rFonts w:ascii="Lato" w:hAnsi="Lato"/>
                <w:b/>
                <w:sz w:val="22"/>
                <w:szCs w:val="22"/>
              </w:rPr>
              <w:t>Confirmation from the Depositary that</w:t>
            </w:r>
            <w:r w:rsidR="00962F5B" w:rsidRPr="001362A6">
              <w:rPr>
                <w:rFonts w:ascii="Lato" w:hAnsi="Lato"/>
                <w:b/>
                <w:sz w:val="22"/>
                <w:szCs w:val="22"/>
              </w:rPr>
              <w:t xml:space="preserve"> (where the Qualifying Investor AIF proposes to invest more than 50% of net assets in another investment fund)</w:t>
            </w:r>
            <w:r w:rsidRPr="001362A6">
              <w:rPr>
                <w:rFonts w:ascii="Lato" w:hAnsi="Lato"/>
                <w:sz w:val="22"/>
                <w:szCs w:val="22"/>
              </w:rPr>
              <w:t>:</w:t>
            </w:r>
          </w:p>
          <w:p w14:paraId="0FB6AC28" w14:textId="77777777" w:rsidR="00EA0905" w:rsidRPr="001362A6" w:rsidRDefault="00EA0905">
            <w:pPr>
              <w:pStyle w:val="Body"/>
              <w:tabs>
                <w:tab w:val="left" w:pos="1276"/>
              </w:tabs>
              <w:spacing w:after="0" w:line="240" w:lineRule="auto"/>
              <w:rPr>
                <w:rFonts w:ascii="Lato" w:hAnsi="Lato"/>
                <w:sz w:val="22"/>
                <w:szCs w:val="22"/>
              </w:rPr>
            </w:pPr>
            <w:r w:rsidRPr="001362A6">
              <w:rPr>
                <w:rFonts w:ascii="Lato" w:hAnsi="Lato"/>
                <w:sz w:val="22"/>
                <w:szCs w:val="22"/>
              </w:rPr>
              <w:t xml:space="preserve">The </w:t>
            </w:r>
            <w:r w:rsidR="001504C8" w:rsidRPr="001362A6">
              <w:rPr>
                <w:rFonts w:ascii="Lato" w:hAnsi="Lato"/>
                <w:sz w:val="22"/>
                <w:szCs w:val="22"/>
              </w:rPr>
              <w:t xml:space="preserve">Qualifying Investor </w:t>
            </w:r>
            <w:r w:rsidRPr="001362A6">
              <w:rPr>
                <w:rFonts w:ascii="Lato" w:hAnsi="Lato"/>
                <w:sz w:val="22"/>
                <w:szCs w:val="22"/>
              </w:rPr>
              <w:t xml:space="preserve">AIF has procedures in place to ensure that the underlying </w:t>
            </w:r>
            <w:r w:rsidR="001504C8" w:rsidRPr="001362A6">
              <w:rPr>
                <w:rFonts w:ascii="Lato" w:hAnsi="Lato"/>
                <w:sz w:val="22"/>
                <w:szCs w:val="22"/>
              </w:rPr>
              <w:t xml:space="preserve">scheme </w:t>
            </w:r>
            <w:r w:rsidRPr="001362A6">
              <w:rPr>
                <w:rFonts w:ascii="Lato" w:hAnsi="Lato"/>
                <w:sz w:val="22"/>
                <w:szCs w:val="22"/>
              </w:rPr>
              <w:t>meets the regulatory requirements</w:t>
            </w:r>
            <w:r w:rsidR="00962F5B" w:rsidRPr="001362A6">
              <w:rPr>
                <w:rFonts w:ascii="Lato" w:hAnsi="Lato"/>
                <w:sz w:val="22"/>
                <w:szCs w:val="22"/>
              </w:rPr>
              <w:t xml:space="preserve"> imposed by the Central Bank</w:t>
            </w:r>
            <w:r w:rsidRPr="001362A6">
              <w:rPr>
                <w:rFonts w:ascii="Lato" w:hAnsi="Lato"/>
                <w:sz w:val="22"/>
                <w:szCs w:val="22"/>
              </w:rPr>
              <w:t>; and</w:t>
            </w:r>
          </w:p>
          <w:p w14:paraId="6DF72CF5" w14:textId="77777777" w:rsidR="00EA0905" w:rsidRPr="001362A6" w:rsidRDefault="00EA0905" w:rsidP="00E3311E">
            <w:pPr>
              <w:pStyle w:val="Body"/>
              <w:tabs>
                <w:tab w:val="left" w:pos="1276"/>
              </w:tabs>
              <w:spacing w:after="0" w:line="240" w:lineRule="auto"/>
              <w:rPr>
                <w:rFonts w:ascii="Lato" w:hAnsi="Lato"/>
                <w:sz w:val="22"/>
                <w:szCs w:val="22"/>
              </w:rPr>
            </w:pPr>
            <w:r w:rsidRPr="001362A6">
              <w:rPr>
                <w:rFonts w:ascii="Lato" w:hAnsi="Lato"/>
                <w:sz w:val="22"/>
                <w:szCs w:val="22"/>
              </w:rPr>
              <w:t xml:space="preserve">It will regularly review the operation of these procedures to ensure that the underlying </w:t>
            </w:r>
            <w:r w:rsidR="00E3311E" w:rsidRPr="001362A6">
              <w:rPr>
                <w:rFonts w:ascii="Lato" w:hAnsi="Lato"/>
                <w:sz w:val="22"/>
                <w:szCs w:val="22"/>
              </w:rPr>
              <w:t xml:space="preserve">investment fund </w:t>
            </w:r>
            <w:r w:rsidRPr="001362A6">
              <w:rPr>
                <w:rFonts w:ascii="Lato" w:hAnsi="Lato"/>
                <w:sz w:val="22"/>
                <w:szCs w:val="22"/>
              </w:rPr>
              <w:t>continues to meet the regulatory requirements</w:t>
            </w:r>
            <w:r w:rsidR="00962F5B" w:rsidRPr="001362A6">
              <w:rPr>
                <w:rFonts w:ascii="Lato" w:hAnsi="Lato"/>
                <w:sz w:val="22"/>
                <w:szCs w:val="22"/>
              </w:rPr>
              <w:t xml:space="preserve"> imposed by the Central Bank</w:t>
            </w:r>
            <w:r w:rsidRPr="001362A6">
              <w:rPr>
                <w:rFonts w:ascii="Lato" w:hAnsi="Lato"/>
                <w:sz w:val="22"/>
                <w:szCs w:val="22"/>
              </w:rPr>
              <w:t>.</w:t>
            </w:r>
          </w:p>
        </w:tc>
        <w:tc>
          <w:tcPr>
            <w:tcW w:w="1177" w:type="dxa"/>
            <w:gridSpan w:val="2"/>
            <w:tcBorders>
              <w:top w:val="single" w:sz="4" w:space="0" w:color="auto"/>
              <w:left w:val="single" w:sz="4" w:space="0" w:color="auto"/>
              <w:bottom w:val="single" w:sz="4" w:space="0" w:color="auto"/>
              <w:right w:val="single" w:sz="4" w:space="0" w:color="auto"/>
            </w:tcBorders>
          </w:tcPr>
          <w:p w14:paraId="3E849636" w14:textId="77777777" w:rsidR="00EA0905" w:rsidRPr="001362A6" w:rsidRDefault="00EA0905">
            <w:pPr>
              <w:rPr>
                <w:rFonts w:ascii="Lato" w:hAnsi="Lato"/>
                <w:sz w:val="22"/>
                <w:szCs w:val="22"/>
              </w:rPr>
            </w:pPr>
          </w:p>
        </w:tc>
      </w:tr>
      <w:tr w:rsidR="00EA0905" w:rsidRPr="001362A6" w14:paraId="5ECF5801" w14:textId="77777777" w:rsidTr="00AB716D">
        <w:trPr>
          <w:cantSplit/>
          <w:trHeight w:val="256"/>
        </w:trPr>
        <w:tc>
          <w:tcPr>
            <w:tcW w:w="1204" w:type="dxa"/>
            <w:vMerge/>
            <w:tcBorders>
              <w:top w:val="nil"/>
              <w:left w:val="nil"/>
              <w:bottom w:val="nil"/>
              <w:right w:val="nil"/>
            </w:tcBorders>
          </w:tcPr>
          <w:p w14:paraId="6D6C4ECC" w14:textId="77777777" w:rsidR="00EA0905" w:rsidRPr="001362A6" w:rsidRDefault="00EA0905">
            <w:pPr>
              <w:rPr>
                <w:rFonts w:ascii="Lato" w:hAnsi="Lato"/>
                <w:sz w:val="22"/>
                <w:szCs w:val="22"/>
              </w:rPr>
            </w:pPr>
          </w:p>
        </w:tc>
        <w:tc>
          <w:tcPr>
            <w:tcW w:w="8194" w:type="dxa"/>
            <w:gridSpan w:val="2"/>
            <w:vMerge/>
            <w:tcBorders>
              <w:top w:val="nil"/>
              <w:left w:val="nil"/>
              <w:bottom w:val="nil"/>
              <w:right w:val="nil"/>
            </w:tcBorders>
          </w:tcPr>
          <w:p w14:paraId="6F17E550" w14:textId="77777777" w:rsidR="00EA0905" w:rsidRPr="001362A6" w:rsidRDefault="00EA0905">
            <w:pPr>
              <w:pStyle w:val="Body"/>
              <w:tabs>
                <w:tab w:val="left" w:pos="1276"/>
              </w:tabs>
              <w:spacing w:after="0" w:line="240" w:lineRule="auto"/>
              <w:rPr>
                <w:rFonts w:ascii="Lato" w:hAnsi="Lato"/>
                <w:sz w:val="22"/>
                <w:szCs w:val="22"/>
              </w:rPr>
            </w:pPr>
          </w:p>
        </w:tc>
        <w:tc>
          <w:tcPr>
            <w:tcW w:w="1177" w:type="dxa"/>
            <w:gridSpan w:val="2"/>
            <w:tcBorders>
              <w:top w:val="single" w:sz="4" w:space="0" w:color="auto"/>
              <w:left w:val="nil"/>
              <w:bottom w:val="nil"/>
              <w:right w:val="nil"/>
            </w:tcBorders>
          </w:tcPr>
          <w:p w14:paraId="02C51BFD" w14:textId="77777777" w:rsidR="00EA0905" w:rsidRPr="001362A6" w:rsidRDefault="00EA0905">
            <w:pPr>
              <w:rPr>
                <w:rFonts w:ascii="Lato" w:hAnsi="Lato"/>
                <w:sz w:val="22"/>
                <w:szCs w:val="22"/>
              </w:rPr>
            </w:pPr>
          </w:p>
        </w:tc>
      </w:tr>
      <w:tr w:rsidR="00EA0905" w:rsidRPr="001362A6" w14:paraId="35B3C897" w14:textId="77777777" w:rsidTr="00AB716D">
        <w:trPr>
          <w:cantSplit/>
          <w:trHeight w:val="256"/>
        </w:trPr>
        <w:tc>
          <w:tcPr>
            <w:tcW w:w="1204" w:type="dxa"/>
            <w:vMerge/>
            <w:tcBorders>
              <w:top w:val="nil"/>
              <w:left w:val="nil"/>
              <w:bottom w:val="nil"/>
              <w:right w:val="nil"/>
            </w:tcBorders>
          </w:tcPr>
          <w:p w14:paraId="537006D1" w14:textId="77777777" w:rsidR="00EA0905" w:rsidRPr="001362A6" w:rsidRDefault="00EA0905">
            <w:pPr>
              <w:rPr>
                <w:rFonts w:ascii="Lato" w:hAnsi="Lato"/>
                <w:sz w:val="22"/>
                <w:szCs w:val="22"/>
              </w:rPr>
            </w:pPr>
          </w:p>
        </w:tc>
        <w:tc>
          <w:tcPr>
            <w:tcW w:w="8194" w:type="dxa"/>
            <w:gridSpan w:val="2"/>
            <w:vMerge/>
            <w:tcBorders>
              <w:top w:val="nil"/>
              <w:left w:val="nil"/>
              <w:bottom w:val="nil"/>
              <w:right w:val="nil"/>
            </w:tcBorders>
          </w:tcPr>
          <w:p w14:paraId="0BC2525A" w14:textId="77777777" w:rsidR="00EA0905" w:rsidRPr="001362A6" w:rsidRDefault="00EA0905">
            <w:pPr>
              <w:pStyle w:val="Body"/>
              <w:tabs>
                <w:tab w:val="left" w:pos="1276"/>
              </w:tabs>
              <w:spacing w:after="0" w:line="240" w:lineRule="auto"/>
              <w:rPr>
                <w:rFonts w:ascii="Lato" w:hAnsi="Lato"/>
                <w:sz w:val="22"/>
                <w:szCs w:val="22"/>
              </w:rPr>
            </w:pPr>
          </w:p>
        </w:tc>
        <w:tc>
          <w:tcPr>
            <w:tcW w:w="1177" w:type="dxa"/>
            <w:gridSpan w:val="2"/>
            <w:tcBorders>
              <w:top w:val="nil"/>
              <w:left w:val="nil"/>
              <w:bottom w:val="nil"/>
              <w:right w:val="nil"/>
            </w:tcBorders>
          </w:tcPr>
          <w:p w14:paraId="38DDF2AE" w14:textId="77777777" w:rsidR="00EA0905" w:rsidRPr="001362A6" w:rsidRDefault="00EA0905">
            <w:pPr>
              <w:rPr>
                <w:rFonts w:ascii="Lato" w:hAnsi="Lato"/>
                <w:sz w:val="22"/>
                <w:szCs w:val="22"/>
              </w:rPr>
            </w:pPr>
          </w:p>
        </w:tc>
      </w:tr>
      <w:tr w:rsidR="00EA0905" w:rsidRPr="001362A6" w14:paraId="748ABD18" w14:textId="77777777" w:rsidTr="00AB716D">
        <w:trPr>
          <w:cantSplit/>
          <w:trHeight w:val="256"/>
        </w:trPr>
        <w:tc>
          <w:tcPr>
            <w:tcW w:w="1204" w:type="dxa"/>
            <w:vMerge/>
            <w:tcBorders>
              <w:top w:val="nil"/>
              <w:left w:val="nil"/>
              <w:bottom w:val="nil"/>
              <w:right w:val="nil"/>
            </w:tcBorders>
          </w:tcPr>
          <w:p w14:paraId="4D23185B" w14:textId="77777777" w:rsidR="00EA0905" w:rsidRPr="001362A6" w:rsidRDefault="00EA0905">
            <w:pPr>
              <w:rPr>
                <w:rFonts w:ascii="Lato" w:hAnsi="Lato"/>
                <w:sz w:val="22"/>
                <w:szCs w:val="22"/>
              </w:rPr>
            </w:pPr>
          </w:p>
        </w:tc>
        <w:tc>
          <w:tcPr>
            <w:tcW w:w="8194" w:type="dxa"/>
            <w:gridSpan w:val="2"/>
            <w:vMerge/>
            <w:tcBorders>
              <w:top w:val="nil"/>
              <w:left w:val="nil"/>
              <w:bottom w:val="nil"/>
              <w:right w:val="nil"/>
            </w:tcBorders>
          </w:tcPr>
          <w:p w14:paraId="566A2A2F" w14:textId="77777777" w:rsidR="00EA0905" w:rsidRPr="001362A6" w:rsidRDefault="00EA0905">
            <w:pPr>
              <w:pStyle w:val="Body"/>
              <w:tabs>
                <w:tab w:val="left" w:pos="1276"/>
              </w:tabs>
              <w:spacing w:after="0" w:line="240" w:lineRule="auto"/>
              <w:rPr>
                <w:rFonts w:ascii="Lato" w:hAnsi="Lato"/>
                <w:sz w:val="22"/>
                <w:szCs w:val="22"/>
              </w:rPr>
            </w:pPr>
          </w:p>
        </w:tc>
        <w:tc>
          <w:tcPr>
            <w:tcW w:w="1177" w:type="dxa"/>
            <w:gridSpan w:val="2"/>
            <w:tcBorders>
              <w:top w:val="nil"/>
              <w:left w:val="nil"/>
              <w:bottom w:val="nil"/>
              <w:right w:val="nil"/>
            </w:tcBorders>
          </w:tcPr>
          <w:p w14:paraId="41E11FB8" w14:textId="77777777" w:rsidR="00EA0905" w:rsidRPr="001362A6" w:rsidRDefault="00EA0905">
            <w:pPr>
              <w:rPr>
                <w:rFonts w:ascii="Lato" w:hAnsi="Lato"/>
                <w:sz w:val="22"/>
                <w:szCs w:val="22"/>
              </w:rPr>
            </w:pPr>
          </w:p>
        </w:tc>
      </w:tr>
      <w:tr w:rsidR="00EA0905" w:rsidRPr="001362A6" w14:paraId="585A2682" w14:textId="77777777" w:rsidTr="00AB716D">
        <w:trPr>
          <w:cantSplit/>
          <w:trHeight w:val="256"/>
        </w:trPr>
        <w:tc>
          <w:tcPr>
            <w:tcW w:w="1204" w:type="dxa"/>
            <w:vMerge/>
            <w:tcBorders>
              <w:top w:val="nil"/>
              <w:left w:val="nil"/>
              <w:bottom w:val="nil"/>
              <w:right w:val="nil"/>
            </w:tcBorders>
          </w:tcPr>
          <w:p w14:paraId="0985271A" w14:textId="77777777" w:rsidR="00EA0905" w:rsidRPr="001362A6" w:rsidRDefault="00EA0905">
            <w:pPr>
              <w:rPr>
                <w:rFonts w:ascii="Lato" w:hAnsi="Lato"/>
                <w:sz w:val="22"/>
                <w:szCs w:val="22"/>
              </w:rPr>
            </w:pPr>
          </w:p>
        </w:tc>
        <w:tc>
          <w:tcPr>
            <w:tcW w:w="8194" w:type="dxa"/>
            <w:gridSpan w:val="2"/>
            <w:vMerge/>
            <w:tcBorders>
              <w:top w:val="nil"/>
              <w:left w:val="nil"/>
              <w:bottom w:val="nil"/>
              <w:right w:val="nil"/>
            </w:tcBorders>
          </w:tcPr>
          <w:p w14:paraId="5439BAC7" w14:textId="77777777" w:rsidR="00EA0905" w:rsidRPr="001362A6" w:rsidRDefault="00EA0905">
            <w:pPr>
              <w:pStyle w:val="Body"/>
              <w:tabs>
                <w:tab w:val="left" w:pos="1276"/>
              </w:tabs>
              <w:spacing w:after="0" w:line="240" w:lineRule="auto"/>
              <w:rPr>
                <w:rFonts w:ascii="Lato" w:hAnsi="Lato"/>
                <w:sz w:val="22"/>
                <w:szCs w:val="22"/>
              </w:rPr>
            </w:pPr>
          </w:p>
        </w:tc>
        <w:tc>
          <w:tcPr>
            <w:tcW w:w="1177" w:type="dxa"/>
            <w:gridSpan w:val="2"/>
            <w:tcBorders>
              <w:top w:val="nil"/>
              <w:left w:val="nil"/>
              <w:bottom w:val="nil"/>
              <w:right w:val="nil"/>
            </w:tcBorders>
          </w:tcPr>
          <w:p w14:paraId="45BF562F" w14:textId="77777777" w:rsidR="00EA0905" w:rsidRPr="001362A6" w:rsidRDefault="00EA0905">
            <w:pPr>
              <w:rPr>
                <w:rFonts w:ascii="Lato" w:hAnsi="Lato"/>
                <w:sz w:val="22"/>
                <w:szCs w:val="22"/>
              </w:rPr>
            </w:pPr>
          </w:p>
        </w:tc>
      </w:tr>
      <w:tr w:rsidR="00EA0905" w:rsidRPr="001362A6" w14:paraId="12AAAB26" w14:textId="77777777" w:rsidTr="00AB716D">
        <w:tc>
          <w:tcPr>
            <w:tcW w:w="1204" w:type="dxa"/>
            <w:tcBorders>
              <w:top w:val="nil"/>
              <w:left w:val="nil"/>
              <w:bottom w:val="nil"/>
              <w:right w:val="nil"/>
            </w:tcBorders>
          </w:tcPr>
          <w:p w14:paraId="1584367A" w14:textId="77777777" w:rsidR="00EA0905" w:rsidRPr="001362A6" w:rsidRDefault="00EA0905">
            <w:pPr>
              <w:rPr>
                <w:rFonts w:ascii="Lato" w:hAnsi="Lato"/>
                <w:sz w:val="22"/>
                <w:szCs w:val="22"/>
              </w:rPr>
            </w:pPr>
          </w:p>
        </w:tc>
        <w:tc>
          <w:tcPr>
            <w:tcW w:w="8194" w:type="dxa"/>
            <w:gridSpan w:val="2"/>
            <w:tcBorders>
              <w:top w:val="nil"/>
              <w:left w:val="nil"/>
              <w:bottom w:val="nil"/>
              <w:right w:val="nil"/>
            </w:tcBorders>
          </w:tcPr>
          <w:p w14:paraId="0C2A935B" w14:textId="77777777" w:rsidR="00EA0905" w:rsidRPr="001362A6" w:rsidRDefault="00EA0905">
            <w:pPr>
              <w:rPr>
                <w:rFonts w:ascii="Lato" w:hAnsi="Lato"/>
                <w:sz w:val="22"/>
                <w:szCs w:val="22"/>
              </w:rPr>
            </w:pPr>
          </w:p>
        </w:tc>
        <w:tc>
          <w:tcPr>
            <w:tcW w:w="411" w:type="dxa"/>
            <w:tcBorders>
              <w:top w:val="nil"/>
              <w:left w:val="nil"/>
              <w:bottom w:val="nil"/>
              <w:right w:val="nil"/>
            </w:tcBorders>
          </w:tcPr>
          <w:p w14:paraId="5863C3E7" w14:textId="77777777" w:rsidR="00EA0905" w:rsidRPr="001362A6" w:rsidRDefault="00EA0905">
            <w:pPr>
              <w:rPr>
                <w:rFonts w:ascii="Lato" w:hAnsi="Lato"/>
                <w:sz w:val="22"/>
                <w:szCs w:val="22"/>
              </w:rPr>
            </w:pPr>
          </w:p>
        </w:tc>
        <w:tc>
          <w:tcPr>
            <w:tcW w:w="766" w:type="dxa"/>
            <w:tcBorders>
              <w:top w:val="nil"/>
              <w:left w:val="nil"/>
              <w:bottom w:val="nil"/>
              <w:right w:val="nil"/>
            </w:tcBorders>
          </w:tcPr>
          <w:p w14:paraId="065F5774" w14:textId="77777777" w:rsidR="00EA0905" w:rsidRPr="001362A6" w:rsidRDefault="00EA0905">
            <w:pPr>
              <w:rPr>
                <w:rFonts w:ascii="Lato" w:hAnsi="Lato"/>
                <w:sz w:val="22"/>
                <w:szCs w:val="22"/>
              </w:rPr>
            </w:pPr>
          </w:p>
        </w:tc>
      </w:tr>
      <w:tr w:rsidR="00EA0905" w:rsidRPr="001362A6" w14:paraId="59A0A7D4" w14:textId="77777777" w:rsidTr="0042571B">
        <w:trPr>
          <w:cantSplit/>
          <w:trHeight w:val="209"/>
        </w:trPr>
        <w:tc>
          <w:tcPr>
            <w:tcW w:w="1204" w:type="dxa"/>
            <w:tcBorders>
              <w:top w:val="nil"/>
              <w:left w:val="nil"/>
              <w:bottom w:val="nil"/>
              <w:right w:val="nil"/>
            </w:tcBorders>
          </w:tcPr>
          <w:p w14:paraId="38749883" w14:textId="77777777" w:rsidR="00EA0905" w:rsidRPr="001362A6" w:rsidRDefault="00352350">
            <w:pPr>
              <w:rPr>
                <w:rFonts w:ascii="Lato" w:hAnsi="Lato"/>
                <w:sz w:val="22"/>
                <w:szCs w:val="22"/>
              </w:rPr>
            </w:pPr>
            <w:r w:rsidRPr="001362A6">
              <w:rPr>
                <w:rFonts w:ascii="Lato" w:hAnsi="Lato"/>
                <w:sz w:val="22"/>
                <w:szCs w:val="22"/>
              </w:rPr>
              <w:t>1.7.6</w:t>
            </w:r>
          </w:p>
        </w:tc>
        <w:tc>
          <w:tcPr>
            <w:tcW w:w="8194" w:type="dxa"/>
            <w:gridSpan w:val="2"/>
            <w:tcBorders>
              <w:top w:val="nil"/>
              <w:left w:val="nil"/>
              <w:bottom w:val="nil"/>
              <w:right w:val="nil"/>
            </w:tcBorders>
          </w:tcPr>
          <w:p w14:paraId="6C0BACE8" w14:textId="77777777" w:rsidR="00EA0905" w:rsidRPr="001362A6" w:rsidRDefault="00EA0905" w:rsidP="00781051">
            <w:pPr>
              <w:jc w:val="both"/>
              <w:rPr>
                <w:rFonts w:ascii="Lato" w:hAnsi="Lato"/>
                <w:b/>
                <w:sz w:val="22"/>
                <w:szCs w:val="22"/>
              </w:rPr>
            </w:pPr>
            <w:r w:rsidRPr="001362A6">
              <w:rPr>
                <w:rFonts w:ascii="Lato" w:hAnsi="Lato"/>
                <w:b/>
                <w:sz w:val="22"/>
                <w:szCs w:val="22"/>
              </w:rPr>
              <w:t xml:space="preserve">Letter from </w:t>
            </w:r>
            <w:r w:rsidR="000751A8" w:rsidRPr="001362A6">
              <w:rPr>
                <w:rFonts w:ascii="Lato" w:hAnsi="Lato"/>
                <w:b/>
                <w:sz w:val="22"/>
                <w:szCs w:val="22"/>
              </w:rPr>
              <w:t>Ma</w:t>
            </w:r>
            <w:r w:rsidR="00572154" w:rsidRPr="001362A6">
              <w:rPr>
                <w:rFonts w:ascii="Lato" w:hAnsi="Lato"/>
                <w:b/>
                <w:sz w:val="22"/>
                <w:szCs w:val="22"/>
              </w:rPr>
              <w:t>nager/</w:t>
            </w:r>
            <w:r w:rsidRPr="001362A6">
              <w:rPr>
                <w:rFonts w:ascii="Lato" w:hAnsi="Lato"/>
                <w:b/>
                <w:sz w:val="22"/>
                <w:szCs w:val="22"/>
              </w:rPr>
              <w:t>Directors of the Q</w:t>
            </w:r>
            <w:r w:rsidR="00352350" w:rsidRPr="001362A6">
              <w:rPr>
                <w:rFonts w:ascii="Lato" w:hAnsi="Lato"/>
                <w:b/>
                <w:sz w:val="22"/>
                <w:szCs w:val="22"/>
              </w:rPr>
              <w:t xml:space="preserve">ualifying </w:t>
            </w:r>
            <w:r w:rsidRPr="001362A6">
              <w:rPr>
                <w:rFonts w:ascii="Lato" w:hAnsi="Lato"/>
                <w:b/>
                <w:sz w:val="22"/>
                <w:szCs w:val="22"/>
              </w:rPr>
              <w:t>I</w:t>
            </w:r>
            <w:r w:rsidR="00352350" w:rsidRPr="001362A6">
              <w:rPr>
                <w:rFonts w:ascii="Lato" w:hAnsi="Lato"/>
                <w:b/>
                <w:sz w:val="22"/>
                <w:szCs w:val="22"/>
              </w:rPr>
              <w:t>nvestor</w:t>
            </w:r>
            <w:r w:rsidRPr="001362A6">
              <w:rPr>
                <w:rFonts w:ascii="Lato" w:hAnsi="Lato"/>
                <w:b/>
                <w:sz w:val="22"/>
                <w:szCs w:val="22"/>
              </w:rPr>
              <w:t>AIF</w:t>
            </w:r>
          </w:p>
        </w:tc>
        <w:tc>
          <w:tcPr>
            <w:tcW w:w="1177" w:type="dxa"/>
            <w:gridSpan w:val="2"/>
            <w:tcBorders>
              <w:top w:val="nil"/>
              <w:left w:val="nil"/>
              <w:bottom w:val="single" w:sz="4" w:space="0" w:color="auto"/>
              <w:right w:val="nil"/>
            </w:tcBorders>
          </w:tcPr>
          <w:p w14:paraId="16F53FE3" w14:textId="77777777" w:rsidR="00EA0905" w:rsidRPr="001362A6" w:rsidRDefault="00EA0905">
            <w:pPr>
              <w:rPr>
                <w:rFonts w:ascii="Lato" w:hAnsi="Lato"/>
                <w:sz w:val="22"/>
                <w:szCs w:val="22"/>
              </w:rPr>
            </w:pPr>
          </w:p>
        </w:tc>
      </w:tr>
      <w:tr w:rsidR="00EA0905" w:rsidRPr="001362A6" w14:paraId="4D7A8EEC" w14:textId="77777777" w:rsidTr="0042571B">
        <w:trPr>
          <w:cantSplit/>
          <w:trHeight w:val="241"/>
        </w:trPr>
        <w:tc>
          <w:tcPr>
            <w:tcW w:w="1204" w:type="dxa"/>
            <w:tcBorders>
              <w:top w:val="nil"/>
              <w:left w:val="nil"/>
              <w:bottom w:val="nil"/>
              <w:right w:val="nil"/>
            </w:tcBorders>
          </w:tcPr>
          <w:p w14:paraId="03534AFC" w14:textId="77777777" w:rsidR="00EA0905" w:rsidRPr="001362A6" w:rsidRDefault="00EA0905">
            <w:pPr>
              <w:rPr>
                <w:rFonts w:ascii="Lato" w:hAnsi="Lato"/>
                <w:sz w:val="22"/>
                <w:szCs w:val="22"/>
              </w:rPr>
            </w:pPr>
          </w:p>
        </w:tc>
        <w:tc>
          <w:tcPr>
            <w:tcW w:w="8194" w:type="dxa"/>
            <w:gridSpan w:val="2"/>
            <w:tcBorders>
              <w:top w:val="nil"/>
              <w:left w:val="nil"/>
              <w:bottom w:val="nil"/>
              <w:right w:val="single" w:sz="4" w:space="0" w:color="auto"/>
            </w:tcBorders>
          </w:tcPr>
          <w:p w14:paraId="2D70464B" w14:textId="77777777" w:rsidR="00EA0905" w:rsidRPr="001362A6" w:rsidRDefault="0039148C" w:rsidP="00D95E9D">
            <w:pPr>
              <w:jc w:val="both"/>
              <w:rPr>
                <w:rFonts w:ascii="Lato" w:hAnsi="Lato"/>
                <w:sz w:val="22"/>
                <w:szCs w:val="22"/>
              </w:rPr>
            </w:pPr>
            <w:r w:rsidRPr="001362A6">
              <w:rPr>
                <w:rFonts w:ascii="Lato" w:hAnsi="Lato"/>
                <w:sz w:val="22"/>
                <w:szCs w:val="22"/>
              </w:rPr>
              <w:t xml:space="preserve">Confirm that the investment advisors will act in an advisory capacity only and will </w:t>
            </w:r>
          </w:p>
        </w:tc>
        <w:tc>
          <w:tcPr>
            <w:tcW w:w="1177" w:type="dxa"/>
            <w:gridSpan w:val="2"/>
            <w:tcBorders>
              <w:top w:val="single" w:sz="4" w:space="0" w:color="auto"/>
              <w:left w:val="single" w:sz="4" w:space="0" w:color="auto"/>
              <w:bottom w:val="single" w:sz="4" w:space="0" w:color="auto"/>
              <w:right w:val="single" w:sz="4" w:space="0" w:color="auto"/>
            </w:tcBorders>
          </w:tcPr>
          <w:p w14:paraId="47456D2F" w14:textId="77777777" w:rsidR="00EA0905" w:rsidRPr="001362A6" w:rsidRDefault="00EA0905">
            <w:pPr>
              <w:rPr>
                <w:rFonts w:ascii="Lato" w:hAnsi="Lato"/>
                <w:sz w:val="22"/>
                <w:szCs w:val="22"/>
              </w:rPr>
            </w:pPr>
          </w:p>
        </w:tc>
      </w:tr>
      <w:tr w:rsidR="0042571B" w:rsidRPr="001362A6" w14:paraId="2CDD3980" w14:textId="77777777" w:rsidTr="0042571B">
        <w:trPr>
          <w:cantSplit/>
          <w:trHeight w:val="241"/>
        </w:trPr>
        <w:tc>
          <w:tcPr>
            <w:tcW w:w="1204" w:type="dxa"/>
            <w:tcBorders>
              <w:top w:val="nil"/>
              <w:left w:val="nil"/>
              <w:bottom w:val="nil"/>
              <w:right w:val="nil"/>
            </w:tcBorders>
          </w:tcPr>
          <w:p w14:paraId="71C9CE52" w14:textId="77777777" w:rsidR="0042571B" w:rsidRPr="001362A6" w:rsidRDefault="0042571B">
            <w:pPr>
              <w:rPr>
                <w:rFonts w:ascii="Lato" w:hAnsi="Lato"/>
                <w:sz w:val="22"/>
                <w:szCs w:val="22"/>
              </w:rPr>
            </w:pPr>
          </w:p>
        </w:tc>
        <w:tc>
          <w:tcPr>
            <w:tcW w:w="8194" w:type="dxa"/>
            <w:gridSpan w:val="2"/>
            <w:tcBorders>
              <w:top w:val="nil"/>
              <w:left w:val="nil"/>
              <w:bottom w:val="nil"/>
              <w:right w:val="nil"/>
            </w:tcBorders>
          </w:tcPr>
          <w:p w14:paraId="65FD10C7" w14:textId="77777777" w:rsidR="0042571B" w:rsidRPr="001362A6" w:rsidRDefault="005B3769" w:rsidP="0039148C">
            <w:pPr>
              <w:jc w:val="both"/>
              <w:rPr>
                <w:rFonts w:ascii="Lato" w:hAnsi="Lato"/>
                <w:sz w:val="22"/>
                <w:szCs w:val="22"/>
              </w:rPr>
            </w:pPr>
            <w:r w:rsidRPr="00590C6D">
              <w:rPr>
                <w:rFonts w:ascii="Lato" w:hAnsi="Lato"/>
                <w:sz w:val="22"/>
                <w:szCs w:val="22"/>
              </w:rPr>
              <w:t xml:space="preserve">have </w:t>
            </w:r>
            <w:r w:rsidR="0042571B" w:rsidRPr="001362A6">
              <w:rPr>
                <w:rFonts w:ascii="Lato" w:hAnsi="Lato"/>
                <w:sz w:val="22"/>
                <w:szCs w:val="22"/>
              </w:rPr>
              <w:t>no discretionary powers over any of the assets of the Qualifying Investor AIF.</w:t>
            </w:r>
          </w:p>
        </w:tc>
        <w:tc>
          <w:tcPr>
            <w:tcW w:w="1177" w:type="dxa"/>
            <w:gridSpan w:val="2"/>
            <w:tcBorders>
              <w:top w:val="single" w:sz="4" w:space="0" w:color="auto"/>
              <w:left w:val="nil"/>
              <w:bottom w:val="nil"/>
              <w:right w:val="nil"/>
            </w:tcBorders>
          </w:tcPr>
          <w:p w14:paraId="38799F33" w14:textId="77777777" w:rsidR="0042571B" w:rsidRPr="001362A6" w:rsidRDefault="0042571B">
            <w:pPr>
              <w:rPr>
                <w:rFonts w:ascii="Lato" w:hAnsi="Lato"/>
                <w:sz w:val="22"/>
                <w:szCs w:val="22"/>
              </w:rPr>
            </w:pPr>
          </w:p>
        </w:tc>
      </w:tr>
      <w:tr w:rsidR="00EA0905" w:rsidRPr="001362A6" w14:paraId="34E3B9F3" w14:textId="77777777" w:rsidTr="0042571B">
        <w:trPr>
          <w:cantSplit/>
          <w:trHeight w:val="273"/>
        </w:trPr>
        <w:tc>
          <w:tcPr>
            <w:tcW w:w="1204" w:type="dxa"/>
            <w:tcBorders>
              <w:top w:val="nil"/>
              <w:left w:val="nil"/>
              <w:bottom w:val="nil"/>
              <w:right w:val="nil"/>
            </w:tcBorders>
          </w:tcPr>
          <w:p w14:paraId="3DF3B266" w14:textId="77777777" w:rsidR="00EA0905" w:rsidRPr="001362A6" w:rsidRDefault="00EA0905">
            <w:pPr>
              <w:rPr>
                <w:rFonts w:ascii="Lato" w:hAnsi="Lato"/>
                <w:sz w:val="22"/>
                <w:szCs w:val="22"/>
              </w:rPr>
            </w:pPr>
          </w:p>
        </w:tc>
        <w:tc>
          <w:tcPr>
            <w:tcW w:w="8194" w:type="dxa"/>
            <w:gridSpan w:val="2"/>
            <w:tcBorders>
              <w:top w:val="nil"/>
              <w:left w:val="nil"/>
              <w:bottom w:val="nil"/>
              <w:right w:val="nil"/>
            </w:tcBorders>
          </w:tcPr>
          <w:p w14:paraId="490FD729" w14:textId="77777777" w:rsidR="0039148C" w:rsidRPr="001362A6" w:rsidRDefault="0039148C" w:rsidP="00572154">
            <w:pPr>
              <w:jc w:val="both"/>
              <w:rPr>
                <w:rFonts w:ascii="Lato" w:hAnsi="Lato"/>
                <w:sz w:val="22"/>
                <w:szCs w:val="22"/>
              </w:rPr>
            </w:pPr>
            <w:r w:rsidRPr="001362A6">
              <w:rPr>
                <w:rFonts w:ascii="Lato" w:hAnsi="Lato"/>
                <w:sz w:val="22"/>
                <w:szCs w:val="22"/>
              </w:rPr>
              <w:t>Also, confirm</w:t>
            </w:r>
            <w:r w:rsidR="00352350" w:rsidRPr="001362A6">
              <w:rPr>
                <w:rFonts w:ascii="Lato" w:hAnsi="Lato"/>
                <w:sz w:val="22"/>
                <w:szCs w:val="22"/>
              </w:rPr>
              <w:t>ing</w:t>
            </w:r>
            <w:r w:rsidRPr="001362A6">
              <w:rPr>
                <w:rFonts w:ascii="Lato" w:hAnsi="Lato"/>
                <w:sz w:val="22"/>
                <w:szCs w:val="22"/>
              </w:rPr>
              <w:t xml:space="preserve"> that the investment advisory agreement:</w:t>
            </w:r>
          </w:p>
          <w:p w14:paraId="7FBE0D24" w14:textId="77777777" w:rsidR="0077358B" w:rsidRPr="001362A6" w:rsidRDefault="0039148C" w:rsidP="00572154">
            <w:pPr>
              <w:jc w:val="both"/>
              <w:rPr>
                <w:rFonts w:ascii="Lato" w:hAnsi="Lato"/>
                <w:sz w:val="22"/>
                <w:szCs w:val="22"/>
              </w:rPr>
            </w:pPr>
            <w:r w:rsidRPr="001362A6">
              <w:rPr>
                <w:rFonts w:ascii="Lato" w:hAnsi="Lato"/>
                <w:sz w:val="22"/>
                <w:szCs w:val="22"/>
              </w:rPr>
              <w:t>1) does not provide for any discretionary management powers; and/or</w:t>
            </w:r>
          </w:p>
          <w:p w14:paraId="390B28B2" w14:textId="77777777" w:rsidR="0039148C" w:rsidRPr="001362A6" w:rsidRDefault="00A153DD" w:rsidP="00572154">
            <w:pPr>
              <w:jc w:val="both"/>
              <w:rPr>
                <w:rFonts w:ascii="Lato" w:hAnsi="Lato"/>
                <w:sz w:val="22"/>
                <w:szCs w:val="22"/>
              </w:rPr>
            </w:pPr>
            <w:r w:rsidRPr="001362A6">
              <w:rPr>
                <w:rFonts w:ascii="Lato" w:hAnsi="Lato"/>
                <w:sz w:val="22"/>
                <w:szCs w:val="22"/>
              </w:rPr>
              <w:t>2</w:t>
            </w:r>
            <w:r w:rsidR="0039148C" w:rsidRPr="001362A6">
              <w:rPr>
                <w:rFonts w:ascii="Lato" w:hAnsi="Lato"/>
                <w:sz w:val="22"/>
                <w:szCs w:val="22"/>
              </w:rPr>
              <w:t>) conflict with regulations and conditions applicable to Qualifying Investor AIFs.</w:t>
            </w:r>
          </w:p>
        </w:tc>
        <w:tc>
          <w:tcPr>
            <w:tcW w:w="1177" w:type="dxa"/>
            <w:gridSpan w:val="2"/>
            <w:tcBorders>
              <w:top w:val="nil"/>
              <w:left w:val="nil"/>
              <w:bottom w:val="nil"/>
              <w:right w:val="nil"/>
            </w:tcBorders>
          </w:tcPr>
          <w:p w14:paraId="7C251000" w14:textId="77777777" w:rsidR="00EA0905" w:rsidRPr="001362A6" w:rsidRDefault="00EA0905">
            <w:pPr>
              <w:rPr>
                <w:rFonts w:ascii="Lato" w:hAnsi="Lato"/>
                <w:sz w:val="22"/>
                <w:szCs w:val="22"/>
              </w:rPr>
            </w:pPr>
          </w:p>
        </w:tc>
      </w:tr>
      <w:tr w:rsidR="00EA0905" w:rsidRPr="001362A6" w14:paraId="4D94F90A" w14:textId="77777777" w:rsidTr="002667F0">
        <w:trPr>
          <w:cantSplit/>
          <w:trHeight w:val="277"/>
        </w:trPr>
        <w:tc>
          <w:tcPr>
            <w:tcW w:w="1204" w:type="dxa"/>
            <w:tcBorders>
              <w:top w:val="nil"/>
              <w:left w:val="nil"/>
              <w:bottom w:val="nil"/>
              <w:right w:val="nil"/>
            </w:tcBorders>
          </w:tcPr>
          <w:p w14:paraId="1F617320" w14:textId="77777777" w:rsidR="00EA0905" w:rsidRPr="001362A6" w:rsidRDefault="00EA0905">
            <w:pPr>
              <w:rPr>
                <w:rFonts w:ascii="Lato" w:hAnsi="Lato"/>
                <w:sz w:val="22"/>
                <w:szCs w:val="22"/>
              </w:rPr>
            </w:pPr>
          </w:p>
        </w:tc>
        <w:tc>
          <w:tcPr>
            <w:tcW w:w="8194" w:type="dxa"/>
            <w:gridSpan w:val="2"/>
            <w:tcBorders>
              <w:top w:val="nil"/>
              <w:left w:val="nil"/>
              <w:bottom w:val="nil"/>
              <w:right w:val="nil"/>
            </w:tcBorders>
          </w:tcPr>
          <w:p w14:paraId="788A4FEA" w14:textId="77777777" w:rsidR="00EA0905" w:rsidRPr="001362A6" w:rsidRDefault="00EA0905">
            <w:pPr>
              <w:jc w:val="both"/>
              <w:rPr>
                <w:rFonts w:ascii="Lato" w:hAnsi="Lato"/>
                <w:sz w:val="22"/>
                <w:szCs w:val="22"/>
              </w:rPr>
            </w:pPr>
          </w:p>
        </w:tc>
        <w:tc>
          <w:tcPr>
            <w:tcW w:w="1177" w:type="dxa"/>
            <w:gridSpan w:val="2"/>
            <w:tcBorders>
              <w:top w:val="nil"/>
              <w:left w:val="nil"/>
              <w:bottom w:val="nil"/>
              <w:right w:val="nil"/>
            </w:tcBorders>
          </w:tcPr>
          <w:p w14:paraId="6D28B42C" w14:textId="77777777" w:rsidR="00EA0905" w:rsidRPr="001362A6" w:rsidRDefault="00EA0905">
            <w:pPr>
              <w:rPr>
                <w:rFonts w:ascii="Lato" w:hAnsi="Lato"/>
                <w:sz w:val="22"/>
                <w:szCs w:val="22"/>
              </w:rPr>
            </w:pPr>
          </w:p>
        </w:tc>
      </w:tr>
      <w:tr w:rsidR="00EA0905" w:rsidRPr="001362A6" w14:paraId="73567C96" w14:textId="77777777" w:rsidTr="002667F0">
        <w:trPr>
          <w:cantSplit/>
          <w:trHeight w:val="295"/>
        </w:trPr>
        <w:tc>
          <w:tcPr>
            <w:tcW w:w="1204" w:type="dxa"/>
            <w:tcBorders>
              <w:top w:val="nil"/>
              <w:left w:val="nil"/>
              <w:bottom w:val="nil"/>
              <w:right w:val="nil"/>
            </w:tcBorders>
          </w:tcPr>
          <w:p w14:paraId="6722D49D" w14:textId="77777777" w:rsidR="00EA0905" w:rsidRPr="001362A6" w:rsidRDefault="00352350">
            <w:pPr>
              <w:rPr>
                <w:rFonts w:ascii="Lato" w:hAnsi="Lato"/>
                <w:sz w:val="22"/>
                <w:szCs w:val="22"/>
              </w:rPr>
            </w:pPr>
            <w:r w:rsidRPr="001362A6">
              <w:rPr>
                <w:rFonts w:ascii="Lato" w:hAnsi="Lato"/>
                <w:sz w:val="22"/>
                <w:szCs w:val="22"/>
              </w:rPr>
              <w:t>1.7.7</w:t>
            </w:r>
          </w:p>
        </w:tc>
        <w:tc>
          <w:tcPr>
            <w:tcW w:w="8194" w:type="dxa"/>
            <w:gridSpan w:val="2"/>
            <w:tcBorders>
              <w:top w:val="nil"/>
              <w:left w:val="nil"/>
              <w:bottom w:val="nil"/>
              <w:right w:val="nil"/>
            </w:tcBorders>
          </w:tcPr>
          <w:p w14:paraId="3E437F06" w14:textId="77777777" w:rsidR="00EA0905" w:rsidRPr="001362A6" w:rsidRDefault="00EA0905">
            <w:pPr>
              <w:jc w:val="both"/>
              <w:rPr>
                <w:rFonts w:ascii="Lato" w:hAnsi="Lato"/>
                <w:b/>
                <w:sz w:val="22"/>
                <w:szCs w:val="22"/>
              </w:rPr>
            </w:pPr>
            <w:r w:rsidRPr="001362A6">
              <w:rPr>
                <w:rFonts w:ascii="Lato" w:hAnsi="Lato"/>
                <w:b/>
                <w:sz w:val="22"/>
                <w:szCs w:val="22"/>
              </w:rPr>
              <w:t>Closed-ended Q</w:t>
            </w:r>
            <w:r w:rsidR="00352350" w:rsidRPr="001362A6">
              <w:rPr>
                <w:rFonts w:ascii="Lato" w:hAnsi="Lato"/>
                <w:b/>
                <w:sz w:val="22"/>
                <w:szCs w:val="22"/>
              </w:rPr>
              <w:t xml:space="preserve">ualifying </w:t>
            </w:r>
            <w:r w:rsidRPr="001362A6">
              <w:rPr>
                <w:rFonts w:ascii="Lato" w:hAnsi="Lato"/>
                <w:b/>
                <w:sz w:val="22"/>
                <w:szCs w:val="22"/>
              </w:rPr>
              <w:t>I</w:t>
            </w:r>
            <w:r w:rsidR="00352350" w:rsidRPr="001362A6">
              <w:rPr>
                <w:rFonts w:ascii="Lato" w:hAnsi="Lato"/>
                <w:b/>
                <w:sz w:val="22"/>
                <w:szCs w:val="22"/>
              </w:rPr>
              <w:t xml:space="preserve">nvestor </w:t>
            </w:r>
            <w:r w:rsidRPr="001362A6">
              <w:rPr>
                <w:rFonts w:ascii="Lato" w:hAnsi="Lato"/>
                <w:b/>
                <w:sz w:val="22"/>
                <w:szCs w:val="22"/>
              </w:rPr>
              <w:t>AIF</w:t>
            </w:r>
          </w:p>
        </w:tc>
        <w:tc>
          <w:tcPr>
            <w:tcW w:w="1177" w:type="dxa"/>
            <w:gridSpan w:val="2"/>
            <w:tcBorders>
              <w:top w:val="nil"/>
              <w:left w:val="nil"/>
              <w:bottom w:val="single" w:sz="4" w:space="0" w:color="auto"/>
              <w:right w:val="nil"/>
            </w:tcBorders>
          </w:tcPr>
          <w:p w14:paraId="3E6CE9EA" w14:textId="77777777" w:rsidR="00EA0905" w:rsidRPr="001362A6" w:rsidRDefault="00EA0905">
            <w:pPr>
              <w:rPr>
                <w:rFonts w:ascii="Lato" w:hAnsi="Lato"/>
                <w:sz w:val="22"/>
                <w:szCs w:val="22"/>
              </w:rPr>
            </w:pPr>
          </w:p>
        </w:tc>
      </w:tr>
      <w:tr w:rsidR="00EA0905" w:rsidRPr="001362A6" w14:paraId="244E41EB" w14:textId="77777777" w:rsidTr="002667F0">
        <w:trPr>
          <w:cantSplit/>
          <w:trHeight w:val="285"/>
        </w:trPr>
        <w:tc>
          <w:tcPr>
            <w:tcW w:w="1204" w:type="dxa"/>
            <w:tcBorders>
              <w:top w:val="nil"/>
              <w:left w:val="nil"/>
              <w:bottom w:val="nil"/>
              <w:right w:val="nil"/>
            </w:tcBorders>
          </w:tcPr>
          <w:p w14:paraId="57F68ABD" w14:textId="77777777" w:rsidR="00EA0905" w:rsidRPr="001362A6" w:rsidRDefault="00EA0905">
            <w:pPr>
              <w:rPr>
                <w:rFonts w:ascii="Lato" w:hAnsi="Lato"/>
                <w:sz w:val="22"/>
                <w:szCs w:val="22"/>
              </w:rPr>
            </w:pPr>
          </w:p>
        </w:tc>
        <w:tc>
          <w:tcPr>
            <w:tcW w:w="8194" w:type="dxa"/>
            <w:gridSpan w:val="2"/>
            <w:tcBorders>
              <w:top w:val="nil"/>
              <w:left w:val="nil"/>
              <w:bottom w:val="nil"/>
              <w:right w:val="single" w:sz="4" w:space="0" w:color="auto"/>
            </w:tcBorders>
          </w:tcPr>
          <w:p w14:paraId="2835656E" w14:textId="77777777" w:rsidR="00EA0905" w:rsidRPr="001362A6" w:rsidRDefault="00EA0905" w:rsidP="00AC4296">
            <w:pPr>
              <w:jc w:val="both"/>
              <w:rPr>
                <w:rFonts w:ascii="Lato" w:hAnsi="Lato"/>
                <w:sz w:val="22"/>
                <w:szCs w:val="22"/>
              </w:rPr>
            </w:pPr>
            <w:r w:rsidRPr="001362A6">
              <w:rPr>
                <w:rFonts w:ascii="Lato" w:hAnsi="Lato"/>
                <w:sz w:val="22"/>
                <w:szCs w:val="22"/>
              </w:rPr>
              <w:t>Confirmation that the prospectus has been submitted separately for approval</w:t>
            </w:r>
          </w:p>
        </w:tc>
        <w:tc>
          <w:tcPr>
            <w:tcW w:w="1177" w:type="dxa"/>
            <w:gridSpan w:val="2"/>
            <w:tcBorders>
              <w:top w:val="single" w:sz="4" w:space="0" w:color="auto"/>
              <w:left w:val="single" w:sz="4" w:space="0" w:color="auto"/>
              <w:bottom w:val="single" w:sz="4" w:space="0" w:color="auto"/>
              <w:right w:val="single" w:sz="4" w:space="0" w:color="auto"/>
            </w:tcBorders>
          </w:tcPr>
          <w:p w14:paraId="2380EE9A" w14:textId="77777777" w:rsidR="00EA0905" w:rsidRPr="001362A6" w:rsidRDefault="00EA0905">
            <w:pPr>
              <w:rPr>
                <w:rFonts w:ascii="Lato" w:hAnsi="Lato"/>
                <w:sz w:val="22"/>
                <w:szCs w:val="22"/>
              </w:rPr>
            </w:pPr>
          </w:p>
        </w:tc>
      </w:tr>
      <w:tr w:rsidR="00EA0905" w:rsidRPr="001362A6" w14:paraId="501D6202" w14:textId="77777777" w:rsidTr="00865C76">
        <w:trPr>
          <w:cantSplit/>
          <w:trHeight w:val="285"/>
        </w:trPr>
        <w:tc>
          <w:tcPr>
            <w:tcW w:w="1204" w:type="dxa"/>
            <w:tcBorders>
              <w:top w:val="nil"/>
              <w:left w:val="nil"/>
              <w:bottom w:val="nil"/>
              <w:right w:val="nil"/>
            </w:tcBorders>
          </w:tcPr>
          <w:p w14:paraId="6943A225" w14:textId="77777777" w:rsidR="00EA0905" w:rsidRPr="001362A6" w:rsidRDefault="00EA0905">
            <w:pPr>
              <w:rPr>
                <w:rFonts w:ascii="Lato" w:hAnsi="Lato"/>
                <w:sz w:val="22"/>
                <w:szCs w:val="22"/>
              </w:rPr>
            </w:pPr>
          </w:p>
        </w:tc>
        <w:tc>
          <w:tcPr>
            <w:tcW w:w="8194" w:type="dxa"/>
            <w:gridSpan w:val="2"/>
            <w:tcBorders>
              <w:top w:val="nil"/>
              <w:left w:val="nil"/>
              <w:bottom w:val="nil"/>
              <w:right w:val="nil"/>
            </w:tcBorders>
          </w:tcPr>
          <w:p w14:paraId="62B0541C" w14:textId="77777777" w:rsidR="00BE34C6" w:rsidRPr="001362A6" w:rsidRDefault="00EA0905" w:rsidP="00865C76">
            <w:pPr>
              <w:jc w:val="both"/>
              <w:rPr>
                <w:rFonts w:ascii="Lato" w:hAnsi="Lato"/>
                <w:sz w:val="22"/>
                <w:szCs w:val="22"/>
              </w:rPr>
            </w:pPr>
            <w:r w:rsidRPr="001362A6">
              <w:rPr>
                <w:rFonts w:ascii="Lato" w:hAnsi="Lato"/>
                <w:sz w:val="22"/>
                <w:szCs w:val="22"/>
              </w:rPr>
              <w:t>in accordance with the requirements of the Prospectus (Directive 2003/71/EC) Regulations 2005 (S.I. No. 324 of 2005) (if applicable).</w:t>
            </w:r>
          </w:p>
        </w:tc>
        <w:tc>
          <w:tcPr>
            <w:tcW w:w="1177" w:type="dxa"/>
            <w:gridSpan w:val="2"/>
            <w:tcBorders>
              <w:top w:val="single" w:sz="4" w:space="0" w:color="auto"/>
              <w:left w:val="nil"/>
              <w:bottom w:val="nil"/>
              <w:right w:val="nil"/>
            </w:tcBorders>
          </w:tcPr>
          <w:p w14:paraId="21979AE1" w14:textId="77777777" w:rsidR="00EA0905" w:rsidRPr="001362A6" w:rsidRDefault="00EA0905">
            <w:pPr>
              <w:rPr>
                <w:rFonts w:ascii="Lato" w:hAnsi="Lato"/>
                <w:sz w:val="22"/>
                <w:szCs w:val="22"/>
              </w:rPr>
            </w:pPr>
          </w:p>
        </w:tc>
      </w:tr>
      <w:tr w:rsidR="00865C76" w:rsidRPr="001362A6" w14:paraId="6B646137" w14:textId="77777777" w:rsidTr="00865C76">
        <w:trPr>
          <w:cantSplit/>
          <w:trHeight w:val="285"/>
        </w:trPr>
        <w:tc>
          <w:tcPr>
            <w:tcW w:w="1204" w:type="dxa"/>
            <w:tcBorders>
              <w:top w:val="nil"/>
              <w:left w:val="nil"/>
              <w:bottom w:val="nil"/>
              <w:right w:val="nil"/>
            </w:tcBorders>
          </w:tcPr>
          <w:p w14:paraId="1245D061" w14:textId="77777777" w:rsidR="00865C76" w:rsidRPr="001362A6" w:rsidRDefault="00865C76">
            <w:pPr>
              <w:rPr>
                <w:rFonts w:ascii="Lato" w:hAnsi="Lato"/>
                <w:sz w:val="22"/>
                <w:szCs w:val="22"/>
              </w:rPr>
            </w:pPr>
          </w:p>
        </w:tc>
        <w:tc>
          <w:tcPr>
            <w:tcW w:w="8194" w:type="dxa"/>
            <w:gridSpan w:val="2"/>
            <w:tcBorders>
              <w:top w:val="nil"/>
              <w:left w:val="nil"/>
              <w:bottom w:val="nil"/>
              <w:right w:val="nil"/>
            </w:tcBorders>
          </w:tcPr>
          <w:p w14:paraId="1B57D110" w14:textId="77777777" w:rsidR="00865C76" w:rsidRPr="001362A6" w:rsidRDefault="00865C76" w:rsidP="00865C76">
            <w:pPr>
              <w:jc w:val="both"/>
              <w:rPr>
                <w:rFonts w:ascii="Lato" w:hAnsi="Lato"/>
                <w:sz w:val="22"/>
                <w:szCs w:val="22"/>
              </w:rPr>
            </w:pPr>
          </w:p>
        </w:tc>
        <w:tc>
          <w:tcPr>
            <w:tcW w:w="1177" w:type="dxa"/>
            <w:gridSpan w:val="2"/>
            <w:tcBorders>
              <w:top w:val="nil"/>
              <w:left w:val="nil"/>
              <w:bottom w:val="nil"/>
              <w:right w:val="nil"/>
            </w:tcBorders>
          </w:tcPr>
          <w:p w14:paraId="12FC12A8" w14:textId="77777777" w:rsidR="00865C76" w:rsidRPr="001362A6" w:rsidRDefault="00865C76">
            <w:pPr>
              <w:rPr>
                <w:rFonts w:ascii="Lato" w:hAnsi="Lato"/>
                <w:sz w:val="22"/>
                <w:szCs w:val="22"/>
              </w:rPr>
            </w:pPr>
          </w:p>
        </w:tc>
      </w:tr>
      <w:tr w:rsidR="00865C76" w:rsidRPr="001362A6" w14:paraId="1C0E12DC" w14:textId="77777777" w:rsidTr="002335A7">
        <w:trPr>
          <w:cantSplit/>
          <w:trHeight w:val="285"/>
        </w:trPr>
        <w:tc>
          <w:tcPr>
            <w:tcW w:w="1204" w:type="dxa"/>
            <w:tcBorders>
              <w:top w:val="nil"/>
              <w:left w:val="nil"/>
              <w:bottom w:val="nil"/>
              <w:right w:val="nil"/>
            </w:tcBorders>
          </w:tcPr>
          <w:p w14:paraId="04F25EF0" w14:textId="77777777" w:rsidR="00865C76" w:rsidRPr="001362A6" w:rsidRDefault="00865C76">
            <w:pPr>
              <w:rPr>
                <w:rFonts w:ascii="Lato" w:hAnsi="Lato"/>
                <w:sz w:val="22"/>
                <w:szCs w:val="22"/>
              </w:rPr>
            </w:pPr>
            <w:r w:rsidRPr="001362A6">
              <w:rPr>
                <w:rFonts w:ascii="Lato" w:hAnsi="Lato"/>
                <w:sz w:val="22"/>
                <w:szCs w:val="22"/>
              </w:rPr>
              <w:t>1.7.8</w:t>
            </w:r>
          </w:p>
        </w:tc>
        <w:tc>
          <w:tcPr>
            <w:tcW w:w="8194" w:type="dxa"/>
            <w:gridSpan w:val="2"/>
            <w:tcBorders>
              <w:top w:val="nil"/>
              <w:left w:val="nil"/>
              <w:bottom w:val="nil"/>
              <w:right w:val="nil"/>
            </w:tcBorders>
          </w:tcPr>
          <w:p w14:paraId="6130DCA6" w14:textId="77777777" w:rsidR="00865C76" w:rsidRPr="001362A6" w:rsidRDefault="002335A7" w:rsidP="00865C76">
            <w:pPr>
              <w:jc w:val="both"/>
              <w:rPr>
                <w:rFonts w:ascii="Lato" w:hAnsi="Lato"/>
                <w:b/>
                <w:sz w:val="22"/>
                <w:szCs w:val="22"/>
              </w:rPr>
            </w:pPr>
            <w:r w:rsidRPr="001362A6">
              <w:rPr>
                <w:rFonts w:ascii="Lato" w:hAnsi="Lato"/>
                <w:b/>
                <w:sz w:val="22"/>
                <w:szCs w:val="22"/>
              </w:rPr>
              <w:t>AIFM Agreement</w:t>
            </w:r>
          </w:p>
        </w:tc>
        <w:tc>
          <w:tcPr>
            <w:tcW w:w="1177" w:type="dxa"/>
            <w:gridSpan w:val="2"/>
            <w:tcBorders>
              <w:top w:val="nil"/>
              <w:left w:val="nil"/>
              <w:bottom w:val="single" w:sz="4" w:space="0" w:color="auto"/>
              <w:right w:val="nil"/>
            </w:tcBorders>
          </w:tcPr>
          <w:p w14:paraId="2A8DC6BD" w14:textId="77777777" w:rsidR="00865C76" w:rsidRPr="001362A6" w:rsidRDefault="00865C76">
            <w:pPr>
              <w:rPr>
                <w:rFonts w:ascii="Lato" w:hAnsi="Lato"/>
                <w:sz w:val="22"/>
                <w:szCs w:val="22"/>
              </w:rPr>
            </w:pPr>
          </w:p>
        </w:tc>
      </w:tr>
      <w:tr w:rsidR="00865C76" w:rsidRPr="001362A6" w14:paraId="206BA190" w14:textId="77777777" w:rsidTr="002335A7">
        <w:trPr>
          <w:cantSplit/>
          <w:trHeight w:val="285"/>
        </w:trPr>
        <w:tc>
          <w:tcPr>
            <w:tcW w:w="1204" w:type="dxa"/>
            <w:tcBorders>
              <w:top w:val="nil"/>
              <w:left w:val="nil"/>
              <w:bottom w:val="nil"/>
              <w:right w:val="nil"/>
            </w:tcBorders>
          </w:tcPr>
          <w:p w14:paraId="62F63F5C" w14:textId="77777777" w:rsidR="00865C76" w:rsidRPr="001362A6" w:rsidRDefault="00865C76">
            <w:pPr>
              <w:rPr>
                <w:rFonts w:ascii="Lato" w:hAnsi="Lato"/>
                <w:sz w:val="22"/>
                <w:szCs w:val="22"/>
              </w:rPr>
            </w:pPr>
          </w:p>
        </w:tc>
        <w:tc>
          <w:tcPr>
            <w:tcW w:w="8194" w:type="dxa"/>
            <w:gridSpan w:val="2"/>
            <w:tcBorders>
              <w:top w:val="nil"/>
              <w:left w:val="nil"/>
              <w:bottom w:val="nil"/>
              <w:right w:val="single" w:sz="4" w:space="0" w:color="auto"/>
            </w:tcBorders>
          </w:tcPr>
          <w:p w14:paraId="1BE9AA87" w14:textId="77777777" w:rsidR="00865C76" w:rsidRPr="001362A6" w:rsidRDefault="002335A7" w:rsidP="00D95E9D">
            <w:pPr>
              <w:jc w:val="both"/>
              <w:rPr>
                <w:rFonts w:ascii="Lato" w:hAnsi="Lato"/>
                <w:sz w:val="22"/>
                <w:szCs w:val="22"/>
              </w:rPr>
            </w:pPr>
            <w:r w:rsidRPr="001362A6">
              <w:rPr>
                <w:rFonts w:ascii="Lato" w:hAnsi="Lato"/>
                <w:sz w:val="22"/>
                <w:szCs w:val="22"/>
              </w:rPr>
              <w:t xml:space="preserve">Confirm that the AIFM agreement is in full compliance with the AIFMD and </w:t>
            </w:r>
          </w:p>
        </w:tc>
        <w:tc>
          <w:tcPr>
            <w:tcW w:w="1177" w:type="dxa"/>
            <w:gridSpan w:val="2"/>
            <w:tcBorders>
              <w:top w:val="single" w:sz="4" w:space="0" w:color="auto"/>
              <w:left w:val="single" w:sz="4" w:space="0" w:color="auto"/>
              <w:bottom w:val="single" w:sz="4" w:space="0" w:color="auto"/>
              <w:right w:val="single" w:sz="4" w:space="0" w:color="auto"/>
            </w:tcBorders>
          </w:tcPr>
          <w:p w14:paraId="6E3FCB6A" w14:textId="77777777" w:rsidR="00865C76" w:rsidRPr="001362A6" w:rsidRDefault="00865C76">
            <w:pPr>
              <w:rPr>
                <w:rFonts w:ascii="Lato" w:hAnsi="Lato"/>
                <w:sz w:val="22"/>
                <w:szCs w:val="22"/>
              </w:rPr>
            </w:pPr>
          </w:p>
        </w:tc>
      </w:tr>
      <w:tr w:rsidR="00865C76" w:rsidRPr="001362A6" w14:paraId="014AA40F" w14:textId="77777777" w:rsidTr="00546162">
        <w:trPr>
          <w:cantSplit/>
          <w:trHeight w:val="285"/>
        </w:trPr>
        <w:tc>
          <w:tcPr>
            <w:tcW w:w="1204" w:type="dxa"/>
            <w:tcBorders>
              <w:top w:val="nil"/>
              <w:left w:val="nil"/>
              <w:bottom w:val="nil"/>
              <w:right w:val="nil"/>
            </w:tcBorders>
          </w:tcPr>
          <w:p w14:paraId="5C21D51F" w14:textId="77777777" w:rsidR="00865C76" w:rsidRPr="001362A6" w:rsidRDefault="00865C76">
            <w:pPr>
              <w:rPr>
                <w:rFonts w:ascii="Lato" w:hAnsi="Lato"/>
                <w:sz w:val="22"/>
                <w:szCs w:val="22"/>
              </w:rPr>
            </w:pPr>
          </w:p>
        </w:tc>
        <w:tc>
          <w:tcPr>
            <w:tcW w:w="8194" w:type="dxa"/>
            <w:gridSpan w:val="2"/>
            <w:tcBorders>
              <w:top w:val="nil"/>
              <w:left w:val="nil"/>
              <w:bottom w:val="single" w:sz="4" w:space="0" w:color="auto"/>
              <w:right w:val="nil"/>
            </w:tcBorders>
          </w:tcPr>
          <w:p w14:paraId="18F9EEDD" w14:textId="77777777" w:rsidR="00865C76" w:rsidRPr="001362A6" w:rsidRDefault="005B3769" w:rsidP="00A70AEC">
            <w:pPr>
              <w:jc w:val="both"/>
              <w:rPr>
                <w:rFonts w:ascii="Lato" w:hAnsi="Lato"/>
                <w:sz w:val="22"/>
                <w:szCs w:val="22"/>
              </w:rPr>
            </w:pPr>
            <w:r w:rsidRPr="00590C6D">
              <w:rPr>
                <w:rFonts w:ascii="Lato" w:hAnsi="Lato"/>
                <w:sz w:val="22"/>
                <w:szCs w:val="22"/>
              </w:rPr>
              <w:t>consistent</w:t>
            </w:r>
            <w:r w:rsidRPr="00D95E9D">
              <w:rPr>
                <w:rFonts w:ascii="Lato" w:hAnsi="Lato"/>
                <w:sz w:val="22"/>
                <w:szCs w:val="22"/>
              </w:rPr>
              <w:t xml:space="preserve"> </w:t>
            </w:r>
            <w:r w:rsidR="002335A7" w:rsidRPr="001362A6">
              <w:rPr>
                <w:rFonts w:ascii="Lato" w:hAnsi="Lato"/>
                <w:sz w:val="22"/>
                <w:szCs w:val="22"/>
              </w:rPr>
              <w:t xml:space="preserve">with the requirements of the AIF </w:t>
            </w:r>
            <w:r w:rsidR="00705736" w:rsidRPr="001362A6">
              <w:rPr>
                <w:rFonts w:ascii="Lato" w:hAnsi="Lato"/>
                <w:sz w:val="22"/>
                <w:szCs w:val="22"/>
              </w:rPr>
              <w:t>Rulebook</w:t>
            </w:r>
          </w:p>
          <w:p w14:paraId="474D5DA4" w14:textId="77777777" w:rsidR="007F1DB1" w:rsidRPr="001362A6" w:rsidRDefault="007F1DB1" w:rsidP="00A70AEC">
            <w:pPr>
              <w:jc w:val="both"/>
              <w:rPr>
                <w:rFonts w:ascii="Lato" w:hAnsi="Lato"/>
                <w:sz w:val="22"/>
                <w:szCs w:val="22"/>
              </w:rPr>
            </w:pPr>
          </w:p>
        </w:tc>
        <w:tc>
          <w:tcPr>
            <w:tcW w:w="1177" w:type="dxa"/>
            <w:gridSpan w:val="2"/>
            <w:tcBorders>
              <w:top w:val="single" w:sz="4" w:space="0" w:color="auto"/>
              <w:left w:val="nil"/>
              <w:bottom w:val="nil"/>
              <w:right w:val="nil"/>
            </w:tcBorders>
          </w:tcPr>
          <w:p w14:paraId="7E0E2FBF" w14:textId="77777777" w:rsidR="00865C76" w:rsidRPr="001362A6" w:rsidRDefault="00865C76">
            <w:pPr>
              <w:rPr>
                <w:rFonts w:ascii="Lato" w:hAnsi="Lato"/>
                <w:sz w:val="22"/>
                <w:szCs w:val="22"/>
              </w:rPr>
            </w:pPr>
          </w:p>
        </w:tc>
      </w:tr>
      <w:tr w:rsidR="00EA0905" w:rsidRPr="001362A6" w14:paraId="6CA6D092" w14:textId="77777777" w:rsidTr="00546162">
        <w:tc>
          <w:tcPr>
            <w:tcW w:w="1204" w:type="dxa"/>
            <w:tcBorders>
              <w:top w:val="nil"/>
              <w:left w:val="nil"/>
              <w:bottom w:val="nil"/>
              <w:right w:val="single" w:sz="4" w:space="0" w:color="auto"/>
            </w:tcBorders>
          </w:tcPr>
          <w:p w14:paraId="278475B1" w14:textId="77777777" w:rsidR="00EA0905" w:rsidRPr="001362A6" w:rsidRDefault="00EA0905">
            <w:pPr>
              <w:rPr>
                <w:rFonts w:ascii="Lato" w:hAnsi="Lato"/>
                <w:b/>
                <w:bCs/>
                <w:sz w:val="22"/>
                <w:szCs w:val="22"/>
              </w:rPr>
            </w:pPr>
            <w:r w:rsidRPr="001362A6">
              <w:rPr>
                <w:rFonts w:ascii="Lato" w:hAnsi="Lato"/>
                <w:b/>
                <w:bCs/>
                <w:sz w:val="22"/>
                <w:szCs w:val="22"/>
              </w:rPr>
              <w:t>1.8</w:t>
            </w:r>
          </w:p>
        </w:tc>
        <w:tc>
          <w:tcPr>
            <w:tcW w:w="8194" w:type="dxa"/>
            <w:gridSpan w:val="2"/>
            <w:tcBorders>
              <w:top w:val="single" w:sz="4" w:space="0" w:color="auto"/>
              <w:left w:val="single" w:sz="4" w:space="0" w:color="auto"/>
              <w:bottom w:val="single" w:sz="4" w:space="0" w:color="auto"/>
              <w:right w:val="single" w:sz="4" w:space="0" w:color="auto"/>
            </w:tcBorders>
          </w:tcPr>
          <w:p w14:paraId="1FA3E185" w14:textId="77777777" w:rsidR="00EA0905" w:rsidRPr="001362A6" w:rsidRDefault="00D814AE">
            <w:pPr>
              <w:pStyle w:val="Heading3"/>
              <w:spacing w:before="0" w:after="0" w:line="240" w:lineRule="auto"/>
              <w:rPr>
                <w:rFonts w:ascii="Lato" w:hAnsi="Lato"/>
                <w:color w:val="auto"/>
                <w:sz w:val="22"/>
                <w:szCs w:val="22"/>
              </w:rPr>
            </w:pPr>
            <w:r w:rsidRPr="001362A6">
              <w:rPr>
                <w:rFonts w:ascii="Lato" w:hAnsi="Lato"/>
                <w:color w:val="auto"/>
                <w:sz w:val="22"/>
                <w:szCs w:val="22"/>
              </w:rPr>
              <w:t>OTHER INFORMATION</w:t>
            </w:r>
          </w:p>
        </w:tc>
        <w:tc>
          <w:tcPr>
            <w:tcW w:w="411" w:type="dxa"/>
            <w:tcBorders>
              <w:top w:val="nil"/>
              <w:left w:val="nil"/>
              <w:bottom w:val="single" w:sz="4" w:space="0" w:color="auto"/>
              <w:right w:val="nil"/>
            </w:tcBorders>
          </w:tcPr>
          <w:p w14:paraId="6D0F5E9A" w14:textId="77777777" w:rsidR="00EA0905" w:rsidRPr="001362A6" w:rsidRDefault="00EA0905">
            <w:pPr>
              <w:rPr>
                <w:rFonts w:ascii="Lato" w:hAnsi="Lato"/>
                <w:sz w:val="22"/>
                <w:szCs w:val="22"/>
              </w:rPr>
            </w:pPr>
          </w:p>
        </w:tc>
        <w:tc>
          <w:tcPr>
            <w:tcW w:w="766" w:type="dxa"/>
            <w:tcBorders>
              <w:top w:val="nil"/>
              <w:left w:val="nil"/>
              <w:bottom w:val="single" w:sz="4" w:space="0" w:color="auto"/>
              <w:right w:val="nil"/>
            </w:tcBorders>
          </w:tcPr>
          <w:p w14:paraId="01AD33BF" w14:textId="77777777" w:rsidR="00EA0905" w:rsidRPr="001362A6" w:rsidRDefault="00EA0905">
            <w:pPr>
              <w:rPr>
                <w:rFonts w:ascii="Lato" w:hAnsi="Lato"/>
                <w:sz w:val="22"/>
                <w:szCs w:val="22"/>
              </w:rPr>
            </w:pPr>
          </w:p>
        </w:tc>
      </w:tr>
      <w:tr w:rsidR="00C7735C" w:rsidRPr="001362A6" w14:paraId="4F232BB1" w14:textId="77777777" w:rsidTr="00546162">
        <w:tc>
          <w:tcPr>
            <w:tcW w:w="1204" w:type="dxa"/>
            <w:tcBorders>
              <w:top w:val="nil"/>
              <w:left w:val="nil"/>
              <w:bottom w:val="nil"/>
              <w:right w:val="nil"/>
            </w:tcBorders>
          </w:tcPr>
          <w:p w14:paraId="569C54FF" w14:textId="77777777" w:rsidR="00C7735C" w:rsidRPr="001362A6" w:rsidRDefault="00C7735C">
            <w:pPr>
              <w:rPr>
                <w:rFonts w:ascii="Lato" w:hAnsi="Lato"/>
                <w:bCs/>
                <w:sz w:val="22"/>
                <w:szCs w:val="22"/>
              </w:rPr>
            </w:pPr>
            <w:r w:rsidRPr="001362A6">
              <w:rPr>
                <w:rFonts w:ascii="Lato" w:hAnsi="Lato"/>
                <w:bCs/>
                <w:sz w:val="22"/>
                <w:szCs w:val="22"/>
              </w:rPr>
              <w:t>1.8.1</w:t>
            </w:r>
          </w:p>
        </w:tc>
        <w:tc>
          <w:tcPr>
            <w:tcW w:w="8194" w:type="dxa"/>
            <w:gridSpan w:val="2"/>
            <w:tcBorders>
              <w:top w:val="single" w:sz="4" w:space="0" w:color="auto"/>
              <w:left w:val="nil"/>
              <w:bottom w:val="nil"/>
              <w:right w:val="single" w:sz="4" w:space="0" w:color="auto"/>
            </w:tcBorders>
          </w:tcPr>
          <w:p w14:paraId="46759107" w14:textId="77777777" w:rsidR="00C7735C" w:rsidRPr="001362A6" w:rsidDel="00D814AE" w:rsidRDefault="00570E26" w:rsidP="00D95E9D">
            <w:pPr>
              <w:pStyle w:val="Heading3"/>
              <w:spacing w:before="0" w:after="0" w:line="240" w:lineRule="auto"/>
              <w:jc w:val="both"/>
              <w:rPr>
                <w:rFonts w:ascii="Lato" w:hAnsi="Lato"/>
                <w:color w:val="auto"/>
                <w:sz w:val="22"/>
                <w:szCs w:val="22"/>
              </w:rPr>
            </w:pPr>
            <w:r w:rsidRPr="001362A6">
              <w:rPr>
                <w:rFonts w:ascii="Lato" w:hAnsi="Lato"/>
                <w:b w:val="0"/>
                <w:color w:val="auto"/>
                <w:sz w:val="22"/>
                <w:szCs w:val="22"/>
              </w:rPr>
              <w:t>Please provide a designated</w:t>
            </w:r>
            <w:r w:rsidR="00C7735C" w:rsidRPr="001362A6">
              <w:rPr>
                <w:rFonts w:ascii="Lato" w:hAnsi="Lato"/>
                <w:b w:val="0"/>
                <w:color w:val="auto"/>
                <w:sz w:val="22"/>
                <w:szCs w:val="22"/>
              </w:rPr>
              <w:t xml:space="preserve"> email address </w:t>
            </w:r>
            <w:r w:rsidRPr="001362A6">
              <w:rPr>
                <w:rFonts w:ascii="Lato" w:hAnsi="Lato"/>
                <w:b w:val="0"/>
                <w:color w:val="auto"/>
                <w:sz w:val="22"/>
                <w:szCs w:val="22"/>
              </w:rPr>
              <w:t xml:space="preserve">to enable the Central Bank </w:t>
            </w:r>
            <w:r w:rsidR="003C444F" w:rsidRPr="001362A6">
              <w:rPr>
                <w:rFonts w:ascii="Lato" w:hAnsi="Lato"/>
                <w:b w:val="0"/>
                <w:color w:val="auto"/>
                <w:sz w:val="22"/>
                <w:szCs w:val="22"/>
              </w:rPr>
              <w:t xml:space="preserve">to </w:t>
            </w:r>
            <w:r w:rsidR="00C7735C" w:rsidRPr="001362A6">
              <w:rPr>
                <w:rFonts w:ascii="Lato" w:hAnsi="Lato"/>
                <w:b w:val="0"/>
                <w:color w:val="auto"/>
                <w:sz w:val="22"/>
                <w:szCs w:val="22"/>
              </w:rPr>
              <w:t xml:space="preserve">contact </w:t>
            </w:r>
          </w:p>
        </w:tc>
        <w:tc>
          <w:tcPr>
            <w:tcW w:w="1177" w:type="dxa"/>
            <w:gridSpan w:val="2"/>
            <w:tcBorders>
              <w:top w:val="single" w:sz="4" w:space="0" w:color="auto"/>
              <w:left w:val="single" w:sz="4" w:space="0" w:color="auto"/>
              <w:bottom w:val="single" w:sz="4" w:space="0" w:color="auto"/>
              <w:right w:val="single" w:sz="4" w:space="0" w:color="auto"/>
            </w:tcBorders>
          </w:tcPr>
          <w:p w14:paraId="2749A3F1" w14:textId="77777777" w:rsidR="00C7735C" w:rsidRPr="001362A6" w:rsidRDefault="00C7735C">
            <w:pPr>
              <w:rPr>
                <w:rFonts w:ascii="Lato" w:hAnsi="Lato"/>
                <w:sz w:val="22"/>
                <w:szCs w:val="22"/>
              </w:rPr>
            </w:pPr>
          </w:p>
        </w:tc>
      </w:tr>
      <w:tr w:rsidR="001C5426" w:rsidRPr="001362A6" w14:paraId="7924B19E" w14:textId="77777777" w:rsidTr="00546162">
        <w:tc>
          <w:tcPr>
            <w:tcW w:w="1204" w:type="dxa"/>
            <w:tcBorders>
              <w:top w:val="nil"/>
              <w:left w:val="nil"/>
              <w:bottom w:val="nil"/>
              <w:right w:val="nil"/>
            </w:tcBorders>
          </w:tcPr>
          <w:p w14:paraId="135008A9" w14:textId="77777777" w:rsidR="001C5426" w:rsidRPr="001362A6" w:rsidRDefault="001C5426">
            <w:pPr>
              <w:rPr>
                <w:rFonts w:ascii="Lato" w:hAnsi="Lato"/>
                <w:bCs/>
                <w:sz w:val="22"/>
                <w:szCs w:val="22"/>
              </w:rPr>
            </w:pPr>
          </w:p>
        </w:tc>
        <w:tc>
          <w:tcPr>
            <w:tcW w:w="8194" w:type="dxa"/>
            <w:gridSpan w:val="2"/>
            <w:tcBorders>
              <w:top w:val="nil"/>
              <w:left w:val="nil"/>
              <w:bottom w:val="single" w:sz="4" w:space="0" w:color="auto"/>
              <w:right w:val="nil"/>
            </w:tcBorders>
          </w:tcPr>
          <w:p w14:paraId="0068E954" w14:textId="77777777" w:rsidR="005B3769" w:rsidRPr="00590C6D" w:rsidRDefault="005B3769" w:rsidP="005B3769">
            <w:pPr>
              <w:pStyle w:val="Heading3"/>
              <w:spacing w:before="0" w:after="0" w:line="240" w:lineRule="auto"/>
              <w:jc w:val="both"/>
              <w:rPr>
                <w:rFonts w:ascii="Lato" w:hAnsi="Lato"/>
                <w:b w:val="0"/>
                <w:color w:val="auto"/>
                <w:sz w:val="22"/>
                <w:szCs w:val="22"/>
              </w:rPr>
            </w:pPr>
            <w:r w:rsidRPr="00590C6D">
              <w:rPr>
                <w:rFonts w:ascii="Lato" w:hAnsi="Lato"/>
                <w:b w:val="0"/>
                <w:color w:val="auto"/>
                <w:sz w:val="22"/>
                <w:szCs w:val="22"/>
              </w:rPr>
              <w:t>the</w:t>
            </w:r>
            <w:r w:rsidRPr="00D95E9D">
              <w:rPr>
                <w:rFonts w:ascii="Lato" w:hAnsi="Lato"/>
                <w:b w:val="0"/>
                <w:color w:val="auto"/>
                <w:sz w:val="22"/>
                <w:szCs w:val="22"/>
              </w:rPr>
              <w:t xml:space="preserve"> </w:t>
            </w:r>
            <w:r w:rsidR="0036700B" w:rsidRPr="001362A6">
              <w:rPr>
                <w:rFonts w:ascii="Lato" w:hAnsi="Lato"/>
                <w:b w:val="0"/>
                <w:color w:val="auto"/>
                <w:sz w:val="22"/>
                <w:szCs w:val="22"/>
              </w:rPr>
              <w:t xml:space="preserve">QIAIF </w:t>
            </w:r>
            <w:r w:rsidR="00570E26" w:rsidRPr="001362A6">
              <w:rPr>
                <w:rFonts w:ascii="Lato" w:hAnsi="Lato"/>
                <w:b w:val="0"/>
                <w:color w:val="auto"/>
                <w:sz w:val="22"/>
                <w:szCs w:val="22"/>
              </w:rPr>
              <w:t>in relation to any specific fund issues,</w:t>
            </w:r>
            <w:r w:rsidR="00C7735C" w:rsidRPr="001362A6">
              <w:rPr>
                <w:rFonts w:ascii="Lato" w:hAnsi="Lato"/>
                <w:b w:val="0"/>
                <w:color w:val="auto"/>
                <w:sz w:val="22"/>
                <w:szCs w:val="22"/>
              </w:rPr>
              <w:t xml:space="preserve"> correspondence</w:t>
            </w:r>
            <w:r w:rsidR="00570E26" w:rsidRPr="001362A6">
              <w:rPr>
                <w:rFonts w:ascii="Lato" w:hAnsi="Lato"/>
                <w:b w:val="0"/>
                <w:color w:val="auto"/>
                <w:sz w:val="22"/>
                <w:szCs w:val="22"/>
              </w:rPr>
              <w:t>, questionnaires</w:t>
            </w:r>
            <w:r w:rsidR="00C7735C" w:rsidRPr="001362A6">
              <w:rPr>
                <w:rFonts w:ascii="Lato" w:hAnsi="Lato"/>
                <w:b w:val="0"/>
                <w:color w:val="auto"/>
                <w:sz w:val="22"/>
                <w:szCs w:val="22"/>
              </w:rPr>
              <w:t xml:space="preserve"> </w:t>
            </w:r>
            <w:r w:rsidRPr="00590C6D">
              <w:rPr>
                <w:rFonts w:ascii="Lato" w:hAnsi="Lato"/>
                <w:b w:val="0"/>
                <w:color w:val="auto"/>
                <w:sz w:val="22"/>
                <w:szCs w:val="22"/>
              </w:rPr>
              <w:t>etc.</w:t>
            </w:r>
          </w:p>
          <w:p w14:paraId="53CBFC41" w14:textId="77777777" w:rsidR="001C5426" w:rsidRPr="001362A6" w:rsidRDefault="00570E26" w:rsidP="001362A6">
            <w:pPr>
              <w:pStyle w:val="Heading3"/>
              <w:spacing w:before="0" w:after="0" w:line="240" w:lineRule="auto"/>
              <w:jc w:val="both"/>
              <w:rPr>
                <w:rFonts w:ascii="Lato" w:hAnsi="Lato"/>
                <w:b w:val="0"/>
                <w:color w:val="auto"/>
                <w:sz w:val="22"/>
                <w:szCs w:val="22"/>
              </w:rPr>
            </w:pPr>
            <w:r w:rsidRPr="001362A6">
              <w:rPr>
                <w:rFonts w:ascii="Lato" w:hAnsi="Lato"/>
                <w:b w:val="0"/>
                <w:color w:val="auto"/>
                <w:sz w:val="22"/>
                <w:szCs w:val="22"/>
              </w:rPr>
              <w:t>This designated email address should be continuously monitored on a daily basis. Should this designated</w:t>
            </w:r>
            <w:r w:rsidR="003C3938" w:rsidRPr="001362A6">
              <w:rPr>
                <w:rFonts w:ascii="Lato" w:hAnsi="Lato"/>
                <w:b w:val="0"/>
                <w:color w:val="auto"/>
                <w:sz w:val="22"/>
                <w:szCs w:val="22"/>
              </w:rPr>
              <w:t xml:space="preserve"> email address change, the QIAIF</w:t>
            </w:r>
            <w:r w:rsidRPr="001362A6">
              <w:rPr>
                <w:rFonts w:ascii="Lato" w:hAnsi="Lato"/>
                <w:b w:val="0"/>
                <w:color w:val="auto"/>
                <w:sz w:val="22"/>
                <w:szCs w:val="22"/>
              </w:rPr>
              <w:t xml:space="preserve"> should communicate the new address immediately to the Central Bank by filing a Regulatory Report Return on the Online Reporting System with the updated details.</w:t>
            </w:r>
          </w:p>
        </w:tc>
        <w:tc>
          <w:tcPr>
            <w:tcW w:w="411" w:type="dxa"/>
            <w:tcBorders>
              <w:top w:val="single" w:sz="4" w:space="0" w:color="auto"/>
              <w:left w:val="nil"/>
              <w:bottom w:val="nil"/>
              <w:right w:val="nil"/>
            </w:tcBorders>
          </w:tcPr>
          <w:p w14:paraId="5399210E" w14:textId="77777777" w:rsidR="001C5426" w:rsidRPr="001362A6" w:rsidRDefault="001C5426">
            <w:pPr>
              <w:rPr>
                <w:rFonts w:ascii="Lato" w:hAnsi="Lato"/>
                <w:sz w:val="22"/>
                <w:szCs w:val="22"/>
              </w:rPr>
            </w:pPr>
          </w:p>
        </w:tc>
        <w:tc>
          <w:tcPr>
            <w:tcW w:w="766" w:type="dxa"/>
            <w:tcBorders>
              <w:top w:val="single" w:sz="4" w:space="0" w:color="auto"/>
              <w:left w:val="nil"/>
              <w:bottom w:val="nil"/>
              <w:right w:val="nil"/>
            </w:tcBorders>
          </w:tcPr>
          <w:p w14:paraId="3495FD57" w14:textId="77777777" w:rsidR="001C5426" w:rsidRPr="001362A6" w:rsidRDefault="001C5426">
            <w:pPr>
              <w:rPr>
                <w:rFonts w:ascii="Lato" w:hAnsi="Lato"/>
                <w:sz w:val="22"/>
                <w:szCs w:val="22"/>
              </w:rPr>
            </w:pPr>
          </w:p>
        </w:tc>
      </w:tr>
      <w:tr w:rsidR="001C5426" w:rsidRPr="001362A6" w14:paraId="330B620A" w14:textId="77777777" w:rsidTr="00546162">
        <w:tc>
          <w:tcPr>
            <w:tcW w:w="1204" w:type="dxa"/>
            <w:tcBorders>
              <w:top w:val="nil"/>
              <w:left w:val="nil"/>
              <w:bottom w:val="nil"/>
              <w:right w:val="single" w:sz="4" w:space="0" w:color="auto"/>
            </w:tcBorders>
          </w:tcPr>
          <w:p w14:paraId="0FBEF163" w14:textId="77777777" w:rsidR="001C5426" w:rsidRPr="001362A6" w:rsidRDefault="001C5426" w:rsidP="001C5426">
            <w:pPr>
              <w:rPr>
                <w:rFonts w:ascii="Lato" w:hAnsi="Lato"/>
                <w:b/>
                <w:bCs/>
                <w:sz w:val="22"/>
                <w:szCs w:val="22"/>
              </w:rPr>
            </w:pPr>
          </w:p>
        </w:tc>
        <w:tc>
          <w:tcPr>
            <w:tcW w:w="8194" w:type="dxa"/>
            <w:gridSpan w:val="2"/>
            <w:tcBorders>
              <w:top w:val="single" w:sz="4" w:space="0" w:color="auto"/>
              <w:left w:val="single" w:sz="4" w:space="0" w:color="auto"/>
              <w:bottom w:val="single" w:sz="4" w:space="0" w:color="auto"/>
              <w:right w:val="single" w:sz="4" w:space="0" w:color="auto"/>
            </w:tcBorders>
          </w:tcPr>
          <w:p w14:paraId="2B3F2787" w14:textId="77777777" w:rsidR="001C5426" w:rsidRPr="001362A6" w:rsidDel="00D814AE" w:rsidRDefault="001C5426" w:rsidP="001C5426">
            <w:pPr>
              <w:pStyle w:val="Heading3"/>
              <w:spacing w:before="0" w:after="0" w:line="240" w:lineRule="auto"/>
              <w:rPr>
                <w:rFonts w:ascii="Lato" w:hAnsi="Lato"/>
                <w:color w:val="auto"/>
                <w:sz w:val="22"/>
                <w:szCs w:val="22"/>
              </w:rPr>
            </w:pPr>
          </w:p>
        </w:tc>
        <w:tc>
          <w:tcPr>
            <w:tcW w:w="411" w:type="dxa"/>
            <w:tcBorders>
              <w:top w:val="nil"/>
              <w:left w:val="single" w:sz="4" w:space="0" w:color="auto"/>
              <w:bottom w:val="nil"/>
              <w:right w:val="nil"/>
            </w:tcBorders>
          </w:tcPr>
          <w:p w14:paraId="30DC213D" w14:textId="77777777" w:rsidR="001C5426" w:rsidRPr="001362A6" w:rsidRDefault="001C5426" w:rsidP="001C5426">
            <w:pPr>
              <w:rPr>
                <w:rFonts w:ascii="Lato" w:hAnsi="Lato"/>
                <w:sz w:val="22"/>
                <w:szCs w:val="22"/>
              </w:rPr>
            </w:pPr>
          </w:p>
        </w:tc>
        <w:tc>
          <w:tcPr>
            <w:tcW w:w="766" w:type="dxa"/>
            <w:tcBorders>
              <w:top w:val="nil"/>
              <w:left w:val="nil"/>
              <w:bottom w:val="nil"/>
              <w:right w:val="nil"/>
            </w:tcBorders>
          </w:tcPr>
          <w:p w14:paraId="07F3E7AC" w14:textId="77777777" w:rsidR="001C5426" w:rsidRPr="001362A6" w:rsidRDefault="001C5426" w:rsidP="001C5426">
            <w:pPr>
              <w:rPr>
                <w:rFonts w:ascii="Lato" w:hAnsi="Lato"/>
                <w:sz w:val="22"/>
                <w:szCs w:val="22"/>
              </w:rPr>
            </w:pPr>
          </w:p>
        </w:tc>
      </w:tr>
      <w:tr w:rsidR="001C5426" w:rsidRPr="001362A6" w14:paraId="0AACE366" w14:textId="77777777" w:rsidTr="00546162">
        <w:tc>
          <w:tcPr>
            <w:tcW w:w="1204" w:type="dxa"/>
            <w:tcBorders>
              <w:top w:val="nil"/>
              <w:left w:val="nil"/>
              <w:bottom w:val="nil"/>
              <w:right w:val="nil"/>
            </w:tcBorders>
          </w:tcPr>
          <w:p w14:paraId="56BCE815" w14:textId="77777777" w:rsidR="001C5426" w:rsidRPr="001362A6" w:rsidRDefault="001C5426" w:rsidP="001C5426">
            <w:pPr>
              <w:rPr>
                <w:rFonts w:ascii="Lato" w:hAnsi="Lato"/>
                <w:b/>
                <w:bCs/>
                <w:sz w:val="22"/>
                <w:szCs w:val="22"/>
              </w:rPr>
            </w:pPr>
          </w:p>
        </w:tc>
        <w:tc>
          <w:tcPr>
            <w:tcW w:w="8194" w:type="dxa"/>
            <w:gridSpan w:val="2"/>
            <w:tcBorders>
              <w:top w:val="single" w:sz="4" w:space="0" w:color="auto"/>
              <w:left w:val="nil"/>
              <w:bottom w:val="nil"/>
              <w:right w:val="nil"/>
            </w:tcBorders>
          </w:tcPr>
          <w:p w14:paraId="28204E4A" w14:textId="77777777" w:rsidR="001C5426" w:rsidRPr="001362A6" w:rsidDel="00D814AE" w:rsidRDefault="001C5426" w:rsidP="001C5426">
            <w:pPr>
              <w:pStyle w:val="Heading3"/>
              <w:spacing w:before="0" w:after="0" w:line="240" w:lineRule="auto"/>
              <w:rPr>
                <w:rFonts w:ascii="Lato" w:hAnsi="Lato"/>
                <w:color w:val="auto"/>
                <w:sz w:val="22"/>
                <w:szCs w:val="22"/>
              </w:rPr>
            </w:pPr>
          </w:p>
        </w:tc>
        <w:tc>
          <w:tcPr>
            <w:tcW w:w="411" w:type="dxa"/>
            <w:tcBorders>
              <w:top w:val="nil"/>
              <w:left w:val="nil"/>
              <w:bottom w:val="single" w:sz="4" w:space="0" w:color="auto"/>
              <w:right w:val="nil"/>
            </w:tcBorders>
          </w:tcPr>
          <w:p w14:paraId="7A682C7E" w14:textId="77777777" w:rsidR="001C5426" w:rsidRPr="001362A6" w:rsidRDefault="001C5426" w:rsidP="001C5426">
            <w:pPr>
              <w:rPr>
                <w:rFonts w:ascii="Lato" w:hAnsi="Lato"/>
                <w:sz w:val="22"/>
                <w:szCs w:val="22"/>
              </w:rPr>
            </w:pPr>
          </w:p>
        </w:tc>
        <w:tc>
          <w:tcPr>
            <w:tcW w:w="766" w:type="dxa"/>
            <w:tcBorders>
              <w:top w:val="nil"/>
              <w:left w:val="nil"/>
              <w:bottom w:val="single" w:sz="4" w:space="0" w:color="auto"/>
              <w:right w:val="nil"/>
            </w:tcBorders>
          </w:tcPr>
          <w:p w14:paraId="097FE626" w14:textId="77777777" w:rsidR="001C5426" w:rsidRPr="001362A6" w:rsidRDefault="001C5426" w:rsidP="001C5426">
            <w:pPr>
              <w:rPr>
                <w:rFonts w:ascii="Lato" w:hAnsi="Lato"/>
                <w:sz w:val="22"/>
                <w:szCs w:val="22"/>
              </w:rPr>
            </w:pPr>
          </w:p>
        </w:tc>
      </w:tr>
      <w:tr w:rsidR="007F1DB1" w:rsidRPr="001362A6" w14:paraId="3D368A41" w14:textId="77777777" w:rsidTr="00546162">
        <w:tc>
          <w:tcPr>
            <w:tcW w:w="1204" w:type="dxa"/>
            <w:tcBorders>
              <w:top w:val="nil"/>
              <w:left w:val="nil"/>
              <w:bottom w:val="nil"/>
              <w:right w:val="nil"/>
            </w:tcBorders>
          </w:tcPr>
          <w:p w14:paraId="259C7E3F" w14:textId="77777777" w:rsidR="007F1DB1" w:rsidRPr="001362A6" w:rsidRDefault="007F1DB1" w:rsidP="001C5426">
            <w:pPr>
              <w:rPr>
                <w:rFonts w:ascii="Lato" w:hAnsi="Lato"/>
                <w:sz w:val="22"/>
                <w:szCs w:val="22"/>
              </w:rPr>
            </w:pPr>
            <w:r w:rsidRPr="001362A6">
              <w:rPr>
                <w:rFonts w:ascii="Lato" w:hAnsi="Lato"/>
                <w:sz w:val="22"/>
                <w:szCs w:val="22"/>
              </w:rPr>
              <w:t>1.8.2</w:t>
            </w:r>
          </w:p>
        </w:tc>
        <w:tc>
          <w:tcPr>
            <w:tcW w:w="8194" w:type="dxa"/>
            <w:gridSpan w:val="2"/>
            <w:tcBorders>
              <w:top w:val="nil"/>
              <w:left w:val="nil"/>
              <w:bottom w:val="nil"/>
              <w:right w:val="single" w:sz="4" w:space="0" w:color="auto"/>
            </w:tcBorders>
          </w:tcPr>
          <w:p w14:paraId="7FA40795" w14:textId="77777777" w:rsidR="007F1DB1" w:rsidRPr="001362A6" w:rsidRDefault="007F1DB1" w:rsidP="00D95E9D">
            <w:pPr>
              <w:rPr>
                <w:rFonts w:ascii="Lato" w:hAnsi="Lato"/>
                <w:bCs/>
                <w:sz w:val="22"/>
                <w:szCs w:val="22"/>
              </w:rPr>
            </w:pPr>
            <w:r w:rsidRPr="001362A6">
              <w:rPr>
                <w:rFonts w:ascii="Lato" w:hAnsi="Lato"/>
                <w:bCs/>
                <w:sz w:val="22"/>
                <w:szCs w:val="22"/>
              </w:rPr>
              <w:t xml:space="preserve">State the email address and for whose attention the Central Bank’s scanned version </w:t>
            </w:r>
          </w:p>
        </w:tc>
        <w:tc>
          <w:tcPr>
            <w:tcW w:w="1177" w:type="dxa"/>
            <w:gridSpan w:val="2"/>
            <w:tcBorders>
              <w:top w:val="single" w:sz="4" w:space="0" w:color="auto"/>
              <w:left w:val="single" w:sz="4" w:space="0" w:color="auto"/>
              <w:bottom w:val="single" w:sz="4" w:space="0" w:color="auto"/>
              <w:right w:val="single" w:sz="4" w:space="0" w:color="auto"/>
            </w:tcBorders>
          </w:tcPr>
          <w:p w14:paraId="52C3D105" w14:textId="77777777" w:rsidR="007F1DB1" w:rsidRPr="001362A6" w:rsidRDefault="007F1DB1" w:rsidP="001C5426">
            <w:pPr>
              <w:rPr>
                <w:rFonts w:ascii="Lato" w:hAnsi="Lato"/>
                <w:sz w:val="22"/>
                <w:szCs w:val="22"/>
              </w:rPr>
            </w:pPr>
          </w:p>
        </w:tc>
      </w:tr>
      <w:tr w:rsidR="001C5426" w:rsidRPr="001362A6" w14:paraId="435CF3F0" w14:textId="77777777" w:rsidTr="00546162">
        <w:tc>
          <w:tcPr>
            <w:tcW w:w="1204" w:type="dxa"/>
            <w:tcBorders>
              <w:top w:val="nil"/>
              <w:left w:val="nil"/>
              <w:bottom w:val="nil"/>
              <w:right w:val="nil"/>
            </w:tcBorders>
          </w:tcPr>
          <w:p w14:paraId="7062A67E" w14:textId="77777777" w:rsidR="001C5426" w:rsidRPr="001362A6" w:rsidRDefault="001C5426" w:rsidP="001C5426">
            <w:pPr>
              <w:rPr>
                <w:rFonts w:ascii="Lato" w:hAnsi="Lato"/>
                <w:sz w:val="22"/>
                <w:szCs w:val="22"/>
              </w:rPr>
            </w:pPr>
          </w:p>
        </w:tc>
        <w:tc>
          <w:tcPr>
            <w:tcW w:w="8194" w:type="dxa"/>
            <w:gridSpan w:val="2"/>
            <w:tcBorders>
              <w:top w:val="nil"/>
              <w:left w:val="nil"/>
              <w:bottom w:val="single" w:sz="4" w:space="0" w:color="auto"/>
              <w:right w:val="nil"/>
            </w:tcBorders>
          </w:tcPr>
          <w:p w14:paraId="139A2989" w14:textId="77777777" w:rsidR="001C5426" w:rsidRPr="001362A6" w:rsidRDefault="005B3769" w:rsidP="001C5426">
            <w:pPr>
              <w:pBdr>
                <w:right w:val="single" w:sz="4" w:space="4" w:color="auto"/>
              </w:pBdr>
              <w:rPr>
                <w:rFonts w:ascii="Lato" w:hAnsi="Lato"/>
                <w:sz w:val="22"/>
                <w:szCs w:val="22"/>
              </w:rPr>
            </w:pPr>
            <w:r w:rsidRPr="00590C6D">
              <w:rPr>
                <w:rFonts w:ascii="Lato" w:hAnsi="Lato"/>
                <w:bCs/>
                <w:sz w:val="22"/>
                <w:szCs w:val="22"/>
              </w:rPr>
              <w:t xml:space="preserve">of the </w:t>
            </w:r>
            <w:r w:rsidR="001C5426" w:rsidRPr="001362A6">
              <w:rPr>
                <w:rFonts w:ascii="Lato" w:hAnsi="Lato"/>
                <w:bCs/>
                <w:sz w:val="22"/>
                <w:szCs w:val="22"/>
              </w:rPr>
              <w:t xml:space="preserve">letter of authorisation should issue. </w:t>
            </w:r>
          </w:p>
        </w:tc>
        <w:tc>
          <w:tcPr>
            <w:tcW w:w="411" w:type="dxa"/>
            <w:tcBorders>
              <w:top w:val="single" w:sz="4" w:space="0" w:color="auto"/>
              <w:left w:val="nil"/>
              <w:bottom w:val="nil"/>
              <w:right w:val="nil"/>
            </w:tcBorders>
          </w:tcPr>
          <w:p w14:paraId="1C3826B1" w14:textId="77777777" w:rsidR="001C5426" w:rsidRPr="001362A6" w:rsidRDefault="001C5426" w:rsidP="001C5426">
            <w:pPr>
              <w:rPr>
                <w:rFonts w:ascii="Lato" w:hAnsi="Lato"/>
                <w:sz w:val="22"/>
                <w:szCs w:val="22"/>
              </w:rPr>
            </w:pPr>
          </w:p>
        </w:tc>
        <w:tc>
          <w:tcPr>
            <w:tcW w:w="766" w:type="dxa"/>
            <w:tcBorders>
              <w:top w:val="single" w:sz="4" w:space="0" w:color="auto"/>
              <w:left w:val="nil"/>
              <w:bottom w:val="nil"/>
              <w:right w:val="nil"/>
            </w:tcBorders>
          </w:tcPr>
          <w:p w14:paraId="31311770" w14:textId="77777777" w:rsidR="001C5426" w:rsidRPr="001362A6" w:rsidRDefault="001C5426" w:rsidP="001C5426">
            <w:pPr>
              <w:rPr>
                <w:rFonts w:ascii="Lato" w:hAnsi="Lato"/>
                <w:sz w:val="22"/>
                <w:szCs w:val="22"/>
              </w:rPr>
            </w:pPr>
          </w:p>
        </w:tc>
      </w:tr>
      <w:tr w:rsidR="001C5426" w:rsidRPr="001362A6" w14:paraId="6A425B09" w14:textId="77777777" w:rsidTr="00AB716D">
        <w:tc>
          <w:tcPr>
            <w:tcW w:w="1204" w:type="dxa"/>
            <w:tcBorders>
              <w:top w:val="nil"/>
              <w:left w:val="nil"/>
              <w:bottom w:val="nil"/>
              <w:right w:val="single" w:sz="4" w:space="0" w:color="auto"/>
            </w:tcBorders>
          </w:tcPr>
          <w:p w14:paraId="60070644" w14:textId="77777777" w:rsidR="001C5426" w:rsidRPr="001362A6" w:rsidRDefault="001C5426" w:rsidP="001C5426">
            <w:pPr>
              <w:rPr>
                <w:rFonts w:ascii="Lato" w:hAnsi="Lato"/>
                <w:sz w:val="22"/>
                <w:szCs w:val="22"/>
              </w:rPr>
            </w:pPr>
          </w:p>
        </w:tc>
        <w:tc>
          <w:tcPr>
            <w:tcW w:w="8194" w:type="dxa"/>
            <w:gridSpan w:val="2"/>
            <w:tcBorders>
              <w:top w:val="single" w:sz="4" w:space="0" w:color="auto"/>
              <w:left w:val="single" w:sz="4" w:space="0" w:color="auto"/>
              <w:bottom w:val="single" w:sz="4" w:space="0" w:color="auto"/>
              <w:right w:val="single" w:sz="4" w:space="0" w:color="auto"/>
            </w:tcBorders>
          </w:tcPr>
          <w:p w14:paraId="088854DE" w14:textId="77777777" w:rsidR="001C5426" w:rsidRPr="001362A6" w:rsidRDefault="001C5426" w:rsidP="001C5426">
            <w:pPr>
              <w:rPr>
                <w:rFonts w:ascii="Lato" w:hAnsi="Lato"/>
                <w:sz w:val="22"/>
                <w:szCs w:val="22"/>
              </w:rPr>
            </w:pPr>
          </w:p>
        </w:tc>
        <w:tc>
          <w:tcPr>
            <w:tcW w:w="411" w:type="dxa"/>
            <w:tcBorders>
              <w:top w:val="nil"/>
              <w:left w:val="nil"/>
              <w:bottom w:val="nil"/>
              <w:right w:val="nil"/>
            </w:tcBorders>
          </w:tcPr>
          <w:p w14:paraId="712C8D48" w14:textId="77777777" w:rsidR="001C5426" w:rsidRPr="001362A6" w:rsidRDefault="001C5426" w:rsidP="001C5426">
            <w:pPr>
              <w:rPr>
                <w:rFonts w:ascii="Lato" w:hAnsi="Lato"/>
                <w:sz w:val="22"/>
                <w:szCs w:val="22"/>
              </w:rPr>
            </w:pPr>
          </w:p>
        </w:tc>
        <w:tc>
          <w:tcPr>
            <w:tcW w:w="766" w:type="dxa"/>
            <w:tcBorders>
              <w:top w:val="nil"/>
              <w:left w:val="nil"/>
              <w:bottom w:val="nil"/>
              <w:right w:val="nil"/>
            </w:tcBorders>
          </w:tcPr>
          <w:p w14:paraId="5534EBAE" w14:textId="77777777" w:rsidR="001C5426" w:rsidRPr="001362A6" w:rsidRDefault="001C5426" w:rsidP="001C5426">
            <w:pPr>
              <w:rPr>
                <w:rFonts w:ascii="Lato" w:hAnsi="Lato"/>
                <w:sz w:val="22"/>
                <w:szCs w:val="22"/>
              </w:rPr>
            </w:pPr>
          </w:p>
        </w:tc>
      </w:tr>
      <w:tr w:rsidR="001C5426" w:rsidRPr="001362A6" w14:paraId="7AD5E21B" w14:textId="77777777" w:rsidTr="00546162">
        <w:tc>
          <w:tcPr>
            <w:tcW w:w="1204" w:type="dxa"/>
            <w:tcBorders>
              <w:top w:val="nil"/>
              <w:left w:val="nil"/>
              <w:bottom w:val="nil"/>
              <w:right w:val="nil"/>
            </w:tcBorders>
          </w:tcPr>
          <w:p w14:paraId="0EAB4688" w14:textId="77777777" w:rsidR="001C5426" w:rsidRPr="001362A6" w:rsidRDefault="001C5426" w:rsidP="001C5426">
            <w:pPr>
              <w:rPr>
                <w:rFonts w:ascii="Lato" w:hAnsi="Lato"/>
                <w:sz w:val="22"/>
                <w:szCs w:val="22"/>
              </w:rPr>
            </w:pPr>
          </w:p>
        </w:tc>
        <w:tc>
          <w:tcPr>
            <w:tcW w:w="8194" w:type="dxa"/>
            <w:gridSpan w:val="2"/>
            <w:tcBorders>
              <w:top w:val="single" w:sz="4" w:space="0" w:color="auto"/>
              <w:left w:val="nil"/>
              <w:bottom w:val="nil"/>
              <w:right w:val="nil"/>
            </w:tcBorders>
          </w:tcPr>
          <w:p w14:paraId="5BBD9636" w14:textId="77777777" w:rsidR="001C5426" w:rsidRPr="001362A6" w:rsidRDefault="001C5426" w:rsidP="001C5426">
            <w:pPr>
              <w:rPr>
                <w:rFonts w:ascii="Lato" w:hAnsi="Lato"/>
                <w:sz w:val="22"/>
                <w:szCs w:val="22"/>
              </w:rPr>
            </w:pPr>
          </w:p>
        </w:tc>
        <w:tc>
          <w:tcPr>
            <w:tcW w:w="1177" w:type="dxa"/>
            <w:gridSpan w:val="2"/>
            <w:tcBorders>
              <w:top w:val="nil"/>
              <w:left w:val="nil"/>
              <w:bottom w:val="nil"/>
              <w:right w:val="nil"/>
            </w:tcBorders>
          </w:tcPr>
          <w:p w14:paraId="13388869" w14:textId="77777777" w:rsidR="001C5426" w:rsidRPr="001362A6" w:rsidRDefault="001C5426" w:rsidP="001C5426">
            <w:pPr>
              <w:rPr>
                <w:rFonts w:ascii="Lato" w:hAnsi="Lato"/>
                <w:sz w:val="22"/>
                <w:szCs w:val="22"/>
              </w:rPr>
            </w:pPr>
          </w:p>
        </w:tc>
      </w:tr>
      <w:tr w:rsidR="001C5426" w:rsidRPr="001362A6" w14:paraId="1A8FCBE5" w14:textId="77777777" w:rsidTr="00546162">
        <w:tc>
          <w:tcPr>
            <w:tcW w:w="1204" w:type="dxa"/>
            <w:tcBorders>
              <w:top w:val="nil"/>
              <w:left w:val="nil"/>
              <w:bottom w:val="nil"/>
              <w:right w:val="nil"/>
            </w:tcBorders>
          </w:tcPr>
          <w:p w14:paraId="7A502E53" w14:textId="77777777" w:rsidR="001C5426" w:rsidRPr="001362A6" w:rsidRDefault="001C5426" w:rsidP="001C5426">
            <w:pPr>
              <w:rPr>
                <w:rFonts w:ascii="Lato" w:hAnsi="Lato"/>
                <w:sz w:val="22"/>
                <w:szCs w:val="22"/>
              </w:rPr>
            </w:pPr>
          </w:p>
        </w:tc>
        <w:tc>
          <w:tcPr>
            <w:tcW w:w="8194" w:type="dxa"/>
            <w:gridSpan w:val="2"/>
            <w:tcBorders>
              <w:top w:val="nil"/>
              <w:left w:val="nil"/>
              <w:bottom w:val="nil"/>
              <w:right w:val="nil"/>
            </w:tcBorders>
          </w:tcPr>
          <w:p w14:paraId="710E248E" w14:textId="77777777" w:rsidR="001C5426" w:rsidRPr="001362A6" w:rsidRDefault="001C5426" w:rsidP="001C5426">
            <w:pPr>
              <w:rPr>
                <w:rFonts w:ascii="Lato" w:hAnsi="Lato"/>
                <w:sz w:val="22"/>
                <w:szCs w:val="22"/>
              </w:rPr>
            </w:pPr>
          </w:p>
        </w:tc>
        <w:tc>
          <w:tcPr>
            <w:tcW w:w="1177" w:type="dxa"/>
            <w:gridSpan w:val="2"/>
            <w:tcBorders>
              <w:top w:val="nil"/>
              <w:left w:val="nil"/>
              <w:bottom w:val="nil"/>
              <w:right w:val="nil"/>
            </w:tcBorders>
          </w:tcPr>
          <w:p w14:paraId="469D45E9" w14:textId="77777777" w:rsidR="001C5426" w:rsidRPr="001362A6" w:rsidRDefault="001C5426" w:rsidP="001C5426">
            <w:pPr>
              <w:rPr>
                <w:rFonts w:ascii="Lato" w:hAnsi="Lato"/>
                <w:sz w:val="22"/>
                <w:szCs w:val="22"/>
              </w:rPr>
            </w:pPr>
          </w:p>
        </w:tc>
      </w:tr>
    </w:tbl>
    <w:p w14:paraId="198DD846" w14:textId="77777777" w:rsidR="00E0074D" w:rsidRPr="001362A6" w:rsidRDefault="00E0074D">
      <w:pPr>
        <w:rPr>
          <w:rFonts w:ascii="Lato" w:hAnsi="Lato"/>
          <w:sz w:val="22"/>
          <w:szCs w:val="22"/>
        </w:rPr>
      </w:pPr>
    </w:p>
    <w:p w14:paraId="71AEC53A" w14:textId="77777777" w:rsidR="00E0074D" w:rsidRPr="001362A6" w:rsidRDefault="00E0074D">
      <w:pPr>
        <w:rPr>
          <w:rFonts w:ascii="Lato" w:hAnsi="Lato"/>
          <w:sz w:val="22"/>
          <w:szCs w:val="22"/>
        </w:rPr>
        <w:sectPr w:rsidR="00E0074D" w:rsidRPr="001362A6">
          <w:pgSz w:w="11904" w:h="16834"/>
          <w:pgMar w:top="851" w:right="1800" w:bottom="1440" w:left="1800" w:header="142" w:footer="266" w:gutter="0"/>
          <w:cols w:space="708"/>
        </w:sectPr>
      </w:pPr>
    </w:p>
    <w:p w14:paraId="58D12D11" w14:textId="77777777" w:rsidR="00E0074D" w:rsidRPr="001362A6" w:rsidRDefault="00E0074D">
      <w:pPr>
        <w:pStyle w:val="Body"/>
        <w:spacing w:after="0" w:line="240" w:lineRule="auto"/>
        <w:jc w:val="center"/>
        <w:rPr>
          <w:rFonts w:ascii="Lato" w:hAnsi="Lato"/>
          <w:b/>
          <w:bCs/>
          <w:sz w:val="22"/>
          <w:u w:val="single"/>
        </w:rPr>
      </w:pPr>
      <w:r w:rsidRPr="001362A6">
        <w:rPr>
          <w:rFonts w:ascii="Lato" w:hAnsi="Lato"/>
          <w:b/>
          <w:bCs/>
          <w:sz w:val="22"/>
          <w:u w:val="single"/>
        </w:rPr>
        <w:lastRenderedPageBreak/>
        <w:t>Confirmation from applicants</w:t>
      </w:r>
    </w:p>
    <w:p w14:paraId="6BBACDB3" w14:textId="77777777" w:rsidR="00E0074D" w:rsidRPr="001362A6" w:rsidRDefault="00E0074D">
      <w:pPr>
        <w:pStyle w:val="Body"/>
        <w:spacing w:after="0" w:line="240" w:lineRule="auto"/>
        <w:rPr>
          <w:rFonts w:ascii="Lato" w:hAnsi="Lato"/>
          <w:b/>
          <w:bCs/>
          <w:sz w:val="22"/>
          <w:u w:val="single"/>
        </w:rPr>
      </w:pPr>
    </w:p>
    <w:p w14:paraId="787234C6" w14:textId="77777777" w:rsidR="00E0074D" w:rsidRPr="001362A6" w:rsidRDefault="00E0074D">
      <w:pPr>
        <w:pStyle w:val="Body"/>
        <w:spacing w:after="0"/>
        <w:rPr>
          <w:rFonts w:ascii="Lato" w:hAnsi="Lato"/>
          <w:b/>
          <w:bCs/>
          <w:i/>
          <w:iCs/>
          <w:sz w:val="22"/>
        </w:rPr>
      </w:pPr>
      <w:r w:rsidRPr="001362A6">
        <w:rPr>
          <w:rFonts w:ascii="Lato" w:hAnsi="Lato"/>
          <w:b/>
          <w:bCs/>
          <w:sz w:val="22"/>
        </w:rPr>
        <w:t>I /we  [</w:t>
      </w:r>
      <w:r w:rsidRPr="001362A6">
        <w:rPr>
          <w:rFonts w:ascii="Lato" w:hAnsi="Lato"/>
          <w:b/>
          <w:bCs/>
          <w:i/>
          <w:iCs/>
          <w:sz w:val="22"/>
        </w:rPr>
        <w:t xml:space="preserve">name of </w:t>
      </w:r>
      <w:r w:rsidR="00FC7B12" w:rsidRPr="001362A6">
        <w:rPr>
          <w:rFonts w:ascii="Lato" w:hAnsi="Lato"/>
          <w:b/>
          <w:bCs/>
          <w:i/>
          <w:iCs/>
          <w:sz w:val="22"/>
        </w:rPr>
        <w:t>AIFM/</w:t>
      </w:r>
      <w:r w:rsidR="00A34B20" w:rsidRPr="001362A6">
        <w:rPr>
          <w:rFonts w:ascii="Lato" w:hAnsi="Lato"/>
          <w:b/>
          <w:bCs/>
          <w:i/>
          <w:iCs/>
          <w:sz w:val="22"/>
        </w:rPr>
        <w:t>Management</w:t>
      </w:r>
      <w:r w:rsidR="00FC7B12" w:rsidRPr="001362A6">
        <w:rPr>
          <w:rFonts w:ascii="Lato" w:hAnsi="Lato"/>
          <w:b/>
          <w:bCs/>
          <w:i/>
          <w:iCs/>
          <w:sz w:val="22"/>
        </w:rPr>
        <w:t xml:space="preserve"> Company</w:t>
      </w:r>
      <w:r w:rsidR="00DC40DD" w:rsidRPr="001362A6">
        <w:rPr>
          <w:rFonts w:ascii="Lato" w:hAnsi="Lato"/>
          <w:b/>
          <w:bCs/>
          <w:i/>
          <w:iCs/>
          <w:sz w:val="22"/>
        </w:rPr>
        <w:t>/General Partner</w:t>
      </w:r>
      <w:r w:rsidR="00FC7B12" w:rsidRPr="001362A6">
        <w:rPr>
          <w:rFonts w:ascii="Lato" w:hAnsi="Lato"/>
          <w:b/>
          <w:bCs/>
          <w:i/>
          <w:iCs/>
          <w:sz w:val="22"/>
        </w:rPr>
        <w:t>/</w:t>
      </w:r>
      <w:r w:rsidRPr="001362A6">
        <w:rPr>
          <w:rFonts w:ascii="Lato" w:hAnsi="Lato"/>
          <w:b/>
          <w:bCs/>
          <w:i/>
          <w:iCs/>
          <w:sz w:val="22"/>
        </w:rPr>
        <w:t>investment company</w:t>
      </w:r>
      <w:r w:rsidR="00D144C7" w:rsidRPr="001362A6">
        <w:rPr>
          <w:rFonts w:ascii="Lato" w:hAnsi="Lato"/>
          <w:b/>
          <w:bCs/>
          <w:i/>
          <w:iCs/>
          <w:sz w:val="22"/>
        </w:rPr>
        <w:t>/ICAV</w:t>
      </w:r>
      <w:r w:rsidRPr="001362A6">
        <w:rPr>
          <w:rFonts w:ascii="Lato" w:hAnsi="Lato"/>
          <w:b/>
          <w:bCs/>
          <w:sz w:val="22"/>
        </w:rPr>
        <w:t>] hereby confirm that I/we are responsible for this application for authorisation of [</w:t>
      </w:r>
      <w:r w:rsidRPr="001362A6">
        <w:rPr>
          <w:rFonts w:ascii="Lato" w:hAnsi="Lato"/>
          <w:b/>
          <w:bCs/>
          <w:i/>
          <w:iCs/>
          <w:sz w:val="22"/>
        </w:rPr>
        <w:t xml:space="preserve">name of </w:t>
      </w:r>
      <w:r w:rsidR="00D6477D" w:rsidRPr="001362A6">
        <w:rPr>
          <w:rFonts w:ascii="Lato" w:hAnsi="Lato"/>
          <w:b/>
          <w:bCs/>
          <w:i/>
          <w:iCs/>
          <w:sz w:val="22"/>
        </w:rPr>
        <w:t>Q</w:t>
      </w:r>
      <w:r w:rsidR="00C76EED" w:rsidRPr="001362A6">
        <w:rPr>
          <w:rFonts w:ascii="Lato" w:hAnsi="Lato"/>
          <w:b/>
          <w:bCs/>
          <w:i/>
          <w:iCs/>
          <w:sz w:val="22"/>
        </w:rPr>
        <w:t xml:space="preserve">ualifying </w:t>
      </w:r>
      <w:r w:rsidR="00D6477D" w:rsidRPr="001362A6">
        <w:rPr>
          <w:rFonts w:ascii="Lato" w:hAnsi="Lato"/>
          <w:b/>
          <w:bCs/>
          <w:i/>
          <w:iCs/>
          <w:sz w:val="22"/>
        </w:rPr>
        <w:t>I</w:t>
      </w:r>
      <w:r w:rsidR="00C76EED" w:rsidRPr="001362A6">
        <w:rPr>
          <w:rFonts w:ascii="Lato" w:hAnsi="Lato"/>
          <w:b/>
          <w:bCs/>
          <w:i/>
          <w:iCs/>
          <w:sz w:val="22"/>
        </w:rPr>
        <w:t xml:space="preserve">nvestor </w:t>
      </w:r>
      <w:r w:rsidR="00D6477D" w:rsidRPr="001362A6">
        <w:rPr>
          <w:rFonts w:ascii="Lato" w:hAnsi="Lato"/>
          <w:b/>
          <w:bCs/>
          <w:i/>
          <w:iCs/>
          <w:sz w:val="22"/>
        </w:rPr>
        <w:t>AIF</w:t>
      </w:r>
      <w:r w:rsidRPr="001362A6">
        <w:rPr>
          <w:rFonts w:ascii="Lato" w:hAnsi="Lato"/>
          <w:b/>
          <w:bCs/>
          <w:sz w:val="22"/>
        </w:rPr>
        <w:t xml:space="preserve">], including compliance with the authorisation requirements set out in the </w:t>
      </w:r>
      <w:r w:rsidR="006C67E1" w:rsidRPr="001362A6">
        <w:rPr>
          <w:rFonts w:ascii="Lato" w:hAnsi="Lato"/>
          <w:b/>
          <w:bCs/>
          <w:sz w:val="22"/>
        </w:rPr>
        <w:t xml:space="preserve">AIF </w:t>
      </w:r>
      <w:r w:rsidR="00A70AEC" w:rsidRPr="001362A6">
        <w:rPr>
          <w:rFonts w:ascii="Lato" w:hAnsi="Lato"/>
          <w:b/>
          <w:bCs/>
          <w:sz w:val="22"/>
        </w:rPr>
        <w:t>Rulebook</w:t>
      </w:r>
      <w:r w:rsidRPr="001362A6">
        <w:rPr>
          <w:rFonts w:ascii="Lato" w:hAnsi="Lato"/>
          <w:b/>
          <w:bCs/>
          <w:sz w:val="22"/>
        </w:rPr>
        <w:t xml:space="preserve"> issued by the </w:t>
      </w:r>
      <w:r w:rsidR="008F37E1" w:rsidRPr="001362A6">
        <w:rPr>
          <w:rFonts w:ascii="Lato" w:hAnsi="Lato"/>
          <w:b/>
          <w:bCs/>
          <w:sz w:val="22"/>
        </w:rPr>
        <w:t>Central Bank</w:t>
      </w:r>
      <w:r w:rsidRPr="001362A6">
        <w:rPr>
          <w:rFonts w:ascii="Lato" w:hAnsi="Lato"/>
          <w:b/>
          <w:bCs/>
          <w:sz w:val="22"/>
        </w:rPr>
        <w:t xml:space="preserve">.  I/the board has delegated the completion of the </w:t>
      </w:r>
      <w:r w:rsidR="00FC7B12" w:rsidRPr="001362A6">
        <w:rPr>
          <w:rFonts w:ascii="Lato" w:hAnsi="Lato"/>
          <w:b/>
          <w:bCs/>
          <w:sz w:val="22"/>
        </w:rPr>
        <w:t>Q</w:t>
      </w:r>
      <w:r w:rsidR="00C76EED" w:rsidRPr="001362A6">
        <w:rPr>
          <w:rFonts w:ascii="Lato" w:hAnsi="Lato"/>
          <w:b/>
          <w:bCs/>
          <w:sz w:val="22"/>
        </w:rPr>
        <w:t xml:space="preserve">ualifying </w:t>
      </w:r>
      <w:r w:rsidR="00FC7B12" w:rsidRPr="001362A6">
        <w:rPr>
          <w:rFonts w:ascii="Lato" w:hAnsi="Lato"/>
          <w:b/>
          <w:bCs/>
          <w:sz w:val="22"/>
        </w:rPr>
        <w:t>I</w:t>
      </w:r>
      <w:r w:rsidR="00C76EED" w:rsidRPr="001362A6">
        <w:rPr>
          <w:rFonts w:ascii="Lato" w:hAnsi="Lato"/>
          <w:b/>
          <w:bCs/>
          <w:sz w:val="22"/>
        </w:rPr>
        <w:t xml:space="preserve">nvestor </w:t>
      </w:r>
      <w:r w:rsidR="00FC7B12" w:rsidRPr="001362A6">
        <w:rPr>
          <w:rFonts w:ascii="Lato" w:hAnsi="Lato"/>
          <w:b/>
          <w:bCs/>
          <w:sz w:val="22"/>
        </w:rPr>
        <w:t>AIF</w:t>
      </w:r>
      <w:r w:rsidRPr="001362A6">
        <w:rPr>
          <w:rFonts w:ascii="Lato" w:hAnsi="Lato"/>
          <w:b/>
          <w:bCs/>
          <w:sz w:val="22"/>
        </w:rPr>
        <w:t xml:space="preserve"> Application Form, including the confirmations set out in (i), (ii) and (iii) below to [</w:t>
      </w:r>
      <w:r w:rsidR="002F5BF2" w:rsidRPr="001362A6">
        <w:rPr>
          <w:rFonts w:ascii="Lato" w:hAnsi="Lato"/>
          <w:b/>
          <w:bCs/>
          <w:i/>
          <w:iCs/>
          <w:sz w:val="22"/>
        </w:rPr>
        <w:t>name of legal firm]</w:t>
      </w:r>
      <w:r w:rsidRPr="001362A6">
        <w:rPr>
          <w:rFonts w:ascii="Lato" w:hAnsi="Lato"/>
          <w:b/>
          <w:bCs/>
          <w:i/>
          <w:iCs/>
          <w:sz w:val="22"/>
        </w:rPr>
        <w:t>:</w:t>
      </w:r>
    </w:p>
    <w:p w14:paraId="505F8DBC" w14:textId="77777777" w:rsidR="00E0074D" w:rsidRPr="001362A6" w:rsidRDefault="00E0074D">
      <w:pPr>
        <w:pStyle w:val="Body"/>
        <w:spacing w:after="0" w:line="240" w:lineRule="auto"/>
        <w:rPr>
          <w:rFonts w:ascii="Lato" w:hAnsi="Lato"/>
          <w:b/>
          <w:bCs/>
          <w:i/>
          <w:iCs/>
          <w:sz w:val="22"/>
        </w:rPr>
      </w:pPr>
    </w:p>
    <w:p w14:paraId="7CCD3E3C" w14:textId="77777777" w:rsidR="00E0074D" w:rsidRPr="001362A6" w:rsidRDefault="00E0074D">
      <w:pPr>
        <w:pStyle w:val="Body"/>
        <w:spacing w:after="0"/>
        <w:rPr>
          <w:rFonts w:ascii="Lato" w:hAnsi="Lato"/>
          <w:b/>
          <w:bCs/>
          <w:i/>
          <w:iCs/>
          <w:sz w:val="22"/>
        </w:rPr>
      </w:pPr>
      <w:r w:rsidRPr="001362A6">
        <w:rPr>
          <w:rFonts w:ascii="Lato" w:hAnsi="Lato"/>
          <w:b/>
          <w:bCs/>
          <w:iCs/>
          <w:sz w:val="22"/>
        </w:rPr>
        <w:t>Signed</w:t>
      </w:r>
      <w:r w:rsidRPr="001362A6">
        <w:rPr>
          <w:rFonts w:ascii="Lato" w:hAnsi="Lato"/>
          <w:b/>
          <w:bCs/>
          <w:i/>
          <w:iCs/>
          <w:sz w:val="22"/>
        </w:rPr>
        <w:t>_______________________________________________________</w:t>
      </w:r>
    </w:p>
    <w:p w14:paraId="68D974F0" w14:textId="77777777" w:rsidR="00E0074D" w:rsidRPr="001362A6" w:rsidRDefault="00E0074D">
      <w:pPr>
        <w:pStyle w:val="Body"/>
        <w:spacing w:after="0"/>
        <w:rPr>
          <w:rFonts w:ascii="Lato" w:hAnsi="Lato"/>
          <w:b/>
          <w:bCs/>
          <w:i/>
          <w:iCs/>
          <w:sz w:val="22"/>
        </w:rPr>
      </w:pPr>
      <w:r w:rsidRPr="001362A6">
        <w:rPr>
          <w:rFonts w:ascii="Lato" w:hAnsi="Lato"/>
          <w:b/>
          <w:bCs/>
          <w:iCs/>
          <w:sz w:val="22"/>
        </w:rPr>
        <w:t>Date</w:t>
      </w:r>
      <w:r w:rsidRPr="001362A6">
        <w:rPr>
          <w:rFonts w:ascii="Lato" w:hAnsi="Lato"/>
          <w:b/>
          <w:bCs/>
          <w:i/>
          <w:iCs/>
          <w:sz w:val="22"/>
        </w:rPr>
        <w:t>_________________________________________________________</w:t>
      </w:r>
    </w:p>
    <w:p w14:paraId="7967FFD0" w14:textId="77777777" w:rsidR="00E0074D" w:rsidRPr="001362A6" w:rsidRDefault="00E0074D">
      <w:pPr>
        <w:pStyle w:val="Body"/>
        <w:spacing w:after="0"/>
        <w:rPr>
          <w:rFonts w:ascii="Lato" w:hAnsi="Lato"/>
          <w:b/>
          <w:bCs/>
          <w:i/>
          <w:iCs/>
          <w:sz w:val="22"/>
        </w:rPr>
      </w:pPr>
    </w:p>
    <w:p w14:paraId="25CDCC98" w14:textId="77777777" w:rsidR="00E0074D" w:rsidRPr="001362A6" w:rsidRDefault="00E0074D">
      <w:pPr>
        <w:pStyle w:val="Body"/>
        <w:spacing w:after="0"/>
        <w:ind w:left="426" w:hanging="426"/>
        <w:rPr>
          <w:rFonts w:ascii="Lato" w:hAnsi="Lato"/>
          <w:b/>
          <w:bCs/>
          <w:sz w:val="22"/>
        </w:rPr>
      </w:pPr>
      <w:r w:rsidRPr="001362A6">
        <w:rPr>
          <w:rFonts w:ascii="Lato" w:hAnsi="Lato"/>
          <w:b/>
          <w:bCs/>
          <w:sz w:val="22"/>
        </w:rPr>
        <w:t>(i) The information set out in this application form is correct and accurately reflects the provisions of</w:t>
      </w:r>
    </w:p>
    <w:p w14:paraId="632EAAC6" w14:textId="77777777" w:rsidR="00E0074D" w:rsidRPr="001362A6" w:rsidRDefault="00E0074D" w:rsidP="00E0074D">
      <w:pPr>
        <w:pStyle w:val="Body"/>
        <w:numPr>
          <w:ilvl w:val="0"/>
          <w:numId w:val="8"/>
        </w:numPr>
        <w:tabs>
          <w:tab w:val="clear" w:pos="720"/>
        </w:tabs>
        <w:spacing w:after="0"/>
        <w:ind w:left="567" w:hanging="283"/>
        <w:rPr>
          <w:rFonts w:ascii="Lato" w:hAnsi="Lato"/>
          <w:b/>
          <w:bCs/>
          <w:sz w:val="22"/>
        </w:rPr>
      </w:pPr>
      <w:r w:rsidRPr="001362A6">
        <w:rPr>
          <w:rFonts w:ascii="Lato" w:hAnsi="Lato"/>
          <w:b/>
          <w:bCs/>
          <w:sz w:val="22"/>
        </w:rPr>
        <w:t xml:space="preserve">the prospectus, </w:t>
      </w:r>
    </w:p>
    <w:p w14:paraId="105A59AE" w14:textId="77777777" w:rsidR="00E0074D" w:rsidRPr="001362A6" w:rsidRDefault="00E0074D" w:rsidP="00E0074D">
      <w:pPr>
        <w:pStyle w:val="Body"/>
        <w:numPr>
          <w:ilvl w:val="0"/>
          <w:numId w:val="8"/>
        </w:numPr>
        <w:tabs>
          <w:tab w:val="clear" w:pos="720"/>
        </w:tabs>
        <w:spacing w:after="0"/>
        <w:ind w:left="567" w:hanging="283"/>
        <w:rPr>
          <w:rFonts w:ascii="Lato" w:hAnsi="Lato"/>
          <w:b/>
          <w:bCs/>
          <w:sz w:val="22"/>
        </w:rPr>
      </w:pPr>
      <w:r w:rsidRPr="001362A6">
        <w:rPr>
          <w:rFonts w:ascii="Lato" w:hAnsi="Lato"/>
          <w:b/>
          <w:bCs/>
          <w:sz w:val="22"/>
        </w:rPr>
        <w:t>the memorandum and articles of association /</w:t>
      </w:r>
      <w:r w:rsidR="00D144C7" w:rsidRPr="001362A6">
        <w:rPr>
          <w:rFonts w:ascii="Lato" w:hAnsi="Lato"/>
          <w:b/>
          <w:bCs/>
          <w:sz w:val="22"/>
        </w:rPr>
        <w:t xml:space="preserve"> instrument of incorporation /</w:t>
      </w:r>
      <w:r w:rsidRPr="001362A6">
        <w:rPr>
          <w:rFonts w:ascii="Lato" w:hAnsi="Lato"/>
          <w:b/>
          <w:bCs/>
          <w:sz w:val="22"/>
        </w:rPr>
        <w:t xml:space="preserve"> trust deed/ deed of constitution or partnership agreement (delete as appropriate)</w:t>
      </w:r>
    </w:p>
    <w:p w14:paraId="752F2354" w14:textId="77777777" w:rsidR="00E0074D" w:rsidRPr="001362A6" w:rsidRDefault="00E0074D" w:rsidP="00E0074D">
      <w:pPr>
        <w:pStyle w:val="Body"/>
        <w:numPr>
          <w:ilvl w:val="0"/>
          <w:numId w:val="8"/>
        </w:numPr>
        <w:tabs>
          <w:tab w:val="clear" w:pos="720"/>
        </w:tabs>
        <w:spacing w:after="0"/>
        <w:ind w:left="567" w:hanging="283"/>
        <w:rPr>
          <w:rFonts w:ascii="Lato" w:hAnsi="Lato"/>
          <w:b/>
          <w:bCs/>
          <w:sz w:val="22"/>
        </w:rPr>
      </w:pPr>
      <w:r w:rsidRPr="001362A6">
        <w:rPr>
          <w:rFonts w:ascii="Lato" w:hAnsi="Lato"/>
          <w:b/>
          <w:bCs/>
          <w:sz w:val="22"/>
        </w:rPr>
        <w:t xml:space="preserve">the </w:t>
      </w:r>
      <w:r w:rsidR="004B2276" w:rsidRPr="001362A6">
        <w:rPr>
          <w:rFonts w:ascii="Lato" w:hAnsi="Lato"/>
          <w:b/>
          <w:bCs/>
          <w:sz w:val="22"/>
        </w:rPr>
        <w:t>Depositary</w:t>
      </w:r>
      <w:r w:rsidRPr="001362A6">
        <w:rPr>
          <w:rFonts w:ascii="Lato" w:hAnsi="Lato"/>
          <w:b/>
          <w:bCs/>
          <w:sz w:val="22"/>
        </w:rPr>
        <w:t xml:space="preserve"> agreement (where applicable)</w:t>
      </w:r>
    </w:p>
    <w:p w14:paraId="2C6B336B" w14:textId="77777777" w:rsidR="00E0074D" w:rsidRPr="001362A6" w:rsidRDefault="00E0074D" w:rsidP="00E0074D">
      <w:pPr>
        <w:pStyle w:val="Body"/>
        <w:numPr>
          <w:ilvl w:val="0"/>
          <w:numId w:val="8"/>
        </w:numPr>
        <w:tabs>
          <w:tab w:val="clear" w:pos="720"/>
        </w:tabs>
        <w:spacing w:after="0"/>
        <w:ind w:left="567" w:hanging="283"/>
        <w:rPr>
          <w:rFonts w:ascii="Lato" w:hAnsi="Lato"/>
          <w:b/>
          <w:bCs/>
          <w:sz w:val="22"/>
        </w:rPr>
      </w:pPr>
      <w:r w:rsidRPr="001362A6">
        <w:rPr>
          <w:rFonts w:ascii="Lato" w:hAnsi="Lato"/>
          <w:b/>
          <w:bCs/>
          <w:sz w:val="22"/>
        </w:rPr>
        <w:t>the material contracts listed in Section 1.6 above;</w:t>
      </w:r>
    </w:p>
    <w:p w14:paraId="27A06AE9" w14:textId="77777777" w:rsidR="00E0074D" w:rsidRPr="001362A6" w:rsidRDefault="00E0074D" w:rsidP="00E0074D">
      <w:pPr>
        <w:pStyle w:val="Body"/>
        <w:numPr>
          <w:ilvl w:val="0"/>
          <w:numId w:val="9"/>
        </w:numPr>
        <w:tabs>
          <w:tab w:val="clear" w:pos="1080"/>
          <w:tab w:val="num" w:pos="567"/>
        </w:tabs>
        <w:spacing w:after="0"/>
        <w:ind w:left="426" w:hanging="426"/>
        <w:rPr>
          <w:rFonts w:ascii="Lato" w:hAnsi="Lato"/>
          <w:b/>
          <w:bCs/>
          <w:sz w:val="22"/>
        </w:rPr>
      </w:pPr>
      <w:r w:rsidRPr="001362A6">
        <w:rPr>
          <w:rFonts w:ascii="Lato" w:hAnsi="Lato"/>
          <w:b/>
          <w:bCs/>
          <w:sz w:val="22"/>
        </w:rPr>
        <w:t xml:space="preserve">the application form is completed in full; and </w:t>
      </w:r>
    </w:p>
    <w:p w14:paraId="50323AB8" w14:textId="77777777" w:rsidR="00E0074D" w:rsidRPr="001362A6" w:rsidRDefault="00E0074D" w:rsidP="00E0074D">
      <w:pPr>
        <w:pStyle w:val="Body"/>
        <w:numPr>
          <w:ilvl w:val="0"/>
          <w:numId w:val="9"/>
        </w:numPr>
        <w:tabs>
          <w:tab w:val="clear" w:pos="1080"/>
        </w:tabs>
        <w:spacing w:after="0"/>
        <w:ind w:left="567" w:hanging="567"/>
        <w:rPr>
          <w:rFonts w:ascii="Lato" w:hAnsi="Lato"/>
          <w:b/>
          <w:bCs/>
          <w:sz w:val="22"/>
        </w:rPr>
      </w:pPr>
      <w:r w:rsidRPr="001362A6">
        <w:rPr>
          <w:rFonts w:ascii="Lato" w:hAnsi="Lato"/>
          <w:b/>
          <w:bCs/>
          <w:sz w:val="22"/>
        </w:rPr>
        <w:t xml:space="preserve">the documentation referred to in (i) above complies with the </w:t>
      </w:r>
      <w:r w:rsidR="006C67E1" w:rsidRPr="001362A6">
        <w:rPr>
          <w:rFonts w:ascii="Lato" w:hAnsi="Lato"/>
          <w:b/>
          <w:bCs/>
          <w:sz w:val="22"/>
        </w:rPr>
        <w:t xml:space="preserve">AIF </w:t>
      </w:r>
      <w:r w:rsidR="00A70AEC" w:rsidRPr="001362A6">
        <w:rPr>
          <w:rFonts w:ascii="Lato" w:hAnsi="Lato"/>
          <w:b/>
          <w:bCs/>
          <w:sz w:val="22"/>
        </w:rPr>
        <w:t>Rulebook</w:t>
      </w:r>
      <w:r w:rsidRPr="001362A6">
        <w:rPr>
          <w:rFonts w:ascii="Lato" w:hAnsi="Lato"/>
          <w:b/>
          <w:bCs/>
          <w:sz w:val="22"/>
        </w:rPr>
        <w:t xml:space="preserve"> published as at the date of this Application, except to the extent to which derogations from the provisions of the </w:t>
      </w:r>
      <w:r w:rsidR="00FC7B12" w:rsidRPr="001362A6">
        <w:rPr>
          <w:rFonts w:ascii="Lato" w:hAnsi="Lato"/>
          <w:b/>
          <w:bCs/>
          <w:sz w:val="22"/>
        </w:rPr>
        <w:t xml:space="preserve">AIF </w:t>
      </w:r>
      <w:r w:rsidR="00A70AEC" w:rsidRPr="001362A6">
        <w:rPr>
          <w:rFonts w:ascii="Lato" w:hAnsi="Lato"/>
          <w:b/>
          <w:bCs/>
          <w:sz w:val="22"/>
        </w:rPr>
        <w:t>Rulebook</w:t>
      </w:r>
      <w:r w:rsidRPr="001362A6">
        <w:rPr>
          <w:rFonts w:ascii="Lato" w:hAnsi="Lato"/>
          <w:b/>
          <w:bCs/>
          <w:sz w:val="22"/>
        </w:rPr>
        <w:t xml:space="preserve"> have been granted by the </w:t>
      </w:r>
      <w:r w:rsidR="008F37E1" w:rsidRPr="001362A6">
        <w:rPr>
          <w:rFonts w:ascii="Lato" w:hAnsi="Lato"/>
          <w:b/>
          <w:bCs/>
          <w:sz w:val="22"/>
        </w:rPr>
        <w:t xml:space="preserve">Central Bank </w:t>
      </w:r>
      <w:r w:rsidR="009D18E6" w:rsidRPr="001362A6">
        <w:rPr>
          <w:rFonts w:ascii="Lato" w:hAnsi="Lato"/>
          <w:b/>
          <w:bCs/>
          <w:sz w:val="22"/>
        </w:rPr>
        <w:t>in respect of this application</w:t>
      </w:r>
      <w:r w:rsidRPr="001362A6">
        <w:rPr>
          <w:rFonts w:ascii="Lato" w:hAnsi="Lato"/>
          <w:b/>
          <w:bCs/>
          <w:sz w:val="22"/>
        </w:rPr>
        <w:t>.</w:t>
      </w:r>
    </w:p>
    <w:p w14:paraId="32038906" w14:textId="77777777" w:rsidR="00E0074D" w:rsidRPr="001362A6" w:rsidRDefault="00E0074D">
      <w:pPr>
        <w:pStyle w:val="Body"/>
        <w:spacing w:after="0"/>
        <w:rPr>
          <w:rFonts w:ascii="Lato" w:hAnsi="Lato"/>
          <w:b/>
          <w:bCs/>
          <w:sz w:val="22"/>
        </w:rPr>
      </w:pPr>
    </w:p>
    <w:p w14:paraId="4CAC7F66" w14:textId="77777777" w:rsidR="00E0074D" w:rsidRPr="001362A6" w:rsidRDefault="00E0074D">
      <w:pPr>
        <w:pStyle w:val="Body"/>
        <w:spacing w:after="0"/>
        <w:jc w:val="left"/>
        <w:rPr>
          <w:rFonts w:ascii="Lato" w:hAnsi="Lato"/>
          <w:b/>
          <w:bCs/>
          <w:iCs/>
          <w:sz w:val="22"/>
        </w:rPr>
      </w:pPr>
      <w:r w:rsidRPr="001362A6">
        <w:rPr>
          <w:rFonts w:ascii="Lato" w:hAnsi="Lato"/>
          <w:b/>
          <w:bCs/>
          <w:iCs/>
          <w:sz w:val="22"/>
        </w:rPr>
        <w:t>Signed________________________________________________________</w:t>
      </w:r>
      <w:r w:rsidR="005B3769">
        <w:rPr>
          <w:rFonts w:ascii="Lato" w:hAnsi="Lato"/>
          <w:b/>
          <w:bCs/>
          <w:iCs/>
          <w:sz w:val="22"/>
        </w:rPr>
        <w:t>_</w:t>
      </w:r>
    </w:p>
    <w:p w14:paraId="10A04C31" w14:textId="77777777" w:rsidR="00E0074D" w:rsidRPr="001362A6" w:rsidRDefault="00BC0C6B">
      <w:pPr>
        <w:pStyle w:val="Body"/>
        <w:spacing w:after="0"/>
        <w:jc w:val="left"/>
        <w:rPr>
          <w:rFonts w:ascii="Lato" w:hAnsi="Lato"/>
          <w:b/>
          <w:bCs/>
          <w:iCs/>
          <w:sz w:val="22"/>
        </w:rPr>
      </w:pPr>
      <w:r w:rsidRPr="001362A6">
        <w:rPr>
          <w:rFonts w:ascii="Lato" w:hAnsi="Lato"/>
          <w:b/>
          <w:bCs/>
          <w:iCs/>
          <w:sz w:val="22"/>
        </w:rPr>
        <w:t>O</w:t>
      </w:r>
      <w:r w:rsidR="00E0074D" w:rsidRPr="001362A6">
        <w:rPr>
          <w:rFonts w:ascii="Lato" w:hAnsi="Lato"/>
          <w:b/>
          <w:bCs/>
          <w:iCs/>
          <w:sz w:val="22"/>
        </w:rPr>
        <w:t>n behalf of___________________________________________________</w:t>
      </w:r>
    </w:p>
    <w:p w14:paraId="7097A8FF" w14:textId="77777777" w:rsidR="00E0074D" w:rsidRPr="001362A6" w:rsidRDefault="00E0074D">
      <w:pPr>
        <w:pStyle w:val="Body"/>
        <w:spacing w:after="0"/>
        <w:jc w:val="left"/>
        <w:rPr>
          <w:rFonts w:ascii="Lato" w:hAnsi="Lato"/>
          <w:b/>
          <w:bCs/>
          <w:iCs/>
          <w:sz w:val="22"/>
        </w:rPr>
      </w:pPr>
      <w:r w:rsidRPr="001362A6">
        <w:rPr>
          <w:rFonts w:ascii="Lato" w:hAnsi="Lato"/>
          <w:b/>
          <w:bCs/>
          <w:iCs/>
          <w:sz w:val="22"/>
        </w:rPr>
        <w:t>Date_________________________________________________________</w:t>
      </w:r>
      <w:r w:rsidR="005B3769">
        <w:rPr>
          <w:rFonts w:ascii="Lato" w:hAnsi="Lato"/>
          <w:b/>
          <w:bCs/>
          <w:iCs/>
          <w:sz w:val="22"/>
        </w:rPr>
        <w:t>__</w:t>
      </w:r>
    </w:p>
    <w:p w14:paraId="053B3D7F" w14:textId="77777777" w:rsidR="00E0074D" w:rsidRPr="001362A6" w:rsidRDefault="00E0074D">
      <w:pPr>
        <w:pStyle w:val="Body"/>
        <w:spacing w:after="0" w:line="240" w:lineRule="auto"/>
        <w:jc w:val="left"/>
        <w:rPr>
          <w:rFonts w:ascii="Lato" w:hAnsi="Lato"/>
          <w:b/>
          <w:bCs/>
          <w:iCs/>
          <w:sz w:val="22"/>
        </w:rPr>
      </w:pPr>
    </w:p>
    <w:p w14:paraId="4CB2D22E" w14:textId="77777777" w:rsidR="00E0074D" w:rsidRPr="001362A6" w:rsidRDefault="00ED3D49">
      <w:pPr>
        <w:pStyle w:val="Body"/>
        <w:spacing w:after="0"/>
        <w:jc w:val="left"/>
        <w:rPr>
          <w:rFonts w:ascii="Lato" w:hAnsi="Lato"/>
          <w:b/>
          <w:bCs/>
          <w:i/>
          <w:iCs/>
          <w:sz w:val="22"/>
        </w:rPr>
      </w:pPr>
      <w:r w:rsidRPr="001362A6">
        <w:rPr>
          <w:rFonts w:ascii="Lato" w:hAnsi="Lato"/>
          <w:b/>
          <w:bCs/>
          <w:iCs/>
          <w:sz w:val="22"/>
        </w:rPr>
        <w:t>Details of derogations granted by the Central Bank in respect of this application (if relevant):</w:t>
      </w:r>
      <w:r w:rsidR="00124961" w:rsidRPr="001362A6">
        <w:rPr>
          <w:rFonts w:ascii="Lato" w:hAnsi="Lato"/>
          <w:b/>
          <w:bCs/>
          <w:i/>
          <w:iCs/>
          <w:sz w:val="22"/>
        </w:rPr>
        <w:t>Confirmation from Depositary</w:t>
      </w:r>
    </w:p>
    <w:p w14:paraId="03360C86" w14:textId="77777777" w:rsidR="00E0074D" w:rsidRPr="001362A6" w:rsidRDefault="00E0074D">
      <w:pPr>
        <w:pStyle w:val="Body"/>
        <w:spacing w:after="0"/>
        <w:rPr>
          <w:rFonts w:ascii="Lato" w:hAnsi="Lato"/>
          <w:b/>
          <w:bCs/>
          <w:i/>
          <w:iCs/>
          <w:sz w:val="22"/>
        </w:rPr>
      </w:pPr>
      <w:r w:rsidRPr="001362A6">
        <w:rPr>
          <w:rFonts w:ascii="Lato" w:hAnsi="Lato"/>
          <w:sz w:val="22"/>
        </w:rPr>
        <w:t>………………………………………………………………………………………………</w:t>
      </w:r>
      <w:r w:rsidRPr="001362A6">
        <w:rPr>
          <w:rFonts w:ascii="Lato" w:hAnsi="Lato"/>
          <w:b/>
          <w:bCs/>
          <w:i/>
          <w:iCs/>
          <w:sz w:val="22"/>
        </w:rPr>
        <w:t xml:space="preserve">In the case of a unit trust or common contractual fund </w:t>
      </w:r>
      <w:r w:rsidR="00BC0C6B" w:rsidRPr="001362A6">
        <w:rPr>
          <w:rFonts w:ascii="Lato" w:hAnsi="Lato"/>
          <w:b/>
          <w:bCs/>
          <w:i/>
          <w:iCs/>
          <w:sz w:val="22"/>
        </w:rPr>
        <w:t>t</w:t>
      </w:r>
      <w:r w:rsidRPr="001362A6">
        <w:rPr>
          <w:rFonts w:ascii="Lato" w:hAnsi="Lato"/>
          <w:b/>
          <w:bCs/>
          <w:i/>
          <w:iCs/>
          <w:sz w:val="22"/>
        </w:rPr>
        <w:t xml:space="preserve">he following confirmation is required from the </w:t>
      </w:r>
      <w:r w:rsidR="004B2276" w:rsidRPr="001362A6">
        <w:rPr>
          <w:rFonts w:ascii="Lato" w:hAnsi="Lato"/>
          <w:b/>
          <w:bCs/>
          <w:i/>
          <w:iCs/>
          <w:sz w:val="22"/>
        </w:rPr>
        <w:t>Depositary</w:t>
      </w:r>
      <w:r w:rsidRPr="001362A6">
        <w:rPr>
          <w:rFonts w:ascii="Lato" w:hAnsi="Lato"/>
          <w:b/>
          <w:bCs/>
          <w:i/>
          <w:iCs/>
          <w:sz w:val="22"/>
        </w:rPr>
        <w:t xml:space="preserve">:  I confirm that I join in the application for authorisation with [name of </w:t>
      </w:r>
      <w:r w:rsidR="00FC7B12" w:rsidRPr="001362A6">
        <w:rPr>
          <w:rFonts w:ascii="Lato" w:hAnsi="Lato"/>
          <w:b/>
          <w:bCs/>
          <w:i/>
          <w:iCs/>
          <w:sz w:val="22"/>
        </w:rPr>
        <w:t>AIFM/</w:t>
      </w:r>
      <w:r w:rsidR="00A34B20" w:rsidRPr="001362A6">
        <w:rPr>
          <w:rFonts w:ascii="Lato" w:hAnsi="Lato"/>
          <w:b/>
          <w:bCs/>
          <w:i/>
          <w:iCs/>
          <w:sz w:val="22"/>
        </w:rPr>
        <w:t>Management</w:t>
      </w:r>
      <w:r w:rsidR="00FC7B12" w:rsidRPr="001362A6">
        <w:rPr>
          <w:rFonts w:ascii="Lato" w:hAnsi="Lato"/>
          <w:b/>
          <w:bCs/>
          <w:i/>
          <w:iCs/>
          <w:sz w:val="22"/>
        </w:rPr>
        <w:t xml:space="preserve"> Company</w:t>
      </w:r>
      <w:r w:rsidRPr="001362A6">
        <w:rPr>
          <w:rFonts w:ascii="Lato" w:hAnsi="Lato"/>
          <w:b/>
          <w:bCs/>
          <w:i/>
          <w:iCs/>
          <w:sz w:val="22"/>
        </w:rPr>
        <w:t xml:space="preserve">].  I confirm that the information set out in this application in relation to my duties </w:t>
      </w:r>
      <w:r w:rsidRPr="001362A6">
        <w:rPr>
          <w:rFonts w:ascii="Lato" w:hAnsi="Lato"/>
          <w:b/>
          <w:bCs/>
          <w:i/>
          <w:iCs/>
          <w:sz w:val="22"/>
        </w:rPr>
        <w:lastRenderedPageBreak/>
        <w:t xml:space="preserve">and responsibilities is correct and accurately reflects the provisions of the trust deed / deed of constitution and </w:t>
      </w:r>
      <w:r w:rsidR="006A7F4F" w:rsidRPr="001362A6">
        <w:rPr>
          <w:rFonts w:ascii="Lato" w:hAnsi="Lato"/>
          <w:b/>
          <w:bCs/>
          <w:i/>
          <w:iCs/>
          <w:sz w:val="22"/>
        </w:rPr>
        <w:t xml:space="preserve">depositary </w:t>
      </w:r>
      <w:r w:rsidRPr="001362A6">
        <w:rPr>
          <w:rFonts w:ascii="Lato" w:hAnsi="Lato"/>
          <w:b/>
          <w:bCs/>
          <w:i/>
          <w:iCs/>
          <w:sz w:val="22"/>
        </w:rPr>
        <w:t>contract.</w:t>
      </w:r>
    </w:p>
    <w:p w14:paraId="4B8B340A" w14:textId="77777777" w:rsidR="00E0074D" w:rsidRPr="001362A6" w:rsidRDefault="00E0074D">
      <w:pPr>
        <w:pStyle w:val="Body"/>
        <w:spacing w:after="0"/>
        <w:rPr>
          <w:rFonts w:ascii="Lato" w:hAnsi="Lato"/>
          <w:b/>
          <w:bCs/>
          <w:i/>
          <w:iCs/>
          <w:sz w:val="22"/>
        </w:rPr>
      </w:pPr>
    </w:p>
    <w:p w14:paraId="365848CA" w14:textId="77777777" w:rsidR="00E0074D" w:rsidRPr="001362A6" w:rsidRDefault="00E0074D">
      <w:pPr>
        <w:pStyle w:val="Body"/>
        <w:spacing w:after="0"/>
        <w:rPr>
          <w:rFonts w:ascii="Lato" w:hAnsi="Lato"/>
          <w:b/>
          <w:bCs/>
          <w:i/>
          <w:iCs/>
          <w:sz w:val="22"/>
        </w:rPr>
      </w:pPr>
      <w:r w:rsidRPr="001362A6">
        <w:rPr>
          <w:rFonts w:ascii="Lato" w:hAnsi="Lato"/>
          <w:b/>
          <w:bCs/>
          <w:i/>
          <w:iCs/>
          <w:sz w:val="22"/>
        </w:rPr>
        <w:t>In the case of an investment company/</w:t>
      </w:r>
      <w:r w:rsidR="00D144C7" w:rsidRPr="001362A6">
        <w:rPr>
          <w:rFonts w:ascii="Lato" w:hAnsi="Lato"/>
          <w:b/>
          <w:bCs/>
          <w:i/>
          <w:iCs/>
          <w:sz w:val="22"/>
        </w:rPr>
        <w:t>ICAV/</w:t>
      </w:r>
      <w:r w:rsidRPr="001362A6">
        <w:rPr>
          <w:rFonts w:ascii="Lato" w:hAnsi="Lato"/>
          <w:b/>
          <w:bCs/>
          <w:i/>
          <w:iCs/>
          <w:sz w:val="22"/>
        </w:rPr>
        <w:t xml:space="preserve">investment limited partnership the following confirmation is required from the </w:t>
      </w:r>
      <w:r w:rsidR="004B2276" w:rsidRPr="001362A6">
        <w:rPr>
          <w:rFonts w:ascii="Lato" w:hAnsi="Lato"/>
          <w:b/>
          <w:bCs/>
          <w:i/>
          <w:iCs/>
          <w:sz w:val="22"/>
        </w:rPr>
        <w:t>Depositary</w:t>
      </w:r>
      <w:r w:rsidRPr="001362A6">
        <w:rPr>
          <w:rFonts w:ascii="Lato" w:hAnsi="Lato"/>
          <w:b/>
          <w:bCs/>
          <w:i/>
          <w:iCs/>
          <w:sz w:val="22"/>
        </w:rPr>
        <w:t>:  I confirm that the information set out in this application in relation to my</w:t>
      </w:r>
      <w:r w:rsidRPr="001362A6">
        <w:rPr>
          <w:rFonts w:ascii="Lato" w:hAnsi="Lato"/>
          <w:b/>
          <w:bCs/>
          <w:sz w:val="22"/>
        </w:rPr>
        <w:t xml:space="preserve"> </w:t>
      </w:r>
      <w:r w:rsidRPr="001362A6">
        <w:rPr>
          <w:rFonts w:ascii="Lato" w:hAnsi="Lato"/>
          <w:b/>
          <w:bCs/>
          <w:i/>
          <w:iCs/>
          <w:sz w:val="22"/>
        </w:rPr>
        <w:t xml:space="preserve">duties and responsibilities is correct and accurately reflects the provisions of the </w:t>
      </w:r>
      <w:r w:rsidR="006A7F4F" w:rsidRPr="001362A6">
        <w:rPr>
          <w:rFonts w:ascii="Lato" w:hAnsi="Lato"/>
          <w:b/>
          <w:bCs/>
          <w:i/>
          <w:iCs/>
          <w:sz w:val="22"/>
        </w:rPr>
        <w:t xml:space="preserve">depositary </w:t>
      </w:r>
      <w:r w:rsidRPr="001362A6">
        <w:rPr>
          <w:rFonts w:ascii="Lato" w:hAnsi="Lato"/>
          <w:b/>
          <w:bCs/>
          <w:i/>
          <w:iCs/>
          <w:sz w:val="22"/>
        </w:rPr>
        <w:t>contract.</w:t>
      </w:r>
    </w:p>
    <w:p w14:paraId="73ED401A" w14:textId="77777777" w:rsidR="00E0074D" w:rsidRPr="001362A6" w:rsidRDefault="00E0074D">
      <w:pPr>
        <w:rPr>
          <w:rFonts w:ascii="Lato" w:hAnsi="Lato"/>
        </w:rPr>
      </w:pPr>
    </w:p>
    <w:p w14:paraId="6FC113AA" w14:textId="77777777" w:rsidR="00E0074D" w:rsidRPr="001362A6" w:rsidRDefault="00E0074D">
      <w:pPr>
        <w:pStyle w:val="Body"/>
        <w:spacing w:after="0"/>
        <w:jc w:val="left"/>
        <w:rPr>
          <w:rFonts w:ascii="Lato" w:hAnsi="Lato"/>
          <w:b/>
          <w:bCs/>
          <w:iCs/>
          <w:sz w:val="22"/>
          <w:szCs w:val="22"/>
        </w:rPr>
      </w:pPr>
      <w:r w:rsidRPr="001362A6">
        <w:rPr>
          <w:rFonts w:ascii="Lato" w:hAnsi="Lato"/>
          <w:b/>
          <w:bCs/>
          <w:iCs/>
          <w:sz w:val="22"/>
          <w:szCs w:val="22"/>
        </w:rPr>
        <w:t>Signed______________________________________________________</w:t>
      </w:r>
    </w:p>
    <w:p w14:paraId="5D1C4217" w14:textId="77777777" w:rsidR="00E0074D" w:rsidRPr="001362A6" w:rsidRDefault="00E0074D">
      <w:pPr>
        <w:pStyle w:val="Body"/>
        <w:spacing w:after="0"/>
        <w:jc w:val="left"/>
        <w:rPr>
          <w:rFonts w:ascii="Lato" w:hAnsi="Lato"/>
          <w:b/>
          <w:bCs/>
          <w:sz w:val="22"/>
          <w:szCs w:val="22"/>
        </w:rPr>
      </w:pPr>
      <w:r w:rsidRPr="001362A6">
        <w:rPr>
          <w:rFonts w:ascii="Lato" w:hAnsi="Lato"/>
          <w:b/>
          <w:bCs/>
          <w:sz w:val="22"/>
          <w:szCs w:val="22"/>
        </w:rPr>
        <w:t>Date___________________________________________________</w:t>
      </w:r>
      <w:r w:rsidR="001469C9" w:rsidRPr="001362A6">
        <w:rPr>
          <w:rFonts w:ascii="Lato" w:hAnsi="Lato"/>
          <w:b/>
          <w:bCs/>
          <w:sz w:val="22"/>
          <w:szCs w:val="22"/>
        </w:rPr>
        <w:t>_____</w:t>
      </w:r>
    </w:p>
    <w:p w14:paraId="20204466" w14:textId="77777777" w:rsidR="00E0074D" w:rsidRPr="001362A6" w:rsidRDefault="00E0074D">
      <w:pPr>
        <w:pStyle w:val="Body"/>
        <w:spacing w:after="0"/>
        <w:jc w:val="left"/>
        <w:rPr>
          <w:rFonts w:ascii="Lato" w:hAnsi="Lato"/>
          <w:b/>
          <w:bCs/>
        </w:rPr>
      </w:pPr>
    </w:p>
    <w:p w14:paraId="10ECC0F1" w14:textId="77777777" w:rsidR="00E0074D" w:rsidRPr="001362A6" w:rsidRDefault="00E0074D">
      <w:pPr>
        <w:pStyle w:val="Body"/>
        <w:spacing w:after="0"/>
        <w:jc w:val="left"/>
        <w:rPr>
          <w:rFonts w:ascii="Lato" w:hAnsi="Lato"/>
          <w:b/>
          <w:bCs/>
        </w:rPr>
        <w:sectPr w:rsidR="00E0074D" w:rsidRPr="001362A6">
          <w:pgSz w:w="11904" w:h="16834"/>
          <w:pgMar w:top="851" w:right="1800" w:bottom="1440" w:left="1800" w:header="142" w:footer="266" w:gutter="0"/>
          <w:cols w:space="708"/>
        </w:sectPr>
      </w:pPr>
    </w:p>
    <w:p w14:paraId="65B2A6C1" w14:textId="77777777" w:rsidR="00E0074D" w:rsidRPr="001362A6" w:rsidRDefault="00E0074D">
      <w:pPr>
        <w:pStyle w:val="Body"/>
        <w:spacing w:after="0"/>
        <w:ind w:left="-567"/>
        <w:jc w:val="center"/>
        <w:rPr>
          <w:rFonts w:ascii="Lato" w:hAnsi="Lato"/>
          <w:b/>
          <w:bCs/>
          <w:sz w:val="22"/>
        </w:rPr>
      </w:pPr>
      <w:r w:rsidRPr="001362A6">
        <w:rPr>
          <w:rFonts w:ascii="Lato" w:hAnsi="Lato"/>
          <w:b/>
          <w:bCs/>
          <w:sz w:val="22"/>
        </w:rPr>
        <w:lastRenderedPageBreak/>
        <w:t>SECTION 2 –</w:t>
      </w:r>
      <w:r w:rsidR="003F133D" w:rsidRPr="001362A6">
        <w:rPr>
          <w:rFonts w:ascii="Lato" w:hAnsi="Lato"/>
          <w:b/>
          <w:bCs/>
          <w:sz w:val="22"/>
        </w:rPr>
        <w:t xml:space="preserve"> </w:t>
      </w:r>
      <w:r w:rsidRPr="001362A6">
        <w:rPr>
          <w:rFonts w:ascii="Lato" w:hAnsi="Lato"/>
          <w:b/>
          <w:bCs/>
          <w:sz w:val="22"/>
        </w:rPr>
        <w:t>PROSPECTUS</w:t>
      </w:r>
    </w:p>
    <w:p w14:paraId="11B425B7" w14:textId="77777777" w:rsidR="00E0074D" w:rsidRPr="001362A6" w:rsidRDefault="00E0074D">
      <w:pPr>
        <w:ind w:left="-567"/>
        <w:jc w:val="center"/>
        <w:rPr>
          <w:rFonts w:ascii="Lato" w:hAnsi="Lato"/>
          <w:b/>
          <w:bCs/>
          <w:sz w:val="22"/>
        </w:rPr>
      </w:pPr>
    </w:p>
    <w:p w14:paraId="47178AAA" w14:textId="77777777" w:rsidR="00E0074D" w:rsidRPr="001362A6" w:rsidRDefault="00E0074D">
      <w:pPr>
        <w:ind w:left="-567"/>
        <w:jc w:val="center"/>
        <w:rPr>
          <w:rFonts w:ascii="Lato" w:hAnsi="Lato"/>
          <w:b/>
          <w:bCs/>
          <w:sz w:val="22"/>
        </w:rPr>
      </w:pPr>
      <w:r w:rsidRPr="001362A6">
        <w:rPr>
          <w:rFonts w:ascii="Lato" w:hAnsi="Lato"/>
          <w:b/>
          <w:bCs/>
          <w:sz w:val="22"/>
        </w:rPr>
        <w:t>The following information must be included in the prospectus/prospectus supplement/ information memorandum</w:t>
      </w:r>
    </w:p>
    <w:p w14:paraId="6D2F6389" w14:textId="77777777" w:rsidR="00E0074D" w:rsidRPr="001362A6" w:rsidRDefault="00E0074D">
      <w:pPr>
        <w:ind w:left="-567"/>
        <w:jc w:val="center"/>
        <w:rPr>
          <w:rFonts w:ascii="Lato" w:hAnsi="Lato"/>
          <w:b/>
          <w:bCs/>
          <w:sz w:val="22"/>
        </w:rPr>
      </w:pPr>
    </w:p>
    <w:p w14:paraId="4E0A7F6C" w14:textId="77777777" w:rsidR="00E0074D" w:rsidRPr="001362A6" w:rsidRDefault="00E0074D">
      <w:pPr>
        <w:ind w:left="-567"/>
        <w:rPr>
          <w:rFonts w:ascii="Lato" w:hAnsi="Lato"/>
          <w:sz w:val="22"/>
        </w:rPr>
      </w:pPr>
    </w:p>
    <w:p w14:paraId="03C7276F" w14:textId="77777777" w:rsidR="00E0074D" w:rsidRPr="001362A6" w:rsidRDefault="00E0074D">
      <w:pPr>
        <w:ind w:left="-567"/>
        <w:jc w:val="both"/>
        <w:rPr>
          <w:rFonts w:ascii="Lato" w:hAnsi="Lato"/>
          <w:sz w:val="22"/>
          <w:szCs w:val="22"/>
        </w:rPr>
      </w:pPr>
      <w:r w:rsidRPr="001362A6">
        <w:rPr>
          <w:rFonts w:ascii="Lato" w:hAnsi="Lato"/>
          <w:sz w:val="22"/>
          <w:szCs w:val="22"/>
        </w:rPr>
        <w:t xml:space="preserve">An umbrella </w:t>
      </w:r>
      <w:r w:rsidR="00D6477D" w:rsidRPr="001362A6">
        <w:rPr>
          <w:rFonts w:ascii="Lato" w:hAnsi="Lato"/>
          <w:sz w:val="22"/>
          <w:szCs w:val="22"/>
        </w:rPr>
        <w:t>Q</w:t>
      </w:r>
      <w:r w:rsidR="00CB5EF9" w:rsidRPr="001362A6">
        <w:rPr>
          <w:rFonts w:ascii="Lato" w:hAnsi="Lato"/>
          <w:sz w:val="22"/>
          <w:szCs w:val="22"/>
        </w:rPr>
        <w:t xml:space="preserve">ualifying </w:t>
      </w:r>
      <w:r w:rsidR="00D6477D" w:rsidRPr="001362A6">
        <w:rPr>
          <w:rFonts w:ascii="Lato" w:hAnsi="Lato"/>
          <w:sz w:val="22"/>
          <w:szCs w:val="22"/>
        </w:rPr>
        <w:t>I</w:t>
      </w:r>
      <w:r w:rsidR="00CB5EF9" w:rsidRPr="001362A6">
        <w:rPr>
          <w:rFonts w:ascii="Lato" w:hAnsi="Lato"/>
          <w:sz w:val="22"/>
          <w:szCs w:val="22"/>
        </w:rPr>
        <w:t xml:space="preserve">nvestor </w:t>
      </w:r>
      <w:r w:rsidR="00D6477D" w:rsidRPr="001362A6">
        <w:rPr>
          <w:rFonts w:ascii="Lato" w:hAnsi="Lato"/>
          <w:sz w:val="22"/>
          <w:szCs w:val="22"/>
        </w:rPr>
        <w:t>AIF</w:t>
      </w:r>
      <w:r w:rsidRPr="001362A6">
        <w:rPr>
          <w:rFonts w:ascii="Lato" w:hAnsi="Lato"/>
          <w:sz w:val="22"/>
          <w:szCs w:val="22"/>
        </w:rPr>
        <w:t xml:space="preserve"> may provide for all sub-funds in a single prospectus or may have an individual prospectus for each sub-fund.  Alternatively, information relevant to a sub-fund may be provided in a supplement to the main prospectus.  Section 2 must be completed in respect of each prospectus</w:t>
      </w:r>
      <w:r w:rsidR="00A153DD" w:rsidRPr="001362A6">
        <w:rPr>
          <w:rFonts w:ascii="Lato" w:hAnsi="Lato"/>
          <w:sz w:val="22"/>
          <w:szCs w:val="22"/>
        </w:rPr>
        <w:t xml:space="preserve">. </w:t>
      </w:r>
      <w:r w:rsidR="00CB5EF9" w:rsidRPr="001362A6">
        <w:rPr>
          <w:rFonts w:ascii="Lato" w:hAnsi="Lato"/>
          <w:sz w:val="22"/>
          <w:szCs w:val="22"/>
        </w:rPr>
        <w:t>The relevant sections of t</w:t>
      </w:r>
      <w:r w:rsidRPr="001362A6">
        <w:rPr>
          <w:rFonts w:ascii="Lato" w:hAnsi="Lato"/>
          <w:sz w:val="22"/>
          <w:szCs w:val="22"/>
        </w:rPr>
        <w:t xml:space="preserve">his section must be completed in respect of each sub-fund.  </w:t>
      </w:r>
    </w:p>
    <w:p w14:paraId="0A406E99" w14:textId="77777777" w:rsidR="00E0074D" w:rsidRPr="001362A6" w:rsidRDefault="00E0074D">
      <w:pPr>
        <w:ind w:left="-567"/>
        <w:jc w:val="both"/>
        <w:rPr>
          <w:rFonts w:ascii="Lato" w:hAnsi="Lato"/>
          <w:sz w:val="22"/>
          <w:szCs w:val="22"/>
        </w:rPr>
      </w:pPr>
    </w:p>
    <w:p w14:paraId="64DF8992" w14:textId="77777777" w:rsidR="00E0074D" w:rsidRPr="001362A6" w:rsidRDefault="00E0074D">
      <w:pPr>
        <w:pStyle w:val="BodyTextIndent3"/>
        <w:rPr>
          <w:rFonts w:ascii="Lato" w:hAnsi="Lato"/>
          <w:szCs w:val="22"/>
        </w:rPr>
      </w:pPr>
      <w:r w:rsidRPr="001362A6">
        <w:rPr>
          <w:rFonts w:ascii="Lato" w:hAnsi="Lato"/>
          <w:szCs w:val="22"/>
        </w:rPr>
        <w:t xml:space="preserve">A </w:t>
      </w:r>
      <w:r w:rsidR="00D6477D" w:rsidRPr="001362A6">
        <w:rPr>
          <w:rFonts w:ascii="Lato" w:hAnsi="Lato"/>
          <w:szCs w:val="22"/>
        </w:rPr>
        <w:t>Q</w:t>
      </w:r>
      <w:r w:rsidR="00CB5EF9" w:rsidRPr="001362A6">
        <w:rPr>
          <w:rFonts w:ascii="Lato" w:hAnsi="Lato"/>
          <w:szCs w:val="22"/>
        </w:rPr>
        <w:t>ualif</w:t>
      </w:r>
      <w:r w:rsidR="00106A06" w:rsidRPr="001362A6">
        <w:rPr>
          <w:rFonts w:ascii="Lato" w:hAnsi="Lato"/>
          <w:szCs w:val="22"/>
        </w:rPr>
        <w:t>y</w:t>
      </w:r>
      <w:r w:rsidR="00CB5EF9" w:rsidRPr="001362A6">
        <w:rPr>
          <w:rFonts w:ascii="Lato" w:hAnsi="Lato"/>
          <w:szCs w:val="22"/>
        </w:rPr>
        <w:t xml:space="preserve">ing </w:t>
      </w:r>
      <w:r w:rsidR="00D6477D" w:rsidRPr="001362A6">
        <w:rPr>
          <w:rFonts w:ascii="Lato" w:hAnsi="Lato"/>
          <w:szCs w:val="22"/>
        </w:rPr>
        <w:t>I</w:t>
      </w:r>
      <w:r w:rsidR="00CB5EF9" w:rsidRPr="001362A6">
        <w:rPr>
          <w:rFonts w:ascii="Lato" w:hAnsi="Lato"/>
          <w:szCs w:val="22"/>
        </w:rPr>
        <w:t xml:space="preserve">nvestor </w:t>
      </w:r>
      <w:r w:rsidR="00D6477D" w:rsidRPr="001362A6">
        <w:rPr>
          <w:rFonts w:ascii="Lato" w:hAnsi="Lato"/>
          <w:szCs w:val="22"/>
        </w:rPr>
        <w:t>AIF</w:t>
      </w:r>
      <w:r w:rsidRPr="001362A6">
        <w:rPr>
          <w:rFonts w:ascii="Lato" w:hAnsi="Lato"/>
          <w:szCs w:val="22"/>
        </w:rPr>
        <w:t xml:space="preserve"> which issues separate prospectus for share classes must comply with this section in respect of each prospectus. </w:t>
      </w:r>
    </w:p>
    <w:p w14:paraId="6EAD8366" w14:textId="77777777" w:rsidR="00E0074D" w:rsidRPr="001362A6" w:rsidRDefault="00E0074D">
      <w:pPr>
        <w:jc w:val="both"/>
        <w:rPr>
          <w:rFonts w:ascii="Lato" w:hAnsi="Lato"/>
          <w:sz w:val="22"/>
          <w:szCs w:val="22"/>
        </w:rPr>
      </w:pPr>
    </w:p>
    <w:tbl>
      <w:tblPr>
        <w:tblW w:w="10395" w:type="dxa"/>
        <w:tblInd w:w="-1053" w:type="dxa"/>
        <w:tblLook w:val="0000" w:firstRow="0" w:lastRow="0" w:firstColumn="0" w:lastColumn="0" w:noHBand="0" w:noVBand="0"/>
      </w:tblPr>
      <w:tblGrid>
        <w:gridCol w:w="1316"/>
        <w:gridCol w:w="5891"/>
        <w:gridCol w:w="3188"/>
      </w:tblGrid>
      <w:tr w:rsidR="00E0074D" w:rsidRPr="001362A6" w14:paraId="74DB309F" w14:textId="77777777" w:rsidTr="00990D73">
        <w:tc>
          <w:tcPr>
            <w:tcW w:w="1316" w:type="dxa"/>
          </w:tcPr>
          <w:p w14:paraId="1196C656" w14:textId="77777777" w:rsidR="00E0074D" w:rsidRPr="001362A6" w:rsidRDefault="00E0074D">
            <w:pPr>
              <w:rPr>
                <w:rFonts w:ascii="Lato" w:hAnsi="Lato"/>
                <w:sz w:val="22"/>
                <w:szCs w:val="22"/>
              </w:rPr>
            </w:pPr>
          </w:p>
        </w:tc>
        <w:tc>
          <w:tcPr>
            <w:tcW w:w="5891" w:type="dxa"/>
          </w:tcPr>
          <w:p w14:paraId="60438278" w14:textId="77777777" w:rsidR="00E0074D" w:rsidRPr="001362A6" w:rsidRDefault="00E0074D">
            <w:pPr>
              <w:rPr>
                <w:rFonts w:ascii="Lato" w:hAnsi="Lato"/>
                <w:b/>
                <w:bCs/>
                <w:sz w:val="22"/>
                <w:szCs w:val="22"/>
              </w:rPr>
            </w:pPr>
          </w:p>
        </w:tc>
        <w:tc>
          <w:tcPr>
            <w:tcW w:w="3188" w:type="dxa"/>
          </w:tcPr>
          <w:p w14:paraId="18F11C66" w14:textId="77777777" w:rsidR="00E0074D" w:rsidRPr="001362A6" w:rsidRDefault="00E0074D">
            <w:pPr>
              <w:rPr>
                <w:rFonts w:ascii="Lato" w:hAnsi="Lato"/>
                <w:sz w:val="22"/>
                <w:szCs w:val="22"/>
              </w:rPr>
            </w:pPr>
            <w:r w:rsidRPr="001362A6">
              <w:rPr>
                <w:rFonts w:ascii="Lato" w:hAnsi="Lato"/>
                <w:b/>
                <w:bCs/>
                <w:sz w:val="22"/>
                <w:szCs w:val="22"/>
              </w:rPr>
              <w:t>Section heading and indication of paragraph where relevant</w:t>
            </w:r>
          </w:p>
        </w:tc>
      </w:tr>
      <w:tr w:rsidR="00E0074D" w:rsidRPr="001362A6" w14:paraId="71F6CD5C" w14:textId="77777777" w:rsidTr="00990D73">
        <w:tc>
          <w:tcPr>
            <w:tcW w:w="1316" w:type="dxa"/>
          </w:tcPr>
          <w:p w14:paraId="17E52D1D" w14:textId="77777777" w:rsidR="00E0074D" w:rsidRPr="001362A6" w:rsidRDefault="00E0074D">
            <w:pPr>
              <w:rPr>
                <w:rFonts w:ascii="Lato" w:hAnsi="Lato"/>
                <w:sz w:val="22"/>
                <w:szCs w:val="22"/>
              </w:rPr>
            </w:pPr>
          </w:p>
        </w:tc>
        <w:tc>
          <w:tcPr>
            <w:tcW w:w="5891" w:type="dxa"/>
          </w:tcPr>
          <w:p w14:paraId="4E0073FF" w14:textId="77777777" w:rsidR="00E0074D" w:rsidRPr="001362A6" w:rsidRDefault="00E0074D">
            <w:pPr>
              <w:rPr>
                <w:rFonts w:ascii="Lato" w:hAnsi="Lato"/>
                <w:b/>
                <w:bCs/>
                <w:sz w:val="22"/>
                <w:szCs w:val="22"/>
              </w:rPr>
            </w:pPr>
          </w:p>
        </w:tc>
        <w:tc>
          <w:tcPr>
            <w:tcW w:w="3188" w:type="dxa"/>
          </w:tcPr>
          <w:p w14:paraId="026EDBE7" w14:textId="77777777" w:rsidR="00E0074D" w:rsidRPr="001362A6" w:rsidRDefault="00E0074D">
            <w:pPr>
              <w:ind w:right="-1438" w:firstLine="99"/>
              <w:rPr>
                <w:rFonts w:ascii="Lato" w:hAnsi="Lato"/>
                <w:sz w:val="22"/>
                <w:szCs w:val="22"/>
              </w:rPr>
            </w:pPr>
          </w:p>
        </w:tc>
      </w:tr>
      <w:tr w:rsidR="00E0074D" w:rsidRPr="001362A6" w14:paraId="4F6BDAC1" w14:textId="77777777" w:rsidTr="00990D73">
        <w:tc>
          <w:tcPr>
            <w:tcW w:w="1316" w:type="dxa"/>
          </w:tcPr>
          <w:p w14:paraId="24313537" w14:textId="77777777" w:rsidR="00E0074D" w:rsidRPr="001362A6" w:rsidRDefault="00E0074D">
            <w:pPr>
              <w:rPr>
                <w:rFonts w:ascii="Lato" w:hAnsi="Lato"/>
                <w:b/>
                <w:bCs/>
                <w:sz w:val="22"/>
                <w:szCs w:val="22"/>
              </w:rPr>
            </w:pPr>
            <w:r w:rsidRPr="001362A6">
              <w:rPr>
                <w:rFonts w:ascii="Lato" w:hAnsi="Lato"/>
                <w:b/>
                <w:bCs/>
                <w:sz w:val="22"/>
                <w:szCs w:val="22"/>
              </w:rPr>
              <w:t>2.1</w:t>
            </w:r>
          </w:p>
        </w:tc>
        <w:tc>
          <w:tcPr>
            <w:tcW w:w="5891" w:type="dxa"/>
          </w:tcPr>
          <w:p w14:paraId="0ED35407" w14:textId="77777777" w:rsidR="00E0074D" w:rsidRPr="001362A6" w:rsidRDefault="00E0074D">
            <w:pPr>
              <w:rPr>
                <w:rFonts w:ascii="Lato" w:hAnsi="Lato"/>
                <w:b/>
                <w:bCs/>
                <w:sz w:val="22"/>
                <w:szCs w:val="22"/>
              </w:rPr>
            </w:pPr>
            <w:r w:rsidRPr="001362A6">
              <w:rPr>
                <w:rFonts w:ascii="Lato" w:hAnsi="Lato"/>
                <w:b/>
                <w:bCs/>
                <w:sz w:val="22"/>
                <w:szCs w:val="22"/>
              </w:rPr>
              <w:t xml:space="preserve">Information concerning the </w:t>
            </w:r>
            <w:r w:rsidR="00D6477D" w:rsidRPr="001362A6">
              <w:rPr>
                <w:rFonts w:ascii="Lato" w:hAnsi="Lato"/>
                <w:b/>
                <w:bCs/>
                <w:sz w:val="22"/>
                <w:szCs w:val="22"/>
              </w:rPr>
              <w:t>Q</w:t>
            </w:r>
            <w:r w:rsidR="009F3AF9" w:rsidRPr="001362A6">
              <w:rPr>
                <w:rFonts w:ascii="Lato" w:hAnsi="Lato"/>
                <w:b/>
                <w:bCs/>
                <w:sz w:val="22"/>
                <w:szCs w:val="22"/>
              </w:rPr>
              <w:t xml:space="preserve">ualifying </w:t>
            </w:r>
            <w:r w:rsidR="00D6477D" w:rsidRPr="001362A6">
              <w:rPr>
                <w:rFonts w:ascii="Lato" w:hAnsi="Lato"/>
                <w:b/>
                <w:bCs/>
                <w:sz w:val="22"/>
                <w:szCs w:val="22"/>
              </w:rPr>
              <w:t>I</w:t>
            </w:r>
            <w:r w:rsidR="009F3AF9" w:rsidRPr="001362A6">
              <w:rPr>
                <w:rFonts w:ascii="Lato" w:hAnsi="Lato"/>
                <w:b/>
                <w:bCs/>
                <w:sz w:val="22"/>
                <w:szCs w:val="22"/>
              </w:rPr>
              <w:t xml:space="preserve">nvestor </w:t>
            </w:r>
            <w:r w:rsidR="00D6477D" w:rsidRPr="001362A6">
              <w:rPr>
                <w:rFonts w:ascii="Lato" w:hAnsi="Lato"/>
                <w:b/>
                <w:bCs/>
                <w:sz w:val="22"/>
                <w:szCs w:val="22"/>
              </w:rPr>
              <w:t>AIF</w:t>
            </w:r>
          </w:p>
        </w:tc>
        <w:tc>
          <w:tcPr>
            <w:tcW w:w="3188" w:type="dxa"/>
          </w:tcPr>
          <w:p w14:paraId="5C4B4A3D" w14:textId="77777777" w:rsidR="00E0074D" w:rsidRPr="001362A6" w:rsidRDefault="00E0074D">
            <w:pPr>
              <w:ind w:right="-1438" w:firstLine="99"/>
              <w:rPr>
                <w:rFonts w:ascii="Lato" w:hAnsi="Lato"/>
                <w:sz w:val="22"/>
                <w:szCs w:val="22"/>
              </w:rPr>
            </w:pPr>
          </w:p>
        </w:tc>
      </w:tr>
      <w:tr w:rsidR="00E0074D" w:rsidRPr="001362A6" w14:paraId="0E8E2ABE" w14:textId="77777777" w:rsidTr="00990D73">
        <w:tc>
          <w:tcPr>
            <w:tcW w:w="1316" w:type="dxa"/>
          </w:tcPr>
          <w:p w14:paraId="77B3FAB9" w14:textId="77777777" w:rsidR="00E0074D" w:rsidRPr="001362A6" w:rsidRDefault="00E0074D">
            <w:pPr>
              <w:rPr>
                <w:rFonts w:ascii="Lato" w:hAnsi="Lato"/>
                <w:sz w:val="22"/>
                <w:szCs w:val="22"/>
              </w:rPr>
            </w:pPr>
          </w:p>
        </w:tc>
        <w:tc>
          <w:tcPr>
            <w:tcW w:w="5891" w:type="dxa"/>
          </w:tcPr>
          <w:p w14:paraId="4EA67887" w14:textId="77777777" w:rsidR="00E0074D" w:rsidRPr="001362A6" w:rsidRDefault="00E0074D">
            <w:pPr>
              <w:rPr>
                <w:rFonts w:ascii="Lato" w:hAnsi="Lato"/>
                <w:sz w:val="22"/>
                <w:szCs w:val="22"/>
              </w:rPr>
            </w:pPr>
          </w:p>
        </w:tc>
        <w:tc>
          <w:tcPr>
            <w:tcW w:w="3188" w:type="dxa"/>
            <w:tcBorders>
              <w:bottom w:val="single" w:sz="4" w:space="0" w:color="auto"/>
            </w:tcBorders>
          </w:tcPr>
          <w:p w14:paraId="636AAD7B" w14:textId="77777777" w:rsidR="00E0074D" w:rsidRPr="001362A6" w:rsidRDefault="00E0074D">
            <w:pPr>
              <w:ind w:firstLine="99"/>
              <w:rPr>
                <w:rFonts w:ascii="Lato" w:hAnsi="Lato"/>
                <w:sz w:val="22"/>
                <w:szCs w:val="22"/>
              </w:rPr>
            </w:pPr>
          </w:p>
        </w:tc>
      </w:tr>
      <w:tr w:rsidR="00E0074D" w:rsidRPr="001362A6" w14:paraId="64E2117B" w14:textId="77777777" w:rsidTr="00990D73">
        <w:tc>
          <w:tcPr>
            <w:tcW w:w="1316" w:type="dxa"/>
          </w:tcPr>
          <w:p w14:paraId="7F0A7371" w14:textId="77777777" w:rsidR="00E0074D" w:rsidRPr="001362A6" w:rsidRDefault="00E0074D">
            <w:pPr>
              <w:rPr>
                <w:rFonts w:ascii="Lato" w:hAnsi="Lato"/>
                <w:sz w:val="22"/>
                <w:szCs w:val="22"/>
              </w:rPr>
            </w:pPr>
            <w:r w:rsidRPr="001362A6">
              <w:rPr>
                <w:rFonts w:ascii="Lato" w:hAnsi="Lato"/>
                <w:sz w:val="22"/>
                <w:szCs w:val="22"/>
              </w:rPr>
              <w:t>2.1.1</w:t>
            </w:r>
          </w:p>
        </w:tc>
        <w:tc>
          <w:tcPr>
            <w:tcW w:w="5891" w:type="dxa"/>
            <w:tcBorders>
              <w:right w:val="single" w:sz="4" w:space="0" w:color="auto"/>
            </w:tcBorders>
          </w:tcPr>
          <w:p w14:paraId="4EFBADA3" w14:textId="77777777" w:rsidR="00E0074D" w:rsidRPr="001362A6" w:rsidRDefault="00E0074D">
            <w:pPr>
              <w:rPr>
                <w:rFonts w:ascii="Lato" w:hAnsi="Lato"/>
                <w:sz w:val="22"/>
                <w:szCs w:val="22"/>
              </w:rPr>
            </w:pPr>
            <w:r w:rsidRPr="001362A6">
              <w:rPr>
                <w:rFonts w:ascii="Lato" w:hAnsi="Lato"/>
                <w:sz w:val="22"/>
                <w:szCs w:val="22"/>
              </w:rPr>
              <w:t xml:space="preserve">Name </w:t>
            </w:r>
          </w:p>
        </w:tc>
        <w:tc>
          <w:tcPr>
            <w:tcW w:w="3188" w:type="dxa"/>
            <w:tcBorders>
              <w:top w:val="single" w:sz="4" w:space="0" w:color="auto"/>
              <w:left w:val="single" w:sz="4" w:space="0" w:color="auto"/>
              <w:bottom w:val="single" w:sz="4" w:space="0" w:color="auto"/>
              <w:right w:val="single" w:sz="4" w:space="0" w:color="auto"/>
            </w:tcBorders>
          </w:tcPr>
          <w:p w14:paraId="28411C29" w14:textId="77777777" w:rsidR="00E0074D" w:rsidRPr="001362A6" w:rsidRDefault="00E0074D">
            <w:pPr>
              <w:ind w:firstLine="99"/>
              <w:rPr>
                <w:rFonts w:ascii="Lato" w:hAnsi="Lato"/>
                <w:sz w:val="22"/>
                <w:szCs w:val="22"/>
              </w:rPr>
            </w:pPr>
          </w:p>
        </w:tc>
      </w:tr>
      <w:tr w:rsidR="00E0074D" w:rsidRPr="001362A6" w14:paraId="17EF52D5" w14:textId="77777777" w:rsidTr="00990D73">
        <w:tc>
          <w:tcPr>
            <w:tcW w:w="1316" w:type="dxa"/>
          </w:tcPr>
          <w:p w14:paraId="4FC58B8D" w14:textId="77777777" w:rsidR="00E0074D" w:rsidRPr="001362A6" w:rsidRDefault="00E0074D">
            <w:pPr>
              <w:rPr>
                <w:rFonts w:ascii="Lato" w:hAnsi="Lato"/>
                <w:sz w:val="22"/>
                <w:szCs w:val="22"/>
              </w:rPr>
            </w:pPr>
          </w:p>
        </w:tc>
        <w:tc>
          <w:tcPr>
            <w:tcW w:w="5891" w:type="dxa"/>
          </w:tcPr>
          <w:p w14:paraId="68878154" w14:textId="77777777" w:rsidR="00E0074D" w:rsidRPr="001362A6" w:rsidRDefault="00E0074D">
            <w:pPr>
              <w:rPr>
                <w:rFonts w:ascii="Lato" w:hAnsi="Lato"/>
                <w:sz w:val="22"/>
                <w:szCs w:val="22"/>
              </w:rPr>
            </w:pPr>
          </w:p>
        </w:tc>
        <w:tc>
          <w:tcPr>
            <w:tcW w:w="3188" w:type="dxa"/>
            <w:tcBorders>
              <w:top w:val="single" w:sz="4" w:space="0" w:color="auto"/>
            </w:tcBorders>
          </w:tcPr>
          <w:p w14:paraId="31795CF1" w14:textId="77777777" w:rsidR="00E0074D" w:rsidRPr="001362A6" w:rsidRDefault="00E0074D">
            <w:pPr>
              <w:ind w:firstLine="99"/>
              <w:rPr>
                <w:rFonts w:ascii="Lato" w:hAnsi="Lato"/>
                <w:sz w:val="22"/>
                <w:szCs w:val="22"/>
              </w:rPr>
            </w:pPr>
          </w:p>
        </w:tc>
      </w:tr>
      <w:tr w:rsidR="00E0074D" w:rsidRPr="001362A6" w14:paraId="4167C2CA" w14:textId="77777777" w:rsidTr="00990D73">
        <w:tc>
          <w:tcPr>
            <w:tcW w:w="1316" w:type="dxa"/>
          </w:tcPr>
          <w:p w14:paraId="53498195" w14:textId="77777777" w:rsidR="00E0074D" w:rsidRPr="001362A6" w:rsidRDefault="00E0074D">
            <w:pPr>
              <w:rPr>
                <w:rFonts w:ascii="Lato" w:hAnsi="Lato"/>
                <w:sz w:val="22"/>
                <w:szCs w:val="22"/>
              </w:rPr>
            </w:pPr>
            <w:r w:rsidRPr="001362A6">
              <w:rPr>
                <w:rFonts w:ascii="Lato" w:hAnsi="Lato"/>
                <w:sz w:val="22"/>
                <w:szCs w:val="22"/>
              </w:rPr>
              <w:t>2.1.2</w:t>
            </w:r>
          </w:p>
        </w:tc>
        <w:tc>
          <w:tcPr>
            <w:tcW w:w="5891" w:type="dxa"/>
          </w:tcPr>
          <w:p w14:paraId="45FD008E" w14:textId="77777777" w:rsidR="00E0074D" w:rsidRPr="001362A6" w:rsidRDefault="00E0074D">
            <w:pPr>
              <w:rPr>
                <w:rFonts w:ascii="Lato" w:hAnsi="Lato"/>
                <w:sz w:val="22"/>
                <w:szCs w:val="22"/>
              </w:rPr>
            </w:pPr>
            <w:r w:rsidRPr="001362A6">
              <w:rPr>
                <w:rFonts w:ascii="Lato" w:hAnsi="Lato"/>
                <w:sz w:val="22"/>
                <w:szCs w:val="22"/>
              </w:rPr>
              <w:t xml:space="preserve">Form in law (must be stated on cover page) </w:t>
            </w:r>
          </w:p>
        </w:tc>
        <w:tc>
          <w:tcPr>
            <w:tcW w:w="3188" w:type="dxa"/>
            <w:tcBorders>
              <w:bottom w:val="single" w:sz="4" w:space="0" w:color="auto"/>
            </w:tcBorders>
          </w:tcPr>
          <w:p w14:paraId="160B0FBF" w14:textId="77777777" w:rsidR="00E0074D" w:rsidRPr="001362A6" w:rsidRDefault="00E0074D">
            <w:pPr>
              <w:ind w:firstLine="99"/>
              <w:rPr>
                <w:rFonts w:ascii="Lato" w:hAnsi="Lato"/>
                <w:sz w:val="22"/>
                <w:szCs w:val="22"/>
              </w:rPr>
            </w:pPr>
          </w:p>
        </w:tc>
      </w:tr>
      <w:tr w:rsidR="00E0074D" w:rsidRPr="001362A6" w14:paraId="190644FF" w14:textId="77777777" w:rsidTr="00990D73">
        <w:trPr>
          <w:cantSplit/>
        </w:trPr>
        <w:tc>
          <w:tcPr>
            <w:tcW w:w="1316" w:type="dxa"/>
          </w:tcPr>
          <w:p w14:paraId="44A8A642" w14:textId="77777777" w:rsidR="00E0074D" w:rsidRPr="001362A6" w:rsidRDefault="00E0074D">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14FF1AE1" w14:textId="77777777" w:rsidR="00E0074D" w:rsidRPr="001362A6" w:rsidRDefault="00E0074D">
            <w:pPr>
              <w:rPr>
                <w:rFonts w:ascii="Lato" w:hAnsi="Lato"/>
                <w:sz w:val="22"/>
                <w:szCs w:val="22"/>
              </w:rPr>
            </w:pPr>
            <w:r w:rsidRPr="001362A6">
              <w:rPr>
                <w:rFonts w:ascii="Lato" w:hAnsi="Lato"/>
                <w:sz w:val="22"/>
                <w:szCs w:val="22"/>
              </w:rPr>
              <w:t>Investment Company with Variable Capital</w:t>
            </w:r>
          </w:p>
        </w:tc>
        <w:tc>
          <w:tcPr>
            <w:tcW w:w="3188" w:type="dxa"/>
            <w:tcBorders>
              <w:top w:val="single" w:sz="4" w:space="0" w:color="auto"/>
              <w:left w:val="single" w:sz="4" w:space="0" w:color="auto"/>
              <w:bottom w:val="single" w:sz="4" w:space="0" w:color="auto"/>
              <w:right w:val="single" w:sz="4" w:space="0" w:color="auto"/>
            </w:tcBorders>
          </w:tcPr>
          <w:p w14:paraId="19B6E89B" w14:textId="77777777" w:rsidR="00E0074D" w:rsidRPr="001362A6" w:rsidRDefault="00E0074D">
            <w:pPr>
              <w:ind w:firstLine="99"/>
              <w:rPr>
                <w:rFonts w:ascii="Lato" w:hAnsi="Lato"/>
                <w:sz w:val="22"/>
                <w:szCs w:val="22"/>
              </w:rPr>
            </w:pPr>
          </w:p>
        </w:tc>
      </w:tr>
      <w:tr w:rsidR="00E0074D" w:rsidRPr="001362A6" w14:paraId="4534DEB4" w14:textId="77777777" w:rsidTr="00990D73">
        <w:trPr>
          <w:cantSplit/>
        </w:trPr>
        <w:tc>
          <w:tcPr>
            <w:tcW w:w="1316" w:type="dxa"/>
          </w:tcPr>
          <w:p w14:paraId="2091B771" w14:textId="77777777" w:rsidR="00E0074D" w:rsidRPr="001362A6" w:rsidRDefault="00E0074D">
            <w:pPr>
              <w:jc w:val="right"/>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1137247F" w14:textId="77777777" w:rsidR="00E0074D" w:rsidRPr="001362A6" w:rsidRDefault="00E0074D">
            <w:pPr>
              <w:rPr>
                <w:rFonts w:ascii="Lato" w:hAnsi="Lato"/>
                <w:sz w:val="22"/>
                <w:szCs w:val="22"/>
              </w:rPr>
            </w:pPr>
            <w:r w:rsidRPr="001362A6">
              <w:rPr>
                <w:rFonts w:ascii="Lato" w:hAnsi="Lato"/>
                <w:sz w:val="22"/>
                <w:szCs w:val="22"/>
              </w:rPr>
              <w:t>Unit Trust</w:t>
            </w:r>
          </w:p>
        </w:tc>
        <w:tc>
          <w:tcPr>
            <w:tcW w:w="3188" w:type="dxa"/>
            <w:tcBorders>
              <w:top w:val="single" w:sz="4" w:space="0" w:color="auto"/>
              <w:left w:val="single" w:sz="4" w:space="0" w:color="auto"/>
              <w:bottom w:val="single" w:sz="4" w:space="0" w:color="auto"/>
              <w:right w:val="single" w:sz="4" w:space="0" w:color="auto"/>
            </w:tcBorders>
          </w:tcPr>
          <w:p w14:paraId="0B7FE9B1" w14:textId="77777777" w:rsidR="00E0074D" w:rsidRPr="001362A6" w:rsidRDefault="00E0074D">
            <w:pPr>
              <w:ind w:firstLine="99"/>
              <w:rPr>
                <w:rFonts w:ascii="Lato" w:hAnsi="Lato"/>
                <w:sz w:val="22"/>
                <w:szCs w:val="22"/>
              </w:rPr>
            </w:pPr>
          </w:p>
        </w:tc>
      </w:tr>
      <w:tr w:rsidR="00E0074D" w:rsidRPr="001362A6" w14:paraId="43DF68CB" w14:textId="77777777" w:rsidTr="00990D73">
        <w:trPr>
          <w:cantSplit/>
        </w:trPr>
        <w:tc>
          <w:tcPr>
            <w:tcW w:w="1316" w:type="dxa"/>
          </w:tcPr>
          <w:p w14:paraId="18506A19" w14:textId="77777777" w:rsidR="00E0074D" w:rsidRPr="001362A6" w:rsidRDefault="00E0074D">
            <w:pPr>
              <w:jc w:val="right"/>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6002F83A" w14:textId="77777777" w:rsidR="00E0074D" w:rsidRPr="001362A6" w:rsidRDefault="00E0074D">
            <w:pPr>
              <w:rPr>
                <w:rFonts w:ascii="Lato" w:hAnsi="Lato"/>
                <w:sz w:val="22"/>
                <w:szCs w:val="22"/>
              </w:rPr>
            </w:pPr>
            <w:r w:rsidRPr="001362A6">
              <w:rPr>
                <w:rFonts w:ascii="Lato" w:hAnsi="Lato"/>
                <w:sz w:val="22"/>
                <w:szCs w:val="22"/>
              </w:rPr>
              <w:t>ILP</w:t>
            </w:r>
          </w:p>
        </w:tc>
        <w:tc>
          <w:tcPr>
            <w:tcW w:w="3188" w:type="dxa"/>
            <w:tcBorders>
              <w:top w:val="single" w:sz="4" w:space="0" w:color="auto"/>
              <w:left w:val="single" w:sz="4" w:space="0" w:color="auto"/>
              <w:bottom w:val="single" w:sz="4" w:space="0" w:color="auto"/>
              <w:right w:val="single" w:sz="4" w:space="0" w:color="auto"/>
            </w:tcBorders>
          </w:tcPr>
          <w:p w14:paraId="6CF9BD48" w14:textId="77777777" w:rsidR="00E0074D" w:rsidRPr="001362A6" w:rsidRDefault="00E0074D">
            <w:pPr>
              <w:ind w:firstLine="99"/>
              <w:rPr>
                <w:rFonts w:ascii="Lato" w:hAnsi="Lato"/>
                <w:sz w:val="22"/>
                <w:szCs w:val="22"/>
              </w:rPr>
            </w:pPr>
          </w:p>
        </w:tc>
      </w:tr>
      <w:tr w:rsidR="00E0074D" w:rsidRPr="001362A6" w14:paraId="0AB341EE" w14:textId="77777777" w:rsidTr="00990D73">
        <w:trPr>
          <w:cantSplit/>
        </w:trPr>
        <w:tc>
          <w:tcPr>
            <w:tcW w:w="1316" w:type="dxa"/>
          </w:tcPr>
          <w:p w14:paraId="6CC4147A" w14:textId="77777777" w:rsidR="00E0074D" w:rsidRPr="001362A6" w:rsidRDefault="00E0074D">
            <w:pPr>
              <w:jc w:val="right"/>
              <w:rPr>
                <w:rFonts w:ascii="Lato" w:hAnsi="Lato"/>
                <w:sz w:val="22"/>
                <w:szCs w:val="22"/>
              </w:rPr>
            </w:pPr>
            <w:r w:rsidRPr="001362A6">
              <w:rPr>
                <w:rFonts w:ascii="Lato" w:hAnsi="Lato"/>
                <w:sz w:val="22"/>
                <w:szCs w:val="22"/>
              </w:rPr>
              <w:t>d)</w:t>
            </w:r>
          </w:p>
        </w:tc>
        <w:tc>
          <w:tcPr>
            <w:tcW w:w="5891" w:type="dxa"/>
            <w:tcBorders>
              <w:right w:val="single" w:sz="4" w:space="0" w:color="auto"/>
            </w:tcBorders>
          </w:tcPr>
          <w:p w14:paraId="39527944" w14:textId="77777777" w:rsidR="00E0074D" w:rsidRPr="001362A6" w:rsidRDefault="00E0074D">
            <w:pPr>
              <w:rPr>
                <w:rFonts w:ascii="Lato" w:hAnsi="Lato"/>
                <w:sz w:val="22"/>
                <w:szCs w:val="22"/>
              </w:rPr>
            </w:pPr>
            <w:r w:rsidRPr="001362A6">
              <w:rPr>
                <w:rFonts w:ascii="Lato" w:hAnsi="Lato"/>
                <w:sz w:val="22"/>
                <w:szCs w:val="22"/>
              </w:rPr>
              <w:t>CCF</w:t>
            </w:r>
          </w:p>
        </w:tc>
        <w:tc>
          <w:tcPr>
            <w:tcW w:w="3188" w:type="dxa"/>
            <w:tcBorders>
              <w:top w:val="single" w:sz="4" w:space="0" w:color="auto"/>
              <w:left w:val="single" w:sz="4" w:space="0" w:color="auto"/>
              <w:bottom w:val="single" w:sz="4" w:space="0" w:color="auto"/>
              <w:right w:val="single" w:sz="4" w:space="0" w:color="auto"/>
            </w:tcBorders>
          </w:tcPr>
          <w:p w14:paraId="2C0303BD" w14:textId="77777777" w:rsidR="00E0074D" w:rsidRPr="001362A6" w:rsidRDefault="00E0074D">
            <w:pPr>
              <w:ind w:firstLine="99"/>
              <w:rPr>
                <w:rFonts w:ascii="Lato" w:hAnsi="Lato"/>
                <w:sz w:val="22"/>
                <w:szCs w:val="22"/>
              </w:rPr>
            </w:pPr>
          </w:p>
        </w:tc>
      </w:tr>
      <w:tr w:rsidR="00D144C7" w:rsidRPr="001362A6" w14:paraId="21A53F73" w14:textId="77777777" w:rsidTr="00990D73">
        <w:trPr>
          <w:cantSplit/>
        </w:trPr>
        <w:tc>
          <w:tcPr>
            <w:tcW w:w="1316" w:type="dxa"/>
          </w:tcPr>
          <w:p w14:paraId="19F4F9E4" w14:textId="77777777" w:rsidR="00D144C7" w:rsidRPr="001362A6" w:rsidRDefault="00D144C7">
            <w:pPr>
              <w:jc w:val="right"/>
              <w:rPr>
                <w:rFonts w:ascii="Lato" w:hAnsi="Lato"/>
                <w:sz w:val="22"/>
                <w:szCs w:val="22"/>
              </w:rPr>
            </w:pPr>
            <w:r w:rsidRPr="001362A6">
              <w:rPr>
                <w:rFonts w:ascii="Lato" w:hAnsi="Lato"/>
                <w:sz w:val="22"/>
                <w:szCs w:val="22"/>
              </w:rPr>
              <w:t>e)</w:t>
            </w:r>
          </w:p>
        </w:tc>
        <w:tc>
          <w:tcPr>
            <w:tcW w:w="5891" w:type="dxa"/>
            <w:tcBorders>
              <w:right w:val="single" w:sz="4" w:space="0" w:color="auto"/>
            </w:tcBorders>
          </w:tcPr>
          <w:p w14:paraId="66235CAB" w14:textId="77777777" w:rsidR="00D144C7" w:rsidRPr="001362A6" w:rsidRDefault="00D144C7">
            <w:pPr>
              <w:rPr>
                <w:rFonts w:ascii="Lato" w:hAnsi="Lato"/>
                <w:sz w:val="22"/>
                <w:szCs w:val="22"/>
              </w:rPr>
            </w:pPr>
            <w:r w:rsidRPr="001362A6">
              <w:rPr>
                <w:rFonts w:ascii="Lato" w:hAnsi="Lato"/>
                <w:sz w:val="22"/>
                <w:szCs w:val="22"/>
              </w:rPr>
              <w:t>ICAV</w:t>
            </w:r>
          </w:p>
        </w:tc>
        <w:tc>
          <w:tcPr>
            <w:tcW w:w="3188" w:type="dxa"/>
            <w:tcBorders>
              <w:top w:val="single" w:sz="4" w:space="0" w:color="auto"/>
              <w:left w:val="single" w:sz="4" w:space="0" w:color="auto"/>
              <w:bottom w:val="single" w:sz="4" w:space="0" w:color="auto"/>
              <w:right w:val="single" w:sz="4" w:space="0" w:color="auto"/>
            </w:tcBorders>
          </w:tcPr>
          <w:p w14:paraId="75A6F8D7" w14:textId="77777777" w:rsidR="00D144C7" w:rsidRPr="001362A6" w:rsidRDefault="00D144C7">
            <w:pPr>
              <w:ind w:firstLine="99"/>
              <w:rPr>
                <w:rFonts w:ascii="Lato" w:hAnsi="Lato"/>
                <w:sz w:val="22"/>
                <w:szCs w:val="22"/>
              </w:rPr>
            </w:pPr>
          </w:p>
        </w:tc>
      </w:tr>
      <w:tr w:rsidR="00E0074D" w:rsidRPr="001362A6" w14:paraId="6835FE93" w14:textId="77777777" w:rsidTr="00990D73">
        <w:tc>
          <w:tcPr>
            <w:tcW w:w="1316" w:type="dxa"/>
          </w:tcPr>
          <w:p w14:paraId="5B7FF59E" w14:textId="77777777" w:rsidR="00E0074D" w:rsidRPr="001362A6" w:rsidRDefault="00E0074D">
            <w:pPr>
              <w:rPr>
                <w:rFonts w:ascii="Lato" w:hAnsi="Lato"/>
                <w:b/>
                <w:sz w:val="22"/>
                <w:szCs w:val="22"/>
              </w:rPr>
            </w:pPr>
          </w:p>
        </w:tc>
        <w:tc>
          <w:tcPr>
            <w:tcW w:w="5891" w:type="dxa"/>
          </w:tcPr>
          <w:p w14:paraId="56FE9C3E" w14:textId="77777777" w:rsidR="00E0074D" w:rsidRPr="001362A6" w:rsidRDefault="00EB593B">
            <w:pPr>
              <w:rPr>
                <w:rFonts w:ascii="Lato" w:hAnsi="Lato"/>
                <w:b/>
                <w:sz w:val="22"/>
                <w:szCs w:val="22"/>
              </w:rPr>
            </w:pPr>
            <w:r w:rsidRPr="001362A6">
              <w:rPr>
                <w:rFonts w:ascii="Lato" w:hAnsi="Lato"/>
                <w:b/>
                <w:sz w:val="22"/>
                <w:szCs w:val="22"/>
              </w:rPr>
              <w:t>Investment Company</w:t>
            </w:r>
            <w:r w:rsidR="00D144C7" w:rsidRPr="001362A6">
              <w:rPr>
                <w:rFonts w:ascii="Lato" w:hAnsi="Lato"/>
                <w:b/>
                <w:sz w:val="22"/>
                <w:szCs w:val="22"/>
              </w:rPr>
              <w:t>/ICAV</w:t>
            </w:r>
          </w:p>
        </w:tc>
        <w:tc>
          <w:tcPr>
            <w:tcW w:w="3188" w:type="dxa"/>
            <w:tcBorders>
              <w:top w:val="single" w:sz="4" w:space="0" w:color="auto"/>
              <w:bottom w:val="single" w:sz="4" w:space="0" w:color="auto"/>
            </w:tcBorders>
          </w:tcPr>
          <w:p w14:paraId="00BCDB4E" w14:textId="77777777" w:rsidR="00E0074D" w:rsidRPr="001362A6" w:rsidRDefault="00E0074D">
            <w:pPr>
              <w:ind w:firstLine="99"/>
              <w:rPr>
                <w:rFonts w:ascii="Lato" w:hAnsi="Lato"/>
                <w:sz w:val="22"/>
                <w:szCs w:val="22"/>
              </w:rPr>
            </w:pPr>
          </w:p>
        </w:tc>
      </w:tr>
      <w:tr w:rsidR="00E0074D" w:rsidRPr="001362A6" w14:paraId="23CD7896" w14:textId="77777777" w:rsidTr="00990D73">
        <w:tc>
          <w:tcPr>
            <w:tcW w:w="1316" w:type="dxa"/>
          </w:tcPr>
          <w:p w14:paraId="7A7432EE" w14:textId="77777777" w:rsidR="00E0074D" w:rsidRPr="001362A6" w:rsidRDefault="00E0074D">
            <w:pPr>
              <w:rPr>
                <w:rFonts w:ascii="Lato" w:hAnsi="Lato"/>
                <w:sz w:val="22"/>
                <w:szCs w:val="22"/>
              </w:rPr>
            </w:pPr>
            <w:r w:rsidRPr="001362A6">
              <w:rPr>
                <w:rFonts w:ascii="Lato" w:hAnsi="Lato"/>
                <w:sz w:val="22"/>
                <w:szCs w:val="22"/>
              </w:rPr>
              <w:t>2.1.3</w:t>
            </w:r>
            <w:r w:rsidR="00EB593B" w:rsidRPr="001362A6">
              <w:rPr>
                <w:rFonts w:ascii="Lato" w:hAnsi="Lato"/>
                <w:sz w:val="22"/>
                <w:szCs w:val="22"/>
              </w:rPr>
              <w:t xml:space="preserve"> </w:t>
            </w:r>
            <w:r w:rsidR="009F3AF9" w:rsidRPr="001362A6">
              <w:rPr>
                <w:rFonts w:ascii="Lato" w:hAnsi="Lato"/>
                <w:sz w:val="22"/>
                <w:szCs w:val="22"/>
              </w:rPr>
              <w:t xml:space="preserve">  </w:t>
            </w:r>
            <w:r w:rsidR="008C1A4B" w:rsidRPr="001362A6">
              <w:rPr>
                <w:rFonts w:ascii="Lato" w:hAnsi="Lato"/>
                <w:sz w:val="22"/>
                <w:szCs w:val="22"/>
              </w:rPr>
              <w:t xml:space="preserve">   </w:t>
            </w:r>
            <w:r w:rsidR="009F3AF9" w:rsidRPr="001362A6">
              <w:rPr>
                <w:rFonts w:ascii="Lato" w:hAnsi="Lato"/>
                <w:sz w:val="22"/>
                <w:szCs w:val="22"/>
              </w:rPr>
              <w:t xml:space="preserve"> </w:t>
            </w:r>
            <w:r w:rsidR="00EB593B" w:rsidRPr="001362A6">
              <w:rPr>
                <w:rFonts w:ascii="Lato" w:hAnsi="Lato"/>
                <w:sz w:val="22"/>
                <w:szCs w:val="22"/>
              </w:rPr>
              <w:t>(i)</w:t>
            </w:r>
          </w:p>
        </w:tc>
        <w:tc>
          <w:tcPr>
            <w:tcW w:w="5891" w:type="dxa"/>
            <w:tcBorders>
              <w:right w:val="single" w:sz="4" w:space="0" w:color="auto"/>
            </w:tcBorders>
          </w:tcPr>
          <w:p w14:paraId="56D2BE7C" w14:textId="77777777" w:rsidR="00E0074D" w:rsidRPr="001362A6" w:rsidRDefault="00E0074D" w:rsidP="00EB593B">
            <w:pPr>
              <w:rPr>
                <w:rFonts w:ascii="Lato" w:hAnsi="Lato"/>
                <w:sz w:val="22"/>
                <w:szCs w:val="22"/>
              </w:rPr>
            </w:pPr>
            <w:r w:rsidRPr="001362A6">
              <w:rPr>
                <w:rFonts w:ascii="Lato" w:hAnsi="Lato"/>
                <w:sz w:val="22"/>
                <w:szCs w:val="22"/>
              </w:rPr>
              <w:t>Registered Office</w:t>
            </w:r>
            <w:r w:rsidR="00D760E3" w:rsidRPr="001362A6">
              <w:rPr>
                <w:rFonts w:ascii="Lato" w:hAnsi="Lato"/>
                <w:sz w:val="22"/>
                <w:szCs w:val="22"/>
              </w:rPr>
              <w:t xml:space="preserve"> </w:t>
            </w:r>
          </w:p>
        </w:tc>
        <w:tc>
          <w:tcPr>
            <w:tcW w:w="3188" w:type="dxa"/>
            <w:tcBorders>
              <w:top w:val="single" w:sz="4" w:space="0" w:color="auto"/>
              <w:left w:val="single" w:sz="4" w:space="0" w:color="auto"/>
              <w:bottom w:val="single" w:sz="4" w:space="0" w:color="auto"/>
              <w:right w:val="single" w:sz="4" w:space="0" w:color="auto"/>
            </w:tcBorders>
          </w:tcPr>
          <w:p w14:paraId="6DE275C8" w14:textId="77777777" w:rsidR="00E0074D" w:rsidRPr="001362A6" w:rsidRDefault="00E0074D">
            <w:pPr>
              <w:rPr>
                <w:rFonts w:ascii="Lato" w:hAnsi="Lato"/>
                <w:sz w:val="22"/>
                <w:szCs w:val="22"/>
              </w:rPr>
            </w:pPr>
          </w:p>
        </w:tc>
      </w:tr>
      <w:tr w:rsidR="009F3AF9" w:rsidRPr="001362A6" w14:paraId="6686A270" w14:textId="77777777" w:rsidTr="00990D73">
        <w:tc>
          <w:tcPr>
            <w:tcW w:w="1316" w:type="dxa"/>
          </w:tcPr>
          <w:p w14:paraId="1C97E0F2" w14:textId="77777777" w:rsidR="009F3AF9" w:rsidRPr="001362A6" w:rsidRDefault="009F3AF9" w:rsidP="009F3AF9">
            <w:pPr>
              <w:jc w:val="right"/>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099D5E36" w14:textId="77777777" w:rsidR="009F3AF9" w:rsidRPr="001362A6" w:rsidRDefault="009F3AF9" w:rsidP="00EB593B">
            <w:pPr>
              <w:rPr>
                <w:rFonts w:ascii="Lato" w:hAnsi="Lato"/>
                <w:sz w:val="22"/>
                <w:szCs w:val="22"/>
              </w:rPr>
            </w:pPr>
            <w:r w:rsidRPr="001362A6">
              <w:rPr>
                <w:rFonts w:ascii="Lato" w:hAnsi="Lato"/>
                <w:sz w:val="22"/>
                <w:szCs w:val="22"/>
              </w:rPr>
              <w:t>Names and positions of the directors</w:t>
            </w:r>
          </w:p>
        </w:tc>
        <w:tc>
          <w:tcPr>
            <w:tcW w:w="3188" w:type="dxa"/>
            <w:tcBorders>
              <w:top w:val="single" w:sz="4" w:space="0" w:color="auto"/>
              <w:left w:val="single" w:sz="4" w:space="0" w:color="auto"/>
              <w:bottom w:val="single" w:sz="4" w:space="0" w:color="auto"/>
              <w:right w:val="single" w:sz="4" w:space="0" w:color="auto"/>
            </w:tcBorders>
          </w:tcPr>
          <w:p w14:paraId="7533FD3A" w14:textId="77777777" w:rsidR="009F3AF9" w:rsidRPr="001362A6" w:rsidRDefault="009F3AF9">
            <w:pPr>
              <w:rPr>
                <w:rFonts w:ascii="Lato" w:hAnsi="Lato"/>
                <w:sz w:val="22"/>
                <w:szCs w:val="22"/>
              </w:rPr>
            </w:pPr>
          </w:p>
        </w:tc>
      </w:tr>
      <w:tr w:rsidR="009F3AF9" w:rsidRPr="001362A6" w14:paraId="4A861F11" w14:textId="77777777" w:rsidTr="00990D73">
        <w:tc>
          <w:tcPr>
            <w:tcW w:w="1316" w:type="dxa"/>
          </w:tcPr>
          <w:p w14:paraId="56129301" w14:textId="77777777" w:rsidR="009F3AF9" w:rsidRPr="001362A6" w:rsidRDefault="009F3AF9" w:rsidP="009F3AF9">
            <w:pPr>
              <w:jc w:val="right"/>
              <w:rPr>
                <w:rFonts w:ascii="Lato" w:hAnsi="Lato"/>
                <w:sz w:val="22"/>
                <w:szCs w:val="22"/>
              </w:rPr>
            </w:pPr>
            <w:r w:rsidRPr="001362A6">
              <w:rPr>
                <w:rFonts w:ascii="Lato" w:hAnsi="Lato"/>
                <w:sz w:val="22"/>
                <w:szCs w:val="22"/>
              </w:rPr>
              <w:t>(iii)</w:t>
            </w:r>
          </w:p>
        </w:tc>
        <w:tc>
          <w:tcPr>
            <w:tcW w:w="5891" w:type="dxa"/>
          </w:tcPr>
          <w:p w14:paraId="219E71EB" w14:textId="77777777" w:rsidR="009F3AF9" w:rsidRPr="001362A6" w:rsidRDefault="009F3AF9" w:rsidP="00EB593B">
            <w:pPr>
              <w:rPr>
                <w:rFonts w:ascii="Lato" w:hAnsi="Lato"/>
                <w:sz w:val="22"/>
                <w:szCs w:val="22"/>
              </w:rPr>
            </w:pPr>
            <w:r w:rsidRPr="001362A6">
              <w:rPr>
                <w:rFonts w:ascii="Lato" w:hAnsi="Lato"/>
                <w:sz w:val="22"/>
                <w:szCs w:val="22"/>
              </w:rPr>
              <w:t>A brief description of the directors’ work experience which</w:t>
            </w:r>
          </w:p>
        </w:tc>
        <w:tc>
          <w:tcPr>
            <w:tcW w:w="3188" w:type="dxa"/>
            <w:tcBorders>
              <w:top w:val="single" w:sz="4" w:space="0" w:color="auto"/>
            </w:tcBorders>
          </w:tcPr>
          <w:p w14:paraId="56851511" w14:textId="77777777" w:rsidR="009F3AF9" w:rsidRPr="001362A6" w:rsidRDefault="009F3AF9">
            <w:pPr>
              <w:rPr>
                <w:rFonts w:ascii="Lato" w:hAnsi="Lato"/>
                <w:sz w:val="22"/>
                <w:szCs w:val="22"/>
              </w:rPr>
            </w:pPr>
          </w:p>
        </w:tc>
      </w:tr>
      <w:tr w:rsidR="009F3AF9" w:rsidRPr="001362A6" w14:paraId="76C0B268" w14:textId="77777777" w:rsidTr="00990D73">
        <w:tc>
          <w:tcPr>
            <w:tcW w:w="1316" w:type="dxa"/>
          </w:tcPr>
          <w:p w14:paraId="1662AC9D" w14:textId="77777777" w:rsidR="009F3AF9" w:rsidRPr="001362A6" w:rsidRDefault="009F3AF9" w:rsidP="009F3AF9">
            <w:pPr>
              <w:jc w:val="right"/>
              <w:rPr>
                <w:rFonts w:ascii="Lato" w:hAnsi="Lato"/>
                <w:sz w:val="22"/>
                <w:szCs w:val="22"/>
              </w:rPr>
            </w:pPr>
          </w:p>
        </w:tc>
        <w:tc>
          <w:tcPr>
            <w:tcW w:w="5891" w:type="dxa"/>
          </w:tcPr>
          <w:p w14:paraId="6284C9EA" w14:textId="77777777" w:rsidR="009F3AF9" w:rsidRPr="001362A6" w:rsidRDefault="009F3AF9" w:rsidP="00EB593B">
            <w:pPr>
              <w:rPr>
                <w:rFonts w:ascii="Lato" w:hAnsi="Lato"/>
                <w:sz w:val="22"/>
                <w:szCs w:val="22"/>
              </w:rPr>
            </w:pPr>
            <w:r w:rsidRPr="001362A6">
              <w:rPr>
                <w:rFonts w:ascii="Lato" w:hAnsi="Lato"/>
                <w:sz w:val="22"/>
                <w:szCs w:val="22"/>
              </w:rPr>
              <w:t>is relevant to the Qualifying Investor AIF</w:t>
            </w:r>
          </w:p>
        </w:tc>
        <w:tc>
          <w:tcPr>
            <w:tcW w:w="3188" w:type="dxa"/>
            <w:tcBorders>
              <w:bottom w:val="single" w:sz="4" w:space="0" w:color="auto"/>
            </w:tcBorders>
          </w:tcPr>
          <w:p w14:paraId="1B430FC5" w14:textId="77777777" w:rsidR="009F3AF9" w:rsidRPr="001362A6" w:rsidRDefault="009F3AF9">
            <w:pPr>
              <w:rPr>
                <w:rFonts w:ascii="Lato" w:hAnsi="Lato"/>
                <w:sz w:val="22"/>
                <w:szCs w:val="22"/>
              </w:rPr>
            </w:pPr>
          </w:p>
        </w:tc>
      </w:tr>
      <w:tr w:rsidR="009F3AF9" w:rsidRPr="001362A6" w14:paraId="49671CF0" w14:textId="77777777" w:rsidTr="00990D73">
        <w:tc>
          <w:tcPr>
            <w:tcW w:w="1316" w:type="dxa"/>
          </w:tcPr>
          <w:p w14:paraId="598948AD" w14:textId="77777777" w:rsidR="009F3AF9" w:rsidRPr="001362A6" w:rsidRDefault="009F3AF9" w:rsidP="009F3AF9">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02B5E94C" w14:textId="77777777" w:rsidR="009F3AF9" w:rsidRPr="001362A6" w:rsidRDefault="009F3AF9" w:rsidP="00EB593B">
            <w:pPr>
              <w:rPr>
                <w:rFonts w:ascii="Lato" w:hAnsi="Lato"/>
                <w:sz w:val="22"/>
                <w:szCs w:val="22"/>
              </w:rPr>
            </w:pPr>
            <w:r w:rsidRPr="001362A6">
              <w:rPr>
                <w:rFonts w:ascii="Lato" w:hAnsi="Lato"/>
                <w:sz w:val="22"/>
                <w:szCs w:val="22"/>
              </w:rPr>
              <w:t>current</w:t>
            </w:r>
          </w:p>
        </w:tc>
        <w:tc>
          <w:tcPr>
            <w:tcW w:w="3188" w:type="dxa"/>
            <w:tcBorders>
              <w:top w:val="single" w:sz="4" w:space="0" w:color="auto"/>
              <w:left w:val="single" w:sz="4" w:space="0" w:color="auto"/>
              <w:bottom w:val="single" w:sz="4" w:space="0" w:color="auto"/>
              <w:right w:val="single" w:sz="4" w:space="0" w:color="auto"/>
            </w:tcBorders>
          </w:tcPr>
          <w:p w14:paraId="17C3B0EC" w14:textId="77777777" w:rsidR="009F3AF9" w:rsidRPr="001362A6" w:rsidRDefault="009F3AF9">
            <w:pPr>
              <w:rPr>
                <w:rFonts w:ascii="Lato" w:hAnsi="Lato"/>
                <w:sz w:val="22"/>
                <w:szCs w:val="22"/>
              </w:rPr>
            </w:pPr>
          </w:p>
        </w:tc>
      </w:tr>
      <w:tr w:rsidR="009F3AF9" w:rsidRPr="001362A6" w14:paraId="59A47A8F" w14:textId="77777777" w:rsidTr="00990D73">
        <w:tc>
          <w:tcPr>
            <w:tcW w:w="1316" w:type="dxa"/>
          </w:tcPr>
          <w:p w14:paraId="13CDED72" w14:textId="77777777" w:rsidR="009F3AF9" w:rsidRPr="001362A6" w:rsidRDefault="009F3AF9" w:rsidP="009F3AF9">
            <w:pPr>
              <w:jc w:val="right"/>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5E1AE21D" w14:textId="77777777" w:rsidR="009F3AF9" w:rsidRPr="001362A6" w:rsidRDefault="009F3AF9" w:rsidP="00EB593B">
            <w:pPr>
              <w:rPr>
                <w:rFonts w:ascii="Lato" w:hAnsi="Lato"/>
                <w:sz w:val="22"/>
                <w:szCs w:val="22"/>
              </w:rPr>
            </w:pPr>
            <w:r w:rsidRPr="001362A6">
              <w:rPr>
                <w:rFonts w:ascii="Lato" w:hAnsi="Lato"/>
                <w:sz w:val="22"/>
                <w:szCs w:val="22"/>
              </w:rPr>
              <w:t>Past and</w:t>
            </w:r>
          </w:p>
        </w:tc>
        <w:tc>
          <w:tcPr>
            <w:tcW w:w="3188" w:type="dxa"/>
            <w:tcBorders>
              <w:top w:val="single" w:sz="4" w:space="0" w:color="auto"/>
              <w:left w:val="single" w:sz="4" w:space="0" w:color="auto"/>
              <w:bottom w:val="single" w:sz="4" w:space="0" w:color="auto"/>
              <w:right w:val="single" w:sz="4" w:space="0" w:color="auto"/>
            </w:tcBorders>
          </w:tcPr>
          <w:p w14:paraId="4861591D" w14:textId="77777777" w:rsidR="009F3AF9" w:rsidRPr="001362A6" w:rsidRDefault="009F3AF9">
            <w:pPr>
              <w:rPr>
                <w:rFonts w:ascii="Lato" w:hAnsi="Lato"/>
                <w:sz w:val="22"/>
                <w:szCs w:val="22"/>
              </w:rPr>
            </w:pPr>
          </w:p>
        </w:tc>
      </w:tr>
      <w:tr w:rsidR="009F3AF9" w:rsidRPr="001362A6" w14:paraId="30AE97FA" w14:textId="77777777" w:rsidTr="00990D73">
        <w:tc>
          <w:tcPr>
            <w:tcW w:w="1316" w:type="dxa"/>
          </w:tcPr>
          <w:p w14:paraId="15FEB5AA" w14:textId="77777777" w:rsidR="009F3AF9" w:rsidRPr="001362A6" w:rsidRDefault="009F3AF9" w:rsidP="009F3AF9">
            <w:pPr>
              <w:jc w:val="right"/>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678BFBF1" w14:textId="77777777" w:rsidR="009F3AF9" w:rsidRPr="001362A6" w:rsidRDefault="009F3AF9" w:rsidP="00D95E9D">
            <w:pPr>
              <w:rPr>
                <w:rFonts w:ascii="Lato" w:hAnsi="Lato"/>
                <w:sz w:val="22"/>
                <w:szCs w:val="22"/>
              </w:rPr>
            </w:pPr>
            <w:r w:rsidRPr="001362A6">
              <w:rPr>
                <w:rFonts w:ascii="Lato" w:hAnsi="Lato"/>
                <w:sz w:val="22"/>
                <w:szCs w:val="22"/>
              </w:rPr>
              <w:t>their main activities outside of the company</w:t>
            </w:r>
            <w:r w:rsidR="00D144C7" w:rsidRPr="001362A6">
              <w:rPr>
                <w:rFonts w:ascii="Lato" w:hAnsi="Lato"/>
                <w:sz w:val="22"/>
                <w:szCs w:val="22"/>
              </w:rPr>
              <w:t>/ICAV</w:t>
            </w:r>
            <w:r w:rsidRPr="001362A6">
              <w:rPr>
                <w:rFonts w:ascii="Lato" w:hAnsi="Lato"/>
                <w:sz w:val="22"/>
                <w:szCs w:val="22"/>
              </w:rPr>
              <w:t xml:space="preserve"> (where </w:t>
            </w:r>
          </w:p>
        </w:tc>
        <w:tc>
          <w:tcPr>
            <w:tcW w:w="3188" w:type="dxa"/>
            <w:tcBorders>
              <w:top w:val="single" w:sz="4" w:space="0" w:color="auto"/>
              <w:left w:val="single" w:sz="4" w:space="0" w:color="auto"/>
              <w:bottom w:val="single" w:sz="4" w:space="0" w:color="auto"/>
              <w:right w:val="single" w:sz="4" w:space="0" w:color="auto"/>
            </w:tcBorders>
          </w:tcPr>
          <w:p w14:paraId="004D4DCE" w14:textId="77777777" w:rsidR="009F3AF9" w:rsidRPr="001362A6" w:rsidRDefault="009F3AF9">
            <w:pPr>
              <w:rPr>
                <w:rFonts w:ascii="Lato" w:hAnsi="Lato"/>
                <w:sz w:val="22"/>
                <w:szCs w:val="22"/>
              </w:rPr>
            </w:pPr>
          </w:p>
        </w:tc>
      </w:tr>
      <w:tr w:rsidR="009F3AF9" w:rsidRPr="001362A6" w14:paraId="3FDED361" w14:textId="77777777" w:rsidTr="00990D73">
        <w:tc>
          <w:tcPr>
            <w:tcW w:w="1316" w:type="dxa"/>
          </w:tcPr>
          <w:p w14:paraId="350917E1" w14:textId="77777777" w:rsidR="009F3AF9" w:rsidRPr="001362A6" w:rsidRDefault="009F3AF9">
            <w:pPr>
              <w:rPr>
                <w:rFonts w:ascii="Lato" w:hAnsi="Lato"/>
                <w:sz w:val="22"/>
                <w:szCs w:val="22"/>
              </w:rPr>
            </w:pPr>
          </w:p>
        </w:tc>
        <w:tc>
          <w:tcPr>
            <w:tcW w:w="5891" w:type="dxa"/>
          </w:tcPr>
          <w:p w14:paraId="38E5F498" w14:textId="77777777" w:rsidR="009F3AF9" w:rsidRPr="001362A6" w:rsidRDefault="005B3769" w:rsidP="00EB593B">
            <w:pPr>
              <w:rPr>
                <w:rFonts w:ascii="Lato" w:hAnsi="Lato"/>
                <w:sz w:val="22"/>
                <w:szCs w:val="22"/>
              </w:rPr>
            </w:pPr>
            <w:r w:rsidRPr="00590C6D">
              <w:rPr>
                <w:rFonts w:ascii="Lato" w:hAnsi="Lato"/>
                <w:sz w:val="22"/>
                <w:szCs w:val="22"/>
              </w:rPr>
              <w:t>these</w:t>
            </w:r>
            <w:r w:rsidRPr="00D95E9D">
              <w:rPr>
                <w:rFonts w:ascii="Lato" w:hAnsi="Lato"/>
                <w:sz w:val="22"/>
                <w:szCs w:val="22"/>
              </w:rPr>
              <w:t xml:space="preserve"> </w:t>
            </w:r>
            <w:r w:rsidR="009F3AF9" w:rsidRPr="001362A6">
              <w:rPr>
                <w:rFonts w:ascii="Lato" w:hAnsi="Lato"/>
                <w:sz w:val="22"/>
                <w:szCs w:val="22"/>
              </w:rPr>
              <w:t>are of significance to the investment company</w:t>
            </w:r>
            <w:r w:rsidR="00D144C7" w:rsidRPr="001362A6">
              <w:rPr>
                <w:rFonts w:ascii="Lato" w:hAnsi="Lato"/>
                <w:sz w:val="22"/>
                <w:szCs w:val="22"/>
              </w:rPr>
              <w:t>/ICAV)</w:t>
            </w:r>
          </w:p>
        </w:tc>
        <w:tc>
          <w:tcPr>
            <w:tcW w:w="3188" w:type="dxa"/>
            <w:tcBorders>
              <w:top w:val="single" w:sz="4" w:space="0" w:color="auto"/>
              <w:bottom w:val="single" w:sz="4" w:space="0" w:color="auto"/>
            </w:tcBorders>
          </w:tcPr>
          <w:p w14:paraId="68E54D99" w14:textId="77777777" w:rsidR="009F3AF9" w:rsidRPr="001362A6" w:rsidRDefault="009F3AF9">
            <w:pPr>
              <w:rPr>
                <w:rFonts w:ascii="Lato" w:hAnsi="Lato"/>
                <w:sz w:val="22"/>
                <w:szCs w:val="22"/>
              </w:rPr>
            </w:pPr>
          </w:p>
        </w:tc>
      </w:tr>
      <w:tr w:rsidR="009F3AF9" w:rsidRPr="001362A6" w14:paraId="550FB33A" w14:textId="77777777" w:rsidTr="00990D73">
        <w:tc>
          <w:tcPr>
            <w:tcW w:w="1316" w:type="dxa"/>
          </w:tcPr>
          <w:p w14:paraId="6260002F" w14:textId="77777777" w:rsidR="009F3AF9" w:rsidRPr="001362A6" w:rsidRDefault="009F3AF9" w:rsidP="009F3AF9">
            <w:pPr>
              <w:jc w:val="right"/>
              <w:rPr>
                <w:rFonts w:ascii="Lato" w:hAnsi="Lato"/>
                <w:sz w:val="22"/>
                <w:szCs w:val="22"/>
              </w:rPr>
            </w:pPr>
            <w:r w:rsidRPr="001362A6">
              <w:rPr>
                <w:rFonts w:ascii="Lato" w:hAnsi="Lato"/>
                <w:sz w:val="22"/>
                <w:szCs w:val="22"/>
              </w:rPr>
              <w:t>(iv)</w:t>
            </w:r>
          </w:p>
        </w:tc>
        <w:tc>
          <w:tcPr>
            <w:tcW w:w="5891" w:type="dxa"/>
            <w:tcBorders>
              <w:right w:val="single" w:sz="4" w:space="0" w:color="auto"/>
            </w:tcBorders>
          </w:tcPr>
          <w:p w14:paraId="17F40403" w14:textId="77777777" w:rsidR="009F3AF9" w:rsidRPr="001362A6" w:rsidRDefault="009F3AF9" w:rsidP="00EB593B">
            <w:pPr>
              <w:rPr>
                <w:rFonts w:ascii="Lato" w:hAnsi="Lato"/>
                <w:sz w:val="22"/>
                <w:szCs w:val="22"/>
              </w:rPr>
            </w:pPr>
            <w:r w:rsidRPr="001362A6">
              <w:rPr>
                <w:rFonts w:ascii="Lato" w:hAnsi="Lato"/>
                <w:sz w:val="22"/>
                <w:szCs w:val="22"/>
              </w:rPr>
              <w:t>Head office (if different to the registered office</w:t>
            </w:r>
            <w:r w:rsidR="00D144C7" w:rsidRPr="001362A6">
              <w:rPr>
                <w:rFonts w:ascii="Lato" w:hAnsi="Lato"/>
                <w:sz w:val="22"/>
                <w:szCs w:val="22"/>
              </w:rPr>
              <w:t>)</w:t>
            </w:r>
          </w:p>
        </w:tc>
        <w:tc>
          <w:tcPr>
            <w:tcW w:w="3188" w:type="dxa"/>
            <w:tcBorders>
              <w:top w:val="single" w:sz="4" w:space="0" w:color="auto"/>
              <w:left w:val="single" w:sz="4" w:space="0" w:color="auto"/>
              <w:bottom w:val="single" w:sz="4" w:space="0" w:color="auto"/>
              <w:right w:val="single" w:sz="4" w:space="0" w:color="auto"/>
            </w:tcBorders>
          </w:tcPr>
          <w:p w14:paraId="074AA103" w14:textId="77777777" w:rsidR="009F3AF9" w:rsidRPr="001362A6" w:rsidRDefault="009F3AF9">
            <w:pPr>
              <w:rPr>
                <w:rFonts w:ascii="Lato" w:hAnsi="Lato"/>
                <w:sz w:val="22"/>
                <w:szCs w:val="22"/>
              </w:rPr>
            </w:pPr>
          </w:p>
        </w:tc>
      </w:tr>
      <w:tr w:rsidR="00E0074D" w:rsidRPr="001362A6" w14:paraId="18D80333" w14:textId="77777777" w:rsidTr="0042571B">
        <w:tc>
          <w:tcPr>
            <w:tcW w:w="1316" w:type="dxa"/>
          </w:tcPr>
          <w:p w14:paraId="565B8851" w14:textId="77777777" w:rsidR="00E0074D" w:rsidRPr="001362A6" w:rsidRDefault="00E0074D">
            <w:pPr>
              <w:rPr>
                <w:rFonts w:ascii="Lato" w:hAnsi="Lato"/>
                <w:sz w:val="22"/>
                <w:szCs w:val="22"/>
              </w:rPr>
            </w:pPr>
          </w:p>
        </w:tc>
        <w:tc>
          <w:tcPr>
            <w:tcW w:w="5891" w:type="dxa"/>
          </w:tcPr>
          <w:p w14:paraId="108979E0" w14:textId="77777777" w:rsidR="00EB593B" w:rsidRPr="001362A6" w:rsidRDefault="00EB593B">
            <w:pPr>
              <w:rPr>
                <w:rFonts w:ascii="Lato" w:hAnsi="Lato"/>
                <w:sz w:val="22"/>
                <w:szCs w:val="22"/>
              </w:rPr>
            </w:pPr>
          </w:p>
        </w:tc>
        <w:tc>
          <w:tcPr>
            <w:tcW w:w="3188" w:type="dxa"/>
            <w:tcBorders>
              <w:top w:val="single" w:sz="4" w:space="0" w:color="auto"/>
              <w:bottom w:val="single" w:sz="4" w:space="0" w:color="auto"/>
            </w:tcBorders>
          </w:tcPr>
          <w:p w14:paraId="05152FD0" w14:textId="77777777" w:rsidR="00E0074D" w:rsidRPr="001362A6" w:rsidRDefault="00E0074D">
            <w:pPr>
              <w:ind w:firstLine="99"/>
              <w:rPr>
                <w:rFonts w:ascii="Lato" w:hAnsi="Lato"/>
                <w:sz w:val="22"/>
                <w:szCs w:val="22"/>
              </w:rPr>
            </w:pPr>
          </w:p>
        </w:tc>
      </w:tr>
      <w:tr w:rsidR="00E0074D" w:rsidRPr="001362A6" w14:paraId="6F23965C" w14:textId="77777777" w:rsidTr="0042571B">
        <w:tc>
          <w:tcPr>
            <w:tcW w:w="1316" w:type="dxa"/>
          </w:tcPr>
          <w:p w14:paraId="31FF7DB1" w14:textId="77777777" w:rsidR="00E0074D" w:rsidRPr="001362A6" w:rsidRDefault="00E0074D" w:rsidP="0004571D">
            <w:pPr>
              <w:rPr>
                <w:rFonts w:ascii="Lato" w:hAnsi="Lato"/>
                <w:sz w:val="22"/>
                <w:szCs w:val="22"/>
              </w:rPr>
            </w:pPr>
            <w:r w:rsidRPr="001362A6">
              <w:rPr>
                <w:rFonts w:ascii="Lato" w:hAnsi="Lato"/>
                <w:sz w:val="22"/>
                <w:szCs w:val="22"/>
              </w:rPr>
              <w:t>2.1.</w:t>
            </w:r>
            <w:r w:rsidR="00430598" w:rsidRPr="001362A6">
              <w:rPr>
                <w:rFonts w:ascii="Lato" w:hAnsi="Lato"/>
                <w:sz w:val="22"/>
                <w:szCs w:val="22"/>
              </w:rPr>
              <w:t>4</w:t>
            </w:r>
          </w:p>
        </w:tc>
        <w:tc>
          <w:tcPr>
            <w:tcW w:w="5891" w:type="dxa"/>
            <w:tcBorders>
              <w:right w:val="single" w:sz="4" w:space="0" w:color="auto"/>
            </w:tcBorders>
          </w:tcPr>
          <w:p w14:paraId="3185B1B0" w14:textId="77777777" w:rsidR="00E0074D" w:rsidRPr="001362A6" w:rsidRDefault="00E0074D" w:rsidP="00D95E9D">
            <w:pPr>
              <w:rPr>
                <w:rFonts w:ascii="Lato" w:hAnsi="Lato"/>
                <w:sz w:val="22"/>
                <w:szCs w:val="22"/>
              </w:rPr>
            </w:pPr>
            <w:r w:rsidRPr="001362A6">
              <w:rPr>
                <w:rFonts w:ascii="Lato" w:hAnsi="Lato"/>
                <w:sz w:val="22"/>
                <w:szCs w:val="22"/>
              </w:rPr>
              <w:t xml:space="preserve">Date of establishment/incorporation of the </w:t>
            </w:r>
            <w:r w:rsidR="00D6477D" w:rsidRPr="001362A6">
              <w:rPr>
                <w:rFonts w:ascii="Lato" w:hAnsi="Lato"/>
                <w:sz w:val="22"/>
                <w:szCs w:val="22"/>
              </w:rPr>
              <w:t>Q</w:t>
            </w:r>
            <w:r w:rsidR="00EB593B" w:rsidRPr="001362A6">
              <w:rPr>
                <w:rFonts w:ascii="Lato" w:hAnsi="Lato"/>
                <w:sz w:val="22"/>
                <w:szCs w:val="22"/>
              </w:rPr>
              <w:t xml:space="preserve">ualifying </w:t>
            </w:r>
          </w:p>
        </w:tc>
        <w:tc>
          <w:tcPr>
            <w:tcW w:w="3188" w:type="dxa"/>
            <w:tcBorders>
              <w:top w:val="single" w:sz="4" w:space="0" w:color="auto"/>
              <w:left w:val="single" w:sz="4" w:space="0" w:color="auto"/>
              <w:bottom w:val="single" w:sz="4" w:space="0" w:color="auto"/>
              <w:right w:val="single" w:sz="4" w:space="0" w:color="auto"/>
            </w:tcBorders>
          </w:tcPr>
          <w:p w14:paraId="70FE843A" w14:textId="77777777" w:rsidR="00E0074D" w:rsidRPr="001362A6" w:rsidRDefault="00E0074D">
            <w:pPr>
              <w:ind w:firstLine="99"/>
              <w:rPr>
                <w:rFonts w:ascii="Lato" w:hAnsi="Lato"/>
                <w:sz w:val="22"/>
                <w:szCs w:val="22"/>
              </w:rPr>
            </w:pPr>
          </w:p>
        </w:tc>
      </w:tr>
      <w:tr w:rsidR="0042571B" w:rsidRPr="001362A6" w14:paraId="56EC664E" w14:textId="77777777" w:rsidTr="0042571B">
        <w:tc>
          <w:tcPr>
            <w:tcW w:w="1316" w:type="dxa"/>
          </w:tcPr>
          <w:p w14:paraId="434C39D6" w14:textId="77777777" w:rsidR="0042571B" w:rsidRPr="001362A6" w:rsidRDefault="0042571B" w:rsidP="0004571D">
            <w:pPr>
              <w:rPr>
                <w:rFonts w:ascii="Lato" w:hAnsi="Lato"/>
                <w:sz w:val="22"/>
                <w:szCs w:val="22"/>
              </w:rPr>
            </w:pPr>
          </w:p>
        </w:tc>
        <w:tc>
          <w:tcPr>
            <w:tcW w:w="5891" w:type="dxa"/>
          </w:tcPr>
          <w:p w14:paraId="5E53AEAB" w14:textId="77777777" w:rsidR="0042571B" w:rsidRPr="001362A6" w:rsidRDefault="005B3769" w:rsidP="00D760E3">
            <w:pPr>
              <w:rPr>
                <w:rFonts w:ascii="Lato" w:hAnsi="Lato"/>
                <w:sz w:val="22"/>
                <w:szCs w:val="22"/>
              </w:rPr>
            </w:pPr>
            <w:r w:rsidRPr="00590C6D">
              <w:rPr>
                <w:rFonts w:ascii="Lato" w:hAnsi="Lato"/>
                <w:sz w:val="22"/>
                <w:szCs w:val="22"/>
              </w:rPr>
              <w:t xml:space="preserve">Investor </w:t>
            </w:r>
            <w:r w:rsidR="0042571B" w:rsidRPr="001362A6">
              <w:rPr>
                <w:rFonts w:ascii="Lato" w:hAnsi="Lato"/>
                <w:sz w:val="22"/>
                <w:szCs w:val="22"/>
              </w:rPr>
              <w:t>AIF</w:t>
            </w:r>
          </w:p>
        </w:tc>
        <w:tc>
          <w:tcPr>
            <w:tcW w:w="3188" w:type="dxa"/>
            <w:tcBorders>
              <w:top w:val="single" w:sz="4" w:space="0" w:color="auto"/>
            </w:tcBorders>
          </w:tcPr>
          <w:p w14:paraId="4B60AD7D" w14:textId="77777777" w:rsidR="0042571B" w:rsidRPr="001362A6" w:rsidRDefault="0042571B">
            <w:pPr>
              <w:ind w:firstLine="99"/>
              <w:rPr>
                <w:rFonts w:ascii="Lato" w:hAnsi="Lato"/>
                <w:sz w:val="22"/>
                <w:szCs w:val="22"/>
              </w:rPr>
            </w:pPr>
          </w:p>
        </w:tc>
      </w:tr>
      <w:tr w:rsidR="00310EB2" w:rsidRPr="001362A6" w14:paraId="611CE3FC" w14:textId="77777777" w:rsidTr="0042571B">
        <w:tc>
          <w:tcPr>
            <w:tcW w:w="1316" w:type="dxa"/>
          </w:tcPr>
          <w:p w14:paraId="461DACA1" w14:textId="77777777" w:rsidR="00310EB2" w:rsidRPr="001362A6" w:rsidRDefault="00310EB2">
            <w:pPr>
              <w:rPr>
                <w:rFonts w:ascii="Lato" w:hAnsi="Lato"/>
                <w:sz w:val="22"/>
                <w:szCs w:val="22"/>
              </w:rPr>
            </w:pPr>
          </w:p>
        </w:tc>
        <w:tc>
          <w:tcPr>
            <w:tcW w:w="5891" w:type="dxa"/>
          </w:tcPr>
          <w:p w14:paraId="7B7484B6" w14:textId="77777777" w:rsidR="00310EB2" w:rsidRPr="001362A6" w:rsidRDefault="00310EB2">
            <w:pPr>
              <w:rPr>
                <w:rFonts w:ascii="Lato" w:hAnsi="Lato"/>
                <w:sz w:val="22"/>
                <w:szCs w:val="22"/>
              </w:rPr>
            </w:pPr>
          </w:p>
        </w:tc>
        <w:tc>
          <w:tcPr>
            <w:tcW w:w="3188" w:type="dxa"/>
            <w:tcBorders>
              <w:bottom w:val="single" w:sz="4" w:space="0" w:color="auto"/>
            </w:tcBorders>
          </w:tcPr>
          <w:p w14:paraId="40142D5B" w14:textId="77777777" w:rsidR="00310EB2" w:rsidRPr="001362A6" w:rsidRDefault="00310EB2">
            <w:pPr>
              <w:ind w:firstLine="99"/>
              <w:rPr>
                <w:rFonts w:ascii="Lato" w:hAnsi="Lato"/>
                <w:sz w:val="22"/>
                <w:szCs w:val="22"/>
              </w:rPr>
            </w:pPr>
          </w:p>
        </w:tc>
      </w:tr>
      <w:tr w:rsidR="00D760E3" w:rsidRPr="001362A6" w14:paraId="20CCA2D8" w14:textId="77777777" w:rsidTr="00990D73">
        <w:tc>
          <w:tcPr>
            <w:tcW w:w="1316" w:type="dxa"/>
          </w:tcPr>
          <w:p w14:paraId="2C6311EA" w14:textId="77777777" w:rsidR="00D760E3" w:rsidRPr="001362A6" w:rsidRDefault="00D760E3" w:rsidP="00430598">
            <w:pPr>
              <w:rPr>
                <w:rFonts w:ascii="Lato" w:hAnsi="Lato"/>
                <w:sz w:val="22"/>
                <w:szCs w:val="22"/>
              </w:rPr>
            </w:pPr>
            <w:r w:rsidRPr="001362A6">
              <w:rPr>
                <w:rFonts w:ascii="Lato" w:hAnsi="Lato"/>
                <w:sz w:val="22"/>
                <w:szCs w:val="22"/>
              </w:rPr>
              <w:t>2.1.</w:t>
            </w:r>
            <w:r w:rsidR="00430598" w:rsidRPr="001362A6">
              <w:rPr>
                <w:rFonts w:ascii="Lato" w:hAnsi="Lato"/>
                <w:sz w:val="22"/>
                <w:szCs w:val="22"/>
              </w:rPr>
              <w:t>5</w:t>
            </w:r>
            <w:r w:rsidR="00A84D80" w:rsidRPr="001362A6">
              <w:rPr>
                <w:rFonts w:ascii="Lato" w:hAnsi="Lato"/>
                <w:sz w:val="22"/>
                <w:szCs w:val="22"/>
              </w:rPr>
              <w:t xml:space="preserve">   </w:t>
            </w:r>
            <w:r w:rsidR="00430598" w:rsidRPr="001362A6">
              <w:rPr>
                <w:rFonts w:ascii="Lato" w:hAnsi="Lato"/>
                <w:sz w:val="22"/>
                <w:szCs w:val="22"/>
              </w:rPr>
              <w:t xml:space="preserve">  </w:t>
            </w:r>
            <w:r w:rsidR="00A84D80" w:rsidRPr="001362A6">
              <w:rPr>
                <w:rFonts w:ascii="Lato" w:hAnsi="Lato"/>
                <w:sz w:val="22"/>
                <w:szCs w:val="22"/>
              </w:rPr>
              <w:t xml:space="preserve">  </w:t>
            </w:r>
            <w:r w:rsidR="00825022" w:rsidRPr="001362A6">
              <w:rPr>
                <w:rFonts w:ascii="Lato" w:hAnsi="Lato"/>
                <w:sz w:val="22"/>
                <w:szCs w:val="22"/>
              </w:rPr>
              <w:t>(i)</w:t>
            </w:r>
          </w:p>
        </w:tc>
        <w:tc>
          <w:tcPr>
            <w:tcW w:w="5891" w:type="dxa"/>
            <w:tcBorders>
              <w:right w:val="single" w:sz="4" w:space="0" w:color="auto"/>
            </w:tcBorders>
          </w:tcPr>
          <w:p w14:paraId="6FB30FE7" w14:textId="77777777" w:rsidR="00D760E3" w:rsidRPr="001362A6" w:rsidRDefault="00D760E3" w:rsidP="00D760E3">
            <w:pPr>
              <w:rPr>
                <w:rFonts w:ascii="Lato" w:hAnsi="Lato"/>
                <w:sz w:val="22"/>
                <w:szCs w:val="22"/>
              </w:rPr>
            </w:pPr>
            <w:r w:rsidRPr="001362A6">
              <w:rPr>
                <w:rFonts w:ascii="Lato" w:hAnsi="Lato"/>
                <w:sz w:val="22"/>
                <w:szCs w:val="22"/>
              </w:rPr>
              <w:t>Give an indication of duration, if limited</w:t>
            </w:r>
          </w:p>
        </w:tc>
        <w:tc>
          <w:tcPr>
            <w:tcW w:w="3188" w:type="dxa"/>
            <w:tcBorders>
              <w:top w:val="single" w:sz="4" w:space="0" w:color="auto"/>
              <w:left w:val="single" w:sz="4" w:space="0" w:color="auto"/>
              <w:bottom w:val="single" w:sz="4" w:space="0" w:color="auto"/>
              <w:right w:val="single" w:sz="4" w:space="0" w:color="auto"/>
            </w:tcBorders>
          </w:tcPr>
          <w:p w14:paraId="4375FF36" w14:textId="77777777" w:rsidR="00D760E3" w:rsidRPr="001362A6" w:rsidRDefault="00D760E3">
            <w:pPr>
              <w:ind w:firstLine="99"/>
              <w:rPr>
                <w:rFonts w:ascii="Lato" w:hAnsi="Lato"/>
                <w:sz w:val="22"/>
                <w:szCs w:val="22"/>
              </w:rPr>
            </w:pPr>
          </w:p>
        </w:tc>
      </w:tr>
      <w:tr w:rsidR="005C2825" w:rsidRPr="001362A6" w14:paraId="70D61C10" w14:textId="77777777" w:rsidTr="00990D73">
        <w:tc>
          <w:tcPr>
            <w:tcW w:w="1316" w:type="dxa"/>
          </w:tcPr>
          <w:p w14:paraId="65900558" w14:textId="77777777" w:rsidR="005C2825" w:rsidRPr="001362A6" w:rsidRDefault="005C2825">
            <w:pPr>
              <w:rPr>
                <w:rFonts w:ascii="Lato" w:hAnsi="Lato"/>
                <w:sz w:val="22"/>
                <w:szCs w:val="22"/>
              </w:rPr>
            </w:pPr>
          </w:p>
        </w:tc>
        <w:tc>
          <w:tcPr>
            <w:tcW w:w="5891" w:type="dxa"/>
          </w:tcPr>
          <w:p w14:paraId="6129E8BE" w14:textId="77777777" w:rsidR="005C2825" w:rsidRPr="001362A6" w:rsidRDefault="005C2825">
            <w:pPr>
              <w:rPr>
                <w:rFonts w:ascii="Lato" w:hAnsi="Lato"/>
                <w:sz w:val="22"/>
                <w:szCs w:val="22"/>
              </w:rPr>
            </w:pPr>
          </w:p>
        </w:tc>
        <w:tc>
          <w:tcPr>
            <w:tcW w:w="3188" w:type="dxa"/>
            <w:tcBorders>
              <w:top w:val="single" w:sz="4" w:space="0" w:color="auto"/>
              <w:bottom w:val="single" w:sz="4" w:space="0" w:color="auto"/>
            </w:tcBorders>
          </w:tcPr>
          <w:p w14:paraId="1FD2B0D2" w14:textId="77777777" w:rsidR="005C2825" w:rsidRPr="001362A6" w:rsidRDefault="005C2825">
            <w:pPr>
              <w:ind w:firstLine="99"/>
              <w:rPr>
                <w:rFonts w:ascii="Lato" w:hAnsi="Lato"/>
                <w:sz w:val="22"/>
                <w:szCs w:val="22"/>
              </w:rPr>
            </w:pPr>
          </w:p>
        </w:tc>
      </w:tr>
      <w:tr w:rsidR="00E0074D" w:rsidRPr="001362A6" w14:paraId="15DD06F9" w14:textId="77777777" w:rsidTr="00990D73">
        <w:tc>
          <w:tcPr>
            <w:tcW w:w="1316" w:type="dxa"/>
          </w:tcPr>
          <w:p w14:paraId="60FF7F5B" w14:textId="77777777" w:rsidR="00E0074D" w:rsidRPr="001362A6" w:rsidRDefault="00E0074D" w:rsidP="00441CAE">
            <w:pPr>
              <w:rPr>
                <w:rFonts w:ascii="Lato" w:hAnsi="Lato"/>
                <w:sz w:val="22"/>
                <w:szCs w:val="22"/>
              </w:rPr>
            </w:pPr>
            <w:r w:rsidRPr="001362A6">
              <w:rPr>
                <w:rFonts w:ascii="Lato" w:hAnsi="Lato"/>
                <w:sz w:val="22"/>
                <w:szCs w:val="22"/>
              </w:rPr>
              <w:t>2.1.</w:t>
            </w:r>
            <w:r w:rsidR="00430598" w:rsidRPr="001362A6">
              <w:rPr>
                <w:rFonts w:ascii="Lato" w:hAnsi="Lato"/>
                <w:sz w:val="22"/>
                <w:szCs w:val="22"/>
              </w:rPr>
              <w:t>6</w:t>
            </w:r>
          </w:p>
        </w:tc>
        <w:tc>
          <w:tcPr>
            <w:tcW w:w="5891" w:type="dxa"/>
            <w:tcBorders>
              <w:right w:val="single" w:sz="4" w:space="0" w:color="auto"/>
            </w:tcBorders>
          </w:tcPr>
          <w:p w14:paraId="44C5B57A" w14:textId="77777777" w:rsidR="00E0074D" w:rsidRPr="001362A6" w:rsidRDefault="00E0074D">
            <w:pPr>
              <w:rPr>
                <w:rFonts w:ascii="Lato" w:hAnsi="Lato"/>
                <w:sz w:val="22"/>
                <w:szCs w:val="22"/>
              </w:rPr>
            </w:pPr>
            <w:r w:rsidRPr="001362A6">
              <w:rPr>
                <w:rFonts w:ascii="Lato" w:hAnsi="Lato"/>
                <w:sz w:val="22"/>
                <w:szCs w:val="22"/>
              </w:rPr>
              <w:t>Name and address of the auditor</w:t>
            </w:r>
          </w:p>
        </w:tc>
        <w:tc>
          <w:tcPr>
            <w:tcW w:w="3188" w:type="dxa"/>
            <w:tcBorders>
              <w:top w:val="single" w:sz="4" w:space="0" w:color="auto"/>
              <w:left w:val="single" w:sz="4" w:space="0" w:color="auto"/>
              <w:bottom w:val="single" w:sz="4" w:space="0" w:color="auto"/>
              <w:right w:val="single" w:sz="4" w:space="0" w:color="auto"/>
            </w:tcBorders>
          </w:tcPr>
          <w:p w14:paraId="6FCFE6FA" w14:textId="77777777" w:rsidR="00E0074D" w:rsidRPr="001362A6" w:rsidRDefault="00E0074D">
            <w:pPr>
              <w:ind w:firstLine="99"/>
              <w:rPr>
                <w:rFonts w:ascii="Lato" w:hAnsi="Lato"/>
                <w:sz w:val="22"/>
                <w:szCs w:val="22"/>
              </w:rPr>
            </w:pPr>
          </w:p>
        </w:tc>
      </w:tr>
      <w:tr w:rsidR="00E0074D" w:rsidRPr="001362A6" w14:paraId="4A2D0265" w14:textId="77777777" w:rsidTr="00990D73">
        <w:tc>
          <w:tcPr>
            <w:tcW w:w="1316" w:type="dxa"/>
          </w:tcPr>
          <w:p w14:paraId="5B614590" w14:textId="77777777" w:rsidR="00E0074D" w:rsidRPr="001362A6" w:rsidRDefault="00E0074D">
            <w:pPr>
              <w:rPr>
                <w:rFonts w:ascii="Lato" w:hAnsi="Lato"/>
                <w:sz w:val="22"/>
                <w:szCs w:val="22"/>
              </w:rPr>
            </w:pPr>
          </w:p>
        </w:tc>
        <w:tc>
          <w:tcPr>
            <w:tcW w:w="5891" w:type="dxa"/>
          </w:tcPr>
          <w:p w14:paraId="3DB68D9D" w14:textId="77777777" w:rsidR="00E0074D" w:rsidRPr="001362A6" w:rsidRDefault="00E0074D">
            <w:pPr>
              <w:rPr>
                <w:rFonts w:ascii="Lato" w:hAnsi="Lato"/>
                <w:sz w:val="22"/>
                <w:szCs w:val="22"/>
              </w:rPr>
            </w:pPr>
          </w:p>
        </w:tc>
        <w:tc>
          <w:tcPr>
            <w:tcW w:w="3188" w:type="dxa"/>
            <w:tcBorders>
              <w:bottom w:val="single" w:sz="4" w:space="0" w:color="auto"/>
            </w:tcBorders>
          </w:tcPr>
          <w:p w14:paraId="1F6393E2" w14:textId="77777777" w:rsidR="00E0074D" w:rsidRPr="001362A6" w:rsidRDefault="00E0074D">
            <w:pPr>
              <w:ind w:firstLine="99"/>
              <w:rPr>
                <w:rFonts w:ascii="Lato" w:hAnsi="Lato"/>
                <w:sz w:val="22"/>
                <w:szCs w:val="22"/>
              </w:rPr>
            </w:pPr>
          </w:p>
        </w:tc>
      </w:tr>
      <w:tr w:rsidR="00E0074D" w:rsidRPr="001362A6" w14:paraId="67DD00DD" w14:textId="77777777" w:rsidTr="00990D73">
        <w:trPr>
          <w:cantSplit/>
          <w:trHeight w:val="255"/>
        </w:trPr>
        <w:tc>
          <w:tcPr>
            <w:tcW w:w="1316" w:type="dxa"/>
            <w:vMerge w:val="restart"/>
          </w:tcPr>
          <w:p w14:paraId="3BC1A67F" w14:textId="77777777" w:rsidR="00E0074D" w:rsidRPr="001362A6" w:rsidRDefault="00E0074D" w:rsidP="002B7055">
            <w:pPr>
              <w:rPr>
                <w:rFonts w:ascii="Lato" w:hAnsi="Lato"/>
                <w:sz w:val="22"/>
                <w:szCs w:val="22"/>
              </w:rPr>
            </w:pPr>
            <w:r w:rsidRPr="001362A6">
              <w:rPr>
                <w:rFonts w:ascii="Lato" w:hAnsi="Lato"/>
                <w:sz w:val="22"/>
                <w:szCs w:val="22"/>
              </w:rPr>
              <w:t>2.1.</w:t>
            </w:r>
            <w:r w:rsidR="00430598" w:rsidRPr="001362A6">
              <w:rPr>
                <w:rFonts w:ascii="Lato" w:hAnsi="Lato"/>
                <w:sz w:val="22"/>
                <w:szCs w:val="22"/>
              </w:rPr>
              <w:t>7</w:t>
            </w:r>
          </w:p>
        </w:tc>
        <w:tc>
          <w:tcPr>
            <w:tcW w:w="5891" w:type="dxa"/>
            <w:vMerge w:val="restart"/>
            <w:tcBorders>
              <w:right w:val="single" w:sz="4" w:space="0" w:color="auto"/>
            </w:tcBorders>
          </w:tcPr>
          <w:p w14:paraId="0F1D2CC2" w14:textId="77777777" w:rsidR="00E0074D" w:rsidRPr="001362A6" w:rsidRDefault="00E0074D">
            <w:pPr>
              <w:rPr>
                <w:rFonts w:ascii="Lato" w:hAnsi="Lato"/>
                <w:sz w:val="22"/>
                <w:szCs w:val="22"/>
              </w:rPr>
            </w:pPr>
            <w:r w:rsidRPr="001362A6">
              <w:rPr>
                <w:rFonts w:ascii="Lato" w:hAnsi="Lato"/>
                <w:sz w:val="22"/>
                <w:szCs w:val="22"/>
              </w:rPr>
              <w:t>If applicable, the stock exchange(s)</w:t>
            </w:r>
            <w:r w:rsidR="00310EB2" w:rsidRPr="001362A6">
              <w:rPr>
                <w:rFonts w:ascii="Lato" w:hAnsi="Lato"/>
                <w:sz w:val="22"/>
                <w:szCs w:val="22"/>
              </w:rPr>
              <w:t xml:space="preserve"> or markets</w:t>
            </w:r>
            <w:r w:rsidRPr="001362A6">
              <w:rPr>
                <w:rFonts w:ascii="Lato" w:hAnsi="Lato"/>
                <w:sz w:val="22"/>
                <w:szCs w:val="22"/>
              </w:rPr>
              <w:t xml:space="preserve"> on which the units</w:t>
            </w:r>
            <w:r w:rsidRPr="001362A6">
              <w:rPr>
                <w:rFonts w:ascii="Lato" w:hAnsi="Lato"/>
                <w:b/>
                <w:bCs/>
                <w:sz w:val="22"/>
                <w:szCs w:val="22"/>
              </w:rPr>
              <w:t xml:space="preserve"> </w:t>
            </w:r>
            <w:r w:rsidRPr="001362A6">
              <w:rPr>
                <w:rFonts w:ascii="Lato" w:hAnsi="Lato"/>
                <w:sz w:val="22"/>
                <w:szCs w:val="22"/>
              </w:rPr>
              <w:t>in the</w:t>
            </w:r>
            <w:r w:rsidRPr="001362A6">
              <w:rPr>
                <w:rFonts w:ascii="Lato" w:hAnsi="Lato"/>
                <w:b/>
                <w:bCs/>
                <w:sz w:val="22"/>
                <w:szCs w:val="22"/>
              </w:rPr>
              <w:t xml:space="preserve"> </w:t>
            </w:r>
            <w:r w:rsidR="00EB593B" w:rsidRPr="001362A6">
              <w:rPr>
                <w:rFonts w:ascii="Lato" w:hAnsi="Lato"/>
                <w:sz w:val="22"/>
                <w:szCs w:val="22"/>
              </w:rPr>
              <w:t xml:space="preserve">Qualifying Investor </w:t>
            </w:r>
            <w:r w:rsidR="00D6477D" w:rsidRPr="001362A6">
              <w:rPr>
                <w:rFonts w:ascii="Lato" w:hAnsi="Lato"/>
                <w:sz w:val="22"/>
                <w:szCs w:val="22"/>
              </w:rPr>
              <w:t>AIF</w:t>
            </w:r>
            <w:r w:rsidRPr="001362A6">
              <w:rPr>
                <w:rFonts w:ascii="Lato" w:hAnsi="Lato"/>
                <w:sz w:val="22"/>
                <w:szCs w:val="22"/>
              </w:rPr>
              <w:t xml:space="preserve"> will be listed</w:t>
            </w:r>
            <w:r w:rsidR="00310EB2" w:rsidRPr="001362A6">
              <w:rPr>
                <w:rFonts w:ascii="Lato" w:hAnsi="Lato"/>
                <w:sz w:val="22"/>
                <w:szCs w:val="22"/>
              </w:rPr>
              <w:t xml:space="preserve"> or dealt in</w:t>
            </w:r>
          </w:p>
        </w:tc>
        <w:tc>
          <w:tcPr>
            <w:tcW w:w="3188" w:type="dxa"/>
            <w:tcBorders>
              <w:top w:val="single" w:sz="4" w:space="0" w:color="auto"/>
              <w:left w:val="single" w:sz="4" w:space="0" w:color="auto"/>
              <w:bottom w:val="single" w:sz="4" w:space="0" w:color="auto"/>
              <w:right w:val="single" w:sz="4" w:space="0" w:color="auto"/>
            </w:tcBorders>
          </w:tcPr>
          <w:p w14:paraId="6D4AC10D" w14:textId="77777777" w:rsidR="00E0074D" w:rsidRPr="001362A6" w:rsidRDefault="00E0074D">
            <w:pPr>
              <w:ind w:firstLine="99"/>
              <w:rPr>
                <w:rFonts w:ascii="Lato" w:hAnsi="Lato"/>
                <w:sz w:val="22"/>
                <w:szCs w:val="22"/>
              </w:rPr>
            </w:pPr>
          </w:p>
        </w:tc>
      </w:tr>
      <w:tr w:rsidR="00E0074D" w:rsidRPr="001362A6" w14:paraId="5BA6316C" w14:textId="77777777" w:rsidTr="00990D73">
        <w:trPr>
          <w:cantSplit/>
          <w:trHeight w:val="254"/>
        </w:trPr>
        <w:tc>
          <w:tcPr>
            <w:tcW w:w="1316" w:type="dxa"/>
            <w:vMerge/>
          </w:tcPr>
          <w:p w14:paraId="247702EA" w14:textId="77777777" w:rsidR="00E0074D" w:rsidRPr="001362A6" w:rsidRDefault="00E0074D">
            <w:pPr>
              <w:rPr>
                <w:rFonts w:ascii="Lato" w:hAnsi="Lato"/>
                <w:sz w:val="22"/>
                <w:szCs w:val="22"/>
              </w:rPr>
            </w:pPr>
          </w:p>
        </w:tc>
        <w:tc>
          <w:tcPr>
            <w:tcW w:w="5891" w:type="dxa"/>
            <w:vMerge/>
          </w:tcPr>
          <w:p w14:paraId="04B7A2AE" w14:textId="77777777" w:rsidR="00E0074D" w:rsidRPr="001362A6" w:rsidRDefault="00E0074D">
            <w:pPr>
              <w:rPr>
                <w:rFonts w:ascii="Lato" w:hAnsi="Lato"/>
                <w:sz w:val="22"/>
                <w:szCs w:val="22"/>
              </w:rPr>
            </w:pPr>
          </w:p>
        </w:tc>
        <w:tc>
          <w:tcPr>
            <w:tcW w:w="3188" w:type="dxa"/>
            <w:tcBorders>
              <w:top w:val="single" w:sz="4" w:space="0" w:color="auto"/>
            </w:tcBorders>
          </w:tcPr>
          <w:p w14:paraId="13E88E42" w14:textId="77777777" w:rsidR="00E0074D" w:rsidRPr="001362A6" w:rsidRDefault="00E0074D">
            <w:pPr>
              <w:ind w:firstLine="99"/>
              <w:rPr>
                <w:rFonts w:ascii="Lato" w:hAnsi="Lato"/>
                <w:sz w:val="22"/>
                <w:szCs w:val="22"/>
              </w:rPr>
            </w:pPr>
          </w:p>
        </w:tc>
      </w:tr>
      <w:tr w:rsidR="00E0074D" w:rsidRPr="001362A6" w14:paraId="7715AD08" w14:textId="77777777" w:rsidTr="00990D73">
        <w:tc>
          <w:tcPr>
            <w:tcW w:w="1316" w:type="dxa"/>
          </w:tcPr>
          <w:p w14:paraId="11C2E5F6" w14:textId="77777777" w:rsidR="00E0074D" w:rsidRPr="001362A6" w:rsidRDefault="00E0074D">
            <w:pPr>
              <w:rPr>
                <w:rFonts w:ascii="Lato" w:hAnsi="Lato"/>
                <w:sz w:val="22"/>
                <w:szCs w:val="22"/>
              </w:rPr>
            </w:pPr>
          </w:p>
        </w:tc>
        <w:tc>
          <w:tcPr>
            <w:tcW w:w="5891" w:type="dxa"/>
          </w:tcPr>
          <w:p w14:paraId="7CFCCD27" w14:textId="77777777" w:rsidR="00E0074D" w:rsidRPr="001362A6" w:rsidRDefault="00E0074D">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0957599E" w14:textId="77777777" w:rsidR="00E0074D" w:rsidRPr="001362A6" w:rsidRDefault="00E0074D">
            <w:pPr>
              <w:ind w:firstLine="99"/>
              <w:rPr>
                <w:rFonts w:ascii="Lato" w:hAnsi="Lato"/>
                <w:sz w:val="22"/>
                <w:szCs w:val="22"/>
              </w:rPr>
            </w:pPr>
          </w:p>
        </w:tc>
      </w:tr>
      <w:tr w:rsidR="00E0074D" w:rsidRPr="001362A6" w14:paraId="3317A508" w14:textId="77777777" w:rsidTr="00990D73">
        <w:trPr>
          <w:cantSplit/>
          <w:trHeight w:val="257"/>
        </w:trPr>
        <w:tc>
          <w:tcPr>
            <w:tcW w:w="1316" w:type="dxa"/>
          </w:tcPr>
          <w:p w14:paraId="159BF34F" w14:textId="77777777" w:rsidR="00E0074D" w:rsidRPr="001362A6" w:rsidRDefault="00E0074D" w:rsidP="002B7055">
            <w:pPr>
              <w:rPr>
                <w:rFonts w:ascii="Lato" w:hAnsi="Lato"/>
                <w:sz w:val="22"/>
                <w:szCs w:val="22"/>
              </w:rPr>
            </w:pPr>
            <w:r w:rsidRPr="001362A6">
              <w:rPr>
                <w:rFonts w:ascii="Lato" w:hAnsi="Lato"/>
                <w:sz w:val="22"/>
                <w:szCs w:val="22"/>
              </w:rPr>
              <w:t>2.1.</w:t>
            </w:r>
            <w:r w:rsidR="00430598" w:rsidRPr="001362A6">
              <w:rPr>
                <w:rFonts w:ascii="Lato" w:hAnsi="Lato"/>
                <w:sz w:val="22"/>
                <w:szCs w:val="22"/>
              </w:rPr>
              <w:t>8</w:t>
            </w:r>
          </w:p>
        </w:tc>
        <w:tc>
          <w:tcPr>
            <w:tcW w:w="5891" w:type="dxa"/>
            <w:tcBorders>
              <w:right w:val="single" w:sz="4" w:space="0" w:color="auto"/>
            </w:tcBorders>
          </w:tcPr>
          <w:p w14:paraId="1AD1EAA7" w14:textId="77777777" w:rsidR="00E0074D" w:rsidRPr="001362A6" w:rsidRDefault="00E0074D" w:rsidP="00D95E9D">
            <w:pPr>
              <w:pStyle w:val="Heading3"/>
              <w:spacing w:before="0" w:after="0" w:line="240" w:lineRule="auto"/>
              <w:rPr>
                <w:rFonts w:ascii="Lato" w:hAnsi="Lato"/>
                <w:b w:val="0"/>
                <w:bCs/>
                <w:color w:val="auto"/>
                <w:sz w:val="22"/>
                <w:szCs w:val="22"/>
              </w:rPr>
            </w:pPr>
            <w:r w:rsidRPr="001362A6">
              <w:rPr>
                <w:rFonts w:ascii="Lato" w:hAnsi="Lato"/>
                <w:b w:val="0"/>
                <w:bCs/>
                <w:color w:val="auto"/>
                <w:sz w:val="22"/>
                <w:szCs w:val="22"/>
              </w:rPr>
              <w:t xml:space="preserve">Statement indicating the persons who accept responsibility </w:t>
            </w:r>
          </w:p>
        </w:tc>
        <w:tc>
          <w:tcPr>
            <w:tcW w:w="3188" w:type="dxa"/>
            <w:tcBorders>
              <w:top w:val="single" w:sz="4" w:space="0" w:color="auto"/>
              <w:left w:val="single" w:sz="4" w:space="0" w:color="auto"/>
              <w:bottom w:val="single" w:sz="4" w:space="0" w:color="auto"/>
              <w:right w:val="single" w:sz="4" w:space="0" w:color="auto"/>
            </w:tcBorders>
          </w:tcPr>
          <w:p w14:paraId="0223D10E" w14:textId="77777777" w:rsidR="00E0074D" w:rsidRPr="001362A6" w:rsidRDefault="00E0074D">
            <w:pPr>
              <w:ind w:firstLine="99"/>
              <w:rPr>
                <w:rFonts w:ascii="Lato" w:hAnsi="Lato"/>
                <w:sz w:val="22"/>
                <w:szCs w:val="22"/>
              </w:rPr>
            </w:pPr>
          </w:p>
        </w:tc>
      </w:tr>
      <w:tr w:rsidR="002B7055" w:rsidRPr="001362A6" w14:paraId="02A63698" w14:textId="77777777" w:rsidTr="00990D73">
        <w:trPr>
          <w:cantSplit/>
          <w:trHeight w:val="257"/>
        </w:trPr>
        <w:tc>
          <w:tcPr>
            <w:tcW w:w="1316" w:type="dxa"/>
          </w:tcPr>
          <w:p w14:paraId="2D22FE6C" w14:textId="77777777" w:rsidR="002B7055" w:rsidRPr="001362A6" w:rsidRDefault="002B7055" w:rsidP="002B7055">
            <w:pPr>
              <w:rPr>
                <w:rFonts w:ascii="Lato" w:hAnsi="Lato"/>
                <w:sz w:val="22"/>
                <w:szCs w:val="22"/>
              </w:rPr>
            </w:pPr>
          </w:p>
        </w:tc>
        <w:tc>
          <w:tcPr>
            <w:tcW w:w="5891" w:type="dxa"/>
          </w:tcPr>
          <w:p w14:paraId="32874FE6" w14:textId="77777777" w:rsidR="002B7055" w:rsidRPr="001362A6" w:rsidRDefault="005B3769" w:rsidP="006D7C05">
            <w:pPr>
              <w:pStyle w:val="Heading3"/>
              <w:spacing w:before="0" w:after="0" w:line="240" w:lineRule="auto"/>
              <w:rPr>
                <w:rFonts w:ascii="Lato" w:hAnsi="Lato"/>
                <w:b w:val="0"/>
                <w:bCs/>
                <w:color w:val="auto"/>
                <w:sz w:val="22"/>
                <w:szCs w:val="22"/>
              </w:rPr>
            </w:pPr>
            <w:r w:rsidRPr="00590C6D">
              <w:rPr>
                <w:rFonts w:ascii="Lato" w:hAnsi="Lato"/>
                <w:b w:val="0"/>
                <w:bCs/>
                <w:color w:val="auto"/>
                <w:sz w:val="22"/>
                <w:szCs w:val="22"/>
              </w:rPr>
              <w:t xml:space="preserve">for </w:t>
            </w:r>
            <w:r w:rsidR="002B7055" w:rsidRPr="001362A6">
              <w:rPr>
                <w:rFonts w:ascii="Lato" w:hAnsi="Lato"/>
                <w:b w:val="0"/>
                <w:bCs/>
                <w:color w:val="auto"/>
                <w:sz w:val="22"/>
                <w:szCs w:val="22"/>
              </w:rPr>
              <w:t>the</w:t>
            </w:r>
            <w:r w:rsidR="002B7055" w:rsidRPr="001362A6">
              <w:rPr>
                <w:rFonts w:ascii="Lato" w:hAnsi="Lato"/>
                <w:color w:val="auto"/>
                <w:sz w:val="22"/>
                <w:szCs w:val="22"/>
              </w:rPr>
              <w:t xml:space="preserve"> </w:t>
            </w:r>
            <w:r w:rsidR="002B7055" w:rsidRPr="001362A6">
              <w:rPr>
                <w:rFonts w:ascii="Lato" w:hAnsi="Lato"/>
                <w:b w:val="0"/>
                <w:bCs/>
                <w:color w:val="auto"/>
                <w:sz w:val="22"/>
                <w:szCs w:val="22"/>
              </w:rPr>
              <w:t>information contained in the prospectus</w:t>
            </w:r>
            <w:r w:rsidR="006D7C05" w:rsidRPr="001362A6">
              <w:rPr>
                <w:rFonts w:ascii="Lato" w:hAnsi="Lato"/>
                <w:b w:val="0"/>
                <w:bCs/>
                <w:color w:val="auto"/>
                <w:sz w:val="22"/>
                <w:szCs w:val="22"/>
              </w:rPr>
              <w:t xml:space="preserve"> (i.e. the Directors of the investment company</w:t>
            </w:r>
            <w:r w:rsidR="00D144C7" w:rsidRPr="001362A6">
              <w:rPr>
                <w:rFonts w:ascii="Lato" w:hAnsi="Lato"/>
                <w:b w:val="0"/>
                <w:bCs/>
                <w:color w:val="auto"/>
                <w:sz w:val="22"/>
                <w:szCs w:val="22"/>
              </w:rPr>
              <w:t>/ICAV</w:t>
            </w:r>
            <w:r w:rsidR="006D7C05" w:rsidRPr="001362A6">
              <w:rPr>
                <w:rFonts w:ascii="Lato" w:hAnsi="Lato"/>
                <w:b w:val="0"/>
                <w:bCs/>
                <w:color w:val="auto"/>
                <w:sz w:val="22"/>
                <w:szCs w:val="22"/>
              </w:rPr>
              <w:t xml:space="preserve"> or of the management company in the case of a unit trust/common contractual fund)</w:t>
            </w:r>
          </w:p>
        </w:tc>
        <w:tc>
          <w:tcPr>
            <w:tcW w:w="3188" w:type="dxa"/>
            <w:tcBorders>
              <w:top w:val="single" w:sz="4" w:space="0" w:color="auto"/>
            </w:tcBorders>
          </w:tcPr>
          <w:p w14:paraId="0C10FC28" w14:textId="77777777" w:rsidR="002B7055" w:rsidRPr="001362A6" w:rsidRDefault="002B7055">
            <w:pPr>
              <w:ind w:firstLine="99"/>
              <w:rPr>
                <w:rFonts w:ascii="Lato" w:hAnsi="Lato"/>
                <w:sz w:val="22"/>
                <w:szCs w:val="22"/>
              </w:rPr>
            </w:pPr>
          </w:p>
        </w:tc>
      </w:tr>
      <w:tr w:rsidR="006D7C05" w:rsidRPr="001362A6" w14:paraId="117EEB1A" w14:textId="77777777" w:rsidTr="00990D73">
        <w:trPr>
          <w:cantSplit/>
          <w:trHeight w:val="257"/>
        </w:trPr>
        <w:tc>
          <w:tcPr>
            <w:tcW w:w="1316" w:type="dxa"/>
          </w:tcPr>
          <w:p w14:paraId="3D891134" w14:textId="77777777" w:rsidR="006D7C05" w:rsidRPr="001362A6" w:rsidRDefault="006D7C05" w:rsidP="002B7055">
            <w:pPr>
              <w:rPr>
                <w:rFonts w:ascii="Lato" w:hAnsi="Lato"/>
                <w:sz w:val="22"/>
                <w:szCs w:val="22"/>
              </w:rPr>
            </w:pPr>
          </w:p>
        </w:tc>
        <w:tc>
          <w:tcPr>
            <w:tcW w:w="5891" w:type="dxa"/>
          </w:tcPr>
          <w:p w14:paraId="4E65C345" w14:textId="77777777" w:rsidR="006D7C05" w:rsidRPr="001362A6" w:rsidRDefault="006D7C05" w:rsidP="002B7055">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31011492" w14:textId="77777777" w:rsidR="006D7C05" w:rsidRPr="001362A6" w:rsidRDefault="006D7C05">
            <w:pPr>
              <w:ind w:firstLine="99"/>
              <w:rPr>
                <w:rFonts w:ascii="Lato" w:hAnsi="Lato"/>
                <w:sz w:val="22"/>
                <w:szCs w:val="22"/>
              </w:rPr>
            </w:pPr>
          </w:p>
        </w:tc>
      </w:tr>
      <w:tr w:rsidR="002B7055" w:rsidRPr="001362A6" w14:paraId="1050D1FA" w14:textId="77777777" w:rsidTr="00990D73">
        <w:trPr>
          <w:cantSplit/>
          <w:trHeight w:val="257"/>
        </w:trPr>
        <w:tc>
          <w:tcPr>
            <w:tcW w:w="1316" w:type="dxa"/>
          </w:tcPr>
          <w:p w14:paraId="4D0DF18D" w14:textId="77777777" w:rsidR="002B7055" w:rsidRPr="001362A6" w:rsidRDefault="00430598" w:rsidP="002B7055">
            <w:pPr>
              <w:rPr>
                <w:rFonts w:ascii="Lato" w:hAnsi="Lato"/>
                <w:sz w:val="22"/>
                <w:szCs w:val="22"/>
              </w:rPr>
            </w:pPr>
            <w:r w:rsidRPr="001362A6">
              <w:rPr>
                <w:rFonts w:ascii="Lato" w:hAnsi="Lato"/>
                <w:sz w:val="22"/>
                <w:szCs w:val="22"/>
              </w:rPr>
              <w:t>2.1.9</w:t>
            </w:r>
          </w:p>
        </w:tc>
        <w:tc>
          <w:tcPr>
            <w:tcW w:w="5891" w:type="dxa"/>
            <w:tcBorders>
              <w:right w:val="single" w:sz="4" w:space="0" w:color="auto"/>
            </w:tcBorders>
          </w:tcPr>
          <w:p w14:paraId="2AF89567" w14:textId="77777777" w:rsidR="002B7055" w:rsidRPr="001362A6" w:rsidRDefault="002B7055" w:rsidP="00763102">
            <w:pPr>
              <w:pStyle w:val="Heading3"/>
              <w:spacing w:before="0" w:after="0" w:line="240" w:lineRule="auto"/>
              <w:rPr>
                <w:rFonts w:ascii="Lato" w:hAnsi="Lato"/>
                <w:b w:val="0"/>
                <w:bCs/>
                <w:color w:val="auto"/>
                <w:sz w:val="22"/>
                <w:szCs w:val="22"/>
              </w:rPr>
            </w:pPr>
            <w:r w:rsidRPr="001362A6">
              <w:rPr>
                <w:rFonts w:ascii="Lato" w:hAnsi="Lato"/>
                <w:b w:val="0"/>
                <w:color w:val="auto"/>
                <w:sz w:val="22"/>
                <w:szCs w:val="22"/>
              </w:rPr>
              <w:t>Disclose the base currency of the Qualifying Investor AIF</w:t>
            </w:r>
          </w:p>
        </w:tc>
        <w:tc>
          <w:tcPr>
            <w:tcW w:w="3188" w:type="dxa"/>
            <w:tcBorders>
              <w:top w:val="single" w:sz="4" w:space="0" w:color="auto"/>
              <w:left w:val="single" w:sz="4" w:space="0" w:color="auto"/>
              <w:bottom w:val="single" w:sz="4" w:space="0" w:color="auto"/>
              <w:right w:val="single" w:sz="4" w:space="0" w:color="auto"/>
            </w:tcBorders>
          </w:tcPr>
          <w:p w14:paraId="1D884877" w14:textId="77777777" w:rsidR="002B7055" w:rsidRPr="001362A6" w:rsidRDefault="002B7055">
            <w:pPr>
              <w:ind w:firstLine="99"/>
              <w:rPr>
                <w:rFonts w:ascii="Lato" w:hAnsi="Lato"/>
                <w:sz w:val="22"/>
                <w:szCs w:val="22"/>
              </w:rPr>
            </w:pPr>
          </w:p>
        </w:tc>
      </w:tr>
      <w:tr w:rsidR="00763102" w:rsidRPr="001362A6" w14:paraId="5162ED4D" w14:textId="77777777" w:rsidTr="00990D73">
        <w:trPr>
          <w:cantSplit/>
          <w:trHeight w:val="257"/>
        </w:trPr>
        <w:tc>
          <w:tcPr>
            <w:tcW w:w="1316" w:type="dxa"/>
          </w:tcPr>
          <w:p w14:paraId="07942802" w14:textId="77777777" w:rsidR="00763102" w:rsidRPr="001362A6" w:rsidRDefault="00763102" w:rsidP="00D760E3">
            <w:pPr>
              <w:rPr>
                <w:rFonts w:ascii="Lato" w:hAnsi="Lato"/>
                <w:sz w:val="22"/>
                <w:szCs w:val="22"/>
              </w:rPr>
            </w:pPr>
          </w:p>
        </w:tc>
        <w:tc>
          <w:tcPr>
            <w:tcW w:w="5891" w:type="dxa"/>
          </w:tcPr>
          <w:p w14:paraId="59CF9371" w14:textId="77777777" w:rsidR="00BB6E71" w:rsidRPr="001362A6" w:rsidRDefault="00BB6E71" w:rsidP="007E3170">
            <w:pPr>
              <w:rPr>
                <w:rFonts w:ascii="Lato" w:hAnsi="Lato"/>
                <w:sz w:val="22"/>
                <w:szCs w:val="22"/>
              </w:rPr>
            </w:pPr>
          </w:p>
        </w:tc>
        <w:tc>
          <w:tcPr>
            <w:tcW w:w="3188" w:type="dxa"/>
            <w:tcBorders>
              <w:top w:val="single" w:sz="4" w:space="0" w:color="auto"/>
            </w:tcBorders>
          </w:tcPr>
          <w:p w14:paraId="0B58312B" w14:textId="77777777" w:rsidR="00763102" w:rsidRPr="001362A6" w:rsidRDefault="00763102">
            <w:pPr>
              <w:ind w:firstLine="99"/>
              <w:rPr>
                <w:rFonts w:ascii="Lato" w:hAnsi="Lato"/>
                <w:sz w:val="22"/>
                <w:szCs w:val="22"/>
              </w:rPr>
            </w:pPr>
          </w:p>
        </w:tc>
      </w:tr>
      <w:tr w:rsidR="00E0074D" w:rsidRPr="001362A6" w14:paraId="60EE2C7E" w14:textId="77777777" w:rsidTr="00990D73">
        <w:trPr>
          <w:cantSplit/>
        </w:trPr>
        <w:tc>
          <w:tcPr>
            <w:tcW w:w="1316" w:type="dxa"/>
          </w:tcPr>
          <w:p w14:paraId="5B368308" w14:textId="77777777" w:rsidR="00E0074D" w:rsidRPr="001362A6" w:rsidRDefault="00E0074D" w:rsidP="002B7055">
            <w:pPr>
              <w:rPr>
                <w:rFonts w:ascii="Lato" w:hAnsi="Lato"/>
                <w:sz w:val="22"/>
                <w:szCs w:val="22"/>
              </w:rPr>
            </w:pPr>
            <w:r w:rsidRPr="001362A6">
              <w:rPr>
                <w:rFonts w:ascii="Lato" w:hAnsi="Lato"/>
                <w:sz w:val="22"/>
                <w:szCs w:val="22"/>
              </w:rPr>
              <w:t>2.1.</w:t>
            </w:r>
            <w:r w:rsidR="00D760E3" w:rsidRPr="001362A6">
              <w:rPr>
                <w:rFonts w:ascii="Lato" w:hAnsi="Lato"/>
                <w:sz w:val="22"/>
                <w:szCs w:val="22"/>
              </w:rPr>
              <w:t>1</w:t>
            </w:r>
            <w:r w:rsidR="00430598" w:rsidRPr="001362A6">
              <w:rPr>
                <w:rFonts w:ascii="Lato" w:hAnsi="Lato"/>
                <w:sz w:val="22"/>
                <w:szCs w:val="22"/>
              </w:rPr>
              <w:t>0</w:t>
            </w:r>
          </w:p>
        </w:tc>
        <w:tc>
          <w:tcPr>
            <w:tcW w:w="5891" w:type="dxa"/>
          </w:tcPr>
          <w:p w14:paraId="554D9E80" w14:textId="77777777" w:rsidR="00E0074D" w:rsidRPr="001362A6" w:rsidRDefault="00E0074D">
            <w:pPr>
              <w:rPr>
                <w:rFonts w:ascii="Lato" w:hAnsi="Lato"/>
                <w:sz w:val="22"/>
                <w:szCs w:val="22"/>
              </w:rPr>
            </w:pPr>
            <w:r w:rsidRPr="001362A6">
              <w:rPr>
                <w:rFonts w:ascii="Lato" w:hAnsi="Lato"/>
                <w:sz w:val="22"/>
                <w:szCs w:val="22"/>
              </w:rPr>
              <w:t xml:space="preserve">The following statements in a </w:t>
            </w:r>
            <w:r w:rsidRPr="001362A6">
              <w:rPr>
                <w:rFonts w:ascii="Lato" w:hAnsi="Lato"/>
                <w:sz w:val="22"/>
                <w:szCs w:val="22"/>
                <w:u w:val="single"/>
              </w:rPr>
              <w:t>prominent position</w:t>
            </w:r>
            <w:r w:rsidRPr="001362A6">
              <w:rPr>
                <w:rFonts w:ascii="Lato" w:hAnsi="Lato"/>
                <w:sz w:val="22"/>
                <w:szCs w:val="22"/>
              </w:rPr>
              <w:t xml:space="preserve"> in bold:</w:t>
            </w:r>
          </w:p>
        </w:tc>
        <w:tc>
          <w:tcPr>
            <w:tcW w:w="3188" w:type="dxa"/>
          </w:tcPr>
          <w:p w14:paraId="1DC6711D" w14:textId="77777777" w:rsidR="00E0074D" w:rsidRPr="001362A6" w:rsidRDefault="00E0074D">
            <w:pPr>
              <w:rPr>
                <w:rFonts w:ascii="Lato" w:hAnsi="Lato"/>
                <w:sz w:val="22"/>
                <w:szCs w:val="22"/>
              </w:rPr>
            </w:pPr>
          </w:p>
        </w:tc>
      </w:tr>
      <w:tr w:rsidR="00E0074D" w:rsidRPr="001362A6" w14:paraId="3401AB16" w14:textId="77777777" w:rsidTr="00990D73">
        <w:trPr>
          <w:cantSplit/>
        </w:trPr>
        <w:tc>
          <w:tcPr>
            <w:tcW w:w="1316" w:type="dxa"/>
          </w:tcPr>
          <w:p w14:paraId="2C2DB823" w14:textId="77777777" w:rsidR="00E0074D" w:rsidRPr="001362A6" w:rsidRDefault="00E0074D">
            <w:pPr>
              <w:rPr>
                <w:rFonts w:ascii="Lato" w:hAnsi="Lato"/>
                <w:sz w:val="22"/>
                <w:szCs w:val="22"/>
              </w:rPr>
            </w:pPr>
          </w:p>
        </w:tc>
        <w:tc>
          <w:tcPr>
            <w:tcW w:w="5891" w:type="dxa"/>
          </w:tcPr>
          <w:p w14:paraId="70FDF2CD" w14:textId="77777777" w:rsidR="00E0074D" w:rsidRPr="001362A6" w:rsidRDefault="00E0074D">
            <w:pPr>
              <w:rPr>
                <w:rFonts w:ascii="Lato" w:hAnsi="Lato"/>
                <w:sz w:val="22"/>
                <w:szCs w:val="22"/>
              </w:rPr>
            </w:pPr>
          </w:p>
        </w:tc>
        <w:tc>
          <w:tcPr>
            <w:tcW w:w="3188" w:type="dxa"/>
            <w:tcBorders>
              <w:bottom w:val="single" w:sz="4" w:space="0" w:color="auto"/>
            </w:tcBorders>
          </w:tcPr>
          <w:p w14:paraId="59588560" w14:textId="77777777" w:rsidR="00E0074D" w:rsidRPr="001362A6" w:rsidRDefault="00E0074D">
            <w:pPr>
              <w:rPr>
                <w:rFonts w:ascii="Lato" w:hAnsi="Lato"/>
                <w:sz w:val="22"/>
                <w:szCs w:val="22"/>
              </w:rPr>
            </w:pPr>
          </w:p>
        </w:tc>
      </w:tr>
      <w:tr w:rsidR="00E0074D" w:rsidRPr="001362A6" w14:paraId="16476AC0" w14:textId="77777777" w:rsidTr="00990D73">
        <w:trPr>
          <w:cantSplit/>
        </w:trPr>
        <w:tc>
          <w:tcPr>
            <w:tcW w:w="1316" w:type="dxa"/>
          </w:tcPr>
          <w:p w14:paraId="3F0D4475" w14:textId="77777777" w:rsidR="00E0074D" w:rsidRPr="001362A6" w:rsidRDefault="00441CAE">
            <w:pPr>
              <w:jc w:val="right"/>
              <w:rPr>
                <w:rFonts w:ascii="Lato" w:hAnsi="Lato"/>
                <w:sz w:val="22"/>
                <w:szCs w:val="22"/>
              </w:rPr>
            </w:pPr>
            <w:r w:rsidRPr="001362A6">
              <w:rPr>
                <w:rFonts w:ascii="Lato" w:hAnsi="Lato"/>
                <w:sz w:val="22"/>
                <w:szCs w:val="22"/>
              </w:rPr>
              <w:t>a</w:t>
            </w:r>
            <w:r w:rsidR="00E0074D" w:rsidRPr="001362A6">
              <w:rPr>
                <w:rFonts w:ascii="Lato" w:hAnsi="Lato"/>
                <w:sz w:val="22"/>
                <w:szCs w:val="22"/>
              </w:rPr>
              <w:t>)</w:t>
            </w:r>
          </w:p>
        </w:tc>
        <w:tc>
          <w:tcPr>
            <w:tcW w:w="5891" w:type="dxa"/>
            <w:vMerge w:val="restart"/>
            <w:tcBorders>
              <w:right w:val="single" w:sz="4" w:space="0" w:color="auto"/>
            </w:tcBorders>
          </w:tcPr>
          <w:p w14:paraId="7B0811B2" w14:textId="77777777" w:rsidR="00E0074D" w:rsidRPr="001362A6" w:rsidRDefault="00E0074D" w:rsidP="00414CCF">
            <w:pPr>
              <w:rPr>
                <w:rFonts w:ascii="Lato" w:hAnsi="Lato"/>
                <w:b/>
                <w:sz w:val="22"/>
                <w:szCs w:val="22"/>
              </w:rPr>
            </w:pPr>
            <w:r w:rsidRPr="001362A6">
              <w:rPr>
                <w:rFonts w:ascii="Lato" w:hAnsi="Lato"/>
                <w:b/>
                <w:sz w:val="22"/>
                <w:szCs w:val="22"/>
              </w:rPr>
              <w:t xml:space="preserve">Authorisation of the </w:t>
            </w:r>
            <w:r w:rsidR="00EB593B" w:rsidRPr="001362A6">
              <w:rPr>
                <w:rFonts w:ascii="Lato" w:hAnsi="Lato"/>
                <w:b/>
                <w:sz w:val="22"/>
                <w:szCs w:val="22"/>
              </w:rPr>
              <w:t xml:space="preserve">Qualifying Investor </w:t>
            </w:r>
            <w:r w:rsidR="00D6477D" w:rsidRPr="001362A6">
              <w:rPr>
                <w:rFonts w:ascii="Lato" w:hAnsi="Lato"/>
                <w:b/>
                <w:sz w:val="22"/>
                <w:szCs w:val="22"/>
              </w:rPr>
              <w:t>AIF</w:t>
            </w:r>
            <w:r w:rsidRPr="001362A6">
              <w:rPr>
                <w:rFonts w:ascii="Lato" w:hAnsi="Lato"/>
                <w:b/>
                <w:sz w:val="22"/>
                <w:szCs w:val="22"/>
              </w:rPr>
              <w:t xml:space="preserve"> is not an endorsement or</w:t>
            </w:r>
            <w:r w:rsidR="00F25936" w:rsidRPr="001362A6">
              <w:rPr>
                <w:rFonts w:ascii="Lato" w:hAnsi="Lato"/>
                <w:b/>
                <w:sz w:val="22"/>
                <w:szCs w:val="22"/>
              </w:rPr>
              <w:t xml:space="preserve">guarantee of </w:t>
            </w:r>
            <w:r w:rsidRPr="001362A6">
              <w:rPr>
                <w:rFonts w:ascii="Lato" w:hAnsi="Lato"/>
                <w:b/>
                <w:sz w:val="22"/>
                <w:szCs w:val="22"/>
              </w:rPr>
              <w:t xml:space="preserve">the </w:t>
            </w:r>
            <w:r w:rsidR="00EB593B" w:rsidRPr="001362A6">
              <w:rPr>
                <w:rFonts w:ascii="Lato" w:hAnsi="Lato"/>
                <w:b/>
                <w:sz w:val="22"/>
                <w:szCs w:val="22"/>
              </w:rPr>
              <w:t xml:space="preserve">Qualifying Investor </w:t>
            </w:r>
            <w:r w:rsidR="00D6477D" w:rsidRPr="001362A6">
              <w:rPr>
                <w:rFonts w:ascii="Lato" w:hAnsi="Lato"/>
                <w:b/>
                <w:sz w:val="22"/>
                <w:szCs w:val="22"/>
              </w:rPr>
              <w:t>AIF</w:t>
            </w:r>
            <w:r w:rsidRPr="001362A6">
              <w:rPr>
                <w:rFonts w:ascii="Lato" w:hAnsi="Lato"/>
                <w:b/>
                <w:sz w:val="22"/>
                <w:szCs w:val="22"/>
              </w:rPr>
              <w:t xml:space="preserve"> by the </w:t>
            </w:r>
            <w:r w:rsidR="008F37E1" w:rsidRPr="001362A6">
              <w:rPr>
                <w:rFonts w:ascii="Lato" w:hAnsi="Lato"/>
                <w:b/>
                <w:sz w:val="22"/>
                <w:szCs w:val="22"/>
              </w:rPr>
              <w:t xml:space="preserve">Central Bank </w:t>
            </w:r>
            <w:r w:rsidRPr="001362A6">
              <w:rPr>
                <w:rFonts w:ascii="Lato" w:hAnsi="Lato"/>
                <w:b/>
                <w:sz w:val="22"/>
                <w:szCs w:val="22"/>
              </w:rPr>
              <w:t xml:space="preserve">nor is the </w:t>
            </w:r>
            <w:r w:rsidR="008F37E1" w:rsidRPr="001362A6">
              <w:rPr>
                <w:rFonts w:ascii="Lato" w:hAnsi="Lato"/>
                <w:b/>
                <w:sz w:val="22"/>
                <w:szCs w:val="22"/>
              </w:rPr>
              <w:t xml:space="preserve">Central Bank </w:t>
            </w:r>
            <w:r w:rsidRPr="001362A6">
              <w:rPr>
                <w:rFonts w:ascii="Lato" w:hAnsi="Lato"/>
                <w:b/>
                <w:sz w:val="22"/>
                <w:szCs w:val="22"/>
              </w:rPr>
              <w:t>responsible for the contents of the Prospectus;</w:t>
            </w:r>
          </w:p>
        </w:tc>
        <w:tc>
          <w:tcPr>
            <w:tcW w:w="3188" w:type="dxa"/>
            <w:tcBorders>
              <w:top w:val="single" w:sz="4" w:space="0" w:color="auto"/>
              <w:left w:val="single" w:sz="4" w:space="0" w:color="auto"/>
              <w:bottom w:val="single" w:sz="4" w:space="0" w:color="auto"/>
              <w:right w:val="single" w:sz="4" w:space="0" w:color="auto"/>
            </w:tcBorders>
          </w:tcPr>
          <w:p w14:paraId="7F9BC7A8" w14:textId="77777777" w:rsidR="00E0074D" w:rsidRPr="001362A6" w:rsidRDefault="00E0074D">
            <w:pPr>
              <w:rPr>
                <w:rFonts w:ascii="Lato" w:hAnsi="Lato"/>
                <w:sz w:val="22"/>
                <w:szCs w:val="22"/>
              </w:rPr>
            </w:pPr>
          </w:p>
        </w:tc>
      </w:tr>
      <w:tr w:rsidR="00E0074D" w:rsidRPr="001362A6" w14:paraId="31C27D8B" w14:textId="77777777" w:rsidTr="00990D73">
        <w:trPr>
          <w:cantSplit/>
        </w:trPr>
        <w:tc>
          <w:tcPr>
            <w:tcW w:w="1316" w:type="dxa"/>
          </w:tcPr>
          <w:p w14:paraId="4CD6FED2" w14:textId="77777777" w:rsidR="00E0074D" w:rsidRPr="001362A6" w:rsidRDefault="00E0074D">
            <w:pPr>
              <w:rPr>
                <w:rFonts w:ascii="Lato" w:hAnsi="Lato"/>
                <w:sz w:val="22"/>
                <w:szCs w:val="22"/>
              </w:rPr>
            </w:pPr>
          </w:p>
        </w:tc>
        <w:tc>
          <w:tcPr>
            <w:tcW w:w="5891" w:type="dxa"/>
            <w:vMerge/>
          </w:tcPr>
          <w:p w14:paraId="6EFAAB88" w14:textId="77777777" w:rsidR="00E0074D" w:rsidRPr="001362A6" w:rsidRDefault="00E0074D">
            <w:pPr>
              <w:rPr>
                <w:rFonts w:ascii="Lato" w:hAnsi="Lato"/>
                <w:b/>
                <w:sz w:val="22"/>
                <w:szCs w:val="22"/>
              </w:rPr>
            </w:pPr>
          </w:p>
        </w:tc>
        <w:tc>
          <w:tcPr>
            <w:tcW w:w="3188" w:type="dxa"/>
            <w:tcBorders>
              <w:top w:val="single" w:sz="4" w:space="0" w:color="auto"/>
            </w:tcBorders>
          </w:tcPr>
          <w:p w14:paraId="21937A2B" w14:textId="77777777" w:rsidR="00E0074D" w:rsidRPr="001362A6" w:rsidRDefault="00E0074D">
            <w:pPr>
              <w:rPr>
                <w:rFonts w:ascii="Lato" w:hAnsi="Lato"/>
                <w:sz w:val="22"/>
                <w:szCs w:val="22"/>
              </w:rPr>
            </w:pPr>
          </w:p>
        </w:tc>
      </w:tr>
      <w:tr w:rsidR="00E0074D" w:rsidRPr="001362A6" w14:paraId="7FAAF2D7" w14:textId="77777777" w:rsidTr="00990D73">
        <w:trPr>
          <w:cantSplit/>
        </w:trPr>
        <w:tc>
          <w:tcPr>
            <w:tcW w:w="1316" w:type="dxa"/>
          </w:tcPr>
          <w:p w14:paraId="0D5700A3" w14:textId="77777777" w:rsidR="00E0074D" w:rsidRPr="001362A6" w:rsidRDefault="00E0074D">
            <w:pPr>
              <w:rPr>
                <w:rFonts w:ascii="Lato" w:hAnsi="Lato"/>
                <w:sz w:val="22"/>
                <w:szCs w:val="22"/>
              </w:rPr>
            </w:pPr>
          </w:p>
        </w:tc>
        <w:tc>
          <w:tcPr>
            <w:tcW w:w="5891" w:type="dxa"/>
            <w:vMerge/>
          </w:tcPr>
          <w:p w14:paraId="5DC01719" w14:textId="77777777" w:rsidR="00E0074D" w:rsidRPr="001362A6" w:rsidRDefault="00E0074D">
            <w:pPr>
              <w:rPr>
                <w:rFonts w:ascii="Lato" w:hAnsi="Lato"/>
                <w:b/>
                <w:sz w:val="22"/>
                <w:szCs w:val="22"/>
              </w:rPr>
            </w:pPr>
          </w:p>
        </w:tc>
        <w:tc>
          <w:tcPr>
            <w:tcW w:w="3188" w:type="dxa"/>
            <w:tcBorders>
              <w:bottom w:val="single" w:sz="4" w:space="0" w:color="auto"/>
            </w:tcBorders>
          </w:tcPr>
          <w:p w14:paraId="2D430887" w14:textId="77777777" w:rsidR="00E0074D" w:rsidRPr="001362A6" w:rsidRDefault="00E0074D">
            <w:pPr>
              <w:rPr>
                <w:rFonts w:ascii="Lato" w:hAnsi="Lato"/>
                <w:sz w:val="22"/>
                <w:szCs w:val="22"/>
              </w:rPr>
            </w:pPr>
          </w:p>
        </w:tc>
      </w:tr>
      <w:tr w:rsidR="00E93F31" w:rsidRPr="001362A6" w14:paraId="6BBAF5C2" w14:textId="77777777" w:rsidTr="00990D73">
        <w:trPr>
          <w:cantSplit/>
        </w:trPr>
        <w:tc>
          <w:tcPr>
            <w:tcW w:w="1316" w:type="dxa"/>
          </w:tcPr>
          <w:p w14:paraId="5C330D1A" w14:textId="77777777" w:rsidR="00E93F31" w:rsidRPr="001362A6" w:rsidRDefault="00441CAE" w:rsidP="00441CAE">
            <w:pPr>
              <w:jc w:val="right"/>
              <w:rPr>
                <w:rFonts w:ascii="Lato" w:hAnsi="Lato"/>
                <w:sz w:val="22"/>
                <w:szCs w:val="22"/>
              </w:rPr>
            </w:pPr>
            <w:r w:rsidRPr="001362A6">
              <w:rPr>
                <w:rFonts w:ascii="Lato" w:hAnsi="Lato"/>
                <w:sz w:val="22"/>
                <w:szCs w:val="22"/>
              </w:rPr>
              <w:t>b</w:t>
            </w:r>
            <w:r w:rsidR="00E93F31" w:rsidRPr="001362A6">
              <w:rPr>
                <w:rFonts w:ascii="Lato" w:hAnsi="Lato"/>
                <w:sz w:val="22"/>
                <w:szCs w:val="22"/>
              </w:rPr>
              <w:t>)</w:t>
            </w:r>
          </w:p>
        </w:tc>
        <w:tc>
          <w:tcPr>
            <w:tcW w:w="5891" w:type="dxa"/>
            <w:tcBorders>
              <w:right w:val="single" w:sz="4" w:space="0" w:color="auto"/>
            </w:tcBorders>
          </w:tcPr>
          <w:p w14:paraId="2D8A86F9" w14:textId="77777777" w:rsidR="00E93F31" w:rsidRPr="001362A6" w:rsidRDefault="00E93F31" w:rsidP="00414CCF">
            <w:pPr>
              <w:rPr>
                <w:rFonts w:ascii="Lato" w:hAnsi="Lato"/>
                <w:b/>
                <w:sz w:val="22"/>
                <w:szCs w:val="22"/>
              </w:rPr>
            </w:pPr>
            <w:r w:rsidRPr="001362A6">
              <w:rPr>
                <w:rFonts w:ascii="Lato" w:hAnsi="Lato"/>
                <w:b/>
                <w:sz w:val="22"/>
                <w:szCs w:val="22"/>
              </w:rPr>
              <w:t xml:space="preserve">The Central Bank shall not be liable by virtue of its </w:t>
            </w:r>
          </w:p>
        </w:tc>
        <w:tc>
          <w:tcPr>
            <w:tcW w:w="3188" w:type="dxa"/>
            <w:tcBorders>
              <w:top w:val="single" w:sz="4" w:space="0" w:color="auto"/>
              <w:left w:val="single" w:sz="4" w:space="0" w:color="auto"/>
              <w:bottom w:val="single" w:sz="4" w:space="0" w:color="auto"/>
              <w:right w:val="single" w:sz="4" w:space="0" w:color="auto"/>
            </w:tcBorders>
          </w:tcPr>
          <w:p w14:paraId="3668C0D8" w14:textId="77777777" w:rsidR="00E93F31" w:rsidRPr="001362A6" w:rsidRDefault="00E93F31">
            <w:pPr>
              <w:rPr>
                <w:rFonts w:ascii="Lato" w:hAnsi="Lato"/>
                <w:sz w:val="22"/>
                <w:szCs w:val="22"/>
              </w:rPr>
            </w:pPr>
          </w:p>
        </w:tc>
      </w:tr>
      <w:tr w:rsidR="00414CCF" w:rsidRPr="001362A6" w14:paraId="05E71586" w14:textId="77777777" w:rsidTr="00990D73">
        <w:trPr>
          <w:cantSplit/>
        </w:trPr>
        <w:tc>
          <w:tcPr>
            <w:tcW w:w="1316" w:type="dxa"/>
          </w:tcPr>
          <w:p w14:paraId="7E7304C4" w14:textId="77777777" w:rsidR="00414CCF" w:rsidRPr="001362A6" w:rsidRDefault="00414CCF" w:rsidP="00441CAE">
            <w:pPr>
              <w:jc w:val="right"/>
              <w:rPr>
                <w:rFonts w:ascii="Lato" w:hAnsi="Lato"/>
                <w:sz w:val="22"/>
                <w:szCs w:val="22"/>
              </w:rPr>
            </w:pPr>
          </w:p>
        </w:tc>
        <w:tc>
          <w:tcPr>
            <w:tcW w:w="5891" w:type="dxa"/>
          </w:tcPr>
          <w:p w14:paraId="1D8AC59F" w14:textId="77777777" w:rsidR="00414CCF" w:rsidRPr="001362A6" w:rsidRDefault="00414CCF">
            <w:pPr>
              <w:rPr>
                <w:rFonts w:ascii="Lato" w:hAnsi="Lato"/>
                <w:b/>
                <w:sz w:val="22"/>
                <w:szCs w:val="22"/>
              </w:rPr>
            </w:pPr>
            <w:r w:rsidRPr="001362A6">
              <w:rPr>
                <w:rFonts w:ascii="Lato" w:hAnsi="Lato"/>
                <w:b/>
                <w:sz w:val="22"/>
                <w:szCs w:val="22"/>
              </w:rPr>
              <w:t>Authorisation of this  Qualifying Investor AIF or by</w:t>
            </w:r>
          </w:p>
        </w:tc>
        <w:tc>
          <w:tcPr>
            <w:tcW w:w="3188" w:type="dxa"/>
            <w:tcBorders>
              <w:top w:val="single" w:sz="4" w:space="0" w:color="auto"/>
            </w:tcBorders>
          </w:tcPr>
          <w:p w14:paraId="6FCC2652" w14:textId="77777777" w:rsidR="00414CCF" w:rsidRPr="001362A6" w:rsidRDefault="00414CCF">
            <w:pPr>
              <w:rPr>
                <w:rFonts w:ascii="Lato" w:hAnsi="Lato"/>
                <w:sz w:val="22"/>
                <w:szCs w:val="22"/>
              </w:rPr>
            </w:pPr>
          </w:p>
        </w:tc>
      </w:tr>
      <w:tr w:rsidR="00E93F31" w:rsidRPr="001362A6" w14:paraId="6742F44B" w14:textId="77777777" w:rsidTr="00990D73">
        <w:trPr>
          <w:cantSplit/>
        </w:trPr>
        <w:tc>
          <w:tcPr>
            <w:tcW w:w="1316" w:type="dxa"/>
          </w:tcPr>
          <w:p w14:paraId="0D31615E" w14:textId="77777777" w:rsidR="00E93F31" w:rsidRPr="001362A6" w:rsidRDefault="00E93F31">
            <w:pPr>
              <w:rPr>
                <w:rFonts w:ascii="Lato" w:hAnsi="Lato"/>
                <w:sz w:val="22"/>
                <w:szCs w:val="22"/>
              </w:rPr>
            </w:pPr>
          </w:p>
        </w:tc>
        <w:tc>
          <w:tcPr>
            <w:tcW w:w="5891" w:type="dxa"/>
          </w:tcPr>
          <w:p w14:paraId="3A7102A7" w14:textId="77777777" w:rsidR="00E93F31" w:rsidRPr="001362A6" w:rsidRDefault="00E93F31" w:rsidP="00EB593B">
            <w:pPr>
              <w:rPr>
                <w:rFonts w:ascii="Lato" w:hAnsi="Lato"/>
                <w:b/>
                <w:sz w:val="22"/>
                <w:szCs w:val="22"/>
              </w:rPr>
            </w:pPr>
            <w:r w:rsidRPr="001362A6">
              <w:rPr>
                <w:rFonts w:ascii="Lato" w:hAnsi="Lato"/>
                <w:b/>
                <w:sz w:val="22"/>
                <w:szCs w:val="22"/>
              </w:rPr>
              <w:t xml:space="preserve">reason of its exercise of the functions conferred on it by legislation in relation to the </w:t>
            </w:r>
            <w:r w:rsidR="00EB593B" w:rsidRPr="001362A6">
              <w:rPr>
                <w:rFonts w:ascii="Lato" w:hAnsi="Lato"/>
                <w:b/>
                <w:sz w:val="22"/>
                <w:szCs w:val="22"/>
              </w:rPr>
              <w:t xml:space="preserve"> Qualifying Investor </w:t>
            </w:r>
            <w:r w:rsidRPr="001362A6">
              <w:rPr>
                <w:rFonts w:ascii="Lato" w:hAnsi="Lato"/>
                <w:b/>
                <w:sz w:val="22"/>
                <w:szCs w:val="22"/>
              </w:rPr>
              <w:t xml:space="preserve">AIF for any default of the </w:t>
            </w:r>
            <w:r w:rsidR="00EB593B" w:rsidRPr="001362A6">
              <w:rPr>
                <w:rFonts w:ascii="Lato" w:hAnsi="Lato"/>
                <w:b/>
                <w:sz w:val="22"/>
                <w:szCs w:val="22"/>
              </w:rPr>
              <w:t xml:space="preserve"> Qualifying Investor </w:t>
            </w:r>
            <w:r w:rsidRPr="001362A6">
              <w:rPr>
                <w:rFonts w:ascii="Lato" w:hAnsi="Lato"/>
                <w:b/>
                <w:sz w:val="22"/>
                <w:szCs w:val="22"/>
              </w:rPr>
              <w:t>AIF.  Authorisation</w:t>
            </w:r>
            <w:r w:rsidR="00A66131" w:rsidRPr="001362A6">
              <w:rPr>
                <w:rFonts w:ascii="Lato" w:hAnsi="Lato"/>
                <w:b/>
                <w:sz w:val="22"/>
                <w:szCs w:val="22"/>
              </w:rPr>
              <w:t xml:space="preserve"> of this Qualifying Investor AIF</w:t>
            </w:r>
            <w:r w:rsidRPr="001362A6">
              <w:rPr>
                <w:rFonts w:ascii="Lato" w:hAnsi="Lato"/>
                <w:b/>
                <w:sz w:val="22"/>
                <w:szCs w:val="22"/>
              </w:rPr>
              <w:t xml:space="preserve"> does not constitute a warranty by the Central Bank as to the credit worthiness or financial standing of the various parties to the </w:t>
            </w:r>
            <w:r w:rsidR="00EB593B" w:rsidRPr="001362A6">
              <w:rPr>
                <w:rFonts w:ascii="Lato" w:hAnsi="Lato"/>
                <w:b/>
                <w:sz w:val="22"/>
                <w:szCs w:val="22"/>
              </w:rPr>
              <w:t xml:space="preserve"> Qualifying Investor </w:t>
            </w:r>
            <w:r w:rsidRPr="001362A6">
              <w:rPr>
                <w:rFonts w:ascii="Lato" w:hAnsi="Lato"/>
                <w:b/>
                <w:sz w:val="22"/>
                <w:szCs w:val="22"/>
              </w:rPr>
              <w:t>AIF</w:t>
            </w:r>
            <w:r w:rsidR="00F25936" w:rsidRPr="001362A6">
              <w:rPr>
                <w:rFonts w:ascii="Lato" w:hAnsi="Lato"/>
                <w:b/>
                <w:sz w:val="22"/>
                <w:szCs w:val="22"/>
              </w:rPr>
              <w:t>;</w:t>
            </w:r>
          </w:p>
        </w:tc>
        <w:tc>
          <w:tcPr>
            <w:tcW w:w="3188" w:type="dxa"/>
            <w:tcBorders>
              <w:bottom w:val="single" w:sz="4" w:space="0" w:color="auto"/>
            </w:tcBorders>
          </w:tcPr>
          <w:p w14:paraId="1C7FA0A7" w14:textId="77777777" w:rsidR="00E93F31" w:rsidRPr="001362A6" w:rsidRDefault="00E93F31">
            <w:pPr>
              <w:rPr>
                <w:rFonts w:ascii="Lato" w:hAnsi="Lato"/>
                <w:sz w:val="22"/>
                <w:szCs w:val="22"/>
              </w:rPr>
            </w:pPr>
          </w:p>
        </w:tc>
      </w:tr>
      <w:tr w:rsidR="00E93F31" w:rsidRPr="001362A6" w14:paraId="2C12E5B0" w14:textId="77777777" w:rsidTr="00990D73">
        <w:trPr>
          <w:cantSplit/>
        </w:trPr>
        <w:tc>
          <w:tcPr>
            <w:tcW w:w="1316" w:type="dxa"/>
          </w:tcPr>
          <w:p w14:paraId="0EA2C1FB" w14:textId="77777777" w:rsidR="00E93F31" w:rsidRPr="001362A6" w:rsidRDefault="00441CAE" w:rsidP="00441CAE">
            <w:pPr>
              <w:jc w:val="right"/>
              <w:rPr>
                <w:rFonts w:ascii="Lato" w:hAnsi="Lato"/>
                <w:sz w:val="22"/>
                <w:szCs w:val="22"/>
              </w:rPr>
            </w:pPr>
            <w:r w:rsidRPr="001362A6">
              <w:rPr>
                <w:rFonts w:ascii="Lato" w:hAnsi="Lato"/>
                <w:sz w:val="22"/>
                <w:szCs w:val="22"/>
              </w:rPr>
              <w:t>c</w:t>
            </w:r>
            <w:r w:rsidR="00E93F31" w:rsidRPr="001362A6">
              <w:rPr>
                <w:rFonts w:ascii="Lato" w:hAnsi="Lato"/>
                <w:sz w:val="22"/>
                <w:szCs w:val="22"/>
              </w:rPr>
              <w:t>)</w:t>
            </w:r>
          </w:p>
        </w:tc>
        <w:tc>
          <w:tcPr>
            <w:tcW w:w="5891" w:type="dxa"/>
            <w:tcBorders>
              <w:right w:val="single" w:sz="4" w:space="0" w:color="auto"/>
            </w:tcBorders>
          </w:tcPr>
          <w:p w14:paraId="14F880C5" w14:textId="77777777" w:rsidR="00E93F31" w:rsidRPr="001362A6" w:rsidRDefault="00F25936" w:rsidP="00414CCF">
            <w:pPr>
              <w:rPr>
                <w:rFonts w:ascii="Lato" w:hAnsi="Lato"/>
                <w:b/>
                <w:sz w:val="22"/>
                <w:szCs w:val="22"/>
              </w:rPr>
            </w:pPr>
            <w:r w:rsidRPr="001362A6">
              <w:rPr>
                <w:rFonts w:ascii="Lato" w:hAnsi="Lato"/>
                <w:b/>
                <w:sz w:val="22"/>
                <w:szCs w:val="22"/>
              </w:rPr>
              <w:t xml:space="preserve">The Qualifying Investor AIF has been authorised by the </w:t>
            </w:r>
          </w:p>
        </w:tc>
        <w:tc>
          <w:tcPr>
            <w:tcW w:w="3188" w:type="dxa"/>
            <w:tcBorders>
              <w:top w:val="single" w:sz="4" w:space="0" w:color="auto"/>
              <w:left w:val="single" w:sz="4" w:space="0" w:color="auto"/>
              <w:bottom w:val="single" w:sz="4" w:space="0" w:color="auto"/>
              <w:right w:val="single" w:sz="4" w:space="0" w:color="auto"/>
            </w:tcBorders>
          </w:tcPr>
          <w:p w14:paraId="1C70BD17" w14:textId="77777777" w:rsidR="00E93F31" w:rsidRPr="001362A6" w:rsidRDefault="00E93F31">
            <w:pPr>
              <w:rPr>
                <w:rFonts w:ascii="Lato" w:hAnsi="Lato"/>
                <w:sz w:val="22"/>
                <w:szCs w:val="22"/>
              </w:rPr>
            </w:pPr>
          </w:p>
        </w:tc>
      </w:tr>
      <w:tr w:rsidR="00414CCF" w:rsidRPr="001362A6" w14:paraId="4FAD34E0" w14:textId="77777777" w:rsidTr="0042571B">
        <w:trPr>
          <w:cantSplit/>
        </w:trPr>
        <w:tc>
          <w:tcPr>
            <w:tcW w:w="1316" w:type="dxa"/>
          </w:tcPr>
          <w:p w14:paraId="6C024B9B" w14:textId="77777777" w:rsidR="00414CCF" w:rsidRPr="001362A6" w:rsidRDefault="00414CCF" w:rsidP="00441CAE">
            <w:pPr>
              <w:jc w:val="right"/>
              <w:rPr>
                <w:rFonts w:ascii="Lato" w:hAnsi="Lato"/>
                <w:sz w:val="22"/>
                <w:szCs w:val="22"/>
              </w:rPr>
            </w:pPr>
          </w:p>
        </w:tc>
        <w:tc>
          <w:tcPr>
            <w:tcW w:w="5891" w:type="dxa"/>
          </w:tcPr>
          <w:p w14:paraId="2F1B5BC4" w14:textId="77777777" w:rsidR="00414CCF" w:rsidRPr="001362A6" w:rsidRDefault="00414CCF" w:rsidP="00F25936">
            <w:pPr>
              <w:rPr>
                <w:rFonts w:ascii="Lato" w:hAnsi="Lato"/>
                <w:b/>
                <w:sz w:val="22"/>
                <w:szCs w:val="22"/>
              </w:rPr>
            </w:pPr>
            <w:r w:rsidRPr="001362A6">
              <w:rPr>
                <w:rFonts w:ascii="Lato" w:hAnsi="Lato"/>
                <w:b/>
                <w:sz w:val="22"/>
                <w:szCs w:val="22"/>
              </w:rPr>
              <w:t>Central Bank for marketing solely to qualifying investors ;</w:t>
            </w:r>
          </w:p>
        </w:tc>
        <w:tc>
          <w:tcPr>
            <w:tcW w:w="3188" w:type="dxa"/>
            <w:tcBorders>
              <w:top w:val="single" w:sz="4" w:space="0" w:color="auto"/>
            </w:tcBorders>
          </w:tcPr>
          <w:p w14:paraId="479C3BC1" w14:textId="77777777" w:rsidR="00414CCF" w:rsidRPr="001362A6" w:rsidRDefault="00414CCF">
            <w:pPr>
              <w:rPr>
                <w:rFonts w:ascii="Lato" w:hAnsi="Lato"/>
                <w:sz w:val="22"/>
                <w:szCs w:val="22"/>
              </w:rPr>
            </w:pPr>
          </w:p>
        </w:tc>
      </w:tr>
      <w:tr w:rsidR="00F25936" w:rsidRPr="001362A6" w14:paraId="4EE9DE88" w14:textId="77777777" w:rsidTr="0042571B">
        <w:trPr>
          <w:cantSplit/>
        </w:trPr>
        <w:tc>
          <w:tcPr>
            <w:tcW w:w="1316" w:type="dxa"/>
          </w:tcPr>
          <w:p w14:paraId="42D26671" w14:textId="77777777" w:rsidR="00F25936" w:rsidRPr="001362A6" w:rsidRDefault="00441CAE" w:rsidP="00D47A86">
            <w:pPr>
              <w:jc w:val="right"/>
              <w:rPr>
                <w:rFonts w:ascii="Lato" w:hAnsi="Lato"/>
                <w:sz w:val="22"/>
                <w:szCs w:val="22"/>
              </w:rPr>
            </w:pPr>
            <w:r w:rsidRPr="001362A6">
              <w:rPr>
                <w:rFonts w:ascii="Lato" w:hAnsi="Lato"/>
                <w:sz w:val="22"/>
                <w:szCs w:val="22"/>
              </w:rPr>
              <w:t>d</w:t>
            </w:r>
            <w:r w:rsidR="00F25936" w:rsidRPr="001362A6">
              <w:rPr>
                <w:rFonts w:ascii="Lato" w:hAnsi="Lato"/>
                <w:sz w:val="22"/>
                <w:szCs w:val="22"/>
              </w:rPr>
              <w:t>)</w:t>
            </w:r>
          </w:p>
        </w:tc>
        <w:tc>
          <w:tcPr>
            <w:tcW w:w="5891" w:type="dxa"/>
          </w:tcPr>
          <w:p w14:paraId="1CB0DA90" w14:textId="77777777" w:rsidR="00F25936" w:rsidRPr="001362A6" w:rsidRDefault="00F25936" w:rsidP="00EB593B">
            <w:pPr>
              <w:rPr>
                <w:rFonts w:ascii="Lato" w:hAnsi="Lato"/>
                <w:b/>
                <w:sz w:val="22"/>
                <w:szCs w:val="22"/>
              </w:rPr>
            </w:pPr>
            <w:r w:rsidRPr="001362A6">
              <w:rPr>
                <w:rFonts w:ascii="Lato" w:hAnsi="Lato"/>
                <w:b/>
                <w:sz w:val="22"/>
                <w:szCs w:val="22"/>
              </w:rPr>
              <w:t xml:space="preserve">The </w:t>
            </w:r>
            <w:r w:rsidR="00EB593B" w:rsidRPr="001362A6">
              <w:rPr>
                <w:rFonts w:ascii="Lato" w:hAnsi="Lato"/>
                <w:b/>
                <w:sz w:val="22"/>
                <w:szCs w:val="22"/>
              </w:rPr>
              <w:t xml:space="preserve"> Qualifying Investor </w:t>
            </w:r>
            <w:r w:rsidRPr="001362A6">
              <w:rPr>
                <w:rFonts w:ascii="Lato" w:hAnsi="Lato"/>
                <w:b/>
                <w:sz w:val="22"/>
                <w:szCs w:val="22"/>
              </w:rPr>
              <w:t>AIF must specify its minimum subscription</w:t>
            </w:r>
            <w:r w:rsidR="00A66131" w:rsidRPr="001362A6">
              <w:rPr>
                <w:rFonts w:ascii="Lato" w:hAnsi="Lato"/>
                <w:b/>
                <w:sz w:val="22"/>
                <w:szCs w:val="22"/>
              </w:rPr>
              <w:t xml:space="preserve"> (which must be at least €100,</w:t>
            </w:r>
            <w:r w:rsidR="00781051" w:rsidRPr="001362A6">
              <w:rPr>
                <w:rFonts w:ascii="Lato" w:hAnsi="Lato"/>
                <w:b/>
                <w:sz w:val="22"/>
                <w:szCs w:val="22"/>
              </w:rPr>
              <w:t>0</w:t>
            </w:r>
            <w:r w:rsidR="00A66131" w:rsidRPr="001362A6">
              <w:rPr>
                <w:rFonts w:ascii="Lato" w:hAnsi="Lato"/>
                <w:b/>
                <w:sz w:val="22"/>
                <w:szCs w:val="22"/>
              </w:rPr>
              <w:t xml:space="preserve">00) </w:t>
            </w:r>
            <w:r w:rsidRPr="001362A6">
              <w:rPr>
                <w:rFonts w:ascii="Lato" w:hAnsi="Lato"/>
                <w:b/>
                <w:sz w:val="22"/>
                <w:szCs w:val="22"/>
              </w:rPr>
              <w:t xml:space="preserve"> requirements and add the following:</w:t>
            </w:r>
          </w:p>
        </w:tc>
        <w:tc>
          <w:tcPr>
            <w:tcW w:w="3188" w:type="dxa"/>
            <w:tcBorders>
              <w:bottom w:val="single" w:sz="4" w:space="0" w:color="auto"/>
            </w:tcBorders>
          </w:tcPr>
          <w:p w14:paraId="47BD942A" w14:textId="77777777" w:rsidR="00F25936" w:rsidRPr="001362A6" w:rsidRDefault="00F25936">
            <w:pPr>
              <w:rPr>
                <w:rFonts w:ascii="Lato" w:hAnsi="Lato"/>
                <w:sz w:val="22"/>
                <w:szCs w:val="22"/>
              </w:rPr>
            </w:pPr>
          </w:p>
        </w:tc>
      </w:tr>
      <w:tr w:rsidR="00414CCF" w:rsidRPr="001362A6" w14:paraId="0B1E0C15" w14:textId="77777777" w:rsidTr="0042571B">
        <w:trPr>
          <w:cantSplit/>
        </w:trPr>
        <w:tc>
          <w:tcPr>
            <w:tcW w:w="1316" w:type="dxa"/>
          </w:tcPr>
          <w:p w14:paraId="7D0AE7FC" w14:textId="77777777" w:rsidR="00414CCF" w:rsidRPr="001362A6" w:rsidRDefault="00414CCF" w:rsidP="00D47A86">
            <w:pPr>
              <w:jc w:val="right"/>
              <w:rPr>
                <w:rFonts w:ascii="Lato" w:hAnsi="Lato"/>
                <w:sz w:val="22"/>
                <w:szCs w:val="22"/>
              </w:rPr>
            </w:pPr>
          </w:p>
        </w:tc>
        <w:tc>
          <w:tcPr>
            <w:tcW w:w="5891" w:type="dxa"/>
            <w:tcBorders>
              <w:right w:val="single" w:sz="4" w:space="0" w:color="auto"/>
            </w:tcBorders>
          </w:tcPr>
          <w:p w14:paraId="2672B3EC" w14:textId="77777777" w:rsidR="00414CCF" w:rsidRPr="001362A6" w:rsidRDefault="00414CCF" w:rsidP="00EB593B">
            <w:pPr>
              <w:rPr>
                <w:rFonts w:ascii="Lato" w:hAnsi="Lato"/>
                <w:b/>
                <w:sz w:val="22"/>
                <w:szCs w:val="22"/>
              </w:rPr>
            </w:pPr>
            <w:r w:rsidRPr="001362A6">
              <w:rPr>
                <w:rFonts w:ascii="Lato" w:hAnsi="Lato"/>
                <w:b/>
                <w:sz w:val="22"/>
                <w:szCs w:val="22"/>
              </w:rPr>
              <w:t>While this Qual</w:t>
            </w:r>
            <w:r w:rsidR="00106A06" w:rsidRPr="001362A6">
              <w:rPr>
                <w:rFonts w:ascii="Lato" w:hAnsi="Lato"/>
                <w:b/>
                <w:sz w:val="22"/>
                <w:szCs w:val="22"/>
              </w:rPr>
              <w:t>if</w:t>
            </w:r>
            <w:r w:rsidRPr="001362A6">
              <w:rPr>
                <w:rFonts w:ascii="Lato" w:hAnsi="Lato"/>
                <w:b/>
                <w:sz w:val="22"/>
                <w:szCs w:val="22"/>
              </w:rPr>
              <w:t>ying  Investor AIF is authorised by the</w:t>
            </w:r>
          </w:p>
        </w:tc>
        <w:tc>
          <w:tcPr>
            <w:tcW w:w="3188" w:type="dxa"/>
            <w:tcBorders>
              <w:top w:val="single" w:sz="4" w:space="0" w:color="auto"/>
              <w:left w:val="single" w:sz="4" w:space="0" w:color="auto"/>
              <w:bottom w:val="single" w:sz="4" w:space="0" w:color="auto"/>
              <w:right w:val="single" w:sz="4" w:space="0" w:color="auto"/>
            </w:tcBorders>
          </w:tcPr>
          <w:p w14:paraId="196D2480" w14:textId="77777777" w:rsidR="00414CCF" w:rsidRPr="001362A6" w:rsidRDefault="00414CCF">
            <w:pPr>
              <w:rPr>
                <w:rFonts w:ascii="Lato" w:hAnsi="Lato"/>
                <w:sz w:val="22"/>
                <w:szCs w:val="22"/>
              </w:rPr>
            </w:pPr>
          </w:p>
        </w:tc>
      </w:tr>
      <w:tr w:rsidR="00414CCF" w:rsidRPr="001362A6" w14:paraId="1159E3A8" w14:textId="77777777" w:rsidTr="00990D73">
        <w:trPr>
          <w:cantSplit/>
        </w:trPr>
        <w:tc>
          <w:tcPr>
            <w:tcW w:w="1316" w:type="dxa"/>
          </w:tcPr>
          <w:p w14:paraId="1AC24358" w14:textId="77777777" w:rsidR="00414CCF" w:rsidRPr="001362A6" w:rsidRDefault="00414CCF" w:rsidP="00D47A86">
            <w:pPr>
              <w:jc w:val="right"/>
              <w:rPr>
                <w:rFonts w:ascii="Lato" w:hAnsi="Lato"/>
                <w:sz w:val="22"/>
                <w:szCs w:val="22"/>
              </w:rPr>
            </w:pPr>
          </w:p>
        </w:tc>
        <w:tc>
          <w:tcPr>
            <w:tcW w:w="5891" w:type="dxa"/>
          </w:tcPr>
          <w:p w14:paraId="299E45E9" w14:textId="77777777" w:rsidR="00414CCF" w:rsidRPr="001362A6" w:rsidRDefault="00414CCF" w:rsidP="00EB593B">
            <w:pPr>
              <w:rPr>
                <w:rFonts w:ascii="Lato" w:hAnsi="Lato"/>
                <w:b/>
                <w:sz w:val="22"/>
                <w:szCs w:val="22"/>
              </w:rPr>
            </w:pPr>
            <w:r w:rsidRPr="001362A6">
              <w:rPr>
                <w:rFonts w:ascii="Lato" w:hAnsi="Lato"/>
                <w:b/>
                <w:sz w:val="22"/>
                <w:szCs w:val="22"/>
              </w:rPr>
              <w:t xml:space="preserve">Central Bank, </w:t>
            </w:r>
            <w:r w:rsidRPr="001362A6">
              <w:rPr>
                <w:rFonts w:ascii="Lato" w:hAnsi="Lato"/>
                <w:b/>
                <w:sz w:val="22"/>
                <w:szCs w:val="22"/>
                <w:u w:val="single"/>
              </w:rPr>
              <w:t>the Central Bank has not set any limits</w:t>
            </w:r>
          </w:p>
        </w:tc>
        <w:tc>
          <w:tcPr>
            <w:tcW w:w="3188" w:type="dxa"/>
            <w:tcBorders>
              <w:top w:val="single" w:sz="4" w:space="0" w:color="auto"/>
            </w:tcBorders>
          </w:tcPr>
          <w:p w14:paraId="37ECC54D" w14:textId="77777777" w:rsidR="00414CCF" w:rsidRPr="001362A6" w:rsidRDefault="00414CCF">
            <w:pPr>
              <w:rPr>
                <w:rFonts w:ascii="Lato" w:hAnsi="Lato"/>
                <w:sz w:val="22"/>
                <w:szCs w:val="22"/>
              </w:rPr>
            </w:pPr>
          </w:p>
        </w:tc>
      </w:tr>
      <w:tr w:rsidR="00414CCF" w:rsidRPr="001362A6" w14:paraId="10643517" w14:textId="77777777" w:rsidTr="00990D73">
        <w:trPr>
          <w:cantSplit/>
        </w:trPr>
        <w:tc>
          <w:tcPr>
            <w:tcW w:w="1316" w:type="dxa"/>
          </w:tcPr>
          <w:p w14:paraId="407F5EDA" w14:textId="77777777" w:rsidR="00414CCF" w:rsidRPr="001362A6" w:rsidRDefault="00414CCF" w:rsidP="00D47A86">
            <w:pPr>
              <w:jc w:val="right"/>
              <w:rPr>
                <w:rFonts w:ascii="Lato" w:hAnsi="Lato"/>
                <w:sz w:val="22"/>
                <w:szCs w:val="22"/>
              </w:rPr>
            </w:pPr>
          </w:p>
        </w:tc>
        <w:tc>
          <w:tcPr>
            <w:tcW w:w="5891" w:type="dxa"/>
          </w:tcPr>
          <w:p w14:paraId="71669B39" w14:textId="77777777" w:rsidR="00414CCF" w:rsidRPr="001362A6" w:rsidRDefault="00414CCF" w:rsidP="00EB593B">
            <w:pPr>
              <w:rPr>
                <w:rFonts w:ascii="Lato" w:hAnsi="Lato"/>
                <w:b/>
                <w:sz w:val="22"/>
                <w:szCs w:val="22"/>
              </w:rPr>
            </w:pPr>
            <w:r w:rsidRPr="001362A6">
              <w:rPr>
                <w:rFonts w:ascii="Lato" w:hAnsi="Lato"/>
                <w:b/>
                <w:sz w:val="22"/>
                <w:szCs w:val="22"/>
                <w:u w:val="single"/>
              </w:rPr>
              <w:t>or other restrictions on the investment objectives, the</w:t>
            </w:r>
          </w:p>
        </w:tc>
        <w:tc>
          <w:tcPr>
            <w:tcW w:w="3188" w:type="dxa"/>
          </w:tcPr>
          <w:p w14:paraId="085DC53C" w14:textId="77777777" w:rsidR="00414CCF" w:rsidRPr="001362A6" w:rsidRDefault="00414CCF">
            <w:pPr>
              <w:rPr>
                <w:rFonts w:ascii="Lato" w:hAnsi="Lato"/>
                <w:sz w:val="22"/>
                <w:szCs w:val="22"/>
              </w:rPr>
            </w:pPr>
          </w:p>
        </w:tc>
      </w:tr>
      <w:tr w:rsidR="00414CCF" w:rsidRPr="001362A6" w14:paraId="460762C6" w14:textId="77777777" w:rsidTr="00990D73">
        <w:trPr>
          <w:cantSplit/>
        </w:trPr>
        <w:tc>
          <w:tcPr>
            <w:tcW w:w="1316" w:type="dxa"/>
          </w:tcPr>
          <w:p w14:paraId="6F555FDC" w14:textId="77777777" w:rsidR="00414CCF" w:rsidRPr="001362A6" w:rsidRDefault="00414CCF" w:rsidP="00D47A86">
            <w:pPr>
              <w:jc w:val="right"/>
              <w:rPr>
                <w:rFonts w:ascii="Lato" w:hAnsi="Lato"/>
                <w:sz w:val="22"/>
                <w:szCs w:val="22"/>
              </w:rPr>
            </w:pPr>
          </w:p>
        </w:tc>
        <w:tc>
          <w:tcPr>
            <w:tcW w:w="5891" w:type="dxa"/>
          </w:tcPr>
          <w:p w14:paraId="394B7714" w14:textId="77777777" w:rsidR="00414CCF" w:rsidRPr="001362A6" w:rsidRDefault="00414CCF" w:rsidP="00D95E9D">
            <w:pPr>
              <w:rPr>
                <w:rFonts w:ascii="Lato" w:hAnsi="Lato"/>
                <w:b/>
                <w:sz w:val="22"/>
                <w:szCs w:val="22"/>
              </w:rPr>
            </w:pPr>
            <w:r w:rsidRPr="001362A6">
              <w:rPr>
                <w:rFonts w:ascii="Lato" w:hAnsi="Lato"/>
                <w:b/>
                <w:sz w:val="22"/>
                <w:szCs w:val="22"/>
                <w:u w:val="single"/>
              </w:rPr>
              <w:t xml:space="preserve">investment policies or on the degree of leverage which </w:t>
            </w:r>
          </w:p>
        </w:tc>
        <w:tc>
          <w:tcPr>
            <w:tcW w:w="3188" w:type="dxa"/>
          </w:tcPr>
          <w:p w14:paraId="1F24135C" w14:textId="77777777" w:rsidR="00414CCF" w:rsidRPr="001362A6" w:rsidRDefault="00414CCF">
            <w:pPr>
              <w:rPr>
                <w:rFonts w:ascii="Lato" w:hAnsi="Lato"/>
                <w:sz w:val="22"/>
                <w:szCs w:val="22"/>
              </w:rPr>
            </w:pPr>
          </w:p>
        </w:tc>
      </w:tr>
      <w:tr w:rsidR="00414CCF" w:rsidRPr="001362A6" w14:paraId="61E1C8EF" w14:textId="77777777" w:rsidTr="00990D73">
        <w:trPr>
          <w:cantSplit/>
        </w:trPr>
        <w:tc>
          <w:tcPr>
            <w:tcW w:w="1316" w:type="dxa"/>
          </w:tcPr>
          <w:p w14:paraId="2465222B" w14:textId="77777777" w:rsidR="00414CCF" w:rsidRPr="001362A6" w:rsidRDefault="00414CCF" w:rsidP="00D47A86">
            <w:pPr>
              <w:jc w:val="right"/>
              <w:rPr>
                <w:rFonts w:ascii="Lato" w:hAnsi="Lato"/>
                <w:sz w:val="22"/>
                <w:szCs w:val="22"/>
              </w:rPr>
            </w:pPr>
          </w:p>
        </w:tc>
        <w:tc>
          <w:tcPr>
            <w:tcW w:w="5891" w:type="dxa"/>
          </w:tcPr>
          <w:p w14:paraId="56DC9619" w14:textId="77777777" w:rsidR="00414CCF" w:rsidRPr="001362A6" w:rsidRDefault="00347D8A" w:rsidP="00EB593B">
            <w:pPr>
              <w:rPr>
                <w:rFonts w:ascii="Lato" w:hAnsi="Lato"/>
                <w:b/>
                <w:sz w:val="22"/>
                <w:szCs w:val="22"/>
              </w:rPr>
            </w:pPr>
            <w:r w:rsidRPr="00590C6D">
              <w:rPr>
                <w:rFonts w:ascii="Lato" w:hAnsi="Lato"/>
                <w:b/>
                <w:sz w:val="22"/>
                <w:szCs w:val="22"/>
                <w:u w:val="single"/>
              </w:rPr>
              <w:t>may</w:t>
            </w:r>
            <w:r w:rsidRPr="00D95E9D">
              <w:rPr>
                <w:rFonts w:ascii="Lato" w:hAnsi="Lato"/>
                <w:b/>
                <w:sz w:val="22"/>
                <w:szCs w:val="22"/>
                <w:u w:val="single"/>
              </w:rPr>
              <w:t xml:space="preserve"> </w:t>
            </w:r>
            <w:r w:rsidR="00414CCF" w:rsidRPr="001362A6">
              <w:rPr>
                <w:rFonts w:ascii="Lato" w:hAnsi="Lato"/>
                <w:b/>
                <w:sz w:val="22"/>
                <w:szCs w:val="22"/>
                <w:u w:val="single"/>
              </w:rPr>
              <w:t>be employed by the Q</w:t>
            </w:r>
            <w:r w:rsidR="00564C30" w:rsidRPr="001362A6">
              <w:rPr>
                <w:rFonts w:ascii="Lato" w:hAnsi="Lato"/>
                <w:b/>
                <w:sz w:val="22"/>
                <w:szCs w:val="22"/>
                <w:u w:val="single"/>
              </w:rPr>
              <w:t xml:space="preserve">ualifying </w:t>
            </w:r>
            <w:r w:rsidR="00414CCF" w:rsidRPr="001362A6">
              <w:rPr>
                <w:rFonts w:ascii="Lato" w:hAnsi="Lato"/>
                <w:b/>
                <w:sz w:val="22"/>
                <w:szCs w:val="22"/>
                <w:u w:val="single"/>
              </w:rPr>
              <w:t>I</w:t>
            </w:r>
            <w:r w:rsidR="00564C30" w:rsidRPr="001362A6">
              <w:rPr>
                <w:rFonts w:ascii="Lato" w:hAnsi="Lato"/>
                <w:b/>
                <w:sz w:val="22"/>
                <w:szCs w:val="22"/>
                <w:u w:val="single"/>
              </w:rPr>
              <w:t>nvestor</w:t>
            </w:r>
            <w:r w:rsidR="00A153DD" w:rsidRPr="001362A6">
              <w:rPr>
                <w:rFonts w:ascii="Lato" w:hAnsi="Lato"/>
                <w:b/>
                <w:sz w:val="22"/>
                <w:szCs w:val="22"/>
                <w:u w:val="single"/>
              </w:rPr>
              <w:t xml:space="preserve"> </w:t>
            </w:r>
            <w:r w:rsidR="00414CCF" w:rsidRPr="001362A6">
              <w:rPr>
                <w:rFonts w:ascii="Lato" w:hAnsi="Lato"/>
                <w:b/>
                <w:sz w:val="22"/>
                <w:szCs w:val="22"/>
                <w:u w:val="single"/>
              </w:rPr>
              <w:t>AIF</w:t>
            </w:r>
            <w:r w:rsidR="00414CCF" w:rsidRPr="001362A6">
              <w:rPr>
                <w:rFonts w:ascii="Lato" w:hAnsi="Lato"/>
                <w:b/>
                <w:sz w:val="22"/>
                <w:szCs w:val="22"/>
              </w:rPr>
              <w:t>; and</w:t>
            </w:r>
          </w:p>
        </w:tc>
        <w:tc>
          <w:tcPr>
            <w:tcW w:w="3188" w:type="dxa"/>
            <w:tcBorders>
              <w:bottom w:val="single" w:sz="4" w:space="0" w:color="auto"/>
            </w:tcBorders>
          </w:tcPr>
          <w:p w14:paraId="67772C0C" w14:textId="77777777" w:rsidR="00414CCF" w:rsidRPr="001362A6" w:rsidRDefault="00414CCF">
            <w:pPr>
              <w:rPr>
                <w:rFonts w:ascii="Lato" w:hAnsi="Lato"/>
                <w:sz w:val="22"/>
                <w:szCs w:val="22"/>
              </w:rPr>
            </w:pPr>
          </w:p>
        </w:tc>
      </w:tr>
      <w:tr w:rsidR="00414CCF" w:rsidRPr="001362A6" w14:paraId="5C7F312E" w14:textId="77777777" w:rsidTr="00990D73">
        <w:trPr>
          <w:cantSplit/>
        </w:trPr>
        <w:tc>
          <w:tcPr>
            <w:tcW w:w="1316" w:type="dxa"/>
          </w:tcPr>
          <w:p w14:paraId="2DE66D57" w14:textId="77777777" w:rsidR="00414CCF" w:rsidRPr="001362A6" w:rsidRDefault="00414CCF" w:rsidP="00D47A86">
            <w:pPr>
              <w:jc w:val="right"/>
              <w:rPr>
                <w:rFonts w:ascii="Lato" w:hAnsi="Lato"/>
                <w:sz w:val="22"/>
                <w:szCs w:val="22"/>
              </w:rPr>
            </w:pPr>
            <w:r w:rsidRPr="001362A6">
              <w:rPr>
                <w:rFonts w:ascii="Lato" w:hAnsi="Lato"/>
                <w:sz w:val="22"/>
                <w:szCs w:val="22"/>
              </w:rPr>
              <w:t>e)</w:t>
            </w:r>
          </w:p>
        </w:tc>
        <w:tc>
          <w:tcPr>
            <w:tcW w:w="5891" w:type="dxa"/>
            <w:tcBorders>
              <w:right w:val="single" w:sz="4" w:space="0" w:color="auto"/>
            </w:tcBorders>
          </w:tcPr>
          <w:p w14:paraId="7BFD6763" w14:textId="77777777" w:rsidR="00414CCF" w:rsidRPr="001362A6" w:rsidRDefault="00414CCF" w:rsidP="00EB593B">
            <w:pPr>
              <w:rPr>
                <w:rFonts w:ascii="Lato" w:hAnsi="Lato"/>
                <w:b/>
                <w:sz w:val="22"/>
                <w:szCs w:val="22"/>
              </w:rPr>
            </w:pPr>
            <w:r w:rsidRPr="001362A6">
              <w:rPr>
                <w:rFonts w:ascii="Lato" w:hAnsi="Lato"/>
                <w:b/>
                <w:sz w:val="22"/>
                <w:szCs w:val="22"/>
              </w:rPr>
              <w:t>The  Qualifying Investor AIF must comply with the aim of</w:t>
            </w:r>
          </w:p>
        </w:tc>
        <w:tc>
          <w:tcPr>
            <w:tcW w:w="3188" w:type="dxa"/>
            <w:tcBorders>
              <w:top w:val="single" w:sz="4" w:space="0" w:color="auto"/>
              <w:left w:val="single" w:sz="4" w:space="0" w:color="auto"/>
              <w:bottom w:val="single" w:sz="4" w:space="0" w:color="auto"/>
              <w:right w:val="single" w:sz="4" w:space="0" w:color="auto"/>
            </w:tcBorders>
          </w:tcPr>
          <w:p w14:paraId="4374376D" w14:textId="77777777" w:rsidR="00414CCF" w:rsidRPr="001362A6" w:rsidRDefault="00414CCF">
            <w:pPr>
              <w:rPr>
                <w:rFonts w:ascii="Lato" w:hAnsi="Lato"/>
                <w:sz w:val="22"/>
                <w:szCs w:val="22"/>
              </w:rPr>
            </w:pPr>
          </w:p>
        </w:tc>
      </w:tr>
      <w:tr w:rsidR="00414CCF" w:rsidRPr="001362A6" w14:paraId="28C4BB7F" w14:textId="77777777" w:rsidTr="00990D73">
        <w:trPr>
          <w:cantSplit/>
        </w:trPr>
        <w:tc>
          <w:tcPr>
            <w:tcW w:w="1316" w:type="dxa"/>
          </w:tcPr>
          <w:p w14:paraId="168E90B9" w14:textId="77777777" w:rsidR="00414CCF" w:rsidRPr="001362A6" w:rsidRDefault="00414CCF" w:rsidP="00D47A86">
            <w:pPr>
              <w:jc w:val="right"/>
              <w:rPr>
                <w:rFonts w:ascii="Lato" w:hAnsi="Lato"/>
                <w:sz w:val="22"/>
                <w:szCs w:val="22"/>
              </w:rPr>
            </w:pPr>
          </w:p>
        </w:tc>
        <w:tc>
          <w:tcPr>
            <w:tcW w:w="5891" w:type="dxa"/>
          </w:tcPr>
          <w:p w14:paraId="7652C8F8" w14:textId="77777777" w:rsidR="00414CCF" w:rsidRPr="001362A6" w:rsidRDefault="00414CCF" w:rsidP="00EB593B">
            <w:pPr>
              <w:rPr>
                <w:rFonts w:ascii="Lato" w:hAnsi="Lato"/>
                <w:b/>
                <w:sz w:val="22"/>
                <w:szCs w:val="22"/>
              </w:rPr>
            </w:pPr>
            <w:r w:rsidRPr="001362A6">
              <w:rPr>
                <w:rFonts w:ascii="Lato" w:hAnsi="Lato"/>
                <w:b/>
                <w:sz w:val="22"/>
                <w:szCs w:val="22"/>
              </w:rPr>
              <w:t>spreading investment risk in accordance with Section</w:t>
            </w:r>
          </w:p>
        </w:tc>
        <w:tc>
          <w:tcPr>
            <w:tcW w:w="3188" w:type="dxa"/>
            <w:tcBorders>
              <w:top w:val="single" w:sz="4" w:space="0" w:color="auto"/>
            </w:tcBorders>
          </w:tcPr>
          <w:p w14:paraId="60F4C209" w14:textId="77777777" w:rsidR="00414CCF" w:rsidRPr="001362A6" w:rsidRDefault="00414CCF">
            <w:pPr>
              <w:rPr>
                <w:rFonts w:ascii="Lato" w:hAnsi="Lato"/>
                <w:sz w:val="22"/>
                <w:szCs w:val="22"/>
              </w:rPr>
            </w:pPr>
          </w:p>
        </w:tc>
      </w:tr>
      <w:tr w:rsidR="00414CCF" w:rsidRPr="001362A6" w14:paraId="54AD6D67" w14:textId="77777777" w:rsidTr="00990D73">
        <w:trPr>
          <w:cantSplit/>
        </w:trPr>
        <w:tc>
          <w:tcPr>
            <w:tcW w:w="1316" w:type="dxa"/>
          </w:tcPr>
          <w:p w14:paraId="1E59C404" w14:textId="77777777" w:rsidR="00414CCF" w:rsidRPr="001362A6" w:rsidRDefault="00414CCF" w:rsidP="00D47A86">
            <w:pPr>
              <w:jc w:val="right"/>
              <w:rPr>
                <w:rFonts w:ascii="Lato" w:hAnsi="Lato"/>
                <w:sz w:val="22"/>
                <w:szCs w:val="22"/>
              </w:rPr>
            </w:pPr>
          </w:p>
        </w:tc>
        <w:tc>
          <w:tcPr>
            <w:tcW w:w="5891" w:type="dxa"/>
          </w:tcPr>
          <w:p w14:paraId="74C18EDD" w14:textId="77777777" w:rsidR="00414CCF" w:rsidRPr="001362A6" w:rsidRDefault="00414CCF" w:rsidP="00EB593B">
            <w:pPr>
              <w:rPr>
                <w:rFonts w:ascii="Lato" w:hAnsi="Lato"/>
                <w:b/>
                <w:sz w:val="22"/>
                <w:szCs w:val="22"/>
              </w:rPr>
            </w:pPr>
            <w:r w:rsidRPr="001362A6">
              <w:rPr>
                <w:rFonts w:ascii="Lato" w:hAnsi="Lato"/>
                <w:b/>
                <w:sz w:val="22"/>
                <w:szCs w:val="22"/>
              </w:rPr>
              <w:t>253 (2)(a) of the Companies Act, 1990 Part XIII</w:t>
            </w:r>
          </w:p>
        </w:tc>
        <w:tc>
          <w:tcPr>
            <w:tcW w:w="3188" w:type="dxa"/>
          </w:tcPr>
          <w:p w14:paraId="4092A414" w14:textId="77777777" w:rsidR="00414CCF" w:rsidRPr="001362A6" w:rsidRDefault="00414CCF">
            <w:pPr>
              <w:rPr>
                <w:rFonts w:ascii="Lato" w:hAnsi="Lato"/>
                <w:sz w:val="22"/>
                <w:szCs w:val="22"/>
              </w:rPr>
            </w:pPr>
          </w:p>
        </w:tc>
      </w:tr>
      <w:tr w:rsidR="00414CCF" w:rsidRPr="001362A6" w14:paraId="5C339C38" w14:textId="77777777" w:rsidTr="00990D73">
        <w:trPr>
          <w:cantSplit/>
        </w:trPr>
        <w:tc>
          <w:tcPr>
            <w:tcW w:w="1316" w:type="dxa"/>
          </w:tcPr>
          <w:p w14:paraId="1C4AF5F7" w14:textId="77777777" w:rsidR="00414CCF" w:rsidRPr="001362A6" w:rsidRDefault="00414CCF" w:rsidP="00D47A86">
            <w:pPr>
              <w:jc w:val="right"/>
              <w:rPr>
                <w:rFonts w:ascii="Lato" w:hAnsi="Lato"/>
                <w:sz w:val="22"/>
                <w:szCs w:val="22"/>
              </w:rPr>
            </w:pPr>
          </w:p>
        </w:tc>
        <w:tc>
          <w:tcPr>
            <w:tcW w:w="5891" w:type="dxa"/>
          </w:tcPr>
          <w:p w14:paraId="02CACDA4" w14:textId="77777777" w:rsidR="00414CCF" w:rsidRPr="001362A6" w:rsidRDefault="00414CCF" w:rsidP="00EB593B">
            <w:pPr>
              <w:rPr>
                <w:rFonts w:ascii="Lato" w:hAnsi="Lato"/>
                <w:b/>
                <w:sz w:val="22"/>
                <w:szCs w:val="22"/>
              </w:rPr>
            </w:pPr>
          </w:p>
        </w:tc>
        <w:tc>
          <w:tcPr>
            <w:tcW w:w="3188" w:type="dxa"/>
          </w:tcPr>
          <w:p w14:paraId="393FB5F0" w14:textId="77777777" w:rsidR="00414CCF" w:rsidRPr="001362A6" w:rsidRDefault="00414CCF">
            <w:pPr>
              <w:rPr>
                <w:rFonts w:ascii="Lato" w:hAnsi="Lato"/>
                <w:sz w:val="22"/>
                <w:szCs w:val="22"/>
              </w:rPr>
            </w:pPr>
          </w:p>
        </w:tc>
      </w:tr>
      <w:tr w:rsidR="00E0074D" w:rsidRPr="001362A6" w14:paraId="0C85EFEC" w14:textId="77777777" w:rsidTr="00990D73">
        <w:tc>
          <w:tcPr>
            <w:tcW w:w="1316" w:type="dxa"/>
          </w:tcPr>
          <w:p w14:paraId="42FCEDA1" w14:textId="77777777" w:rsidR="00E0074D" w:rsidRPr="001362A6" w:rsidRDefault="00E0074D" w:rsidP="004351C8">
            <w:pPr>
              <w:rPr>
                <w:rFonts w:ascii="Lato" w:hAnsi="Lato"/>
                <w:sz w:val="22"/>
                <w:szCs w:val="22"/>
              </w:rPr>
            </w:pPr>
            <w:r w:rsidRPr="001362A6">
              <w:rPr>
                <w:rFonts w:ascii="Lato" w:hAnsi="Lato"/>
                <w:sz w:val="22"/>
                <w:szCs w:val="22"/>
              </w:rPr>
              <w:t>2.1.</w:t>
            </w:r>
            <w:r w:rsidR="00D760E3" w:rsidRPr="001362A6">
              <w:rPr>
                <w:rFonts w:ascii="Lato" w:hAnsi="Lato"/>
                <w:sz w:val="22"/>
                <w:szCs w:val="22"/>
              </w:rPr>
              <w:t>1</w:t>
            </w:r>
            <w:r w:rsidR="00430598" w:rsidRPr="001362A6">
              <w:rPr>
                <w:rFonts w:ascii="Lato" w:hAnsi="Lato"/>
                <w:sz w:val="22"/>
                <w:szCs w:val="22"/>
              </w:rPr>
              <w:t>1</w:t>
            </w:r>
          </w:p>
        </w:tc>
        <w:tc>
          <w:tcPr>
            <w:tcW w:w="5891" w:type="dxa"/>
          </w:tcPr>
          <w:p w14:paraId="7C3518CB" w14:textId="77777777" w:rsidR="00E0074D" w:rsidRPr="001362A6" w:rsidRDefault="00E0074D">
            <w:pPr>
              <w:jc w:val="both"/>
              <w:rPr>
                <w:rFonts w:ascii="Lato" w:hAnsi="Lato"/>
                <w:sz w:val="22"/>
                <w:szCs w:val="22"/>
              </w:rPr>
            </w:pPr>
            <w:r w:rsidRPr="001362A6">
              <w:rPr>
                <w:rFonts w:ascii="Lato" w:hAnsi="Lato"/>
                <w:sz w:val="22"/>
                <w:szCs w:val="22"/>
              </w:rPr>
              <w:t>Where a subscription and/or redemption charge is provided for, the applicant should consider whether or not the following warning is appropriate:</w:t>
            </w:r>
          </w:p>
        </w:tc>
        <w:tc>
          <w:tcPr>
            <w:tcW w:w="3188" w:type="dxa"/>
            <w:tcBorders>
              <w:bottom w:val="single" w:sz="4" w:space="0" w:color="auto"/>
            </w:tcBorders>
          </w:tcPr>
          <w:p w14:paraId="1C0525C0" w14:textId="77777777" w:rsidR="00E0074D" w:rsidRPr="001362A6" w:rsidRDefault="00E0074D">
            <w:pPr>
              <w:rPr>
                <w:rFonts w:ascii="Lato" w:hAnsi="Lato"/>
                <w:sz w:val="22"/>
                <w:szCs w:val="22"/>
              </w:rPr>
            </w:pPr>
          </w:p>
        </w:tc>
      </w:tr>
      <w:tr w:rsidR="00E0074D" w:rsidRPr="001362A6" w14:paraId="06E5CE19" w14:textId="77777777" w:rsidTr="00990D73">
        <w:trPr>
          <w:cantSplit/>
          <w:trHeight w:val="253"/>
        </w:trPr>
        <w:tc>
          <w:tcPr>
            <w:tcW w:w="1316" w:type="dxa"/>
            <w:vMerge w:val="restart"/>
          </w:tcPr>
          <w:p w14:paraId="0951FAEB" w14:textId="77777777" w:rsidR="00E0074D" w:rsidRPr="001362A6" w:rsidRDefault="00E0074D">
            <w:pPr>
              <w:jc w:val="right"/>
              <w:rPr>
                <w:rFonts w:ascii="Lato" w:hAnsi="Lato"/>
                <w:sz w:val="22"/>
                <w:szCs w:val="22"/>
              </w:rPr>
            </w:pPr>
          </w:p>
        </w:tc>
        <w:tc>
          <w:tcPr>
            <w:tcW w:w="5891" w:type="dxa"/>
            <w:vMerge w:val="restart"/>
            <w:tcBorders>
              <w:right w:val="single" w:sz="4" w:space="0" w:color="auto"/>
            </w:tcBorders>
          </w:tcPr>
          <w:p w14:paraId="2913B61B" w14:textId="77777777" w:rsidR="00E0074D" w:rsidRPr="001362A6" w:rsidRDefault="00E0074D" w:rsidP="00441CAE">
            <w:pPr>
              <w:rPr>
                <w:rFonts w:ascii="Lato" w:hAnsi="Lato"/>
                <w:sz w:val="22"/>
                <w:szCs w:val="22"/>
              </w:rPr>
            </w:pPr>
            <w:r w:rsidRPr="001362A6">
              <w:rPr>
                <w:rFonts w:ascii="Lato" w:hAnsi="Lato"/>
                <w:sz w:val="22"/>
                <w:szCs w:val="22"/>
              </w:rPr>
              <w:t xml:space="preserve">The difference at any one time between the sale and repurchase price of units/shares in the </w:t>
            </w:r>
            <w:r w:rsidR="00D6477D" w:rsidRPr="001362A6">
              <w:rPr>
                <w:rFonts w:ascii="Lato" w:hAnsi="Lato"/>
                <w:sz w:val="22"/>
                <w:szCs w:val="22"/>
              </w:rPr>
              <w:t>Q</w:t>
            </w:r>
            <w:r w:rsidR="00564C30" w:rsidRPr="001362A6">
              <w:rPr>
                <w:rFonts w:ascii="Lato" w:hAnsi="Lato"/>
                <w:sz w:val="22"/>
                <w:szCs w:val="22"/>
              </w:rPr>
              <w:t xml:space="preserve">ualifying </w:t>
            </w:r>
            <w:r w:rsidR="00D6477D" w:rsidRPr="001362A6">
              <w:rPr>
                <w:rFonts w:ascii="Lato" w:hAnsi="Lato"/>
                <w:sz w:val="22"/>
                <w:szCs w:val="22"/>
              </w:rPr>
              <w:t>I</w:t>
            </w:r>
            <w:r w:rsidR="00564C30" w:rsidRPr="001362A6">
              <w:rPr>
                <w:rFonts w:ascii="Lato" w:hAnsi="Lato"/>
                <w:sz w:val="22"/>
                <w:szCs w:val="22"/>
              </w:rPr>
              <w:t>nvestor</w:t>
            </w:r>
            <w:r w:rsidR="00803708" w:rsidRPr="001362A6">
              <w:rPr>
                <w:rFonts w:ascii="Lato" w:hAnsi="Lato"/>
                <w:sz w:val="22"/>
                <w:szCs w:val="22"/>
              </w:rPr>
              <w:t xml:space="preserve"> </w:t>
            </w:r>
            <w:r w:rsidR="00D6477D" w:rsidRPr="001362A6">
              <w:rPr>
                <w:rFonts w:ascii="Lato" w:hAnsi="Lato"/>
                <w:sz w:val="22"/>
                <w:szCs w:val="22"/>
              </w:rPr>
              <w:t>AIF</w:t>
            </w:r>
            <w:r w:rsidRPr="001362A6">
              <w:rPr>
                <w:rFonts w:ascii="Lato" w:hAnsi="Lato"/>
                <w:sz w:val="22"/>
                <w:szCs w:val="22"/>
              </w:rPr>
              <w:t xml:space="preserve"> means that the investment should be viewed as medium to long term</w:t>
            </w:r>
            <w:r w:rsidR="00CC6317" w:rsidRPr="001362A6">
              <w:rPr>
                <w:rFonts w:ascii="Lato" w:hAnsi="Lato"/>
                <w:sz w:val="22"/>
                <w:szCs w:val="22"/>
              </w:rPr>
              <w:t xml:space="preserve"> </w:t>
            </w:r>
          </w:p>
        </w:tc>
        <w:tc>
          <w:tcPr>
            <w:tcW w:w="3188" w:type="dxa"/>
            <w:tcBorders>
              <w:top w:val="single" w:sz="4" w:space="0" w:color="auto"/>
              <w:left w:val="single" w:sz="4" w:space="0" w:color="auto"/>
              <w:bottom w:val="single" w:sz="4" w:space="0" w:color="auto"/>
              <w:right w:val="single" w:sz="4" w:space="0" w:color="auto"/>
            </w:tcBorders>
          </w:tcPr>
          <w:p w14:paraId="743DEE24" w14:textId="77777777" w:rsidR="00E0074D" w:rsidRPr="001362A6" w:rsidRDefault="00E0074D">
            <w:pPr>
              <w:rPr>
                <w:rFonts w:ascii="Lato" w:hAnsi="Lato"/>
                <w:sz w:val="22"/>
                <w:szCs w:val="22"/>
              </w:rPr>
            </w:pPr>
          </w:p>
        </w:tc>
      </w:tr>
      <w:tr w:rsidR="00E0074D" w:rsidRPr="001362A6" w14:paraId="7EEE8BBC" w14:textId="77777777" w:rsidTr="00990D73">
        <w:trPr>
          <w:cantSplit/>
          <w:trHeight w:val="251"/>
        </w:trPr>
        <w:tc>
          <w:tcPr>
            <w:tcW w:w="1316" w:type="dxa"/>
            <w:vMerge/>
          </w:tcPr>
          <w:p w14:paraId="392041AA" w14:textId="77777777" w:rsidR="00E0074D" w:rsidRPr="001362A6" w:rsidRDefault="00E0074D">
            <w:pPr>
              <w:jc w:val="right"/>
              <w:rPr>
                <w:rFonts w:ascii="Lato" w:hAnsi="Lato"/>
                <w:sz w:val="22"/>
                <w:szCs w:val="22"/>
              </w:rPr>
            </w:pPr>
          </w:p>
        </w:tc>
        <w:tc>
          <w:tcPr>
            <w:tcW w:w="5891" w:type="dxa"/>
            <w:vMerge/>
          </w:tcPr>
          <w:p w14:paraId="2583F385" w14:textId="77777777" w:rsidR="00E0074D" w:rsidRPr="001362A6" w:rsidRDefault="00E0074D">
            <w:pPr>
              <w:rPr>
                <w:rFonts w:ascii="Lato" w:hAnsi="Lato"/>
                <w:sz w:val="22"/>
                <w:szCs w:val="22"/>
              </w:rPr>
            </w:pPr>
          </w:p>
        </w:tc>
        <w:tc>
          <w:tcPr>
            <w:tcW w:w="3188" w:type="dxa"/>
            <w:tcBorders>
              <w:top w:val="single" w:sz="4" w:space="0" w:color="auto"/>
            </w:tcBorders>
          </w:tcPr>
          <w:p w14:paraId="52220A36" w14:textId="77777777" w:rsidR="00E0074D" w:rsidRPr="001362A6" w:rsidRDefault="00E0074D">
            <w:pPr>
              <w:rPr>
                <w:rFonts w:ascii="Lato" w:hAnsi="Lato"/>
                <w:sz w:val="22"/>
                <w:szCs w:val="22"/>
              </w:rPr>
            </w:pPr>
          </w:p>
        </w:tc>
      </w:tr>
      <w:tr w:rsidR="00E0074D" w:rsidRPr="001362A6" w14:paraId="231E871B" w14:textId="77777777" w:rsidTr="00990D73">
        <w:trPr>
          <w:cantSplit/>
          <w:trHeight w:val="251"/>
        </w:trPr>
        <w:tc>
          <w:tcPr>
            <w:tcW w:w="1316" w:type="dxa"/>
            <w:vMerge/>
          </w:tcPr>
          <w:p w14:paraId="2073AE80" w14:textId="77777777" w:rsidR="00E0074D" w:rsidRPr="001362A6" w:rsidRDefault="00E0074D">
            <w:pPr>
              <w:jc w:val="right"/>
              <w:rPr>
                <w:rFonts w:ascii="Lato" w:hAnsi="Lato"/>
                <w:sz w:val="22"/>
                <w:szCs w:val="22"/>
              </w:rPr>
            </w:pPr>
          </w:p>
        </w:tc>
        <w:tc>
          <w:tcPr>
            <w:tcW w:w="5891" w:type="dxa"/>
            <w:vMerge/>
          </w:tcPr>
          <w:p w14:paraId="10FA1A14" w14:textId="77777777" w:rsidR="00E0074D" w:rsidRPr="001362A6" w:rsidRDefault="00E0074D">
            <w:pPr>
              <w:rPr>
                <w:rFonts w:ascii="Lato" w:hAnsi="Lato"/>
                <w:sz w:val="22"/>
                <w:szCs w:val="22"/>
              </w:rPr>
            </w:pPr>
          </w:p>
        </w:tc>
        <w:tc>
          <w:tcPr>
            <w:tcW w:w="3188" w:type="dxa"/>
          </w:tcPr>
          <w:p w14:paraId="65C71FDE" w14:textId="77777777" w:rsidR="00E0074D" w:rsidRPr="001362A6" w:rsidRDefault="00E0074D">
            <w:pPr>
              <w:rPr>
                <w:rFonts w:ascii="Lato" w:hAnsi="Lato"/>
                <w:sz w:val="22"/>
                <w:szCs w:val="22"/>
              </w:rPr>
            </w:pPr>
          </w:p>
        </w:tc>
      </w:tr>
      <w:tr w:rsidR="00E0074D" w:rsidRPr="001362A6" w14:paraId="2AE183FC" w14:textId="77777777" w:rsidTr="00990D73">
        <w:tc>
          <w:tcPr>
            <w:tcW w:w="1316" w:type="dxa"/>
          </w:tcPr>
          <w:p w14:paraId="6531C929" w14:textId="77777777" w:rsidR="00E0074D" w:rsidRPr="001362A6" w:rsidRDefault="00E0074D">
            <w:pPr>
              <w:rPr>
                <w:rFonts w:ascii="Lato" w:hAnsi="Lato"/>
                <w:sz w:val="22"/>
                <w:szCs w:val="22"/>
              </w:rPr>
            </w:pPr>
          </w:p>
        </w:tc>
        <w:tc>
          <w:tcPr>
            <w:tcW w:w="5891" w:type="dxa"/>
          </w:tcPr>
          <w:p w14:paraId="41FF0622" w14:textId="77777777" w:rsidR="00E0074D" w:rsidRPr="001362A6" w:rsidRDefault="00E0074D">
            <w:pPr>
              <w:rPr>
                <w:rFonts w:ascii="Lato" w:hAnsi="Lato"/>
                <w:sz w:val="22"/>
                <w:szCs w:val="22"/>
              </w:rPr>
            </w:pPr>
          </w:p>
        </w:tc>
        <w:tc>
          <w:tcPr>
            <w:tcW w:w="3188" w:type="dxa"/>
          </w:tcPr>
          <w:p w14:paraId="6F9B10D4" w14:textId="77777777" w:rsidR="00E0074D" w:rsidRPr="001362A6" w:rsidRDefault="00E0074D">
            <w:pPr>
              <w:rPr>
                <w:rFonts w:ascii="Lato" w:hAnsi="Lato"/>
                <w:sz w:val="22"/>
                <w:szCs w:val="22"/>
              </w:rPr>
            </w:pPr>
          </w:p>
        </w:tc>
      </w:tr>
      <w:tr w:rsidR="00E0074D" w:rsidRPr="001362A6" w14:paraId="77537ABF" w14:textId="77777777" w:rsidTr="00990D73">
        <w:tc>
          <w:tcPr>
            <w:tcW w:w="1316" w:type="dxa"/>
          </w:tcPr>
          <w:p w14:paraId="289134D6" w14:textId="77777777" w:rsidR="00E0074D" w:rsidRPr="001362A6" w:rsidRDefault="00E0074D">
            <w:pPr>
              <w:rPr>
                <w:rFonts w:ascii="Lato" w:hAnsi="Lato"/>
                <w:b/>
                <w:bCs/>
                <w:sz w:val="22"/>
                <w:szCs w:val="22"/>
              </w:rPr>
            </w:pPr>
            <w:r w:rsidRPr="001362A6">
              <w:rPr>
                <w:rFonts w:ascii="Lato" w:hAnsi="Lato"/>
                <w:b/>
                <w:bCs/>
                <w:sz w:val="22"/>
                <w:szCs w:val="22"/>
              </w:rPr>
              <w:t>2.2</w:t>
            </w:r>
          </w:p>
        </w:tc>
        <w:tc>
          <w:tcPr>
            <w:tcW w:w="5891" w:type="dxa"/>
          </w:tcPr>
          <w:p w14:paraId="65A4CADC" w14:textId="77777777" w:rsidR="00E0074D" w:rsidRPr="001362A6" w:rsidRDefault="00E0074D">
            <w:pPr>
              <w:rPr>
                <w:rFonts w:ascii="Lato" w:hAnsi="Lato"/>
                <w:b/>
                <w:bCs/>
                <w:sz w:val="22"/>
                <w:szCs w:val="22"/>
              </w:rPr>
            </w:pPr>
            <w:r w:rsidRPr="001362A6">
              <w:rPr>
                <w:rFonts w:ascii="Lato" w:hAnsi="Lato"/>
                <w:b/>
                <w:bCs/>
                <w:sz w:val="22"/>
                <w:szCs w:val="22"/>
              </w:rPr>
              <w:t>Investment Objective and Policy</w:t>
            </w:r>
          </w:p>
        </w:tc>
        <w:tc>
          <w:tcPr>
            <w:tcW w:w="3188" w:type="dxa"/>
          </w:tcPr>
          <w:p w14:paraId="7E0740F2" w14:textId="77777777" w:rsidR="00E0074D" w:rsidRPr="001362A6" w:rsidRDefault="00E0074D">
            <w:pPr>
              <w:rPr>
                <w:rFonts w:ascii="Lato" w:hAnsi="Lato"/>
                <w:b/>
                <w:bCs/>
                <w:sz w:val="22"/>
                <w:szCs w:val="22"/>
              </w:rPr>
            </w:pPr>
          </w:p>
        </w:tc>
      </w:tr>
      <w:tr w:rsidR="00E0074D" w:rsidRPr="001362A6" w14:paraId="40C11E83" w14:textId="77777777" w:rsidTr="00990D73">
        <w:tc>
          <w:tcPr>
            <w:tcW w:w="1316" w:type="dxa"/>
          </w:tcPr>
          <w:p w14:paraId="5898F4E2" w14:textId="77777777" w:rsidR="00E0074D" w:rsidRPr="001362A6" w:rsidRDefault="00E0074D">
            <w:pPr>
              <w:rPr>
                <w:rFonts w:ascii="Lato" w:hAnsi="Lato"/>
                <w:sz w:val="22"/>
                <w:szCs w:val="22"/>
              </w:rPr>
            </w:pPr>
          </w:p>
        </w:tc>
        <w:tc>
          <w:tcPr>
            <w:tcW w:w="5891" w:type="dxa"/>
          </w:tcPr>
          <w:p w14:paraId="7EF779E9" w14:textId="77777777" w:rsidR="00E0074D" w:rsidRPr="001362A6" w:rsidRDefault="00E0074D" w:rsidP="00FD764E">
            <w:pPr>
              <w:rPr>
                <w:rFonts w:ascii="Lato" w:hAnsi="Lato"/>
                <w:b/>
                <w:bCs/>
                <w:sz w:val="22"/>
                <w:szCs w:val="22"/>
              </w:rPr>
            </w:pPr>
            <w:r w:rsidRPr="001362A6">
              <w:rPr>
                <w:rFonts w:ascii="Lato" w:hAnsi="Lato"/>
                <w:b/>
                <w:bCs/>
                <w:sz w:val="22"/>
                <w:szCs w:val="22"/>
                <w:u w:val="single"/>
              </w:rPr>
              <w:t>Note:</w:t>
            </w:r>
            <w:r w:rsidRPr="001362A6">
              <w:rPr>
                <w:rFonts w:ascii="Lato" w:hAnsi="Lato"/>
                <w:b/>
                <w:bCs/>
                <w:sz w:val="22"/>
                <w:szCs w:val="22"/>
              </w:rPr>
              <w:t xml:space="preserve">  The following general requirements apply together with requirements in relation to the particular asset class</w:t>
            </w:r>
            <w:r w:rsidR="00FD764E" w:rsidRPr="001362A6">
              <w:rPr>
                <w:rFonts w:ascii="Lato" w:hAnsi="Lato"/>
                <w:b/>
                <w:bCs/>
                <w:sz w:val="22"/>
                <w:szCs w:val="22"/>
              </w:rPr>
              <w:t xml:space="preserve">(es) </w:t>
            </w:r>
          </w:p>
        </w:tc>
        <w:tc>
          <w:tcPr>
            <w:tcW w:w="3188" w:type="dxa"/>
            <w:tcBorders>
              <w:bottom w:val="single" w:sz="4" w:space="0" w:color="auto"/>
            </w:tcBorders>
          </w:tcPr>
          <w:p w14:paraId="770CCA7D" w14:textId="77777777" w:rsidR="00E0074D" w:rsidRPr="001362A6" w:rsidRDefault="00E0074D">
            <w:pPr>
              <w:rPr>
                <w:rFonts w:ascii="Lato" w:hAnsi="Lato"/>
                <w:sz w:val="22"/>
                <w:szCs w:val="22"/>
              </w:rPr>
            </w:pPr>
          </w:p>
        </w:tc>
      </w:tr>
      <w:tr w:rsidR="00E0074D" w:rsidRPr="001362A6" w14:paraId="3DDE0F81" w14:textId="77777777" w:rsidTr="00990D73">
        <w:trPr>
          <w:cantSplit/>
          <w:trHeight w:val="256"/>
        </w:trPr>
        <w:tc>
          <w:tcPr>
            <w:tcW w:w="1316" w:type="dxa"/>
            <w:vMerge w:val="restart"/>
          </w:tcPr>
          <w:p w14:paraId="4BBC603B" w14:textId="77777777" w:rsidR="00E0074D" w:rsidRPr="001362A6" w:rsidRDefault="00E0074D">
            <w:pPr>
              <w:rPr>
                <w:rFonts w:ascii="Lato" w:hAnsi="Lato"/>
                <w:sz w:val="22"/>
                <w:szCs w:val="22"/>
              </w:rPr>
            </w:pPr>
            <w:r w:rsidRPr="001362A6">
              <w:rPr>
                <w:rFonts w:ascii="Lato" w:hAnsi="Lato"/>
                <w:sz w:val="22"/>
                <w:szCs w:val="22"/>
              </w:rPr>
              <w:t>2.2.1    a)</w:t>
            </w:r>
          </w:p>
        </w:tc>
        <w:tc>
          <w:tcPr>
            <w:tcW w:w="5891" w:type="dxa"/>
            <w:vMerge w:val="restart"/>
            <w:tcBorders>
              <w:right w:val="single" w:sz="4" w:space="0" w:color="auto"/>
            </w:tcBorders>
          </w:tcPr>
          <w:p w14:paraId="14C48CB4" w14:textId="77777777" w:rsidR="00E0074D" w:rsidRPr="001362A6" w:rsidRDefault="00E0074D">
            <w:pPr>
              <w:jc w:val="both"/>
              <w:rPr>
                <w:rFonts w:ascii="Lato" w:hAnsi="Lato"/>
                <w:sz w:val="22"/>
                <w:szCs w:val="22"/>
              </w:rPr>
            </w:pPr>
            <w:r w:rsidRPr="001362A6">
              <w:rPr>
                <w:rFonts w:ascii="Lato" w:hAnsi="Lato"/>
                <w:sz w:val="22"/>
                <w:szCs w:val="22"/>
              </w:rPr>
              <w:t xml:space="preserve">A description of the investment objectives and policies of the </w:t>
            </w:r>
            <w:r w:rsidR="00D6477D" w:rsidRPr="001362A6">
              <w:rPr>
                <w:rFonts w:ascii="Lato" w:hAnsi="Lato"/>
                <w:sz w:val="22"/>
                <w:szCs w:val="22"/>
              </w:rPr>
              <w:t>Q</w:t>
            </w:r>
            <w:r w:rsidR="00564C30" w:rsidRPr="001362A6">
              <w:rPr>
                <w:rFonts w:ascii="Lato" w:hAnsi="Lato"/>
                <w:sz w:val="22"/>
                <w:szCs w:val="22"/>
              </w:rPr>
              <w:t xml:space="preserve">ualifying </w:t>
            </w:r>
            <w:r w:rsidR="00D6477D" w:rsidRPr="001362A6">
              <w:rPr>
                <w:rFonts w:ascii="Lato" w:hAnsi="Lato"/>
                <w:sz w:val="22"/>
                <w:szCs w:val="22"/>
              </w:rPr>
              <w:t>I</w:t>
            </w:r>
            <w:r w:rsidR="00564C30" w:rsidRPr="001362A6">
              <w:rPr>
                <w:rFonts w:ascii="Lato" w:hAnsi="Lato"/>
                <w:sz w:val="22"/>
                <w:szCs w:val="22"/>
              </w:rPr>
              <w:t xml:space="preserve">nvestor </w:t>
            </w:r>
            <w:r w:rsidR="00D6477D" w:rsidRPr="001362A6">
              <w:rPr>
                <w:rFonts w:ascii="Lato" w:hAnsi="Lato"/>
                <w:sz w:val="22"/>
                <w:szCs w:val="22"/>
              </w:rPr>
              <w:t>AIF</w:t>
            </w:r>
            <w:r w:rsidRPr="001362A6">
              <w:rPr>
                <w:rFonts w:ascii="Lato" w:hAnsi="Lato"/>
                <w:sz w:val="22"/>
                <w:szCs w:val="22"/>
              </w:rPr>
              <w:t xml:space="preserve"> and these descriptions must be comprehensive and accurate, readily comprehensive to </w:t>
            </w:r>
            <w:r w:rsidRPr="001362A6">
              <w:rPr>
                <w:rFonts w:ascii="Lato" w:hAnsi="Lato"/>
                <w:sz w:val="22"/>
                <w:szCs w:val="22"/>
              </w:rPr>
              <w:lastRenderedPageBreak/>
              <w:t xml:space="preserve">investors and be sufficient to enable investors make an informed judgement on the investment proposed to them. </w:t>
            </w:r>
          </w:p>
        </w:tc>
        <w:tc>
          <w:tcPr>
            <w:tcW w:w="3188" w:type="dxa"/>
            <w:tcBorders>
              <w:top w:val="single" w:sz="4" w:space="0" w:color="auto"/>
              <w:left w:val="single" w:sz="4" w:space="0" w:color="auto"/>
              <w:bottom w:val="single" w:sz="4" w:space="0" w:color="auto"/>
              <w:right w:val="single" w:sz="4" w:space="0" w:color="auto"/>
            </w:tcBorders>
          </w:tcPr>
          <w:p w14:paraId="5356A3FD" w14:textId="77777777" w:rsidR="00E0074D" w:rsidRPr="001362A6" w:rsidRDefault="00E0074D">
            <w:pPr>
              <w:rPr>
                <w:rFonts w:ascii="Lato" w:hAnsi="Lato"/>
                <w:sz w:val="22"/>
                <w:szCs w:val="22"/>
              </w:rPr>
            </w:pPr>
          </w:p>
        </w:tc>
      </w:tr>
      <w:tr w:rsidR="00E0074D" w:rsidRPr="001362A6" w14:paraId="567A4EBC" w14:textId="77777777" w:rsidTr="00990D73">
        <w:trPr>
          <w:cantSplit/>
          <w:trHeight w:val="252"/>
        </w:trPr>
        <w:tc>
          <w:tcPr>
            <w:tcW w:w="1316" w:type="dxa"/>
            <w:vMerge/>
          </w:tcPr>
          <w:p w14:paraId="0B05A59A" w14:textId="77777777" w:rsidR="00E0074D" w:rsidRPr="001362A6" w:rsidRDefault="00E0074D">
            <w:pPr>
              <w:rPr>
                <w:rFonts w:ascii="Lato" w:hAnsi="Lato"/>
                <w:sz w:val="22"/>
                <w:szCs w:val="22"/>
              </w:rPr>
            </w:pPr>
          </w:p>
        </w:tc>
        <w:tc>
          <w:tcPr>
            <w:tcW w:w="5891" w:type="dxa"/>
            <w:vMerge/>
          </w:tcPr>
          <w:p w14:paraId="72AEC156" w14:textId="77777777" w:rsidR="00E0074D" w:rsidRPr="001362A6" w:rsidRDefault="00E0074D">
            <w:pPr>
              <w:rPr>
                <w:rFonts w:ascii="Lato" w:hAnsi="Lato"/>
                <w:sz w:val="22"/>
                <w:szCs w:val="22"/>
              </w:rPr>
            </w:pPr>
          </w:p>
        </w:tc>
        <w:tc>
          <w:tcPr>
            <w:tcW w:w="3188" w:type="dxa"/>
            <w:tcBorders>
              <w:top w:val="single" w:sz="4" w:space="0" w:color="auto"/>
            </w:tcBorders>
          </w:tcPr>
          <w:p w14:paraId="353BE984" w14:textId="77777777" w:rsidR="00E0074D" w:rsidRPr="001362A6" w:rsidRDefault="00E0074D">
            <w:pPr>
              <w:rPr>
                <w:rFonts w:ascii="Lato" w:hAnsi="Lato"/>
                <w:sz w:val="22"/>
                <w:szCs w:val="22"/>
              </w:rPr>
            </w:pPr>
          </w:p>
        </w:tc>
      </w:tr>
      <w:tr w:rsidR="00E0074D" w:rsidRPr="001362A6" w14:paraId="721CF4B0" w14:textId="77777777" w:rsidTr="00990D73">
        <w:trPr>
          <w:cantSplit/>
          <w:trHeight w:val="252"/>
        </w:trPr>
        <w:tc>
          <w:tcPr>
            <w:tcW w:w="1316" w:type="dxa"/>
            <w:vMerge/>
          </w:tcPr>
          <w:p w14:paraId="2D2B5DB6" w14:textId="77777777" w:rsidR="00E0074D" w:rsidRPr="001362A6" w:rsidRDefault="00E0074D">
            <w:pPr>
              <w:rPr>
                <w:rFonts w:ascii="Lato" w:hAnsi="Lato"/>
                <w:sz w:val="22"/>
                <w:szCs w:val="22"/>
              </w:rPr>
            </w:pPr>
          </w:p>
        </w:tc>
        <w:tc>
          <w:tcPr>
            <w:tcW w:w="5891" w:type="dxa"/>
            <w:vMerge/>
          </w:tcPr>
          <w:p w14:paraId="73B6D9AB" w14:textId="77777777" w:rsidR="00E0074D" w:rsidRPr="001362A6" w:rsidRDefault="00E0074D">
            <w:pPr>
              <w:rPr>
                <w:rFonts w:ascii="Lato" w:hAnsi="Lato"/>
                <w:sz w:val="22"/>
                <w:szCs w:val="22"/>
              </w:rPr>
            </w:pPr>
          </w:p>
        </w:tc>
        <w:tc>
          <w:tcPr>
            <w:tcW w:w="3188" w:type="dxa"/>
          </w:tcPr>
          <w:p w14:paraId="48C96B0F" w14:textId="77777777" w:rsidR="00E0074D" w:rsidRPr="001362A6" w:rsidRDefault="00E0074D">
            <w:pPr>
              <w:rPr>
                <w:rFonts w:ascii="Lato" w:hAnsi="Lato"/>
                <w:sz w:val="22"/>
                <w:szCs w:val="22"/>
              </w:rPr>
            </w:pPr>
          </w:p>
        </w:tc>
      </w:tr>
      <w:tr w:rsidR="00E0074D" w:rsidRPr="001362A6" w14:paraId="2E853B2F" w14:textId="77777777" w:rsidTr="00990D73">
        <w:trPr>
          <w:cantSplit/>
          <w:trHeight w:val="252"/>
        </w:trPr>
        <w:tc>
          <w:tcPr>
            <w:tcW w:w="1316" w:type="dxa"/>
            <w:vMerge/>
          </w:tcPr>
          <w:p w14:paraId="5BE406C3" w14:textId="77777777" w:rsidR="00E0074D" w:rsidRPr="001362A6" w:rsidRDefault="00E0074D">
            <w:pPr>
              <w:rPr>
                <w:rFonts w:ascii="Lato" w:hAnsi="Lato"/>
                <w:sz w:val="22"/>
                <w:szCs w:val="22"/>
              </w:rPr>
            </w:pPr>
          </w:p>
        </w:tc>
        <w:tc>
          <w:tcPr>
            <w:tcW w:w="5891" w:type="dxa"/>
            <w:vMerge/>
          </w:tcPr>
          <w:p w14:paraId="55E4465F" w14:textId="77777777" w:rsidR="00E0074D" w:rsidRPr="001362A6" w:rsidRDefault="00E0074D">
            <w:pPr>
              <w:rPr>
                <w:rFonts w:ascii="Lato" w:hAnsi="Lato"/>
                <w:sz w:val="22"/>
                <w:szCs w:val="22"/>
              </w:rPr>
            </w:pPr>
          </w:p>
        </w:tc>
        <w:tc>
          <w:tcPr>
            <w:tcW w:w="3188" w:type="dxa"/>
          </w:tcPr>
          <w:p w14:paraId="316C9B0E" w14:textId="77777777" w:rsidR="00E0074D" w:rsidRPr="001362A6" w:rsidRDefault="00E0074D">
            <w:pPr>
              <w:rPr>
                <w:rFonts w:ascii="Lato" w:hAnsi="Lato"/>
                <w:sz w:val="22"/>
                <w:szCs w:val="22"/>
              </w:rPr>
            </w:pPr>
          </w:p>
        </w:tc>
      </w:tr>
      <w:tr w:rsidR="00E0074D" w:rsidRPr="001362A6" w14:paraId="5039C4FA" w14:textId="77777777" w:rsidTr="00990D73">
        <w:trPr>
          <w:cantSplit/>
          <w:trHeight w:val="252"/>
        </w:trPr>
        <w:tc>
          <w:tcPr>
            <w:tcW w:w="1316" w:type="dxa"/>
            <w:vMerge/>
          </w:tcPr>
          <w:p w14:paraId="483C3E69" w14:textId="77777777" w:rsidR="00E0074D" w:rsidRPr="001362A6" w:rsidRDefault="00E0074D">
            <w:pPr>
              <w:rPr>
                <w:rFonts w:ascii="Lato" w:hAnsi="Lato"/>
                <w:sz w:val="22"/>
                <w:szCs w:val="22"/>
              </w:rPr>
            </w:pPr>
          </w:p>
        </w:tc>
        <w:tc>
          <w:tcPr>
            <w:tcW w:w="5891" w:type="dxa"/>
            <w:vMerge/>
          </w:tcPr>
          <w:p w14:paraId="4A330ECC" w14:textId="77777777" w:rsidR="00E0074D" w:rsidRPr="001362A6" w:rsidRDefault="00E0074D">
            <w:pPr>
              <w:rPr>
                <w:rFonts w:ascii="Lato" w:hAnsi="Lato"/>
                <w:sz w:val="22"/>
                <w:szCs w:val="22"/>
              </w:rPr>
            </w:pPr>
          </w:p>
        </w:tc>
        <w:tc>
          <w:tcPr>
            <w:tcW w:w="3188" w:type="dxa"/>
          </w:tcPr>
          <w:p w14:paraId="23CB7AFB" w14:textId="77777777" w:rsidR="004A7549" w:rsidRPr="001362A6" w:rsidRDefault="004A7549">
            <w:pPr>
              <w:rPr>
                <w:rFonts w:ascii="Lato" w:hAnsi="Lato"/>
                <w:sz w:val="22"/>
                <w:szCs w:val="22"/>
              </w:rPr>
            </w:pPr>
          </w:p>
        </w:tc>
      </w:tr>
      <w:tr w:rsidR="004A7549" w:rsidRPr="001362A6" w14:paraId="2D3568AC" w14:textId="77777777" w:rsidTr="00990D73">
        <w:trPr>
          <w:cantSplit/>
          <w:trHeight w:val="252"/>
        </w:trPr>
        <w:tc>
          <w:tcPr>
            <w:tcW w:w="1316" w:type="dxa"/>
          </w:tcPr>
          <w:p w14:paraId="534683D6" w14:textId="77777777" w:rsidR="004A7549" w:rsidRPr="001362A6" w:rsidRDefault="004A7549">
            <w:pPr>
              <w:rPr>
                <w:rFonts w:ascii="Lato" w:hAnsi="Lato"/>
                <w:sz w:val="22"/>
                <w:szCs w:val="22"/>
              </w:rPr>
            </w:pPr>
          </w:p>
        </w:tc>
        <w:tc>
          <w:tcPr>
            <w:tcW w:w="5891" w:type="dxa"/>
          </w:tcPr>
          <w:p w14:paraId="533C7A7D" w14:textId="77777777" w:rsidR="004A7549" w:rsidRPr="001362A6" w:rsidRDefault="004A7549">
            <w:pPr>
              <w:rPr>
                <w:rFonts w:ascii="Lato" w:hAnsi="Lato"/>
                <w:sz w:val="22"/>
                <w:szCs w:val="22"/>
              </w:rPr>
            </w:pPr>
          </w:p>
        </w:tc>
        <w:tc>
          <w:tcPr>
            <w:tcW w:w="3188" w:type="dxa"/>
          </w:tcPr>
          <w:p w14:paraId="5233EDC4" w14:textId="77777777" w:rsidR="004A7549" w:rsidRPr="001362A6" w:rsidRDefault="004A7549">
            <w:pPr>
              <w:rPr>
                <w:rFonts w:ascii="Lato" w:hAnsi="Lato"/>
                <w:sz w:val="22"/>
                <w:szCs w:val="22"/>
              </w:rPr>
            </w:pPr>
          </w:p>
        </w:tc>
      </w:tr>
      <w:tr w:rsidR="004A7549" w:rsidRPr="001362A6" w14:paraId="1D7FA7FD" w14:textId="77777777" w:rsidTr="0042571B">
        <w:trPr>
          <w:cantSplit/>
          <w:trHeight w:val="252"/>
        </w:trPr>
        <w:tc>
          <w:tcPr>
            <w:tcW w:w="1316" w:type="dxa"/>
          </w:tcPr>
          <w:p w14:paraId="74FD5A9C" w14:textId="77777777" w:rsidR="004A7549" w:rsidRPr="001362A6" w:rsidRDefault="004A7549">
            <w:pPr>
              <w:rPr>
                <w:rFonts w:ascii="Lato" w:hAnsi="Lato"/>
                <w:sz w:val="22"/>
                <w:szCs w:val="22"/>
              </w:rPr>
            </w:pPr>
          </w:p>
        </w:tc>
        <w:tc>
          <w:tcPr>
            <w:tcW w:w="5891" w:type="dxa"/>
          </w:tcPr>
          <w:p w14:paraId="368A017E" w14:textId="77777777" w:rsidR="004A7549" w:rsidRPr="001362A6" w:rsidRDefault="004A7549" w:rsidP="004A7549">
            <w:pPr>
              <w:rPr>
                <w:rFonts w:ascii="Lato" w:hAnsi="Lato"/>
                <w:sz w:val="22"/>
                <w:szCs w:val="22"/>
              </w:rPr>
            </w:pPr>
            <w:r w:rsidRPr="001362A6">
              <w:rPr>
                <w:rFonts w:ascii="Lato" w:hAnsi="Lato"/>
                <w:sz w:val="22"/>
                <w:szCs w:val="22"/>
              </w:rPr>
              <w:t>This description should include:</w:t>
            </w:r>
          </w:p>
        </w:tc>
        <w:tc>
          <w:tcPr>
            <w:tcW w:w="3188" w:type="dxa"/>
            <w:tcBorders>
              <w:bottom w:val="single" w:sz="4" w:space="0" w:color="auto"/>
            </w:tcBorders>
          </w:tcPr>
          <w:p w14:paraId="67680B20" w14:textId="77777777" w:rsidR="004A7549" w:rsidRPr="001362A6" w:rsidRDefault="004A3EEC" w:rsidP="003D4596">
            <w:pPr>
              <w:rPr>
                <w:rFonts w:ascii="Lato" w:hAnsi="Lato"/>
                <w:sz w:val="22"/>
                <w:szCs w:val="22"/>
              </w:rPr>
            </w:pPr>
            <w:r w:rsidRPr="001362A6">
              <w:rPr>
                <w:rFonts w:ascii="Lato" w:hAnsi="Lato"/>
                <w:sz w:val="22"/>
                <w:szCs w:val="22"/>
              </w:rPr>
              <w:t xml:space="preserve"> </w:t>
            </w:r>
          </w:p>
        </w:tc>
      </w:tr>
      <w:tr w:rsidR="004A7549" w:rsidRPr="001362A6" w14:paraId="3A9CFF32" w14:textId="77777777" w:rsidTr="0042571B">
        <w:trPr>
          <w:cantSplit/>
          <w:trHeight w:val="252"/>
        </w:trPr>
        <w:tc>
          <w:tcPr>
            <w:tcW w:w="1316" w:type="dxa"/>
          </w:tcPr>
          <w:p w14:paraId="455C54D3" w14:textId="77777777" w:rsidR="004A7549" w:rsidRPr="001362A6" w:rsidRDefault="004A7549" w:rsidP="006E2C63">
            <w:pPr>
              <w:jc w:val="right"/>
              <w:rPr>
                <w:rFonts w:ascii="Lato" w:hAnsi="Lato"/>
                <w:sz w:val="22"/>
                <w:szCs w:val="22"/>
              </w:rPr>
            </w:pPr>
            <w:r w:rsidRPr="001362A6">
              <w:rPr>
                <w:rFonts w:ascii="Lato" w:hAnsi="Lato"/>
                <w:sz w:val="22"/>
                <w:szCs w:val="22"/>
              </w:rPr>
              <w:t>(i)</w:t>
            </w:r>
          </w:p>
        </w:tc>
        <w:tc>
          <w:tcPr>
            <w:tcW w:w="5891" w:type="dxa"/>
            <w:tcBorders>
              <w:right w:val="single" w:sz="4" w:space="0" w:color="auto"/>
            </w:tcBorders>
          </w:tcPr>
          <w:p w14:paraId="022EFA2C" w14:textId="77777777" w:rsidR="004A7549" w:rsidRPr="001362A6" w:rsidRDefault="006E2C63" w:rsidP="0042571B">
            <w:pPr>
              <w:rPr>
                <w:rFonts w:ascii="Lato" w:hAnsi="Lato"/>
                <w:sz w:val="22"/>
                <w:szCs w:val="22"/>
              </w:rPr>
            </w:pPr>
            <w:r w:rsidRPr="001362A6">
              <w:rPr>
                <w:rFonts w:ascii="Lato" w:hAnsi="Lato"/>
                <w:sz w:val="22"/>
                <w:szCs w:val="22"/>
              </w:rPr>
              <w:t>I</w:t>
            </w:r>
            <w:r w:rsidR="004A7549" w:rsidRPr="001362A6">
              <w:rPr>
                <w:rFonts w:ascii="Lato" w:hAnsi="Lato"/>
                <w:sz w:val="22"/>
                <w:szCs w:val="22"/>
              </w:rPr>
              <w:t xml:space="preserve">nformation on where any master </w:t>
            </w:r>
            <w:r w:rsidRPr="001362A6">
              <w:rPr>
                <w:rFonts w:ascii="Lato" w:hAnsi="Lato"/>
                <w:sz w:val="22"/>
                <w:szCs w:val="22"/>
              </w:rPr>
              <w:t>Q</w:t>
            </w:r>
            <w:r w:rsidR="00A153DD" w:rsidRPr="001362A6">
              <w:rPr>
                <w:rFonts w:ascii="Lato" w:hAnsi="Lato"/>
                <w:sz w:val="22"/>
                <w:szCs w:val="22"/>
              </w:rPr>
              <w:t xml:space="preserve">ualifying </w:t>
            </w:r>
            <w:r w:rsidRPr="001362A6">
              <w:rPr>
                <w:rFonts w:ascii="Lato" w:hAnsi="Lato"/>
                <w:sz w:val="22"/>
                <w:szCs w:val="22"/>
              </w:rPr>
              <w:t>I</w:t>
            </w:r>
            <w:r w:rsidR="00A153DD" w:rsidRPr="001362A6">
              <w:rPr>
                <w:rFonts w:ascii="Lato" w:hAnsi="Lato"/>
                <w:sz w:val="22"/>
                <w:szCs w:val="22"/>
              </w:rPr>
              <w:t xml:space="preserve">nvestor </w:t>
            </w:r>
            <w:r w:rsidR="004A7549" w:rsidRPr="001362A6">
              <w:rPr>
                <w:rFonts w:ascii="Lato" w:hAnsi="Lato"/>
                <w:sz w:val="22"/>
                <w:szCs w:val="22"/>
              </w:rPr>
              <w:t xml:space="preserve">AIF is </w:t>
            </w:r>
          </w:p>
        </w:tc>
        <w:tc>
          <w:tcPr>
            <w:tcW w:w="3188" w:type="dxa"/>
            <w:tcBorders>
              <w:top w:val="single" w:sz="4" w:space="0" w:color="auto"/>
              <w:left w:val="single" w:sz="4" w:space="0" w:color="auto"/>
              <w:bottom w:val="single" w:sz="4" w:space="0" w:color="auto"/>
              <w:right w:val="single" w:sz="4" w:space="0" w:color="auto"/>
            </w:tcBorders>
          </w:tcPr>
          <w:p w14:paraId="5F402374" w14:textId="77777777" w:rsidR="004A7549" w:rsidRPr="001362A6" w:rsidRDefault="004A7549">
            <w:pPr>
              <w:rPr>
                <w:rFonts w:ascii="Lato" w:hAnsi="Lato"/>
                <w:sz w:val="22"/>
                <w:szCs w:val="22"/>
              </w:rPr>
            </w:pPr>
          </w:p>
        </w:tc>
      </w:tr>
      <w:tr w:rsidR="0042571B" w:rsidRPr="001362A6" w14:paraId="3206FA03" w14:textId="77777777" w:rsidTr="0042571B">
        <w:trPr>
          <w:cantSplit/>
          <w:trHeight w:val="252"/>
        </w:trPr>
        <w:tc>
          <w:tcPr>
            <w:tcW w:w="1316" w:type="dxa"/>
          </w:tcPr>
          <w:p w14:paraId="33F6FAC8" w14:textId="77777777" w:rsidR="0042571B" w:rsidRPr="001362A6" w:rsidRDefault="0042571B" w:rsidP="006E2C63">
            <w:pPr>
              <w:jc w:val="right"/>
              <w:rPr>
                <w:rFonts w:ascii="Lato" w:hAnsi="Lato"/>
                <w:sz w:val="22"/>
                <w:szCs w:val="22"/>
              </w:rPr>
            </w:pPr>
          </w:p>
        </w:tc>
        <w:tc>
          <w:tcPr>
            <w:tcW w:w="5891" w:type="dxa"/>
          </w:tcPr>
          <w:p w14:paraId="24FF876D" w14:textId="77777777" w:rsidR="0042571B" w:rsidRPr="001362A6" w:rsidRDefault="0042571B" w:rsidP="004A7549">
            <w:pPr>
              <w:rPr>
                <w:rFonts w:ascii="Lato" w:hAnsi="Lato"/>
                <w:sz w:val="22"/>
                <w:szCs w:val="22"/>
              </w:rPr>
            </w:pPr>
            <w:r w:rsidRPr="001362A6">
              <w:rPr>
                <w:rFonts w:ascii="Lato" w:hAnsi="Lato"/>
                <w:sz w:val="22"/>
                <w:szCs w:val="22"/>
              </w:rPr>
              <w:t>established and,</w:t>
            </w:r>
          </w:p>
        </w:tc>
        <w:tc>
          <w:tcPr>
            <w:tcW w:w="3188" w:type="dxa"/>
            <w:tcBorders>
              <w:top w:val="single" w:sz="4" w:space="0" w:color="auto"/>
            </w:tcBorders>
          </w:tcPr>
          <w:p w14:paraId="79FB1FFC" w14:textId="77777777" w:rsidR="0042571B" w:rsidRPr="001362A6" w:rsidRDefault="0042571B">
            <w:pPr>
              <w:rPr>
                <w:rFonts w:ascii="Lato" w:hAnsi="Lato"/>
                <w:sz w:val="22"/>
                <w:szCs w:val="22"/>
              </w:rPr>
            </w:pPr>
          </w:p>
        </w:tc>
      </w:tr>
      <w:tr w:rsidR="004A7549" w:rsidRPr="001362A6" w14:paraId="20455CEC" w14:textId="77777777" w:rsidTr="0042571B">
        <w:trPr>
          <w:cantSplit/>
          <w:trHeight w:val="252"/>
        </w:trPr>
        <w:tc>
          <w:tcPr>
            <w:tcW w:w="1316" w:type="dxa"/>
          </w:tcPr>
          <w:p w14:paraId="50B21B7B" w14:textId="77777777" w:rsidR="004A7549" w:rsidRPr="001362A6" w:rsidRDefault="004A7549" w:rsidP="006E2C63">
            <w:pPr>
              <w:jc w:val="right"/>
              <w:rPr>
                <w:rFonts w:ascii="Lato" w:hAnsi="Lato"/>
                <w:sz w:val="22"/>
                <w:szCs w:val="22"/>
              </w:rPr>
            </w:pPr>
          </w:p>
        </w:tc>
        <w:tc>
          <w:tcPr>
            <w:tcW w:w="5891" w:type="dxa"/>
          </w:tcPr>
          <w:p w14:paraId="5BD52815" w14:textId="77777777" w:rsidR="004A7549" w:rsidRPr="001362A6" w:rsidRDefault="004A7549" w:rsidP="004A7549">
            <w:pPr>
              <w:rPr>
                <w:rFonts w:ascii="Lato" w:hAnsi="Lato"/>
                <w:sz w:val="22"/>
                <w:szCs w:val="22"/>
              </w:rPr>
            </w:pPr>
          </w:p>
        </w:tc>
        <w:tc>
          <w:tcPr>
            <w:tcW w:w="3188" w:type="dxa"/>
            <w:tcBorders>
              <w:bottom w:val="single" w:sz="4" w:space="0" w:color="auto"/>
            </w:tcBorders>
          </w:tcPr>
          <w:p w14:paraId="1B6F84C6" w14:textId="77777777" w:rsidR="004A7549" w:rsidRPr="001362A6" w:rsidRDefault="004A7549">
            <w:pPr>
              <w:rPr>
                <w:rFonts w:ascii="Lato" w:hAnsi="Lato"/>
                <w:sz w:val="22"/>
                <w:szCs w:val="22"/>
              </w:rPr>
            </w:pPr>
          </w:p>
        </w:tc>
      </w:tr>
      <w:tr w:rsidR="004A7549" w:rsidRPr="001362A6" w14:paraId="08471678" w14:textId="77777777" w:rsidTr="00990D73">
        <w:trPr>
          <w:cantSplit/>
          <w:trHeight w:val="252"/>
        </w:trPr>
        <w:tc>
          <w:tcPr>
            <w:tcW w:w="1316" w:type="dxa"/>
          </w:tcPr>
          <w:p w14:paraId="200A9E08" w14:textId="77777777" w:rsidR="004A7549" w:rsidRPr="001362A6" w:rsidRDefault="004A7549" w:rsidP="006E2C63">
            <w:pPr>
              <w:jc w:val="right"/>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525D59A5" w14:textId="77777777" w:rsidR="004A7549" w:rsidRPr="001362A6" w:rsidRDefault="006E2C63" w:rsidP="00D95E9D">
            <w:pPr>
              <w:rPr>
                <w:rFonts w:ascii="Lato" w:hAnsi="Lato"/>
                <w:sz w:val="22"/>
                <w:szCs w:val="22"/>
              </w:rPr>
            </w:pPr>
            <w:r w:rsidRPr="001362A6">
              <w:rPr>
                <w:rFonts w:ascii="Lato" w:hAnsi="Lato"/>
                <w:sz w:val="22"/>
                <w:szCs w:val="22"/>
              </w:rPr>
              <w:t>W</w:t>
            </w:r>
            <w:r w:rsidR="004A7549" w:rsidRPr="001362A6">
              <w:rPr>
                <w:rFonts w:ascii="Lato" w:hAnsi="Lato"/>
                <w:sz w:val="22"/>
                <w:szCs w:val="22"/>
              </w:rPr>
              <w:t xml:space="preserve">here the underlying funds are established if the </w:t>
            </w:r>
          </w:p>
        </w:tc>
        <w:tc>
          <w:tcPr>
            <w:tcW w:w="3188" w:type="dxa"/>
            <w:tcBorders>
              <w:top w:val="single" w:sz="4" w:space="0" w:color="auto"/>
              <w:left w:val="single" w:sz="4" w:space="0" w:color="auto"/>
              <w:bottom w:val="single" w:sz="4" w:space="0" w:color="auto"/>
              <w:right w:val="single" w:sz="4" w:space="0" w:color="auto"/>
            </w:tcBorders>
          </w:tcPr>
          <w:p w14:paraId="6244E662" w14:textId="77777777" w:rsidR="004A7549" w:rsidRPr="001362A6" w:rsidRDefault="004A7549">
            <w:pPr>
              <w:rPr>
                <w:rFonts w:ascii="Lato" w:hAnsi="Lato"/>
                <w:sz w:val="22"/>
                <w:szCs w:val="22"/>
              </w:rPr>
            </w:pPr>
          </w:p>
        </w:tc>
      </w:tr>
      <w:tr w:rsidR="004A7549" w:rsidRPr="001362A6" w14:paraId="6541F927" w14:textId="77777777" w:rsidTr="00990D73">
        <w:trPr>
          <w:cantSplit/>
          <w:trHeight w:val="252"/>
        </w:trPr>
        <w:tc>
          <w:tcPr>
            <w:tcW w:w="1316" w:type="dxa"/>
          </w:tcPr>
          <w:p w14:paraId="2A35BD68" w14:textId="77777777" w:rsidR="004A7549" w:rsidRPr="001362A6" w:rsidRDefault="004A7549" w:rsidP="006E2C63">
            <w:pPr>
              <w:jc w:val="right"/>
              <w:rPr>
                <w:rFonts w:ascii="Lato" w:hAnsi="Lato"/>
                <w:sz w:val="22"/>
                <w:szCs w:val="22"/>
              </w:rPr>
            </w:pPr>
          </w:p>
        </w:tc>
        <w:tc>
          <w:tcPr>
            <w:tcW w:w="5891" w:type="dxa"/>
          </w:tcPr>
          <w:p w14:paraId="6AB00104" w14:textId="77777777" w:rsidR="004A7549" w:rsidRPr="001362A6" w:rsidRDefault="00347D8A">
            <w:pPr>
              <w:rPr>
                <w:rFonts w:ascii="Lato" w:hAnsi="Lato"/>
                <w:sz w:val="22"/>
                <w:szCs w:val="22"/>
              </w:rPr>
            </w:pPr>
            <w:r w:rsidRPr="00590C6D">
              <w:rPr>
                <w:rFonts w:ascii="Lato" w:hAnsi="Lato"/>
                <w:sz w:val="22"/>
                <w:szCs w:val="22"/>
              </w:rPr>
              <w:t>Qualifying</w:t>
            </w:r>
            <w:r w:rsidRPr="00D95E9D">
              <w:rPr>
                <w:rFonts w:ascii="Lato" w:hAnsi="Lato"/>
                <w:sz w:val="22"/>
                <w:szCs w:val="22"/>
              </w:rPr>
              <w:t xml:space="preserve"> </w:t>
            </w:r>
            <w:r w:rsidR="003D4596" w:rsidRPr="001362A6">
              <w:rPr>
                <w:rFonts w:ascii="Lato" w:hAnsi="Lato"/>
                <w:sz w:val="22"/>
                <w:szCs w:val="22"/>
              </w:rPr>
              <w:t xml:space="preserve">Investor AIF is a </w:t>
            </w:r>
            <w:r w:rsidR="006E2C63" w:rsidRPr="001362A6">
              <w:rPr>
                <w:rFonts w:ascii="Lato" w:hAnsi="Lato"/>
                <w:sz w:val="22"/>
                <w:szCs w:val="22"/>
              </w:rPr>
              <w:t xml:space="preserve">fund of </w:t>
            </w:r>
            <w:r w:rsidR="004A7549" w:rsidRPr="001362A6">
              <w:rPr>
                <w:rFonts w:ascii="Lato" w:hAnsi="Lato"/>
                <w:sz w:val="22"/>
                <w:szCs w:val="22"/>
              </w:rPr>
              <w:t>funds</w:t>
            </w:r>
          </w:p>
        </w:tc>
        <w:tc>
          <w:tcPr>
            <w:tcW w:w="3188" w:type="dxa"/>
            <w:tcBorders>
              <w:top w:val="single" w:sz="4" w:space="0" w:color="auto"/>
            </w:tcBorders>
          </w:tcPr>
          <w:p w14:paraId="7D23E62B" w14:textId="77777777" w:rsidR="004A7549" w:rsidRPr="001362A6" w:rsidRDefault="004A7549">
            <w:pPr>
              <w:rPr>
                <w:rFonts w:ascii="Lato" w:hAnsi="Lato"/>
                <w:sz w:val="22"/>
                <w:szCs w:val="22"/>
              </w:rPr>
            </w:pPr>
          </w:p>
        </w:tc>
      </w:tr>
      <w:tr w:rsidR="004A7549" w:rsidRPr="001362A6" w14:paraId="3DB1CF86" w14:textId="77777777" w:rsidTr="00990D73">
        <w:trPr>
          <w:cantSplit/>
          <w:trHeight w:val="252"/>
        </w:trPr>
        <w:tc>
          <w:tcPr>
            <w:tcW w:w="1316" w:type="dxa"/>
          </w:tcPr>
          <w:p w14:paraId="2F003EFC" w14:textId="77777777" w:rsidR="004A7549" w:rsidRPr="001362A6" w:rsidRDefault="004A7549" w:rsidP="006E2C63">
            <w:pPr>
              <w:jc w:val="right"/>
              <w:rPr>
                <w:rFonts w:ascii="Lato" w:hAnsi="Lato"/>
                <w:sz w:val="22"/>
                <w:szCs w:val="22"/>
              </w:rPr>
            </w:pPr>
          </w:p>
        </w:tc>
        <w:tc>
          <w:tcPr>
            <w:tcW w:w="5891" w:type="dxa"/>
          </w:tcPr>
          <w:p w14:paraId="377D2004" w14:textId="77777777" w:rsidR="004A7549" w:rsidRPr="001362A6" w:rsidRDefault="004A7549">
            <w:pPr>
              <w:rPr>
                <w:rFonts w:ascii="Lato" w:hAnsi="Lato"/>
                <w:sz w:val="22"/>
                <w:szCs w:val="22"/>
              </w:rPr>
            </w:pPr>
          </w:p>
        </w:tc>
        <w:tc>
          <w:tcPr>
            <w:tcW w:w="3188" w:type="dxa"/>
            <w:tcBorders>
              <w:bottom w:val="single" w:sz="4" w:space="0" w:color="auto"/>
            </w:tcBorders>
          </w:tcPr>
          <w:p w14:paraId="56420475" w14:textId="77777777" w:rsidR="004A7549" w:rsidRPr="001362A6" w:rsidRDefault="004A7549">
            <w:pPr>
              <w:rPr>
                <w:rFonts w:ascii="Lato" w:hAnsi="Lato"/>
                <w:sz w:val="22"/>
                <w:szCs w:val="22"/>
              </w:rPr>
            </w:pPr>
          </w:p>
        </w:tc>
      </w:tr>
      <w:tr w:rsidR="004A7549" w:rsidRPr="001362A6" w14:paraId="679525F7" w14:textId="77777777" w:rsidTr="00990D73">
        <w:trPr>
          <w:cantSplit/>
          <w:trHeight w:val="252"/>
        </w:trPr>
        <w:tc>
          <w:tcPr>
            <w:tcW w:w="1316" w:type="dxa"/>
          </w:tcPr>
          <w:p w14:paraId="69732B68" w14:textId="77777777" w:rsidR="004A7549" w:rsidRPr="001362A6" w:rsidRDefault="006E2C63" w:rsidP="006E2C63">
            <w:pPr>
              <w:jc w:val="right"/>
              <w:rPr>
                <w:rFonts w:ascii="Lato" w:hAnsi="Lato"/>
                <w:sz w:val="22"/>
                <w:szCs w:val="22"/>
              </w:rPr>
            </w:pPr>
            <w:r w:rsidRPr="001362A6">
              <w:rPr>
                <w:rFonts w:ascii="Lato" w:hAnsi="Lato"/>
                <w:sz w:val="22"/>
                <w:szCs w:val="22"/>
              </w:rPr>
              <w:t>(iii)</w:t>
            </w:r>
          </w:p>
        </w:tc>
        <w:tc>
          <w:tcPr>
            <w:tcW w:w="5891" w:type="dxa"/>
            <w:tcBorders>
              <w:right w:val="single" w:sz="4" w:space="0" w:color="auto"/>
            </w:tcBorders>
          </w:tcPr>
          <w:p w14:paraId="02552BEC" w14:textId="77777777" w:rsidR="004A7549" w:rsidRPr="001362A6" w:rsidRDefault="006E2C63" w:rsidP="00044B9D">
            <w:pPr>
              <w:rPr>
                <w:rFonts w:ascii="Lato" w:hAnsi="Lato"/>
                <w:sz w:val="22"/>
                <w:szCs w:val="22"/>
              </w:rPr>
            </w:pPr>
            <w:r w:rsidRPr="001362A6">
              <w:rPr>
                <w:rFonts w:ascii="Lato" w:hAnsi="Lato"/>
                <w:sz w:val="22"/>
                <w:szCs w:val="22"/>
              </w:rPr>
              <w:t>A</w:t>
            </w:r>
            <w:r w:rsidR="004A7549" w:rsidRPr="001362A6">
              <w:rPr>
                <w:rFonts w:ascii="Lato" w:hAnsi="Lato"/>
                <w:sz w:val="22"/>
                <w:szCs w:val="22"/>
              </w:rPr>
              <w:t xml:space="preserve"> description of the types of assets in which the Q</w:t>
            </w:r>
            <w:r w:rsidR="00044B9D" w:rsidRPr="001362A6">
              <w:rPr>
                <w:rFonts w:ascii="Lato" w:hAnsi="Lato"/>
                <w:sz w:val="22"/>
                <w:szCs w:val="22"/>
              </w:rPr>
              <w:t xml:space="preserve">ualifying </w:t>
            </w:r>
          </w:p>
        </w:tc>
        <w:tc>
          <w:tcPr>
            <w:tcW w:w="3188" w:type="dxa"/>
            <w:tcBorders>
              <w:top w:val="single" w:sz="4" w:space="0" w:color="auto"/>
              <w:left w:val="single" w:sz="4" w:space="0" w:color="auto"/>
              <w:bottom w:val="single" w:sz="4" w:space="0" w:color="auto"/>
              <w:right w:val="single" w:sz="4" w:space="0" w:color="auto"/>
            </w:tcBorders>
          </w:tcPr>
          <w:p w14:paraId="1882A8DF" w14:textId="77777777" w:rsidR="004A7549" w:rsidRPr="001362A6" w:rsidRDefault="004A7549">
            <w:pPr>
              <w:rPr>
                <w:rFonts w:ascii="Lato" w:hAnsi="Lato"/>
                <w:sz w:val="22"/>
                <w:szCs w:val="22"/>
              </w:rPr>
            </w:pPr>
          </w:p>
        </w:tc>
      </w:tr>
      <w:tr w:rsidR="004A7549" w:rsidRPr="001362A6" w14:paraId="3FD3506A" w14:textId="77777777" w:rsidTr="00521989">
        <w:trPr>
          <w:cantSplit/>
          <w:trHeight w:val="252"/>
        </w:trPr>
        <w:tc>
          <w:tcPr>
            <w:tcW w:w="1316" w:type="dxa"/>
          </w:tcPr>
          <w:p w14:paraId="5FDE52FD" w14:textId="77777777" w:rsidR="004A7549" w:rsidRPr="001362A6" w:rsidRDefault="004A7549" w:rsidP="006E2C63">
            <w:pPr>
              <w:jc w:val="right"/>
              <w:rPr>
                <w:rFonts w:ascii="Lato" w:hAnsi="Lato"/>
                <w:sz w:val="22"/>
                <w:szCs w:val="22"/>
              </w:rPr>
            </w:pPr>
          </w:p>
        </w:tc>
        <w:tc>
          <w:tcPr>
            <w:tcW w:w="5891" w:type="dxa"/>
          </w:tcPr>
          <w:p w14:paraId="6F22A114" w14:textId="77777777" w:rsidR="004A7549" w:rsidRPr="001362A6" w:rsidRDefault="00044B9D" w:rsidP="00044B9D">
            <w:pPr>
              <w:rPr>
                <w:rFonts w:ascii="Lato" w:hAnsi="Lato"/>
                <w:sz w:val="22"/>
                <w:szCs w:val="22"/>
              </w:rPr>
            </w:pPr>
            <w:r w:rsidRPr="001362A6">
              <w:rPr>
                <w:rFonts w:ascii="Lato" w:hAnsi="Lato"/>
                <w:sz w:val="22"/>
                <w:szCs w:val="22"/>
              </w:rPr>
              <w:t xml:space="preserve">Investor AIF may </w:t>
            </w:r>
            <w:r w:rsidR="004A7549" w:rsidRPr="001362A6">
              <w:rPr>
                <w:rFonts w:ascii="Lato" w:hAnsi="Lato"/>
                <w:sz w:val="22"/>
                <w:szCs w:val="22"/>
              </w:rPr>
              <w:t>invest,</w:t>
            </w:r>
          </w:p>
        </w:tc>
        <w:tc>
          <w:tcPr>
            <w:tcW w:w="3188" w:type="dxa"/>
            <w:tcBorders>
              <w:top w:val="single" w:sz="4" w:space="0" w:color="auto"/>
            </w:tcBorders>
          </w:tcPr>
          <w:p w14:paraId="1E8A6F0F" w14:textId="77777777" w:rsidR="004A7549" w:rsidRPr="001362A6" w:rsidRDefault="004A7549">
            <w:pPr>
              <w:rPr>
                <w:rFonts w:ascii="Lato" w:hAnsi="Lato"/>
                <w:sz w:val="22"/>
                <w:szCs w:val="22"/>
              </w:rPr>
            </w:pPr>
          </w:p>
        </w:tc>
      </w:tr>
      <w:tr w:rsidR="007E3170" w:rsidRPr="001362A6" w14:paraId="490887D8" w14:textId="77777777" w:rsidTr="00521989">
        <w:trPr>
          <w:cantSplit/>
          <w:trHeight w:val="252"/>
        </w:trPr>
        <w:tc>
          <w:tcPr>
            <w:tcW w:w="1316" w:type="dxa"/>
          </w:tcPr>
          <w:p w14:paraId="28C0D4AA" w14:textId="77777777" w:rsidR="00044B9D" w:rsidRPr="001362A6" w:rsidRDefault="00044B9D" w:rsidP="006E2C63">
            <w:pPr>
              <w:jc w:val="right"/>
              <w:rPr>
                <w:rFonts w:ascii="Lato" w:hAnsi="Lato"/>
                <w:sz w:val="22"/>
                <w:szCs w:val="22"/>
              </w:rPr>
            </w:pPr>
          </w:p>
        </w:tc>
        <w:tc>
          <w:tcPr>
            <w:tcW w:w="5891" w:type="dxa"/>
          </w:tcPr>
          <w:p w14:paraId="08AB55A7" w14:textId="77777777" w:rsidR="00044B9D" w:rsidRPr="001362A6" w:rsidRDefault="00044B9D">
            <w:pPr>
              <w:rPr>
                <w:rFonts w:ascii="Lato" w:hAnsi="Lato"/>
                <w:sz w:val="22"/>
                <w:szCs w:val="22"/>
              </w:rPr>
            </w:pPr>
          </w:p>
        </w:tc>
        <w:tc>
          <w:tcPr>
            <w:tcW w:w="3188" w:type="dxa"/>
            <w:tcBorders>
              <w:bottom w:val="single" w:sz="4" w:space="0" w:color="auto"/>
            </w:tcBorders>
          </w:tcPr>
          <w:p w14:paraId="30019D9E" w14:textId="77777777" w:rsidR="00044B9D" w:rsidRPr="001362A6" w:rsidRDefault="00044B9D">
            <w:pPr>
              <w:rPr>
                <w:rFonts w:ascii="Lato" w:hAnsi="Lato"/>
                <w:sz w:val="22"/>
                <w:szCs w:val="22"/>
              </w:rPr>
            </w:pPr>
          </w:p>
        </w:tc>
      </w:tr>
      <w:tr w:rsidR="007E3170" w:rsidRPr="001362A6" w14:paraId="2A1C622C" w14:textId="77777777" w:rsidTr="00521989">
        <w:trPr>
          <w:cantSplit/>
          <w:trHeight w:val="252"/>
        </w:trPr>
        <w:tc>
          <w:tcPr>
            <w:tcW w:w="1316" w:type="dxa"/>
          </w:tcPr>
          <w:p w14:paraId="67505450" w14:textId="77777777" w:rsidR="00044B9D" w:rsidRPr="001362A6" w:rsidRDefault="00044B9D" w:rsidP="006E2C63">
            <w:pPr>
              <w:jc w:val="right"/>
              <w:rPr>
                <w:rFonts w:ascii="Lato" w:hAnsi="Lato"/>
                <w:sz w:val="22"/>
                <w:szCs w:val="22"/>
              </w:rPr>
            </w:pPr>
            <w:r w:rsidRPr="001362A6">
              <w:rPr>
                <w:rFonts w:ascii="Lato" w:hAnsi="Lato"/>
                <w:sz w:val="22"/>
                <w:szCs w:val="22"/>
              </w:rPr>
              <w:t>(iv)</w:t>
            </w:r>
          </w:p>
        </w:tc>
        <w:tc>
          <w:tcPr>
            <w:tcW w:w="5891" w:type="dxa"/>
            <w:tcBorders>
              <w:right w:val="single" w:sz="4" w:space="0" w:color="auto"/>
            </w:tcBorders>
          </w:tcPr>
          <w:p w14:paraId="0FBF8204" w14:textId="77777777" w:rsidR="00044B9D" w:rsidRPr="001362A6" w:rsidRDefault="00A153DD">
            <w:pPr>
              <w:rPr>
                <w:rFonts w:ascii="Lato" w:hAnsi="Lato"/>
                <w:sz w:val="22"/>
                <w:szCs w:val="22"/>
              </w:rPr>
            </w:pPr>
            <w:r w:rsidRPr="001362A6">
              <w:rPr>
                <w:rFonts w:ascii="Lato" w:hAnsi="Lato"/>
                <w:sz w:val="22"/>
                <w:szCs w:val="22"/>
              </w:rPr>
              <w:t>T</w:t>
            </w:r>
            <w:r w:rsidR="00044B9D" w:rsidRPr="001362A6">
              <w:rPr>
                <w:rFonts w:ascii="Lato" w:hAnsi="Lato"/>
                <w:sz w:val="22"/>
                <w:szCs w:val="22"/>
              </w:rPr>
              <w:t>he techniques it may employ and all associated risks</w:t>
            </w:r>
          </w:p>
        </w:tc>
        <w:tc>
          <w:tcPr>
            <w:tcW w:w="3188" w:type="dxa"/>
            <w:tcBorders>
              <w:top w:val="single" w:sz="4" w:space="0" w:color="auto"/>
              <w:left w:val="single" w:sz="4" w:space="0" w:color="auto"/>
              <w:bottom w:val="single" w:sz="4" w:space="0" w:color="auto"/>
              <w:right w:val="single" w:sz="4" w:space="0" w:color="auto"/>
            </w:tcBorders>
          </w:tcPr>
          <w:p w14:paraId="40EB9E15" w14:textId="77777777" w:rsidR="00044B9D" w:rsidRPr="001362A6" w:rsidRDefault="00044B9D">
            <w:pPr>
              <w:rPr>
                <w:rFonts w:ascii="Lato" w:hAnsi="Lato"/>
                <w:sz w:val="22"/>
                <w:szCs w:val="22"/>
              </w:rPr>
            </w:pPr>
          </w:p>
        </w:tc>
      </w:tr>
      <w:tr w:rsidR="006E2C63" w:rsidRPr="001362A6" w14:paraId="75B1696E" w14:textId="77777777" w:rsidTr="00990D73">
        <w:trPr>
          <w:trHeight w:val="156"/>
        </w:trPr>
        <w:tc>
          <w:tcPr>
            <w:tcW w:w="1316" w:type="dxa"/>
          </w:tcPr>
          <w:p w14:paraId="1DEF03F5" w14:textId="77777777" w:rsidR="006E2C63" w:rsidRPr="001362A6" w:rsidRDefault="006E2C63">
            <w:pPr>
              <w:rPr>
                <w:rFonts w:ascii="Lato" w:hAnsi="Lato"/>
                <w:sz w:val="22"/>
                <w:szCs w:val="22"/>
              </w:rPr>
            </w:pPr>
          </w:p>
        </w:tc>
        <w:tc>
          <w:tcPr>
            <w:tcW w:w="5891" w:type="dxa"/>
          </w:tcPr>
          <w:p w14:paraId="75779CE7" w14:textId="77777777" w:rsidR="006E2C63" w:rsidRPr="001362A6" w:rsidRDefault="006E2C63">
            <w:pPr>
              <w:rPr>
                <w:rFonts w:ascii="Lato" w:hAnsi="Lato"/>
                <w:sz w:val="22"/>
                <w:szCs w:val="22"/>
              </w:rPr>
            </w:pPr>
          </w:p>
        </w:tc>
        <w:tc>
          <w:tcPr>
            <w:tcW w:w="3188" w:type="dxa"/>
            <w:tcBorders>
              <w:bottom w:val="single" w:sz="4" w:space="0" w:color="auto"/>
            </w:tcBorders>
          </w:tcPr>
          <w:p w14:paraId="08CB2E07" w14:textId="77777777" w:rsidR="006E2C63" w:rsidRPr="001362A6" w:rsidRDefault="006E2C63">
            <w:pPr>
              <w:rPr>
                <w:rFonts w:ascii="Lato" w:hAnsi="Lato"/>
                <w:b/>
                <w:bCs/>
                <w:sz w:val="22"/>
                <w:szCs w:val="22"/>
                <w:u w:val="single"/>
              </w:rPr>
            </w:pPr>
          </w:p>
        </w:tc>
      </w:tr>
      <w:tr w:rsidR="006E2C63" w:rsidRPr="001362A6" w14:paraId="5AD12992" w14:textId="77777777" w:rsidTr="00990D73">
        <w:trPr>
          <w:trHeight w:val="156"/>
        </w:trPr>
        <w:tc>
          <w:tcPr>
            <w:tcW w:w="1316" w:type="dxa"/>
          </w:tcPr>
          <w:p w14:paraId="32268537" w14:textId="77777777" w:rsidR="006E2C63" w:rsidRPr="001362A6" w:rsidRDefault="006E2C63" w:rsidP="003F2184">
            <w:pPr>
              <w:jc w:val="right"/>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0AD16A52" w14:textId="77777777" w:rsidR="006E2C63" w:rsidRPr="001362A6" w:rsidRDefault="006E2C63" w:rsidP="00D95E9D">
            <w:pPr>
              <w:rPr>
                <w:rFonts w:ascii="Lato" w:hAnsi="Lato"/>
                <w:sz w:val="22"/>
                <w:szCs w:val="22"/>
              </w:rPr>
            </w:pPr>
            <w:r w:rsidRPr="001362A6">
              <w:rPr>
                <w:rFonts w:ascii="Lato" w:hAnsi="Lato"/>
                <w:bCs/>
                <w:sz w:val="22"/>
                <w:szCs w:val="22"/>
              </w:rPr>
              <w:t xml:space="preserve">In the case of securities, give an indication of whether listed </w:t>
            </w:r>
          </w:p>
        </w:tc>
        <w:tc>
          <w:tcPr>
            <w:tcW w:w="3188" w:type="dxa"/>
            <w:tcBorders>
              <w:top w:val="single" w:sz="4" w:space="0" w:color="auto"/>
              <w:left w:val="single" w:sz="4" w:space="0" w:color="auto"/>
              <w:bottom w:val="single" w:sz="4" w:space="0" w:color="auto"/>
              <w:right w:val="single" w:sz="4" w:space="0" w:color="auto"/>
            </w:tcBorders>
          </w:tcPr>
          <w:p w14:paraId="1EE88F60" w14:textId="77777777" w:rsidR="006E2C63" w:rsidRPr="001362A6" w:rsidRDefault="006E2C63">
            <w:pPr>
              <w:rPr>
                <w:rFonts w:ascii="Lato" w:hAnsi="Lato"/>
                <w:b/>
                <w:bCs/>
                <w:sz w:val="22"/>
                <w:szCs w:val="22"/>
                <w:u w:val="single"/>
              </w:rPr>
            </w:pPr>
          </w:p>
        </w:tc>
      </w:tr>
      <w:tr w:rsidR="006E2C63" w:rsidRPr="001362A6" w14:paraId="4A29E7FE" w14:textId="77777777" w:rsidTr="00521989">
        <w:trPr>
          <w:trHeight w:val="156"/>
        </w:trPr>
        <w:tc>
          <w:tcPr>
            <w:tcW w:w="1316" w:type="dxa"/>
          </w:tcPr>
          <w:p w14:paraId="25349BC2" w14:textId="77777777" w:rsidR="006E2C63" w:rsidRPr="001362A6" w:rsidRDefault="006E2C63" w:rsidP="00D47A86">
            <w:pPr>
              <w:jc w:val="right"/>
              <w:rPr>
                <w:rFonts w:ascii="Lato" w:hAnsi="Lato"/>
                <w:sz w:val="22"/>
                <w:szCs w:val="22"/>
              </w:rPr>
            </w:pPr>
          </w:p>
        </w:tc>
        <w:tc>
          <w:tcPr>
            <w:tcW w:w="5891" w:type="dxa"/>
          </w:tcPr>
          <w:p w14:paraId="6E483385" w14:textId="77777777" w:rsidR="006E2C63" w:rsidRPr="001362A6" w:rsidRDefault="00347D8A">
            <w:pPr>
              <w:rPr>
                <w:rFonts w:ascii="Lato" w:hAnsi="Lato"/>
                <w:bCs/>
                <w:sz w:val="22"/>
                <w:szCs w:val="22"/>
              </w:rPr>
            </w:pPr>
            <w:r w:rsidRPr="00590C6D">
              <w:rPr>
                <w:rFonts w:ascii="Lato" w:hAnsi="Lato"/>
                <w:bCs/>
                <w:sz w:val="22"/>
                <w:szCs w:val="22"/>
              </w:rPr>
              <w:t>or</w:t>
            </w:r>
            <w:r w:rsidRPr="00D95E9D">
              <w:rPr>
                <w:rFonts w:ascii="Lato" w:hAnsi="Lato"/>
                <w:bCs/>
                <w:sz w:val="22"/>
                <w:szCs w:val="22"/>
              </w:rPr>
              <w:t xml:space="preserve"> </w:t>
            </w:r>
            <w:r w:rsidR="006E2C63" w:rsidRPr="001362A6">
              <w:rPr>
                <w:rFonts w:ascii="Lato" w:hAnsi="Lato"/>
                <w:bCs/>
                <w:sz w:val="22"/>
                <w:szCs w:val="22"/>
              </w:rPr>
              <w:t>unlisted and geographical spread</w:t>
            </w:r>
          </w:p>
        </w:tc>
        <w:tc>
          <w:tcPr>
            <w:tcW w:w="3188" w:type="dxa"/>
            <w:tcBorders>
              <w:top w:val="single" w:sz="4" w:space="0" w:color="auto"/>
              <w:bottom w:val="single" w:sz="4" w:space="0" w:color="auto"/>
            </w:tcBorders>
          </w:tcPr>
          <w:p w14:paraId="62ED718C" w14:textId="77777777" w:rsidR="006E2C63" w:rsidRPr="001362A6" w:rsidRDefault="006E2C63">
            <w:pPr>
              <w:rPr>
                <w:rFonts w:ascii="Lato" w:hAnsi="Lato"/>
                <w:b/>
                <w:bCs/>
                <w:sz w:val="22"/>
                <w:szCs w:val="22"/>
                <w:u w:val="single"/>
              </w:rPr>
            </w:pPr>
          </w:p>
        </w:tc>
      </w:tr>
      <w:tr w:rsidR="00FD764E" w:rsidRPr="001362A6" w14:paraId="0AFB41D5" w14:textId="77777777" w:rsidTr="00521989">
        <w:trPr>
          <w:trHeight w:val="156"/>
        </w:trPr>
        <w:tc>
          <w:tcPr>
            <w:tcW w:w="1316" w:type="dxa"/>
          </w:tcPr>
          <w:p w14:paraId="44B5D6D6" w14:textId="77777777" w:rsidR="00FD764E" w:rsidRPr="001362A6" w:rsidRDefault="00FD764E" w:rsidP="00D47A86">
            <w:pPr>
              <w:jc w:val="right"/>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0EFFA83C" w14:textId="77777777" w:rsidR="00FD764E" w:rsidRPr="001362A6" w:rsidRDefault="00FD764E" w:rsidP="00521989">
            <w:pPr>
              <w:rPr>
                <w:rFonts w:ascii="Lato" w:hAnsi="Lato"/>
                <w:bCs/>
                <w:sz w:val="22"/>
                <w:szCs w:val="22"/>
              </w:rPr>
            </w:pPr>
            <w:r w:rsidRPr="001362A6">
              <w:rPr>
                <w:rFonts w:ascii="Lato" w:hAnsi="Lato"/>
                <w:sz w:val="22"/>
                <w:szCs w:val="22"/>
              </w:rPr>
              <w:t xml:space="preserve">In the case of open-ended collective investment schemes </w:t>
            </w:r>
          </w:p>
        </w:tc>
        <w:tc>
          <w:tcPr>
            <w:tcW w:w="3188" w:type="dxa"/>
            <w:tcBorders>
              <w:top w:val="single" w:sz="4" w:space="0" w:color="auto"/>
              <w:left w:val="single" w:sz="4" w:space="0" w:color="auto"/>
              <w:bottom w:val="single" w:sz="4" w:space="0" w:color="auto"/>
              <w:right w:val="single" w:sz="4" w:space="0" w:color="auto"/>
            </w:tcBorders>
          </w:tcPr>
          <w:p w14:paraId="00E5CD22" w14:textId="77777777" w:rsidR="00FD764E" w:rsidRPr="001362A6" w:rsidRDefault="00FD764E">
            <w:pPr>
              <w:rPr>
                <w:rFonts w:ascii="Lato" w:hAnsi="Lato"/>
                <w:b/>
                <w:bCs/>
                <w:sz w:val="22"/>
                <w:szCs w:val="22"/>
                <w:u w:val="single"/>
              </w:rPr>
            </w:pPr>
          </w:p>
        </w:tc>
      </w:tr>
      <w:tr w:rsidR="00FD764E" w:rsidRPr="001362A6" w14:paraId="2AC1132B" w14:textId="77777777" w:rsidTr="00521989">
        <w:trPr>
          <w:trHeight w:val="156"/>
        </w:trPr>
        <w:tc>
          <w:tcPr>
            <w:tcW w:w="1316" w:type="dxa"/>
          </w:tcPr>
          <w:p w14:paraId="64194FDC" w14:textId="77777777" w:rsidR="00FD764E" w:rsidRPr="001362A6" w:rsidRDefault="00FD764E" w:rsidP="00D47A86">
            <w:pPr>
              <w:jc w:val="right"/>
              <w:rPr>
                <w:rFonts w:ascii="Lato" w:hAnsi="Lato"/>
                <w:sz w:val="22"/>
                <w:szCs w:val="22"/>
              </w:rPr>
            </w:pPr>
          </w:p>
        </w:tc>
        <w:tc>
          <w:tcPr>
            <w:tcW w:w="5891" w:type="dxa"/>
          </w:tcPr>
          <w:p w14:paraId="3A199B34" w14:textId="77777777" w:rsidR="00FD764E" w:rsidRPr="001362A6" w:rsidRDefault="00521989" w:rsidP="00D95E9D">
            <w:pPr>
              <w:rPr>
                <w:rFonts w:ascii="Lato" w:hAnsi="Lato"/>
                <w:bCs/>
                <w:sz w:val="22"/>
                <w:szCs w:val="22"/>
              </w:rPr>
            </w:pPr>
            <w:r w:rsidRPr="001362A6">
              <w:rPr>
                <w:rFonts w:ascii="Lato" w:hAnsi="Lato"/>
                <w:sz w:val="22"/>
                <w:szCs w:val="22"/>
              </w:rPr>
              <w:t xml:space="preserve">("CIS") </w:t>
            </w:r>
            <w:r w:rsidR="00FD764E" w:rsidRPr="001362A6">
              <w:rPr>
                <w:rFonts w:ascii="Lato" w:hAnsi="Lato"/>
                <w:sz w:val="22"/>
                <w:szCs w:val="22"/>
              </w:rPr>
              <w:t xml:space="preserve">set out the principal underlying exposures and </w:t>
            </w:r>
          </w:p>
        </w:tc>
        <w:tc>
          <w:tcPr>
            <w:tcW w:w="3188" w:type="dxa"/>
            <w:tcBorders>
              <w:top w:val="single" w:sz="4" w:space="0" w:color="auto"/>
            </w:tcBorders>
          </w:tcPr>
          <w:p w14:paraId="0363E7D2" w14:textId="77777777" w:rsidR="00FD764E" w:rsidRPr="001362A6" w:rsidRDefault="00FD764E">
            <w:pPr>
              <w:rPr>
                <w:rFonts w:ascii="Lato" w:hAnsi="Lato"/>
                <w:b/>
                <w:bCs/>
                <w:sz w:val="22"/>
                <w:szCs w:val="22"/>
                <w:u w:val="single"/>
              </w:rPr>
            </w:pPr>
          </w:p>
        </w:tc>
      </w:tr>
      <w:tr w:rsidR="00FD764E" w:rsidRPr="001362A6" w14:paraId="14785F01" w14:textId="77777777" w:rsidTr="00521989">
        <w:trPr>
          <w:trHeight w:val="156"/>
        </w:trPr>
        <w:tc>
          <w:tcPr>
            <w:tcW w:w="1316" w:type="dxa"/>
          </w:tcPr>
          <w:p w14:paraId="4C093515" w14:textId="77777777" w:rsidR="00FD764E" w:rsidRPr="001362A6" w:rsidRDefault="00FD764E" w:rsidP="00D47A86">
            <w:pPr>
              <w:jc w:val="right"/>
              <w:rPr>
                <w:rFonts w:ascii="Lato" w:hAnsi="Lato"/>
                <w:sz w:val="22"/>
                <w:szCs w:val="22"/>
              </w:rPr>
            </w:pPr>
          </w:p>
        </w:tc>
        <w:tc>
          <w:tcPr>
            <w:tcW w:w="5891" w:type="dxa"/>
          </w:tcPr>
          <w:p w14:paraId="18464604" w14:textId="77777777" w:rsidR="00FD764E" w:rsidRPr="001362A6" w:rsidRDefault="00347D8A">
            <w:pPr>
              <w:rPr>
                <w:rFonts w:ascii="Lato" w:hAnsi="Lato"/>
                <w:bCs/>
                <w:sz w:val="22"/>
                <w:szCs w:val="22"/>
              </w:rPr>
            </w:pPr>
            <w:r w:rsidRPr="00590C6D">
              <w:rPr>
                <w:rFonts w:ascii="Lato" w:hAnsi="Lato"/>
                <w:sz w:val="22"/>
                <w:szCs w:val="22"/>
              </w:rPr>
              <w:t xml:space="preserve">whether </w:t>
            </w:r>
            <w:r w:rsidR="00521989" w:rsidRPr="001362A6">
              <w:rPr>
                <w:rFonts w:ascii="Lato" w:hAnsi="Lato"/>
                <w:sz w:val="22"/>
                <w:szCs w:val="22"/>
              </w:rPr>
              <w:t xml:space="preserve">regulated </w:t>
            </w:r>
            <w:r w:rsidR="00FD764E" w:rsidRPr="001362A6">
              <w:rPr>
                <w:rFonts w:ascii="Lato" w:hAnsi="Lato"/>
                <w:sz w:val="22"/>
                <w:szCs w:val="22"/>
              </w:rPr>
              <w:t>or unregulated</w:t>
            </w:r>
          </w:p>
        </w:tc>
        <w:tc>
          <w:tcPr>
            <w:tcW w:w="3188" w:type="dxa"/>
          </w:tcPr>
          <w:p w14:paraId="5AF8C3B2" w14:textId="77777777" w:rsidR="00FD764E" w:rsidRPr="001362A6" w:rsidRDefault="00FD764E">
            <w:pPr>
              <w:rPr>
                <w:rFonts w:ascii="Lato" w:hAnsi="Lato"/>
                <w:b/>
                <w:bCs/>
                <w:sz w:val="22"/>
                <w:szCs w:val="22"/>
                <w:u w:val="single"/>
              </w:rPr>
            </w:pPr>
          </w:p>
        </w:tc>
      </w:tr>
      <w:tr w:rsidR="003956E9" w:rsidRPr="001362A6" w14:paraId="51685F65" w14:textId="77777777" w:rsidTr="00521989">
        <w:trPr>
          <w:trHeight w:val="156"/>
        </w:trPr>
        <w:tc>
          <w:tcPr>
            <w:tcW w:w="1316" w:type="dxa"/>
          </w:tcPr>
          <w:p w14:paraId="68E16CF2" w14:textId="77777777" w:rsidR="003956E9" w:rsidRPr="001362A6" w:rsidRDefault="003956E9" w:rsidP="00D47A86">
            <w:pPr>
              <w:jc w:val="right"/>
              <w:rPr>
                <w:rFonts w:ascii="Lato" w:hAnsi="Lato"/>
                <w:sz w:val="22"/>
                <w:szCs w:val="22"/>
              </w:rPr>
            </w:pPr>
          </w:p>
        </w:tc>
        <w:tc>
          <w:tcPr>
            <w:tcW w:w="5891" w:type="dxa"/>
          </w:tcPr>
          <w:p w14:paraId="2B1D79F9" w14:textId="77777777" w:rsidR="003956E9" w:rsidRPr="001362A6" w:rsidRDefault="003956E9">
            <w:pPr>
              <w:rPr>
                <w:rFonts w:ascii="Lato" w:hAnsi="Lato"/>
                <w:sz w:val="22"/>
                <w:szCs w:val="22"/>
              </w:rPr>
            </w:pPr>
          </w:p>
        </w:tc>
        <w:tc>
          <w:tcPr>
            <w:tcW w:w="3188" w:type="dxa"/>
            <w:tcBorders>
              <w:bottom w:val="single" w:sz="4" w:space="0" w:color="auto"/>
            </w:tcBorders>
          </w:tcPr>
          <w:p w14:paraId="24DD1B2D" w14:textId="77777777" w:rsidR="003956E9" w:rsidRPr="001362A6" w:rsidRDefault="003956E9">
            <w:pPr>
              <w:rPr>
                <w:rFonts w:ascii="Lato" w:hAnsi="Lato"/>
                <w:b/>
                <w:bCs/>
                <w:sz w:val="22"/>
                <w:szCs w:val="22"/>
                <w:u w:val="single"/>
              </w:rPr>
            </w:pPr>
          </w:p>
        </w:tc>
      </w:tr>
      <w:tr w:rsidR="003956E9" w:rsidRPr="001362A6" w14:paraId="64BD5E82" w14:textId="77777777" w:rsidTr="00521989">
        <w:trPr>
          <w:trHeight w:val="156"/>
        </w:trPr>
        <w:tc>
          <w:tcPr>
            <w:tcW w:w="1316" w:type="dxa"/>
          </w:tcPr>
          <w:p w14:paraId="2C207B90" w14:textId="77777777" w:rsidR="003956E9" w:rsidRPr="001362A6" w:rsidRDefault="003956E9" w:rsidP="00D47A86">
            <w:pPr>
              <w:jc w:val="right"/>
              <w:rPr>
                <w:rFonts w:ascii="Lato" w:hAnsi="Lato"/>
                <w:sz w:val="22"/>
                <w:szCs w:val="22"/>
              </w:rPr>
            </w:pPr>
            <w:r w:rsidRPr="001362A6">
              <w:rPr>
                <w:rFonts w:ascii="Lato" w:hAnsi="Lato"/>
                <w:sz w:val="22"/>
                <w:szCs w:val="22"/>
              </w:rPr>
              <w:t>2.2.1 (</w:t>
            </w:r>
            <w:r w:rsidR="00430598" w:rsidRPr="001362A6">
              <w:rPr>
                <w:rFonts w:ascii="Lato" w:hAnsi="Lato"/>
                <w:sz w:val="22"/>
                <w:szCs w:val="22"/>
              </w:rPr>
              <w:t>d</w:t>
            </w:r>
            <w:r w:rsidRPr="001362A6">
              <w:rPr>
                <w:rFonts w:ascii="Lato" w:hAnsi="Lato"/>
                <w:sz w:val="22"/>
                <w:szCs w:val="22"/>
              </w:rPr>
              <w:t>)</w:t>
            </w:r>
          </w:p>
        </w:tc>
        <w:tc>
          <w:tcPr>
            <w:tcW w:w="5891" w:type="dxa"/>
            <w:tcBorders>
              <w:right w:val="single" w:sz="4" w:space="0" w:color="auto"/>
            </w:tcBorders>
          </w:tcPr>
          <w:p w14:paraId="7530FCEE" w14:textId="77777777" w:rsidR="003956E9" w:rsidRPr="001362A6" w:rsidRDefault="003956E9" w:rsidP="00D95E9D">
            <w:pPr>
              <w:rPr>
                <w:rFonts w:ascii="Lato" w:hAnsi="Lato"/>
                <w:sz w:val="22"/>
                <w:szCs w:val="22"/>
              </w:rPr>
            </w:pPr>
            <w:r w:rsidRPr="001362A6">
              <w:rPr>
                <w:rFonts w:ascii="Lato" w:hAnsi="Lato"/>
                <w:sz w:val="22"/>
                <w:szCs w:val="22"/>
              </w:rPr>
              <w:t xml:space="preserve">Include details of derogations that have been granted by </w:t>
            </w:r>
          </w:p>
        </w:tc>
        <w:tc>
          <w:tcPr>
            <w:tcW w:w="3188" w:type="dxa"/>
            <w:tcBorders>
              <w:top w:val="single" w:sz="4" w:space="0" w:color="auto"/>
              <w:left w:val="single" w:sz="4" w:space="0" w:color="auto"/>
              <w:bottom w:val="single" w:sz="4" w:space="0" w:color="auto"/>
              <w:right w:val="single" w:sz="4" w:space="0" w:color="auto"/>
            </w:tcBorders>
          </w:tcPr>
          <w:p w14:paraId="73642A72" w14:textId="77777777" w:rsidR="003956E9" w:rsidRPr="001362A6" w:rsidRDefault="003956E9">
            <w:pPr>
              <w:rPr>
                <w:rFonts w:ascii="Lato" w:hAnsi="Lato"/>
                <w:b/>
                <w:bCs/>
                <w:sz w:val="22"/>
                <w:szCs w:val="22"/>
                <w:u w:val="single"/>
              </w:rPr>
            </w:pPr>
          </w:p>
        </w:tc>
      </w:tr>
      <w:tr w:rsidR="00FD764E" w:rsidRPr="001362A6" w14:paraId="05031ED8" w14:textId="77777777" w:rsidTr="00521989">
        <w:trPr>
          <w:trHeight w:val="156"/>
        </w:trPr>
        <w:tc>
          <w:tcPr>
            <w:tcW w:w="1316" w:type="dxa"/>
          </w:tcPr>
          <w:p w14:paraId="4FDF8E3F" w14:textId="77777777" w:rsidR="00FD764E" w:rsidRPr="001362A6" w:rsidRDefault="00FD764E" w:rsidP="00D47A86">
            <w:pPr>
              <w:jc w:val="right"/>
              <w:rPr>
                <w:rFonts w:ascii="Lato" w:hAnsi="Lato"/>
                <w:sz w:val="22"/>
                <w:szCs w:val="22"/>
              </w:rPr>
            </w:pPr>
          </w:p>
        </w:tc>
        <w:tc>
          <w:tcPr>
            <w:tcW w:w="5891" w:type="dxa"/>
          </w:tcPr>
          <w:p w14:paraId="4E60EBBD" w14:textId="77777777" w:rsidR="00FD764E" w:rsidRPr="001362A6" w:rsidRDefault="00347D8A" w:rsidP="003956E9">
            <w:pPr>
              <w:rPr>
                <w:rFonts w:ascii="Lato" w:hAnsi="Lato"/>
                <w:bCs/>
                <w:sz w:val="22"/>
                <w:szCs w:val="22"/>
              </w:rPr>
            </w:pPr>
            <w:r w:rsidRPr="00590C6D">
              <w:rPr>
                <w:rFonts w:ascii="Lato" w:hAnsi="Lato"/>
                <w:sz w:val="22"/>
                <w:szCs w:val="22"/>
              </w:rPr>
              <w:t xml:space="preserve">the </w:t>
            </w:r>
            <w:r w:rsidR="003956E9" w:rsidRPr="001362A6">
              <w:rPr>
                <w:rFonts w:ascii="Lato" w:hAnsi="Lato"/>
                <w:bCs/>
                <w:sz w:val="22"/>
                <w:szCs w:val="22"/>
              </w:rPr>
              <w:t xml:space="preserve">Central Bank </w:t>
            </w:r>
          </w:p>
        </w:tc>
        <w:tc>
          <w:tcPr>
            <w:tcW w:w="3188" w:type="dxa"/>
            <w:tcBorders>
              <w:top w:val="single" w:sz="4" w:space="0" w:color="auto"/>
            </w:tcBorders>
          </w:tcPr>
          <w:p w14:paraId="77409E3A" w14:textId="77777777" w:rsidR="00FD764E" w:rsidRPr="001362A6" w:rsidRDefault="00FD764E">
            <w:pPr>
              <w:rPr>
                <w:rFonts w:ascii="Lato" w:hAnsi="Lato"/>
                <w:b/>
                <w:bCs/>
                <w:sz w:val="22"/>
                <w:szCs w:val="22"/>
                <w:u w:val="single"/>
              </w:rPr>
            </w:pPr>
          </w:p>
        </w:tc>
      </w:tr>
      <w:tr w:rsidR="003956E9" w:rsidRPr="001362A6" w14:paraId="2F6C711E" w14:textId="77777777" w:rsidTr="00990D73">
        <w:trPr>
          <w:trHeight w:val="156"/>
        </w:trPr>
        <w:tc>
          <w:tcPr>
            <w:tcW w:w="1316" w:type="dxa"/>
          </w:tcPr>
          <w:p w14:paraId="63C2FD0A" w14:textId="77777777" w:rsidR="003956E9" w:rsidRPr="001362A6" w:rsidRDefault="003956E9" w:rsidP="00D47A86">
            <w:pPr>
              <w:jc w:val="right"/>
              <w:rPr>
                <w:rFonts w:ascii="Lato" w:hAnsi="Lato"/>
                <w:sz w:val="22"/>
                <w:szCs w:val="22"/>
              </w:rPr>
            </w:pPr>
          </w:p>
        </w:tc>
        <w:tc>
          <w:tcPr>
            <w:tcW w:w="5891" w:type="dxa"/>
          </w:tcPr>
          <w:p w14:paraId="4A7247CB" w14:textId="77777777" w:rsidR="003956E9" w:rsidRPr="001362A6" w:rsidRDefault="003956E9">
            <w:pPr>
              <w:rPr>
                <w:rFonts w:ascii="Lato" w:hAnsi="Lato"/>
                <w:bCs/>
                <w:sz w:val="22"/>
                <w:szCs w:val="22"/>
              </w:rPr>
            </w:pPr>
          </w:p>
        </w:tc>
        <w:tc>
          <w:tcPr>
            <w:tcW w:w="3188" w:type="dxa"/>
          </w:tcPr>
          <w:p w14:paraId="1D390473" w14:textId="77777777" w:rsidR="003956E9" w:rsidRPr="001362A6" w:rsidRDefault="003956E9">
            <w:pPr>
              <w:rPr>
                <w:rFonts w:ascii="Lato" w:hAnsi="Lato"/>
                <w:b/>
                <w:bCs/>
                <w:sz w:val="22"/>
                <w:szCs w:val="22"/>
                <w:u w:val="single"/>
              </w:rPr>
            </w:pPr>
          </w:p>
        </w:tc>
      </w:tr>
      <w:tr w:rsidR="007E3170" w:rsidRPr="001362A6" w14:paraId="5EA1E0C5" w14:textId="77777777" w:rsidTr="007E3170">
        <w:trPr>
          <w:trHeight w:val="156"/>
        </w:trPr>
        <w:tc>
          <w:tcPr>
            <w:tcW w:w="1316" w:type="dxa"/>
          </w:tcPr>
          <w:p w14:paraId="6E3C4E5B" w14:textId="77777777" w:rsidR="00EC7CDC" w:rsidRPr="001362A6" w:rsidRDefault="00EC7CDC" w:rsidP="00D47A86">
            <w:pPr>
              <w:jc w:val="right"/>
              <w:rPr>
                <w:rFonts w:ascii="Lato" w:hAnsi="Lato"/>
                <w:sz w:val="22"/>
                <w:szCs w:val="22"/>
              </w:rPr>
            </w:pPr>
            <w:r w:rsidRPr="001362A6">
              <w:rPr>
                <w:rFonts w:ascii="Lato" w:hAnsi="Lato"/>
                <w:sz w:val="22"/>
                <w:szCs w:val="22"/>
              </w:rPr>
              <w:t xml:space="preserve">2.2.2           </w:t>
            </w:r>
          </w:p>
        </w:tc>
        <w:tc>
          <w:tcPr>
            <w:tcW w:w="5891" w:type="dxa"/>
          </w:tcPr>
          <w:p w14:paraId="1A96FDAF" w14:textId="77777777" w:rsidR="00EC7CDC" w:rsidRPr="001362A6" w:rsidRDefault="00EC7CDC">
            <w:pPr>
              <w:rPr>
                <w:rFonts w:ascii="Lato" w:hAnsi="Lato"/>
                <w:b/>
                <w:bCs/>
                <w:sz w:val="22"/>
                <w:szCs w:val="22"/>
              </w:rPr>
            </w:pPr>
            <w:r w:rsidRPr="001362A6">
              <w:rPr>
                <w:rFonts w:ascii="Lato" w:hAnsi="Lato"/>
                <w:b/>
                <w:bCs/>
                <w:sz w:val="22"/>
                <w:szCs w:val="22"/>
              </w:rPr>
              <w:t>Investment restrictions</w:t>
            </w:r>
          </w:p>
        </w:tc>
        <w:tc>
          <w:tcPr>
            <w:tcW w:w="3188" w:type="dxa"/>
            <w:tcBorders>
              <w:bottom w:val="single" w:sz="4" w:space="0" w:color="auto"/>
            </w:tcBorders>
          </w:tcPr>
          <w:p w14:paraId="2D8EE988" w14:textId="77777777" w:rsidR="00EC7CDC" w:rsidRPr="001362A6" w:rsidRDefault="00EC7CDC">
            <w:pPr>
              <w:rPr>
                <w:rFonts w:ascii="Lato" w:hAnsi="Lato"/>
                <w:b/>
                <w:bCs/>
                <w:sz w:val="22"/>
                <w:szCs w:val="22"/>
                <w:u w:val="single"/>
              </w:rPr>
            </w:pPr>
          </w:p>
        </w:tc>
      </w:tr>
      <w:tr w:rsidR="007E3170" w:rsidRPr="001362A6" w14:paraId="417BB5B8" w14:textId="77777777" w:rsidTr="007E3170">
        <w:trPr>
          <w:trHeight w:val="156"/>
        </w:trPr>
        <w:tc>
          <w:tcPr>
            <w:tcW w:w="1316" w:type="dxa"/>
          </w:tcPr>
          <w:p w14:paraId="0338C1A8" w14:textId="77777777" w:rsidR="009B74AB" w:rsidRPr="001362A6" w:rsidRDefault="009B74AB" w:rsidP="00D47A86">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336A0693" w14:textId="77777777" w:rsidR="009B74AB" w:rsidRPr="001362A6" w:rsidRDefault="00730689" w:rsidP="00730689">
            <w:pPr>
              <w:rPr>
                <w:rFonts w:ascii="Lato" w:hAnsi="Lato"/>
                <w:bCs/>
                <w:sz w:val="22"/>
                <w:szCs w:val="22"/>
              </w:rPr>
            </w:pPr>
            <w:r w:rsidRPr="001362A6">
              <w:rPr>
                <w:rFonts w:ascii="Lato" w:hAnsi="Lato"/>
                <w:bCs/>
                <w:sz w:val="22"/>
                <w:szCs w:val="22"/>
              </w:rPr>
              <w:t>Disclose applicable investment</w:t>
            </w:r>
            <w:r w:rsidR="009B74AB" w:rsidRPr="001362A6">
              <w:rPr>
                <w:rFonts w:ascii="Lato" w:hAnsi="Lato"/>
                <w:bCs/>
                <w:sz w:val="22"/>
                <w:szCs w:val="22"/>
              </w:rPr>
              <w:t xml:space="preserve"> restrictions</w:t>
            </w:r>
          </w:p>
        </w:tc>
        <w:tc>
          <w:tcPr>
            <w:tcW w:w="3188" w:type="dxa"/>
            <w:tcBorders>
              <w:top w:val="single" w:sz="4" w:space="0" w:color="auto"/>
              <w:left w:val="single" w:sz="4" w:space="0" w:color="auto"/>
              <w:bottom w:val="single" w:sz="4" w:space="0" w:color="auto"/>
              <w:right w:val="single" w:sz="4" w:space="0" w:color="auto"/>
            </w:tcBorders>
          </w:tcPr>
          <w:p w14:paraId="058B0642" w14:textId="77777777" w:rsidR="009B74AB" w:rsidRPr="001362A6" w:rsidRDefault="009B74AB">
            <w:pPr>
              <w:rPr>
                <w:rFonts w:ascii="Lato" w:hAnsi="Lato"/>
                <w:b/>
                <w:bCs/>
                <w:sz w:val="22"/>
                <w:szCs w:val="22"/>
                <w:u w:val="single"/>
              </w:rPr>
            </w:pPr>
          </w:p>
        </w:tc>
      </w:tr>
      <w:tr w:rsidR="009B74AB" w:rsidRPr="001362A6" w14:paraId="3B6182EA" w14:textId="77777777" w:rsidTr="00990D73">
        <w:trPr>
          <w:trHeight w:val="156"/>
        </w:trPr>
        <w:tc>
          <w:tcPr>
            <w:tcW w:w="1316" w:type="dxa"/>
          </w:tcPr>
          <w:p w14:paraId="41F71FF9" w14:textId="77777777" w:rsidR="009B74AB" w:rsidRPr="001362A6" w:rsidRDefault="009B74AB" w:rsidP="00D47A86">
            <w:pPr>
              <w:jc w:val="right"/>
              <w:rPr>
                <w:rFonts w:ascii="Lato" w:hAnsi="Lato"/>
                <w:sz w:val="22"/>
                <w:szCs w:val="22"/>
              </w:rPr>
            </w:pPr>
          </w:p>
        </w:tc>
        <w:tc>
          <w:tcPr>
            <w:tcW w:w="5891" w:type="dxa"/>
          </w:tcPr>
          <w:p w14:paraId="40925BEA" w14:textId="77777777" w:rsidR="009B74AB" w:rsidRPr="001362A6" w:rsidRDefault="009B74AB">
            <w:pPr>
              <w:rPr>
                <w:rFonts w:ascii="Lato" w:hAnsi="Lato"/>
                <w:b/>
                <w:bCs/>
                <w:sz w:val="22"/>
                <w:szCs w:val="22"/>
              </w:rPr>
            </w:pPr>
          </w:p>
        </w:tc>
        <w:tc>
          <w:tcPr>
            <w:tcW w:w="3188" w:type="dxa"/>
            <w:tcBorders>
              <w:bottom w:val="single" w:sz="4" w:space="0" w:color="auto"/>
            </w:tcBorders>
          </w:tcPr>
          <w:p w14:paraId="49DCEC49" w14:textId="77777777" w:rsidR="009B74AB" w:rsidRPr="001362A6" w:rsidRDefault="009B74AB">
            <w:pPr>
              <w:rPr>
                <w:rFonts w:ascii="Lato" w:hAnsi="Lato"/>
                <w:b/>
                <w:bCs/>
                <w:sz w:val="22"/>
                <w:szCs w:val="22"/>
                <w:u w:val="single"/>
              </w:rPr>
            </w:pPr>
          </w:p>
        </w:tc>
      </w:tr>
      <w:tr w:rsidR="00EC7CDC" w:rsidRPr="001362A6" w14:paraId="409B50D5" w14:textId="77777777" w:rsidTr="00990D73">
        <w:trPr>
          <w:trHeight w:val="156"/>
        </w:trPr>
        <w:tc>
          <w:tcPr>
            <w:tcW w:w="1316" w:type="dxa"/>
          </w:tcPr>
          <w:p w14:paraId="26E80F0B" w14:textId="77777777" w:rsidR="00EC7CDC" w:rsidRPr="001362A6" w:rsidRDefault="00A153DD" w:rsidP="00D47A86">
            <w:pPr>
              <w:ind w:left="360"/>
              <w:jc w:val="right"/>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2F95F024" w14:textId="77777777" w:rsidR="00EC7CDC" w:rsidRPr="001362A6" w:rsidRDefault="00D2369B" w:rsidP="0042571B">
            <w:pPr>
              <w:rPr>
                <w:rFonts w:ascii="Lato" w:hAnsi="Lato"/>
                <w:bCs/>
                <w:sz w:val="22"/>
                <w:szCs w:val="22"/>
              </w:rPr>
            </w:pPr>
            <w:r w:rsidRPr="001362A6">
              <w:rPr>
                <w:rFonts w:ascii="Lato" w:hAnsi="Lato"/>
                <w:sz w:val="22"/>
                <w:szCs w:val="22"/>
              </w:rPr>
              <w:t xml:space="preserve">The Qualifying Investor AIF shall not, nor shall it appoint a </w:t>
            </w:r>
          </w:p>
        </w:tc>
        <w:tc>
          <w:tcPr>
            <w:tcW w:w="3188" w:type="dxa"/>
            <w:tcBorders>
              <w:top w:val="single" w:sz="4" w:space="0" w:color="auto"/>
              <w:left w:val="single" w:sz="4" w:space="0" w:color="auto"/>
              <w:bottom w:val="single" w:sz="4" w:space="0" w:color="auto"/>
              <w:right w:val="single" w:sz="4" w:space="0" w:color="auto"/>
            </w:tcBorders>
          </w:tcPr>
          <w:p w14:paraId="262A5212" w14:textId="77777777" w:rsidR="00EC7CDC" w:rsidRPr="001362A6" w:rsidRDefault="00EC7CDC">
            <w:pPr>
              <w:rPr>
                <w:rFonts w:ascii="Lato" w:hAnsi="Lato"/>
                <w:b/>
                <w:bCs/>
                <w:sz w:val="22"/>
                <w:szCs w:val="22"/>
                <w:u w:val="single"/>
              </w:rPr>
            </w:pPr>
          </w:p>
        </w:tc>
      </w:tr>
      <w:tr w:rsidR="00EC7CDC" w:rsidRPr="001362A6" w14:paraId="09089996" w14:textId="77777777" w:rsidTr="00990D73">
        <w:trPr>
          <w:trHeight w:val="156"/>
        </w:trPr>
        <w:tc>
          <w:tcPr>
            <w:tcW w:w="1316" w:type="dxa"/>
          </w:tcPr>
          <w:p w14:paraId="2178E27C" w14:textId="77777777" w:rsidR="00EC7CDC" w:rsidRPr="001362A6" w:rsidRDefault="00EC7CDC" w:rsidP="00D47A86">
            <w:pPr>
              <w:jc w:val="right"/>
              <w:rPr>
                <w:rFonts w:ascii="Lato" w:hAnsi="Lato"/>
                <w:sz w:val="22"/>
                <w:szCs w:val="22"/>
              </w:rPr>
            </w:pPr>
          </w:p>
        </w:tc>
        <w:tc>
          <w:tcPr>
            <w:tcW w:w="5891" w:type="dxa"/>
          </w:tcPr>
          <w:p w14:paraId="35956020" w14:textId="77777777" w:rsidR="00EC7CDC" w:rsidRPr="001362A6" w:rsidRDefault="0042571B" w:rsidP="00D95E9D">
            <w:pPr>
              <w:rPr>
                <w:rFonts w:ascii="Lato" w:hAnsi="Lato"/>
                <w:bCs/>
                <w:sz w:val="22"/>
                <w:szCs w:val="22"/>
              </w:rPr>
            </w:pPr>
            <w:r w:rsidRPr="001362A6">
              <w:rPr>
                <w:rFonts w:ascii="Lato" w:hAnsi="Lato"/>
                <w:sz w:val="22"/>
                <w:szCs w:val="22"/>
              </w:rPr>
              <w:t xml:space="preserve">management company or general partner or AIFM, which </w:t>
            </w:r>
            <w:r w:rsidR="00D2369B" w:rsidRPr="001362A6">
              <w:rPr>
                <w:rFonts w:ascii="Lato" w:hAnsi="Lato"/>
                <w:sz w:val="22"/>
                <w:szCs w:val="22"/>
              </w:rPr>
              <w:t>would</w:t>
            </w:r>
            <w:r w:rsidR="00EC7CDC" w:rsidRPr="001362A6">
              <w:rPr>
                <w:rFonts w:ascii="Lato" w:hAnsi="Lato"/>
                <w:sz w:val="22"/>
                <w:szCs w:val="22"/>
              </w:rPr>
              <w:t xml:space="preserve"> acquire any shares carrying voting rights</w:t>
            </w:r>
            <w:r w:rsidRPr="001362A6">
              <w:rPr>
                <w:rFonts w:ascii="Lato" w:hAnsi="Lato"/>
                <w:sz w:val="22"/>
                <w:szCs w:val="22"/>
              </w:rPr>
              <w:t xml:space="preserve"> which </w:t>
            </w:r>
          </w:p>
        </w:tc>
        <w:tc>
          <w:tcPr>
            <w:tcW w:w="3188" w:type="dxa"/>
          </w:tcPr>
          <w:p w14:paraId="3E95847E" w14:textId="77777777" w:rsidR="00EC7CDC" w:rsidRPr="001362A6" w:rsidRDefault="00EC7CDC">
            <w:pPr>
              <w:rPr>
                <w:rFonts w:ascii="Lato" w:hAnsi="Lato"/>
                <w:b/>
                <w:bCs/>
                <w:sz w:val="22"/>
                <w:szCs w:val="22"/>
                <w:u w:val="single"/>
              </w:rPr>
            </w:pPr>
          </w:p>
        </w:tc>
      </w:tr>
      <w:tr w:rsidR="00EC7CDC" w:rsidRPr="001362A6" w14:paraId="5C7C8263" w14:textId="77777777" w:rsidTr="00990D73">
        <w:trPr>
          <w:trHeight w:val="156"/>
        </w:trPr>
        <w:tc>
          <w:tcPr>
            <w:tcW w:w="1316" w:type="dxa"/>
          </w:tcPr>
          <w:p w14:paraId="29F8D1BB" w14:textId="77777777" w:rsidR="00EC7CDC" w:rsidRPr="001362A6" w:rsidRDefault="00EC7CDC" w:rsidP="00D47A86">
            <w:pPr>
              <w:jc w:val="right"/>
              <w:rPr>
                <w:rFonts w:ascii="Lato" w:hAnsi="Lato"/>
                <w:sz w:val="22"/>
                <w:szCs w:val="22"/>
              </w:rPr>
            </w:pPr>
          </w:p>
        </w:tc>
        <w:tc>
          <w:tcPr>
            <w:tcW w:w="5891" w:type="dxa"/>
          </w:tcPr>
          <w:p w14:paraId="4992BC4A" w14:textId="77777777" w:rsidR="00EC7CDC" w:rsidRPr="001362A6" w:rsidRDefault="00347D8A" w:rsidP="0042571B">
            <w:pPr>
              <w:rPr>
                <w:rFonts w:ascii="Lato" w:hAnsi="Lato"/>
                <w:bCs/>
                <w:sz w:val="22"/>
                <w:szCs w:val="22"/>
              </w:rPr>
            </w:pPr>
            <w:r w:rsidRPr="00590C6D">
              <w:rPr>
                <w:rFonts w:ascii="Lato" w:hAnsi="Lato"/>
                <w:sz w:val="22"/>
                <w:szCs w:val="22"/>
              </w:rPr>
              <w:t>would</w:t>
            </w:r>
            <w:r w:rsidRPr="00D95E9D">
              <w:rPr>
                <w:rFonts w:ascii="Lato" w:hAnsi="Lato"/>
                <w:sz w:val="22"/>
                <w:szCs w:val="22"/>
              </w:rPr>
              <w:t xml:space="preserve"> </w:t>
            </w:r>
            <w:r w:rsidR="00EC7CDC" w:rsidRPr="001362A6">
              <w:rPr>
                <w:rFonts w:ascii="Lato" w:hAnsi="Lato"/>
                <w:sz w:val="22"/>
                <w:szCs w:val="22"/>
              </w:rPr>
              <w:t>enable it to exercise significant influence over the</w:t>
            </w:r>
            <w:r w:rsidR="0042571B" w:rsidRPr="001362A6">
              <w:rPr>
                <w:rFonts w:ascii="Lato" w:hAnsi="Lato"/>
                <w:sz w:val="22"/>
                <w:szCs w:val="22"/>
              </w:rPr>
              <w:t xml:space="preserve"> management of an issuing body</w:t>
            </w:r>
          </w:p>
        </w:tc>
        <w:tc>
          <w:tcPr>
            <w:tcW w:w="3188" w:type="dxa"/>
          </w:tcPr>
          <w:p w14:paraId="1D4E360E" w14:textId="77777777" w:rsidR="00EC7CDC" w:rsidRPr="001362A6" w:rsidRDefault="00EC7CDC">
            <w:pPr>
              <w:rPr>
                <w:rFonts w:ascii="Lato" w:hAnsi="Lato"/>
                <w:b/>
                <w:bCs/>
                <w:sz w:val="22"/>
                <w:szCs w:val="22"/>
                <w:u w:val="single"/>
              </w:rPr>
            </w:pPr>
          </w:p>
        </w:tc>
      </w:tr>
      <w:tr w:rsidR="00EC7CDC" w:rsidRPr="001362A6" w14:paraId="0692C59B" w14:textId="77777777" w:rsidTr="00990D73">
        <w:trPr>
          <w:trHeight w:val="156"/>
        </w:trPr>
        <w:tc>
          <w:tcPr>
            <w:tcW w:w="1316" w:type="dxa"/>
          </w:tcPr>
          <w:p w14:paraId="2FA2FEDC" w14:textId="77777777" w:rsidR="00EC7CDC" w:rsidRPr="001362A6" w:rsidRDefault="00EC7CDC" w:rsidP="00D47A86">
            <w:pPr>
              <w:jc w:val="right"/>
              <w:rPr>
                <w:rFonts w:ascii="Lato" w:hAnsi="Lato"/>
                <w:sz w:val="22"/>
                <w:szCs w:val="22"/>
              </w:rPr>
            </w:pPr>
          </w:p>
        </w:tc>
        <w:tc>
          <w:tcPr>
            <w:tcW w:w="5891" w:type="dxa"/>
          </w:tcPr>
          <w:p w14:paraId="1B18112B" w14:textId="77777777" w:rsidR="00D010A4" w:rsidRPr="001362A6" w:rsidRDefault="00D010A4" w:rsidP="0042571B">
            <w:pPr>
              <w:rPr>
                <w:rFonts w:ascii="Lato" w:hAnsi="Lato"/>
                <w:sz w:val="22"/>
                <w:szCs w:val="22"/>
              </w:rPr>
            </w:pPr>
          </w:p>
        </w:tc>
        <w:tc>
          <w:tcPr>
            <w:tcW w:w="3188" w:type="dxa"/>
          </w:tcPr>
          <w:p w14:paraId="055770E5" w14:textId="77777777" w:rsidR="00EC7CDC" w:rsidRPr="001362A6" w:rsidRDefault="00EC7CDC">
            <w:pPr>
              <w:rPr>
                <w:rFonts w:ascii="Lato" w:hAnsi="Lato"/>
                <w:b/>
                <w:bCs/>
                <w:sz w:val="22"/>
                <w:szCs w:val="22"/>
                <w:u w:val="single"/>
              </w:rPr>
            </w:pPr>
          </w:p>
        </w:tc>
      </w:tr>
      <w:tr w:rsidR="00EC7CDC" w:rsidRPr="001362A6" w14:paraId="51A8BCB2" w14:textId="77777777" w:rsidTr="00990D73">
        <w:trPr>
          <w:trHeight w:val="156"/>
        </w:trPr>
        <w:tc>
          <w:tcPr>
            <w:tcW w:w="1316" w:type="dxa"/>
          </w:tcPr>
          <w:p w14:paraId="47B37891" w14:textId="77777777" w:rsidR="00EC7CDC" w:rsidRPr="001362A6" w:rsidRDefault="00A153DD" w:rsidP="00D47A86">
            <w:pPr>
              <w:jc w:val="right"/>
              <w:rPr>
                <w:rFonts w:ascii="Lato" w:hAnsi="Lato"/>
                <w:sz w:val="22"/>
                <w:szCs w:val="22"/>
              </w:rPr>
            </w:pPr>
            <w:r w:rsidRPr="001362A6">
              <w:rPr>
                <w:rFonts w:ascii="Lato" w:hAnsi="Lato"/>
                <w:sz w:val="22"/>
                <w:szCs w:val="22"/>
              </w:rPr>
              <w:t>(c</w:t>
            </w:r>
            <w:r w:rsidR="00EC7CDC" w:rsidRPr="001362A6">
              <w:rPr>
                <w:rFonts w:ascii="Lato" w:hAnsi="Lato"/>
                <w:sz w:val="22"/>
                <w:szCs w:val="22"/>
              </w:rPr>
              <w:t>)</w:t>
            </w:r>
          </w:p>
        </w:tc>
        <w:tc>
          <w:tcPr>
            <w:tcW w:w="5891" w:type="dxa"/>
            <w:tcBorders>
              <w:right w:val="single" w:sz="4" w:space="0" w:color="auto"/>
            </w:tcBorders>
          </w:tcPr>
          <w:p w14:paraId="4B25216D" w14:textId="77777777" w:rsidR="00EC7CDC" w:rsidRPr="001362A6" w:rsidRDefault="00EC7CDC" w:rsidP="00D95E9D">
            <w:pPr>
              <w:rPr>
                <w:rFonts w:ascii="Lato" w:hAnsi="Lato"/>
                <w:bCs/>
                <w:sz w:val="22"/>
                <w:szCs w:val="22"/>
              </w:rPr>
            </w:pPr>
            <w:r w:rsidRPr="001362A6">
              <w:rPr>
                <w:rFonts w:ascii="Lato" w:hAnsi="Lato"/>
                <w:sz w:val="22"/>
                <w:szCs w:val="22"/>
              </w:rPr>
              <w:t xml:space="preserve">State that the limits on investments set down in the </w:t>
            </w:r>
          </w:p>
        </w:tc>
        <w:tc>
          <w:tcPr>
            <w:tcW w:w="3188" w:type="dxa"/>
            <w:tcBorders>
              <w:top w:val="single" w:sz="4" w:space="0" w:color="auto"/>
              <w:left w:val="single" w:sz="4" w:space="0" w:color="auto"/>
              <w:bottom w:val="single" w:sz="4" w:space="0" w:color="auto"/>
              <w:right w:val="single" w:sz="4" w:space="0" w:color="auto"/>
            </w:tcBorders>
          </w:tcPr>
          <w:p w14:paraId="6A8028C3" w14:textId="77777777" w:rsidR="00EC7CDC" w:rsidRPr="001362A6" w:rsidRDefault="00EC7CDC">
            <w:pPr>
              <w:rPr>
                <w:rFonts w:ascii="Lato" w:hAnsi="Lato"/>
                <w:b/>
                <w:bCs/>
                <w:sz w:val="22"/>
                <w:szCs w:val="22"/>
                <w:u w:val="single"/>
              </w:rPr>
            </w:pPr>
          </w:p>
        </w:tc>
      </w:tr>
      <w:tr w:rsidR="00EC7CDC" w:rsidRPr="001362A6" w14:paraId="5F348A46" w14:textId="77777777" w:rsidTr="00990D73">
        <w:trPr>
          <w:trHeight w:val="156"/>
        </w:trPr>
        <w:tc>
          <w:tcPr>
            <w:tcW w:w="1316" w:type="dxa"/>
          </w:tcPr>
          <w:p w14:paraId="515BDC2B" w14:textId="77777777" w:rsidR="00EC7CDC" w:rsidRPr="001362A6" w:rsidRDefault="00EC7CDC" w:rsidP="00D47A86">
            <w:pPr>
              <w:jc w:val="right"/>
              <w:rPr>
                <w:rFonts w:ascii="Lato" w:hAnsi="Lato"/>
                <w:sz w:val="22"/>
                <w:szCs w:val="22"/>
              </w:rPr>
            </w:pPr>
          </w:p>
        </w:tc>
        <w:tc>
          <w:tcPr>
            <w:tcW w:w="5891" w:type="dxa"/>
          </w:tcPr>
          <w:p w14:paraId="4C1A3FDA" w14:textId="77777777" w:rsidR="00EC7CDC" w:rsidRPr="001362A6" w:rsidRDefault="00347D8A" w:rsidP="00D95E9D">
            <w:pPr>
              <w:rPr>
                <w:rFonts w:ascii="Lato" w:hAnsi="Lato"/>
                <w:bCs/>
                <w:sz w:val="22"/>
                <w:szCs w:val="22"/>
              </w:rPr>
            </w:pPr>
            <w:r w:rsidRPr="00590C6D">
              <w:rPr>
                <w:rFonts w:ascii="Lato" w:hAnsi="Lato"/>
                <w:sz w:val="22"/>
                <w:szCs w:val="22"/>
              </w:rPr>
              <w:t>prospectus</w:t>
            </w:r>
            <w:r w:rsidRPr="00D95E9D">
              <w:rPr>
                <w:rFonts w:ascii="Lato" w:hAnsi="Lato"/>
                <w:sz w:val="22"/>
                <w:szCs w:val="22"/>
              </w:rPr>
              <w:t xml:space="preserve"> </w:t>
            </w:r>
            <w:r w:rsidR="00EC7CDC" w:rsidRPr="001362A6">
              <w:rPr>
                <w:rFonts w:ascii="Lato" w:hAnsi="Lato"/>
                <w:sz w:val="22"/>
                <w:szCs w:val="22"/>
              </w:rPr>
              <w:t xml:space="preserve">apply at time of purchase of investments.  If the </w:t>
            </w:r>
          </w:p>
        </w:tc>
        <w:tc>
          <w:tcPr>
            <w:tcW w:w="3188" w:type="dxa"/>
            <w:tcBorders>
              <w:top w:val="single" w:sz="4" w:space="0" w:color="auto"/>
            </w:tcBorders>
          </w:tcPr>
          <w:p w14:paraId="26106D0E" w14:textId="77777777" w:rsidR="00EC7CDC" w:rsidRPr="001362A6" w:rsidRDefault="00EC7CDC">
            <w:pPr>
              <w:rPr>
                <w:rFonts w:ascii="Lato" w:hAnsi="Lato"/>
                <w:b/>
                <w:bCs/>
                <w:sz w:val="22"/>
                <w:szCs w:val="22"/>
                <w:u w:val="single"/>
              </w:rPr>
            </w:pPr>
          </w:p>
        </w:tc>
      </w:tr>
      <w:tr w:rsidR="00EC7CDC" w:rsidRPr="001362A6" w14:paraId="18D74404" w14:textId="77777777" w:rsidTr="00990D73">
        <w:trPr>
          <w:trHeight w:val="156"/>
        </w:trPr>
        <w:tc>
          <w:tcPr>
            <w:tcW w:w="1316" w:type="dxa"/>
          </w:tcPr>
          <w:p w14:paraId="7DA9979C" w14:textId="77777777" w:rsidR="00EC7CDC" w:rsidRPr="001362A6" w:rsidRDefault="00EC7CDC" w:rsidP="00D47A86">
            <w:pPr>
              <w:jc w:val="right"/>
              <w:rPr>
                <w:rFonts w:ascii="Lato" w:hAnsi="Lato"/>
                <w:sz w:val="22"/>
                <w:szCs w:val="22"/>
              </w:rPr>
            </w:pPr>
          </w:p>
        </w:tc>
        <w:tc>
          <w:tcPr>
            <w:tcW w:w="5891" w:type="dxa"/>
          </w:tcPr>
          <w:p w14:paraId="6E2A495C" w14:textId="77777777" w:rsidR="00EC7CDC" w:rsidRPr="001362A6" w:rsidRDefault="00347D8A" w:rsidP="00D95E9D">
            <w:pPr>
              <w:rPr>
                <w:rFonts w:ascii="Lato" w:hAnsi="Lato"/>
                <w:bCs/>
                <w:sz w:val="22"/>
                <w:szCs w:val="22"/>
              </w:rPr>
            </w:pPr>
            <w:r w:rsidRPr="00590C6D">
              <w:rPr>
                <w:rFonts w:ascii="Lato" w:hAnsi="Lato"/>
                <w:sz w:val="22"/>
                <w:szCs w:val="22"/>
              </w:rPr>
              <w:t>set limits are</w:t>
            </w:r>
            <w:r w:rsidRPr="00D95E9D">
              <w:rPr>
                <w:rFonts w:ascii="Lato" w:hAnsi="Lato"/>
                <w:sz w:val="22"/>
                <w:szCs w:val="22"/>
              </w:rPr>
              <w:t xml:space="preserve"> </w:t>
            </w:r>
            <w:r w:rsidR="00EC7CDC" w:rsidRPr="001362A6">
              <w:rPr>
                <w:rFonts w:ascii="Lato" w:hAnsi="Lato"/>
                <w:sz w:val="22"/>
                <w:szCs w:val="22"/>
              </w:rPr>
              <w:t xml:space="preserve">subsequently exceeded for reasons beyond </w:t>
            </w:r>
          </w:p>
        </w:tc>
        <w:tc>
          <w:tcPr>
            <w:tcW w:w="3188" w:type="dxa"/>
          </w:tcPr>
          <w:p w14:paraId="674D3AD7" w14:textId="77777777" w:rsidR="00EC7CDC" w:rsidRPr="001362A6" w:rsidRDefault="00EC7CDC">
            <w:pPr>
              <w:rPr>
                <w:rFonts w:ascii="Lato" w:hAnsi="Lato"/>
                <w:b/>
                <w:bCs/>
                <w:sz w:val="22"/>
                <w:szCs w:val="22"/>
                <w:u w:val="single"/>
              </w:rPr>
            </w:pPr>
          </w:p>
        </w:tc>
      </w:tr>
      <w:tr w:rsidR="00EC7CDC" w:rsidRPr="001362A6" w14:paraId="33971733" w14:textId="77777777" w:rsidTr="00990D73">
        <w:trPr>
          <w:trHeight w:val="156"/>
        </w:trPr>
        <w:tc>
          <w:tcPr>
            <w:tcW w:w="1316" w:type="dxa"/>
          </w:tcPr>
          <w:p w14:paraId="1559153D" w14:textId="77777777" w:rsidR="00EC7CDC" w:rsidRPr="001362A6" w:rsidRDefault="00EC7CDC" w:rsidP="00D47A86">
            <w:pPr>
              <w:jc w:val="right"/>
              <w:rPr>
                <w:rFonts w:ascii="Lato" w:hAnsi="Lato"/>
                <w:sz w:val="22"/>
                <w:szCs w:val="22"/>
              </w:rPr>
            </w:pPr>
          </w:p>
        </w:tc>
        <w:tc>
          <w:tcPr>
            <w:tcW w:w="5891" w:type="dxa"/>
          </w:tcPr>
          <w:p w14:paraId="15907917" w14:textId="77777777" w:rsidR="00EC7CDC" w:rsidRPr="001362A6" w:rsidRDefault="00347D8A" w:rsidP="00D95E9D">
            <w:pPr>
              <w:rPr>
                <w:rFonts w:ascii="Lato" w:hAnsi="Lato"/>
                <w:bCs/>
                <w:sz w:val="22"/>
                <w:szCs w:val="22"/>
              </w:rPr>
            </w:pPr>
            <w:r w:rsidRPr="00590C6D">
              <w:rPr>
                <w:rFonts w:ascii="Lato" w:hAnsi="Lato"/>
                <w:sz w:val="22"/>
                <w:szCs w:val="22"/>
              </w:rPr>
              <w:t xml:space="preserve">control of the </w:t>
            </w:r>
            <w:r w:rsidR="00A75241" w:rsidRPr="001362A6">
              <w:rPr>
                <w:rFonts w:ascii="Lato" w:hAnsi="Lato"/>
                <w:bCs/>
                <w:sz w:val="22"/>
                <w:szCs w:val="22"/>
              </w:rPr>
              <w:t xml:space="preserve">Qualifying Investor AIF </w:t>
            </w:r>
            <w:r w:rsidR="00A75241" w:rsidRPr="001362A6">
              <w:rPr>
                <w:rFonts w:ascii="Lato" w:hAnsi="Lato"/>
                <w:sz w:val="22"/>
                <w:szCs w:val="22"/>
              </w:rPr>
              <w:t xml:space="preserve">or as a result of the </w:t>
            </w:r>
          </w:p>
        </w:tc>
        <w:tc>
          <w:tcPr>
            <w:tcW w:w="3188" w:type="dxa"/>
          </w:tcPr>
          <w:p w14:paraId="6282161C" w14:textId="77777777" w:rsidR="00EC7CDC" w:rsidRPr="001362A6" w:rsidRDefault="00EC7CDC">
            <w:pPr>
              <w:rPr>
                <w:rFonts w:ascii="Lato" w:hAnsi="Lato"/>
                <w:b/>
                <w:bCs/>
                <w:sz w:val="22"/>
                <w:szCs w:val="22"/>
                <w:u w:val="single"/>
              </w:rPr>
            </w:pPr>
          </w:p>
        </w:tc>
      </w:tr>
      <w:tr w:rsidR="00EC7CDC" w:rsidRPr="001362A6" w14:paraId="1C1EC118" w14:textId="77777777" w:rsidTr="00990D73">
        <w:trPr>
          <w:trHeight w:val="156"/>
        </w:trPr>
        <w:tc>
          <w:tcPr>
            <w:tcW w:w="1316" w:type="dxa"/>
          </w:tcPr>
          <w:p w14:paraId="4661D000" w14:textId="77777777" w:rsidR="00EC7CDC" w:rsidRPr="001362A6" w:rsidRDefault="00EC7CDC" w:rsidP="00D47A86">
            <w:pPr>
              <w:jc w:val="right"/>
              <w:rPr>
                <w:rFonts w:ascii="Lato" w:hAnsi="Lato"/>
                <w:sz w:val="22"/>
                <w:szCs w:val="22"/>
              </w:rPr>
            </w:pPr>
          </w:p>
        </w:tc>
        <w:tc>
          <w:tcPr>
            <w:tcW w:w="5891" w:type="dxa"/>
          </w:tcPr>
          <w:p w14:paraId="31756CFD" w14:textId="77777777" w:rsidR="00EC7CDC" w:rsidRPr="001362A6" w:rsidRDefault="00347D8A" w:rsidP="00D95E9D">
            <w:pPr>
              <w:rPr>
                <w:rFonts w:ascii="Lato" w:hAnsi="Lato"/>
                <w:sz w:val="22"/>
                <w:szCs w:val="22"/>
              </w:rPr>
            </w:pPr>
            <w:r w:rsidRPr="00590C6D">
              <w:rPr>
                <w:rFonts w:ascii="Lato" w:hAnsi="Lato"/>
                <w:sz w:val="22"/>
                <w:szCs w:val="22"/>
              </w:rPr>
              <w:t xml:space="preserve">exercise of </w:t>
            </w:r>
            <w:r w:rsidR="00A75241" w:rsidRPr="001362A6">
              <w:rPr>
                <w:rFonts w:ascii="Lato" w:hAnsi="Lato"/>
                <w:sz w:val="22"/>
                <w:szCs w:val="22"/>
              </w:rPr>
              <w:t xml:space="preserve">subscription rights, the Qualifying Investor AIF </w:t>
            </w:r>
          </w:p>
        </w:tc>
        <w:tc>
          <w:tcPr>
            <w:tcW w:w="3188" w:type="dxa"/>
          </w:tcPr>
          <w:p w14:paraId="00E2E95A" w14:textId="77777777" w:rsidR="00EC7CDC" w:rsidRPr="001362A6" w:rsidRDefault="00EC7CDC">
            <w:pPr>
              <w:rPr>
                <w:rFonts w:ascii="Lato" w:hAnsi="Lato"/>
                <w:b/>
                <w:bCs/>
                <w:sz w:val="22"/>
                <w:szCs w:val="22"/>
                <w:u w:val="single"/>
              </w:rPr>
            </w:pPr>
          </w:p>
        </w:tc>
      </w:tr>
      <w:tr w:rsidR="00EC7CDC" w:rsidRPr="001362A6" w14:paraId="079D82E2" w14:textId="77777777" w:rsidTr="00990D73">
        <w:trPr>
          <w:trHeight w:val="156"/>
        </w:trPr>
        <w:tc>
          <w:tcPr>
            <w:tcW w:w="1316" w:type="dxa"/>
          </w:tcPr>
          <w:p w14:paraId="62E26D51" w14:textId="77777777" w:rsidR="00EC7CDC" w:rsidRPr="001362A6" w:rsidRDefault="00EC7CDC" w:rsidP="00D47A86">
            <w:pPr>
              <w:jc w:val="right"/>
              <w:rPr>
                <w:rFonts w:ascii="Lato" w:hAnsi="Lato"/>
                <w:sz w:val="22"/>
                <w:szCs w:val="22"/>
              </w:rPr>
            </w:pPr>
          </w:p>
        </w:tc>
        <w:tc>
          <w:tcPr>
            <w:tcW w:w="5891" w:type="dxa"/>
          </w:tcPr>
          <w:p w14:paraId="2388993A" w14:textId="77777777" w:rsidR="00EC7CDC" w:rsidRPr="001362A6" w:rsidRDefault="00347D8A" w:rsidP="00D95E9D">
            <w:pPr>
              <w:rPr>
                <w:rFonts w:ascii="Lato" w:hAnsi="Lato"/>
                <w:sz w:val="22"/>
                <w:szCs w:val="22"/>
              </w:rPr>
            </w:pPr>
            <w:r w:rsidRPr="00590C6D">
              <w:rPr>
                <w:rFonts w:ascii="Lato" w:hAnsi="Lato"/>
                <w:sz w:val="22"/>
                <w:szCs w:val="22"/>
              </w:rPr>
              <w:t>will adopt as a</w:t>
            </w:r>
            <w:r w:rsidRPr="00D95E9D">
              <w:rPr>
                <w:rFonts w:ascii="Lato" w:hAnsi="Lato"/>
                <w:sz w:val="22"/>
                <w:szCs w:val="22"/>
              </w:rPr>
              <w:t xml:space="preserve"> </w:t>
            </w:r>
            <w:r w:rsidR="00A75241" w:rsidRPr="001362A6">
              <w:rPr>
                <w:rFonts w:ascii="Lato" w:hAnsi="Lato"/>
                <w:sz w:val="22"/>
                <w:szCs w:val="22"/>
              </w:rPr>
              <w:t xml:space="preserve">priority objective the remedying of that </w:t>
            </w:r>
          </w:p>
        </w:tc>
        <w:tc>
          <w:tcPr>
            <w:tcW w:w="3188" w:type="dxa"/>
          </w:tcPr>
          <w:p w14:paraId="4A6B0B4E" w14:textId="77777777" w:rsidR="00EC7CDC" w:rsidRPr="001362A6" w:rsidRDefault="00EC7CDC">
            <w:pPr>
              <w:rPr>
                <w:rFonts w:ascii="Lato" w:hAnsi="Lato"/>
                <w:b/>
                <w:bCs/>
                <w:sz w:val="22"/>
                <w:szCs w:val="22"/>
                <w:u w:val="single"/>
              </w:rPr>
            </w:pPr>
          </w:p>
        </w:tc>
      </w:tr>
      <w:tr w:rsidR="00A75241" w:rsidRPr="001362A6" w14:paraId="017BBC72" w14:textId="77777777" w:rsidTr="00990D73">
        <w:trPr>
          <w:trHeight w:val="156"/>
        </w:trPr>
        <w:tc>
          <w:tcPr>
            <w:tcW w:w="1316" w:type="dxa"/>
          </w:tcPr>
          <w:p w14:paraId="40B2DFE2" w14:textId="77777777" w:rsidR="00A75241" w:rsidRPr="001362A6" w:rsidRDefault="00A75241" w:rsidP="00D47A86">
            <w:pPr>
              <w:jc w:val="right"/>
              <w:rPr>
                <w:rFonts w:ascii="Lato" w:hAnsi="Lato"/>
                <w:sz w:val="22"/>
                <w:szCs w:val="22"/>
              </w:rPr>
            </w:pPr>
          </w:p>
        </w:tc>
        <w:tc>
          <w:tcPr>
            <w:tcW w:w="5891" w:type="dxa"/>
          </w:tcPr>
          <w:p w14:paraId="2943BB64" w14:textId="77777777" w:rsidR="00A75241" w:rsidRPr="001362A6" w:rsidRDefault="00A21DB1">
            <w:pPr>
              <w:rPr>
                <w:rFonts w:ascii="Lato" w:hAnsi="Lato"/>
                <w:sz w:val="22"/>
                <w:szCs w:val="22"/>
              </w:rPr>
            </w:pPr>
            <w:r w:rsidRPr="00590C6D">
              <w:rPr>
                <w:rFonts w:ascii="Lato" w:hAnsi="Lato"/>
                <w:sz w:val="22"/>
                <w:szCs w:val="22"/>
              </w:rPr>
              <w:t>situation taking due</w:t>
            </w:r>
            <w:r w:rsidRPr="00D95E9D">
              <w:rPr>
                <w:rFonts w:ascii="Lato" w:hAnsi="Lato"/>
                <w:sz w:val="22"/>
                <w:szCs w:val="22"/>
              </w:rPr>
              <w:t xml:space="preserve"> </w:t>
            </w:r>
            <w:r w:rsidR="00A75241" w:rsidRPr="001362A6">
              <w:rPr>
                <w:rFonts w:ascii="Lato" w:hAnsi="Lato"/>
                <w:sz w:val="22"/>
                <w:szCs w:val="22"/>
              </w:rPr>
              <w:t>account of the interests of unitholders</w:t>
            </w:r>
          </w:p>
        </w:tc>
        <w:tc>
          <w:tcPr>
            <w:tcW w:w="3188" w:type="dxa"/>
          </w:tcPr>
          <w:p w14:paraId="2678C073" w14:textId="77777777" w:rsidR="00A75241" w:rsidRPr="001362A6" w:rsidRDefault="00A75241">
            <w:pPr>
              <w:rPr>
                <w:rFonts w:ascii="Lato" w:hAnsi="Lato"/>
                <w:b/>
                <w:bCs/>
                <w:sz w:val="22"/>
                <w:szCs w:val="22"/>
                <w:u w:val="single"/>
              </w:rPr>
            </w:pPr>
          </w:p>
        </w:tc>
      </w:tr>
      <w:tr w:rsidR="00A75241" w:rsidRPr="001362A6" w14:paraId="4ABEBFDA" w14:textId="77777777" w:rsidTr="00990D73">
        <w:trPr>
          <w:trHeight w:val="156"/>
        </w:trPr>
        <w:tc>
          <w:tcPr>
            <w:tcW w:w="1316" w:type="dxa"/>
          </w:tcPr>
          <w:p w14:paraId="02F90B87" w14:textId="77777777" w:rsidR="00A75241" w:rsidRPr="001362A6" w:rsidRDefault="00A75241" w:rsidP="00D47A86">
            <w:pPr>
              <w:jc w:val="right"/>
              <w:rPr>
                <w:rFonts w:ascii="Lato" w:hAnsi="Lato"/>
                <w:sz w:val="22"/>
                <w:szCs w:val="22"/>
              </w:rPr>
            </w:pPr>
          </w:p>
        </w:tc>
        <w:tc>
          <w:tcPr>
            <w:tcW w:w="5891" w:type="dxa"/>
          </w:tcPr>
          <w:p w14:paraId="273BF0AB" w14:textId="77777777" w:rsidR="00A75241" w:rsidRPr="001362A6" w:rsidRDefault="00A75241">
            <w:pPr>
              <w:rPr>
                <w:rFonts w:ascii="Lato" w:hAnsi="Lato"/>
                <w:sz w:val="22"/>
                <w:szCs w:val="22"/>
              </w:rPr>
            </w:pPr>
          </w:p>
        </w:tc>
        <w:tc>
          <w:tcPr>
            <w:tcW w:w="3188" w:type="dxa"/>
          </w:tcPr>
          <w:p w14:paraId="418C9F0E" w14:textId="77777777" w:rsidR="00A75241" w:rsidRPr="001362A6" w:rsidRDefault="00A75241">
            <w:pPr>
              <w:rPr>
                <w:rFonts w:ascii="Lato" w:hAnsi="Lato"/>
                <w:b/>
                <w:bCs/>
                <w:sz w:val="22"/>
                <w:szCs w:val="22"/>
                <w:u w:val="single"/>
              </w:rPr>
            </w:pPr>
          </w:p>
        </w:tc>
      </w:tr>
      <w:tr w:rsidR="00FD764E" w:rsidRPr="001362A6" w14:paraId="79F28079" w14:textId="77777777" w:rsidTr="00990D73">
        <w:trPr>
          <w:trHeight w:val="156"/>
        </w:trPr>
        <w:tc>
          <w:tcPr>
            <w:tcW w:w="1316" w:type="dxa"/>
          </w:tcPr>
          <w:p w14:paraId="12D2F599" w14:textId="77777777" w:rsidR="00FD764E" w:rsidRPr="001362A6" w:rsidRDefault="000269DC" w:rsidP="00A75241">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2.2.</w:t>
            </w:r>
            <w:r w:rsidR="00A75241" w:rsidRPr="001362A6">
              <w:rPr>
                <w:rFonts w:ascii="Lato" w:hAnsi="Lato"/>
                <w:b w:val="0"/>
                <w:color w:val="auto"/>
                <w:sz w:val="22"/>
                <w:szCs w:val="22"/>
              </w:rPr>
              <w:t>3</w:t>
            </w:r>
          </w:p>
        </w:tc>
        <w:tc>
          <w:tcPr>
            <w:tcW w:w="5891" w:type="dxa"/>
          </w:tcPr>
          <w:p w14:paraId="4224BB89" w14:textId="77777777" w:rsidR="00FD764E" w:rsidRPr="001362A6" w:rsidRDefault="00FD764E" w:rsidP="00FD764E">
            <w:pPr>
              <w:pStyle w:val="Heading3"/>
              <w:spacing w:before="0" w:after="0" w:line="240" w:lineRule="auto"/>
              <w:jc w:val="both"/>
              <w:rPr>
                <w:rFonts w:ascii="Lato" w:hAnsi="Lato"/>
                <w:b w:val="0"/>
                <w:bCs/>
                <w:i/>
                <w:iCs/>
                <w:color w:val="auto"/>
                <w:sz w:val="22"/>
                <w:szCs w:val="22"/>
              </w:rPr>
            </w:pPr>
            <w:r w:rsidRPr="001362A6">
              <w:rPr>
                <w:rFonts w:ascii="Lato" w:hAnsi="Lato"/>
                <w:color w:val="auto"/>
                <w:sz w:val="22"/>
                <w:szCs w:val="22"/>
              </w:rPr>
              <w:t>Investment in other investment funds</w:t>
            </w:r>
          </w:p>
        </w:tc>
        <w:tc>
          <w:tcPr>
            <w:tcW w:w="3188" w:type="dxa"/>
          </w:tcPr>
          <w:p w14:paraId="163B3F27" w14:textId="77777777" w:rsidR="00FD764E" w:rsidRPr="001362A6" w:rsidRDefault="00FD764E" w:rsidP="00FD764E">
            <w:pPr>
              <w:rPr>
                <w:rFonts w:ascii="Lato" w:hAnsi="Lato"/>
                <w:sz w:val="22"/>
                <w:szCs w:val="22"/>
              </w:rPr>
            </w:pPr>
          </w:p>
        </w:tc>
      </w:tr>
      <w:tr w:rsidR="000269DC" w:rsidRPr="001362A6" w14:paraId="026D403B" w14:textId="77777777" w:rsidTr="00990D73">
        <w:trPr>
          <w:trHeight w:val="156"/>
        </w:trPr>
        <w:tc>
          <w:tcPr>
            <w:tcW w:w="1316" w:type="dxa"/>
          </w:tcPr>
          <w:p w14:paraId="6737A2D5" w14:textId="77777777" w:rsidR="000269DC" w:rsidRPr="001362A6" w:rsidRDefault="000269DC" w:rsidP="00971795">
            <w:pPr>
              <w:pStyle w:val="Heading3"/>
              <w:spacing w:before="0" w:after="0" w:line="240" w:lineRule="auto"/>
              <w:jc w:val="right"/>
              <w:rPr>
                <w:rFonts w:ascii="Lato" w:hAnsi="Lato"/>
                <w:b w:val="0"/>
                <w:color w:val="auto"/>
                <w:sz w:val="22"/>
                <w:szCs w:val="22"/>
              </w:rPr>
            </w:pPr>
          </w:p>
        </w:tc>
        <w:tc>
          <w:tcPr>
            <w:tcW w:w="5891" w:type="dxa"/>
          </w:tcPr>
          <w:p w14:paraId="5C6EAF67" w14:textId="77777777" w:rsidR="000269DC" w:rsidRPr="001362A6" w:rsidRDefault="000269DC" w:rsidP="00F02990">
            <w:pPr>
              <w:pStyle w:val="Heading3"/>
              <w:spacing w:before="0" w:after="0" w:line="240" w:lineRule="auto"/>
              <w:jc w:val="both"/>
              <w:rPr>
                <w:rFonts w:ascii="Lato" w:hAnsi="Lato"/>
                <w:b w:val="0"/>
                <w:color w:val="auto"/>
                <w:sz w:val="22"/>
                <w:szCs w:val="22"/>
              </w:rPr>
            </w:pPr>
            <w:r w:rsidRPr="001362A6">
              <w:rPr>
                <w:rFonts w:ascii="Lato" w:hAnsi="Lato"/>
                <w:b w:val="0"/>
                <w:color w:val="auto"/>
                <w:sz w:val="22"/>
                <w:szCs w:val="22"/>
              </w:rPr>
              <w:t>Fees</w:t>
            </w:r>
            <w:r w:rsidR="00F02990" w:rsidRPr="001362A6">
              <w:rPr>
                <w:rFonts w:ascii="Lato" w:hAnsi="Lato"/>
                <w:b w:val="0"/>
                <w:color w:val="auto"/>
                <w:sz w:val="22"/>
                <w:szCs w:val="22"/>
              </w:rPr>
              <w:t xml:space="preserve"> &amp;</w:t>
            </w:r>
            <w:r w:rsidRPr="001362A6">
              <w:rPr>
                <w:rFonts w:ascii="Lato" w:hAnsi="Lato"/>
                <w:b w:val="0"/>
                <w:color w:val="auto"/>
                <w:sz w:val="22"/>
                <w:szCs w:val="22"/>
              </w:rPr>
              <w:t xml:space="preserve"> Expenses </w:t>
            </w:r>
          </w:p>
        </w:tc>
        <w:tc>
          <w:tcPr>
            <w:tcW w:w="3188" w:type="dxa"/>
            <w:tcBorders>
              <w:bottom w:val="single" w:sz="4" w:space="0" w:color="auto"/>
            </w:tcBorders>
          </w:tcPr>
          <w:p w14:paraId="1D4BDD15" w14:textId="77777777" w:rsidR="000269DC" w:rsidRPr="001362A6" w:rsidRDefault="000269DC" w:rsidP="00FD764E">
            <w:pPr>
              <w:rPr>
                <w:rFonts w:ascii="Lato" w:hAnsi="Lato"/>
                <w:sz w:val="22"/>
                <w:szCs w:val="22"/>
              </w:rPr>
            </w:pPr>
          </w:p>
        </w:tc>
      </w:tr>
      <w:tr w:rsidR="000269DC" w:rsidRPr="001362A6" w14:paraId="490AAE73" w14:textId="77777777" w:rsidTr="00990D73">
        <w:trPr>
          <w:trHeight w:val="156"/>
        </w:trPr>
        <w:tc>
          <w:tcPr>
            <w:tcW w:w="1316" w:type="dxa"/>
          </w:tcPr>
          <w:p w14:paraId="3445C37E" w14:textId="77777777" w:rsidR="000269DC" w:rsidRPr="001362A6" w:rsidRDefault="000269DC" w:rsidP="00971795">
            <w:pPr>
              <w:pStyle w:val="Heading3"/>
              <w:spacing w:before="0" w:after="0" w:line="240" w:lineRule="auto"/>
              <w:jc w:val="right"/>
              <w:rPr>
                <w:rFonts w:ascii="Lato" w:hAnsi="Lato"/>
                <w:b w:val="0"/>
                <w:color w:val="auto"/>
                <w:sz w:val="22"/>
                <w:szCs w:val="22"/>
              </w:rPr>
            </w:pPr>
            <w:r w:rsidRPr="001362A6">
              <w:rPr>
                <w:rFonts w:ascii="Lato" w:hAnsi="Lato"/>
                <w:b w:val="0"/>
                <w:color w:val="auto"/>
                <w:sz w:val="22"/>
                <w:szCs w:val="22"/>
              </w:rPr>
              <w:t>(i)</w:t>
            </w:r>
          </w:p>
        </w:tc>
        <w:tc>
          <w:tcPr>
            <w:tcW w:w="5891" w:type="dxa"/>
            <w:tcBorders>
              <w:right w:val="single" w:sz="4" w:space="0" w:color="auto"/>
            </w:tcBorders>
          </w:tcPr>
          <w:p w14:paraId="73698B1F" w14:textId="77777777" w:rsidR="000269DC" w:rsidRPr="001362A6" w:rsidRDefault="00005BC9" w:rsidP="00005BC9">
            <w:pPr>
              <w:pStyle w:val="Heading3"/>
              <w:spacing w:before="0" w:after="0" w:line="240" w:lineRule="auto"/>
              <w:jc w:val="both"/>
              <w:rPr>
                <w:rFonts w:ascii="Lato" w:hAnsi="Lato"/>
                <w:b w:val="0"/>
                <w:color w:val="auto"/>
                <w:sz w:val="22"/>
                <w:szCs w:val="22"/>
              </w:rPr>
            </w:pPr>
            <w:r w:rsidRPr="001362A6">
              <w:rPr>
                <w:rFonts w:ascii="Lato" w:hAnsi="Lato"/>
                <w:b w:val="0"/>
                <w:color w:val="auto"/>
                <w:sz w:val="22"/>
                <w:szCs w:val="22"/>
              </w:rPr>
              <w:t>The</w:t>
            </w:r>
            <w:r w:rsidR="000269DC" w:rsidRPr="001362A6">
              <w:rPr>
                <w:rFonts w:ascii="Lato" w:hAnsi="Lato"/>
                <w:b w:val="0"/>
                <w:color w:val="auto"/>
                <w:sz w:val="22"/>
                <w:szCs w:val="22"/>
              </w:rPr>
              <w:t xml:space="preserve"> Qualifying Investor AIF</w:t>
            </w:r>
            <w:r w:rsidRPr="001362A6">
              <w:rPr>
                <w:rFonts w:ascii="Lato" w:hAnsi="Lato"/>
                <w:b w:val="0"/>
                <w:color w:val="auto"/>
                <w:sz w:val="22"/>
                <w:szCs w:val="22"/>
              </w:rPr>
              <w:t xml:space="preserve"> shall only invest </w:t>
            </w:r>
            <w:r w:rsidR="000269DC" w:rsidRPr="001362A6">
              <w:rPr>
                <w:rFonts w:ascii="Lato" w:hAnsi="Lato"/>
                <w:b w:val="0"/>
                <w:color w:val="auto"/>
                <w:sz w:val="22"/>
                <w:szCs w:val="22"/>
              </w:rPr>
              <w:t xml:space="preserve"> in units of a</w:t>
            </w:r>
          </w:p>
        </w:tc>
        <w:tc>
          <w:tcPr>
            <w:tcW w:w="3188" w:type="dxa"/>
            <w:tcBorders>
              <w:top w:val="single" w:sz="4" w:space="0" w:color="auto"/>
              <w:left w:val="single" w:sz="4" w:space="0" w:color="auto"/>
              <w:bottom w:val="single" w:sz="4" w:space="0" w:color="auto"/>
              <w:right w:val="single" w:sz="4" w:space="0" w:color="auto"/>
            </w:tcBorders>
          </w:tcPr>
          <w:p w14:paraId="330B06A5" w14:textId="77777777" w:rsidR="000269DC" w:rsidRPr="001362A6" w:rsidRDefault="000269DC" w:rsidP="00FD764E">
            <w:pPr>
              <w:rPr>
                <w:rFonts w:ascii="Lato" w:hAnsi="Lato"/>
                <w:sz w:val="22"/>
                <w:szCs w:val="22"/>
              </w:rPr>
            </w:pPr>
          </w:p>
        </w:tc>
      </w:tr>
      <w:tr w:rsidR="000269DC" w:rsidRPr="001362A6" w14:paraId="44FAEDEE" w14:textId="77777777" w:rsidTr="00990D73">
        <w:trPr>
          <w:trHeight w:val="156"/>
        </w:trPr>
        <w:tc>
          <w:tcPr>
            <w:tcW w:w="1316" w:type="dxa"/>
          </w:tcPr>
          <w:p w14:paraId="39D348B2" w14:textId="77777777" w:rsidR="000269DC" w:rsidRPr="001362A6" w:rsidRDefault="000269DC" w:rsidP="00971795">
            <w:pPr>
              <w:pStyle w:val="Heading3"/>
              <w:spacing w:before="0" w:after="0" w:line="240" w:lineRule="auto"/>
              <w:jc w:val="right"/>
              <w:rPr>
                <w:rFonts w:ascii="Lato" w:hAnsi="Lato"/>
                <w:color w:val="auto"/>
                <w:sz w:val="22"/>
                <w:szCs w:val="22"/>
              </w:rPr>
            </w:pPr>
          </w:p>
        </w:tc>
        <w:tc>
          <w:tcPr>
            <w:tcW w:w="5891" w:type="dxa"/>
          </w:tcPr>
          <w:p w14:paraId="7998A31C" w14:textId="77777777" w:rsidR="000269DC" w:rsidRPr="001362A6" w:rsidRDefault="000269DC" w:rsidP="00005BC9">
            <w:pPr>
              <w:pStyle w:val="Heading3"/>
              <w:spacing w:before="0" w:after="0" w:line="240" w:lineRule="auto"/>
              <w:jc w:val="both"/>
              <w:rPr>
                <w:rFonts w:ascii="Lato" w:hAnsi="Lato"/>
                <w:b w:val="0"/>
                <w:color w:val="auto"/>
                <w:sz w:val="22"/>
                <w:szCs w:val="22"/>
              </w:rPr>
            </w:pPr>
            <w:r w:rsidRPr="001362A6">
              <w:rPr>
                <w:rFonts w:ascii="Lato" w:hAnsi="Lato"/>
                <w:b w:val="0"/>
                <w:color w:val="auto"/>
                <w:sz w:val="22"/>
                <w:szCs w:val="22"/>
              </w:rPr>
              <w:t xml:space="preserve">investment fund managed by </w:t>
            </w:r>
            <w:r w:rsidR="00005BC9" w:rsidRPr="001362A6">
              <w:rPr>
                <w:rFonts w:ascii="Lato" w:hAnsi="Lato"/>
                <w:b w:val="0"/>
                <w:color w:val="auto"/>
                <w:sz w:val="22"/>
                <w:szCs w:val="22"/>
              </w:rPr>
              <w:t>its</w:t>
            </w:r>
            <w:r w:rsidRPr="001362A6">
              <w:rPr>
                <w:rFonts w:ascii="Lato" w:hAnsi="Lato"/>
                <w:b w:val="0"/>
                <w:color w:val="auto"/>
                <w:sz w:val="22"/>
                <w:szCs w:val="22"/>
              </w:rPr>
              <w:t xml:space="preserve"> management company</w:t>
            </w:r>
            <w:r w:rsidR="006D7CBB" w:rsidRPr="001362A6">
              <w:rPr>
                <w:rFonts w:ascii="Lato" w:hAnsi="Lato"/>
                <w:b w:val="0"/>
                <w:color w:val="auto"/>
                <w:sz w:val="22"/>
                <w:szCs w:val="22"/>
              </w:rPr>
              <w:t>, or AIFM</w:t>
            </w:r>
            <w:r w:rsidRPr="001362A6">
              <w:rPr>
                <w:rFonts w:ascii="Lato" w:hAnsi="Lato"/>
                <w:b w:val="0"/>
                <w:color w:val="auto"/>
                <w:sz w:val="22"/>
                <w:szCs w:val="22"/>
              </w:rPr>
              <w:t xml:space="preserve"> or</w:t>
            </w:r>
            <w:r w:rsidR="00530C31" w:rsidRPr="001362A6">
              <w:rPr>
                <w:rFonts w:ascii="Lato" w:hAnsi="Lato"/>
                <w:b w:val="0"/>
                <w:color w:val="auto"/>
                <w:sz w:val="22"/>
                <w:szCs w:val="22"/>
              </w:rPr>
              <w:t xml:space="preserve"> by an associated or related company of either</w:t>
            </w:r>
          </w:p>
        </w:tc>
        <w:tc>
          <w:tcPr>
            <w:tcW w:w="3188" w:type="dxa"/>
            <w:tcBorders>
              <w:top w:val="single" w:sz="4" w:space="0" w:color="auto"/>
            </w:tcBorders>
          </w:tcPr>
          <w:p w14:paraId="6FB67031" w14:textId="77777777" w:rsidR="000269DC" w:rsidRPr="001362A6" w:rsidRDefault="000269DC" w:rsidP="00FD764E">
            <w:pPr>
              <w:rPr>
                <w:rFonts w:ascii="Lato" w:hAnsi="Lato"/>
                <w:sz w:val="22"/>
                <w:szCs w:val="22"/>
              </w:rPr>
            </w:pPr>
          </w:p>
        </w:tc>
      </w:tr>
      <w:tr w:rsidR="000269DC" w:rsidRPr="001362A6" w14:paraId="0AC5CA4F" w14:textId="77777777" w:rsidTr="00990D73">
        <w:trPr>
          <w:trHeight w:val="156"/>
        </w:trPr>
        <w:tc>
          <w:tcPr>
            <w:tcW w:w="1316" w:type="dxa"/>
          </w:tcPr>
          <w:p w14:paraId="69868D1D" w14:textId="77777777" w:rsidR="000269DC" w:rsidRPr="001362A6" w:rsidRDefault="000269DC" w:rsidP="00971795">
            <w:pPr>
              <w:pStyle w:val="Heading3"/>
              <w:spacing w:before="0" w:after="0" w:line="240" w:lineRule="auto"/>
              <w:jc w:val="right"/>
              <w:rPr>
                <w:rFonts w:ascii="Lato" w:hAnsi="Lato"/>
                <w:color w:val="auto"/>
                <w:sz w:val="22"/>
                <w:szCs w:val="22"/>
              </w:rPr>
            </w:pPr>
          </w:p>
        </w:tc>
        <w:tc>
          <w:tcPr>
            <w:tcW w:w="5891" w:type="dxa"/>
          </w:tcPr>
          <w:p w14:paraId="69E08094" w14:textId="77777777" w:rsidR="000269DC" w:rsidRPr="001362A6" w:rsidRDefault="006D7CBB" w:rsidP="00D95E9D">
            <w:pPr>
              <w:pStyle w:val="Heading3"/>
              <w:spacing w:before="0" w:after="0" w:line="240" w:lineRule="auto"/>
              <w:jc w:val="both"/>
              <w:rPr>
                <w:rFonts w:ascii="Lato" w:hAnsi="Lato"/>
                <w:b w:val="0"/>
                <w:color w:val="auto"/>
                <w:sz w:val="22"/>
                <w:szCs w:val="22"/>
              </w:rPr>
            </w:pPr>
            <w:r w:rsidRPr="001362A6">
              <w:rPr>
                <w:rFonts w:ascii="Lato" w:hAnsi="Lato"/>
                <w:b w:val="0"/>
                <w:color w:val="auto"/>
                <w:sz w:val="22"/>
                <w:szCs w:val="22"/>
              </w:rPr>
              <w:t>of these</w:t>
            </w:r>
            <w:r w:rsidR="00FE4486" w:rsidRPr="001362A6">
              <w:rPr>
                <w:rFonts w:ascii="Lato" w:hAnsi="Lato"/>
                <w:b w:val="0"/>
                <w:color w:val="auto"/>
                <w:sz w:val="22"/>
                <w:szCs w:val="22"/>
              </w:rPr>
              <w:t xml:space="preserve"> </w:t>
            </w:r>
            <w:r w:rsidR="000B0206" w:rsidRPr="001362A6">
              <w:rPr>
                <w:rFonts w:ascii="Lato" w:hAnsi="Lato"/>
                <w:b w:val="0"/>
                <w:color w:val="auto"/>
                <w:sz w:val="22"/>
                <w:szCs w:val="22"/>
              </w:rPr>
              <w:t>where</w:t>
            </w:r>
            <w:r w:rsidRPr="001362A6">
              <w:rPr>
                <w:rFonts w:ascii="Lato" w:hAnsi="Lato"/>
                <w:b w:val="0"/>
                <w:color w:val="auto"/>
                <w:sz w:val="22"/>
                <w:szCs w:val="22"/>
              </w:rPr>
              <w:t xml:space="preserve"> </w:t>
            </w:r>
            <w:r w:rsidR="00530C31" w:rsidRPr="001362A6">
              <w:rPr>
                <w:rFonts w:ascii="Lato" w:hAnsi="Lato"/>
                <w:b w:val="0"/>
                <w:color w:val="auto"/>
                <w:sz w:val="22"/>
                <w:szCs w:val="22"/>
              </w:rPr>
              <w:t>the management company</w:t>
            </w:r>
            <w:r w:rsidR="000269DC" w:rsidRPr="001362A6">
              <w:rPr>
                <w:rFonts w:ascii="Lato" w:hAnsi="Lato"/>
                <w:b w:val="0"/>
                <w:color w:val="auto"/>
                <w:sz w:val="22"/>
                <w:szCs w:val="22"/>
              </w:rPr>
              <w:t xml:space="preserve"> of the</w:t>
            </w:r>
            <w:r w:rsidR="00530C31" w:rsidRPr="001362A6">
              <w:rPr>
                <w:rFonts w:ascii="Lato" w:hAnsi="Lato"/>
                <w:b w:val="0"/>
                <w:color w:val="auto"/>
                <w:sz w:val="22"/>
                <w:szCs w:val="22"/>
              </w:rPr>
              <w:t xml:space="preserve"> </w:t>
            </w:r>
          </w:p>
        </w:tc>
        <w:tc>
          <w:tcPr>
            <w:tcW w:w="3188" w:type="dxa"/>
          </w:tcPr>
          <w:p w14:paraId="64B18EF2" w14:textId="77777777" w:rsidR="000269DC" w:rsidRPr="001362A6" w:rsidRDefault="000269DC" w:rsidP="00FD764E">
            <w:pPr>
              <w:rPr>
                <w:rFonts w:ascii="Lato" w:hAnsi="Lato"/>
                <w:sz w:val="22"/>
                <w:szCs w:val="22"/>
              </w:rPr>
            </w:pPr>
          </w:p>
        </w:tc>
      </w:tr>
      <w:tr w:rsidR="000269DC" w:rsidRPr="001362A6" w14:paraId="32CBF055" w14:textId="77777777" w:rsidTr="00990D73">
        <w:trPr>
          <w:trHeight w:val="156"/>
        </w:trPr>
        <w:tc>
          <w:tcPr>
            <w:tcW w:w="1316" w:type="dxa"/>
          </w:tcPr>
          <w:p w14:paraId="60EEFDDB" w14:textId="77777777" w:rsidR="000269DC" w:rsidRPr="001362A6" w:rsidRDefault="000269DC" w:rsidP="00971795">
            <w:pPr>
              <w:pStyle w:val="Heading3"/>
              <w:spacing w:before="0" w:after="0" w:line="240" w:lineRule="auto"/>
              <w:jc w:val="right"/>
              <w:rPr>
                <w:rFonts w:ascii="Lato" w:hAnsi="Lato"/>
                <w:color w:val="auto"/>
                <w:sz w:val="22"/>
                <w:szCs w:val="22"/>
              </w:rPr>
            </w:pPr>
          </w:p>
        </w:tc>
        <w:tc>
          <w:tcPr>
            <w:tcW w:w="5891" w:type="dxa"/>
          </w:tcPr>
          <w:p w14:paraId="4B8DAD80" w14:textId="77777777" w:rsidR="000269DC" w:rsidRPr="001362A6" w:rsidRDefault="00A21DB1" w:rsidP="00D95E9D">
            <w:pPr>
              <w:pStyle w:val="Heading3"/>
              <w:spacing w:before="0" w:after="0" w:line="240" w:lineRule="auto"/>
              <w:jc w:val="both"/>
              <w:rPr>
                <w:rFonts w:ascii="Lato" w:hAnsi="Lato"/>
                <w:b w:val="0"/>
                <w:color w:val="auto"/>
                <w:sz w:val="22"/>
                <w:szCs w:val="22"/>
              </w:rPr>
            </w:pPr>
            <w:r w:rsidRPr="00590C6D">
              <w:rPr>
                <w:rFonts w:ascii="Lato" w:hAnsi="Lato"/>
                <w:b w:val="0"/>
                <w:color w:val="auto"/>
                <w:sz w:val="22"/>
                <w:szCs w:val="22"/>
              </w:rPr>
              <w:t xml:space="preserve">investment </w:t>
            </w:r>
            <w:r w:rsidR="00530C31" w:rsidRPr="001362A6">
              <w:rPr>
                <w:rFonts w:ascii="Lato" w:hAnsi="Lato"/>
                <w:b w:val="0"/>
                <w:color w:val="auto"/>
                <w:sz w:val="22"/>
                <w:szCs w:val="22"/>
              </w:rPr>
              <w:t xml:space="preserve">fund in </w:t>
            </w:r>
            <w:r w:rsidR="000269DC" w:rsidRPr="001362A6">
              <w:rPr>
                <w:rFonts w:ascii="Lato" w:hAnsi="Lato"/>
                <w:b w:val="0"/>
                <w:color w:val="auto"/>
                <w:sz w:val="22"/>
                <w:szCs w:val="22"/>
              </w:rPr>
              <w:t xml:space="preserve">which the investment is being made </w:t>
            </w:r>
            <w:r w:rsidR="006D7CBB" w:rsidRPr="001362A6">
              <w:rPr>
                <w:rFonts w:ascii="Lato" w:hAnsi="Lato"/>
                <w:b w:val="0"/>
                <w:color w:val="auto"/>
                <w:sz w:val="22"/>
                <w:szCs w:val="22"/>
              </w:rPr>
              <w:t>has</w:t>
            </w:r>
            <w:r w:rsidR="00530C31" w:rsidRPr="001362A6">
              <w:rPr>
                <w:rFonts w:ascii="Lato" w:hAnsi="Lato"/>
                <w:b w:val="0"/>
                <w:color w:val="auto"/>
                <w:sz w:val="22"/>
                <w:szCs w:val="22"/>
              </w:rPr>
              <w:t xml:space="preserve"> </w:t>
            </w:r>
          </w:p>
        </w:tc>
        <w:tc>
          <w:tcPr>
            <w:tcW w:w="3188" w:type="dxa"/>
          </w:tcPr>
          <w:p w14:paraId="1545D368" w14:textId="77777777" w:rsidR="000269DC" w:rsidRPr="001362A6" w:rsidRDefault="000269DC" w:rsidP="00FD764E">
            <w:pPr>
              <w:rPr>
                <w:rFonts w:ascii="Lato" w:hAnsi="Lato"/>
                <w:sz w:val="22"/>
                <w:szCs w:val="22"/>
              </w:rPr>
            </w:pPr>
          </w:p>
        </w:tc>
      </w:tr>
      <w:tr w:rsidR="00FD764E" w:rsidRPr="001362A6" w14:paraId="065ED9F4" w14:textId="77777777" w:rsidTr="00990D73">
        <w:trPr>
          <w:trHeight w:val="156"/>
        </w:trPr>
        <w:tc>
          <w:tcPr>
            <w:tcW w:w="1316" w:type="dxa"/>
          </w:tcPr>
          <w:p w14:paraId="54CFC585" w14:textId="77777777" w:rsidR="00FD764E" w:rsidRPr="001362A6" w:rsidRDefault="00FD764E" w:rsidP="00971795">
            <w:pPr>
              <w:pStyle w:val="Heading3"/>
              <w:spacing w:before="0" w:after="0" w:line="240" w:lineRule="auto"/>
              <w:jc w:val="right"/>
              <w:rPr>
                <w:rFonts w:ascii="Lato" w:hAnsi="Lato"/>
                <w:color w:val="auto"/>
                <w:sz w:val="22"/>
                <w:szCs w:val="22"/>
              </w:rPr>
            </w:pPr>
          </w:p>
        </w:tc>
        <w:tc>
          <w:tcPr>
            <w:tcW w:w="5891" w:type="dxa"/>
          </w:tcPr>
          <w:p w14:paraId="41D95496" w14:textId="77777777" w:rsidR="00FD764E" w:rsidRPr="001362A6" w:rsidRDefault="00A21DB1" w:rsidP="00D95E9D">
            <w:pPr>
              <w:pStyle w:val="Heading3"/>
              <w:spacing w:before="0" w:after="0" w:line="240" w:lineRule="auto"/>
              <w:jc w:val="both"/>
              <w:rPr>
                <w:rFonts w:ascii="Lato" w:hAnsi="Lato"/>
                <w:b w:val="0"/>
                <w:color w:val="auto"/>
                <w:sz w:val="22"/>
                <w:szCs w:val="22"/>
              </w:rPr>
            </w:pPr>
            <w:r w:rsidRPr="00590C6D">
              <w:rPr>
                <w:rFonts w:ascii="Lato" w:hAnsi="Lato"/>
                <w:b w:val="0"/>
                <w:color w:val="auto"/>
                <w:sz w:val="22"/>
                <w:szCs w:val="22"/>
              </w:rPr>
              <w:t>waived the</w:t>
            </w:r>
            <w:r w:rsidRPr="00D95E9D">
              <w:rPr>
                <w:rFonts w:ascii="Lato" w:hAnsi="Lato"/>
                <w:b w:val="0"/>
                <w:color w:val="auto"/>
                <w:sz w:val="22"/>
                <w:szCs w:val="22"/>
              </w:rPr>
              <w:t xml:space="preserve"> </w:t>
            </w:r>
            <w:r w:rsidR="00A153DD" w:rsidRPr="001362A6">
              <w:rPr>
                <w:rFonts w:ascii="Lato" w:hAnsi="Lato"/>
                <w:b w:val="0"/>
                <w:color w:val="auto"/>
                <w:sz w:val="22"/>
                <w:szCs w:val="22"/>
              </w:rPr>
              <w:t>preliminary/initial/</w:t>
            </w:r>
            <w:r w:rsidR="000269DC" w:rsidRPr="001362A6">
              <w:rPr>
                <w:rFonts w:ascii="Lato" w:hAnsi="Lato"/>
                <w:b w:val="0"/>
                <w:color w:val="auto"/>
                <w:sz w:val="22"/>
                <w:szCs w:val="22"/>
              </w:rPr>
              <w:t xml:space="preserve">redemption charge which it </w:t>
            </w:r>
          </w:p>
        </w:tc>
        <w:tc>
          <w:tcPr>
            <w:tcW w:w="3188" w:type="dxa"/>
          </w:tcPr>
          <w:p w14:paraId="498ECD17" w14:textId="77777777" w:rsidR="00FD764E" w:rsidRPr="001362A6" w:rsidRDefault="00FD764E" w:rsidP="00FD764E">
            <w:pPr>
              <w:rPr>
                <w:rFonts w:ascii="Lato" w:hAnsi="Lato"/>
                <w:sz w:val="22"/>
                <w:szCs w:val="22"/>
              </w:rPr>
            </w:pPr>
          </w:p>
        </w:tc>
      </w:tr>
      <w:tr w:rsidR="00FD764E" w:rsidRPr="001362A6" w14:paraId="10593379" w14:textId="77777777" w:rsidTr="00990D73">
        <w:trPr>
          <w:trHeight w:val="156"/>
        </w:trPr>
        <w:tc>
          <w:tcPr>
            <w:tcW w:w="1316" w:type="dxa"/>
          </w:tcPr>
          <w:p w14:paraId="7FDC1D02" w14:textId="77777777" w:rsidR="00FD764E" w:rsidRPr="001362A6" w:rsidRDefault="00FD764E" w:rsidP="00971795">
            <w:pPr>
              <w:jc w:val="right"/>
              <w:rPr>
                <w:rFonts w:ascii="Lato" w:hAnsi="Lato"/>
                <w:sz w:val="22"/>
                <w:szCs w:val="22"/>
              </w:rPr>
            </w:pPr>
          </w:p>
        </w:tc>
        <w:tc>
          <w:tcPr>
            <w:tcW w:w="5891" w:type="dxa"/>
          </w:tcPr>
          <w:p w14:paraId="3A51DED9" w14:textId="77777777" w:rsidR="00FD764E" w:rsidRPr="001362A6" w:rsidRDefault="00A21DB1" w:rsidP="00FD764E">
            <w:pPr>
              <w:pStyle w:val="Heading1"/>
              <w:spacing w:before="0" w:after="0" w:line="240" w:lineRule="auto"/>
              <w:jc w:val="both"/>
              <w:rPr>
                <w:rFonts w:ascii="Lato" w:hAnsi="Lato"/>
                <w:color w:val="auto"/>
                <w:sz w:val="22"/>
                <w:szCs w:val="22"/>
              </w:rPr>
            </w:pPr>
            <w:r w:rsidRPr="00590C6D">
              <w:rPr>
                <w:rFonts w:ascii="Lato" w:hAnsi="Lato"/>
                <w:color w:val="auto"/>
                <w:sz w:val="22"/>
                <w:szCs w:val="22"/>
              </w:rPr>
              <w:t>would</w:t>
            </w:r>
            <w:r w:rsidRPr="00D95E9D">
              <w:rPr>
                <w:rFonts w:ascii="Lato" w:hAnsi="Lato"/>
                <w:color w:val="auto"/>
                <w:sz w:val="22"/>
                <w:szCs w:val="22"/>
              </w:rPr>
              <w:t xml:space="preserve"> </w:t>
            </w:r>
            <w:r w:rsidR="000269DC" w:rsidRPr="001362A6">
              <w:rPr>
                <w:rFonts w:ascii="Lato" w:hAnsi="Lato"/>
                <w:color w:val="auto"/>
                <w:sz w:val="22"/>
                <w:szCs w:val="22"/>
              </w:rPr>
              <w:t>normally charge</w:t>
            </w:r>
          </w:p>
        </w:tc>
        <w:tc>
          <w:tcPr>
            <w:tcW w:w="3188" w:type="dxa"/>
            <w:tcBorders>
              <w:bottom w:val="single" w:sz="4" w:space="0" w:color="auto"/>
            </w:tcBorders>
          </w:tcPr>
          <w:p w14:paraId="71DEEDE4" w14:textId="77777777" w:rsidR="00FD764E" w:rsidRPr="001362A6" w:rsidRDefault="00FD764E" w:rsidP="00FD764E">
            <w:pPr>
              <w:rPr>
                <w:rFonts w:ascii="Lato" w:hAnsi="Lato"/>
                <w:sz w:val="22"/>
                <w:szCs w:val="22"/>
              </w:rPr>
            </w:pPr>
          </w:p>
        </w:tc>
      </w:tr>
      <w:tr w:rsidR="00971795" w:rsidRPr="001362A6" w14:paraId="7652C515" w14:textId="77777777" w:rsidTr="00990D73">
        <w:trPr>
          <w:trHeight w:val="156"/>
        </w:trPr>
        <w:tc>
          <w:tcPr>
            <w:tcW w:w="1316" w:type="dxa"/>
          </w:tcPr>
          <w:p w14:paraId="4918754F" w14:textId="77777777" w:rsidR="00971795" w:rsidRPr="001362A6" w:rsidRDefault="00971795" w:rsidP="00FD764E">
            <w:pPr>
              <w:jc w:val="right"/>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4A59350F" w14:textId="77777777" w:rsidR="00971795" w:rsidRPr="001362A6" w:rsidRDefault="00971795" w:rsidP="00815384">
            <w:pPr>
              <w:pStyle w:val="Heading6"/>
              <w:jc w:val="both"/>
              <w:rPr>
                <w:rFonts w:ascii="Lato" w:hAnsi="Lato"/>
                <w:color w:val="auto"/>
                <w:szCs w:val="22"/>
                <w:u w:val="none"/>
              </w:rPr>
            </w:pPr>
            <w:r w:rsidRPr="001362A6">
              <w:rPr>
                <w:rFonts w:ascii="Lato" w:hAnsi="Lato"/>
                <w:bCs/>
                <w:color w:val="auto"/>
                <w:szCs w:val="22"/>
                <w:u w:val="none"/>
              </w:rPr>
              <w:t xml:space="preserve">Outline the types of charges </w:t>
            </w:r>
            <w:r w:rsidR="00815384" w:rsidRPr="001362A6">
              <w:rPr>
                <w:rFonts w:ascii="Lato" w:hAnsi="Lato"/>
                <w:bCs/>
                <w:color w:val="auto"/>
                <w:szCs w:val="22"/>
                <w:u w:val="none"/>
              </w:rPr>
              <w:t>and other costs relating to the</w:t>
            </w:r>
          </w:p>
        </w:tc>
        <w:tc>
          <w:tcPr>
            <w:tcW w:w="3188" w:type="dxa"/>
            <w:tcBorders>
              <w:top w:val="single" w:sz="4" w:space="0" w:color="auto"/>
              <w:left w:val="single" w:sz="4" w:space="0" w:color="auto"/>
              <w:bottom w:val="single" w:sz="4" w:space="0" w:color="auto"/>
              <w:right w:val="single" w:sz="4" w:space="0" w:color="auto"/>
            </w:tcBorders>
          </w:tcPr>
          <w:p w14:paraId="5B5566BA" w14:textId="77777777" w:rsidR="00971795" w:rsidRPr="001362A6" w:rsidRDefault="00971795" w:rsidP="00EC7CDC">
            <w:pPr>
              <w:rPr>
                <w:rFonts w:ascii="Lato" w:hAnsi="Lato"/>
                <w:sz w:val="22"/>
                <w:szCs w:val="22"/>
              </w:rPr>
            </w:pPr>
          </w:p>
        </w:tc>
      </w:tr>
      <w:tr w:rsidR="00971795" w:rsidRPr="001362A6" w14:paraId="2290AFE0" w14:textId="77777777" w:rsidTr="00990D73">
        <w:trPr>
          <w:trHeight w:val="156"/>
        </w:trPr>
        <w:tc>
          <w:tcPr>
            <w:tcW w:w="1316" w:type="dxa"/>
          </w:tcPr>
          <w:p w14:paraId="605FBCD3" w14:textId="77777777" w:rsidR="00971795" w:rsidRPr="001362A6" w:rsidRDefault="00971795" w:rsidP="00FD764E">
            <w:pPr>
              <w:jc w:val="right"/>
              <w:rPr>
                <w:rFonts w:ascii="Lato" w:hAnsi="Lato"/>
                <w:sz w:val="22"/>
                <w:szCs w:val="22"/>
              </w:rPr>
            </w:pPr>
          </w:p>
        </w:tc>
        <w:tc>
          <w:tcPr>
            <w:tcW w:w="5891" w:type="dxa"/>
          </w:tcPr>
          <w:p w14:paraId="53DBD0C7" w14:textId="77777777" w:rsidR="00971795" w:rsidRPr="001362A6" w:rsidRDefault="00815384" w:rsidP="006A1A8B">
            <w:pPr>
              <w:jc w:val="both"/>
              <w:rPr>
                <w:rFonts w:ascii="Lato" w:hAnsi="Lato"/>
                <w:sz w:val="22"/>
                <w:szCs w:val="22"/>
              </w:rPr>
            </w:pPr>
            <w:r w:rsidRPr="001362A6">
              <w:rPr>
                <w:rFonts w:ascii="Lato" w:hAnsi="Lato"/>
                <w:bCs/>
                <w:sz w:val="22"/>
                <w:szCs w:val="22"/>
              </w:rPr>
              <w:t xml:space="preserve">underlying </w:t>
            </w:r>
            <w:r w:rsidR="006A1A8B" w:rsidRPr="001362A6">
              <w:rPr>
                <w:rFonts w:ascii="Lato" w:hAnsi="Lato"/>
                <w:bCs/>
                <w:sz w:val="22"/>
                <w:szCs w:val="22"/>
              </w:rPr>
              <w:t>investment fund</w:t>
            </w:r>
            <w:r w:rsidRPr="001362A6">
              <w:rPr>
                <w:rFonts w:ascii="Lato" w:hAnsi="Lato"/>
                <w:bCs/>
                <w:sz w:val="22"/>
                <w:szCs w:val="22"/>
              </w:rPr>
              <w:t xml:space="preserve"> which will be borne by the </w:t>
            </w:r>
          </w:p>
        </w:tc>
        <w:tc>
          <w:tcPr>
            <w:tcW w:w="3188" w:type="dxa"/>
            <w:tcBorders>
              <w:top w:val="single" w:sz="4" w:space="0" w:color="auto"/>
            </w:tcBorders>
          </w:tcPr>
          <w:p w14:paraId="32E5523D" w14:textId="77777777" w:rsidR="00971795" w:rsidRPr="001362A6" w:rsidRDefault="00971795" w:rsidP="00FD764E">
            <w:pPr>
              <w:rPr>
                <w:rFonts w:ascii="Lato" w:hAnsi="Lato"/>
                <w:sz w:val="22"/>
                <w:szCs w:val="22"/>
              </w:rPr>
            </w:pPr>
          </w:p>
        </w:tc>
      </w:tr>
      <w:tr w:rsidR="00815384" w:rsidRPr="001362A6" w14:paraId="42B0B1E2" w14:textId="77777777" w:rsidTr="00990D73">
        <w:trPr>
          <w:trHeight w:val="156"/>
        </w:trPr>
        <w:tc>
          <w:tcPr>
            <w:tcW w:w="1316" w:type="dxa"/>
          </w:tcPr>
          <w:p w14:paraId="23B7E351" w14:textId="77777777" w:rsidR="00815384" w:rsidRPr="001362A6" w:rsidRDefault="00815384" w:rsidP="00FD764E">
            <w:pPr>
              <w:jc w:val="right"/>
              <w:rPr>
                <w:rFonts w:ascii="Lato" w:hAnsi="Lato"/>
                <w:sz w:val="22"/>
                <w:szCs w:val="22"/>
              </w:rPr>
            </w:pPr>
          </w:p>
        </w:tc>
        <w:tc>
          <w:tcPr>
            <w:tcW w:w="5891" w:type="dxa"/>
          </w:tcPr>
          <w:p w14:paraId="60986414" w14:textId="77777777" w:rsidR="00815384" w:rsidRPr="001362A6" w:rsidRDefault="006A1A8B" w:rsidP="00521989">
            <w:pPr>
              <w:jc w:val="both"/>
              <w:rPr>
                <w:rFonts w:ascii="Lato" w:hAnsi="Lato"/>
                <w:sz w:val="22"/>
                <w:szCs w:val="22"/>
              </w:rPr>
            </w:pPr>
            <w:r w:rsidRPr="001362A6">
              <w:rPr>
                <w:rFonts w:ascii="Lato" w:hAnsi="Lato"/>
                <w:bCs/>
                <w:sz w:val="22"/>
                <w:szCs w:val="22"/>
              </w:rPr>
              <w:t xml:space="preserve">Qualifying </w:t>
            </w:r>
            <w:r w:rsidR="00815384" w:rsidRPr="001362A6">
              <w:rPr>
                <w:rFonts w:ascii="Lato" w:hAnsi="Lato"/>
                <w:bCs/>
                <w:sz w:val="22"/>
                <w:szCs w:val="22"/>
              </w:rPr>
              <w:t>Investor AIF eg a description inves</w:t>
            </w:r>
            <w:r w:rsidR="00871403" w:rsidRPr="001362A6">
              <w:rPr>
                <w:rFonts w:ascii="Lato" w:hAnsi="Lato"/>
                <w:bCs/>
                <w:sz w:val="22"/>
                <w:szCs w:val="22"/>
              </w:rPr>
              <w:t>tment</w:t>
            </w:r>
            <w:r w:rsidR="00815384" w:rsidRPr="001362A6">
              <w:rPr>
                <w:rFonts w:ascii="Lato" w:hAnsi="Lato"/>
                <w:bCs/>
                <w:sz w:val="22"/>
                <w:szCs w:val="22"/>
              </w:rPr>
              <w:t xml:space="preserve"> </w:t>
            </w:r>
          </w:p>
        </w:tc>
        <w:tc>
          <w:tcPr>
            <w:tcW w:w="3188" w:type="dxa"/>
          </w:tcPr>
          <w:p w14:paraId="5144424F" w14:textId="77777777" w:rsidR="00815384" w:rsidRPr="001362A6" w:rsidRDefault="00815384" w:rsidP="00FD764E">
            <w:pPr>
              <w:rPr>
                <w:rFonts w:ascii="Lato" w:hAnsi="Lato"/>
                <w:sz w:val="22"/>
                <w:szCs w:val="22"/>
              </w:rPr>
            </w:pPr>
          </w:p>
        </w:tc>
      </w:tr>
      <w:tr w:rsidR="00815384" w:rsidRPr="001362A6" w14:paraId="36FF8186" w14:textId="77777777" w:rsidTr="00990D73">
        <w:trPr>
          <w:trHeight w:val="156"/>
        </w:trPr>
        <w:tc>
          <w:tcPr>
            <w:tcW w:w="1316" w:type="dxa"/>
          </w:tcPr>
          <w:p w14:paraId="0FA4F522" w14:textId="77777777" w:rsidR="00815384" w:rsidRPr="001362A6" w:rsidRDefault="00815384" w:rsidP="00FD764E">
            <w:pPr>
              <w:jc w:val="right"/>
              <w:rPr>
                <w:rFonts w:ascii="Lato" w:hAnsi="Lato"/>
                <w:sz w:val="22"/>
                <w:szCs w:val="22"/>
              </w:rPr>
            </w:pPr>
          </w:p>
        </w:tc>
        <w:tc>
          <w:tcPr>
            <w:tcW w:w="5891" w:type="dxa"/>
          </w:tcPr>
          <w:p w14:paraId="465CDE83" w14:textId="77777777" w:rsidR="00815384" w:rsidRPr="001362A6" w:rsidRDefault="00521989" w:rsidP="00FD764E">
            <w:pPr>
              <w:jc w:val="both"/>
              <w:rPr>
                <w:rFonts w:ascii="Lato" w:hAnsi="Lato"/>
                <w:sz w:val="22"/>
                <w:szCs w:val="22"/>
              </w:rPr>
            </w:pPr>
            <w:r w:rsidRPr="001362A6">
              <w:rPr>
                <w:rFonts w:ascii="Lato" w:hAnsi="Lato"/>
                <w:bCs/>
                <w:sz w:val="22"/>
                <w:szCs w:val="22"/>
              </w:rPr>
              <w:t xml:space="preserve">management </w:t>
            </w:r>
            <w:r w:rsidR="00815384" w:rsidRPr="001362A6">
              <w:rPr>
                <w:rFonts w:ascii="Lato" w:hAnsi="Lato"/>
                <w:bCs/>
                <w:sz w:val="22"/>
                <w:szCs w:val="22"/>
              </w:rPr>
              <w:t>/performance fees and indicative amounts where possible</w:t>
            </w:r>
          </w:p>
        </w:tc>
        <w:tc>
          <w:tcPr>
            <w:tcW w:w="3188" w:type="dxa"/>
          </w:tcPr>
          <w:p w14:paraId="73D1142A" w14:textId="77777777" w:rsidR="00815384" w:rsidRPr="001362A6" w:rsidRDefault="00815384" w:rsidP="00FD764E">
            <w:pPr>
              <w:rPr>
                <w:rFonts w:ascii="Lato" w:hAnsi="Lato"/>
                <w:sz w:val="22"/>
                <w:szCs w:val="22"/>
              </w:rPr>
            </w:pPr>
          </w:p>
        </w:tc>
      </w:tr>
      <w:tr w:rsidR="00971795" w:rsidRPr="001362A6" w14:paraId="45E0D49B" w14:textId="77777777" w:rsidTr="00990D73">
        <w:trPr>
          <w:trHeight w:val="156"/>
        </w:trPr>
        <w:tc>
          <w:tcPr>
            <w:tcW w:w="1316" w:type="dxa"/>
          </w:tcPr>
          <w:p w14:paraId="0318CBAC" w14:textId="77777777" w:rsidR="00971795" w:rsidRPr="001362A6" w:rsidRDefault="00971795" w:rsidP="00FD764E">
            <w:pPr>
              <w:jc w:val="right"/>
              <w:rPr>
                <w:rFonts w:ascii="Lato" w:hAnsi="Lato"/>
                <w:sz w:val="22"/>
                <w:szCs w:val="22"/>
              </w:rPr>
            </w:pPr>
          </w:p>
        </w:tc>
        <w:tc>
          <w:tcPr>
            <w:tcW w:w="5891" w:type="dxa"/>
          </w:tcPr>
          <w:p w14:paraId="694A3EBA" w14:textId="77777777" w:rsidR="00971795" w:rsidRPr="001362A6" w:rsidRDefault="00971795" w:rsidP="00FD764E">
            <w:pPr>
              <w:pStyle w:val="Heading6"/>
              <w:jc w:val="both"/>
              <w:rPr>
                <w:rFonts w:ascii="Lato" w:hAnsi="Lato"/>
                <w:color w:val="auto"/>
                <w:szCs w:val="22"/>
                <w:u w:val="none"/>
              </w:rPr>
            </w:pPr>
          </w:p>
        </w:tc>
        <w:tc>
          <w:tcPr>
            <w:tcW w:w="3188" w:type="dxa"/>
          </w:tcPr>
          <w:p w14:paraId="60555D15" w14:textId="77777777" w:rsidR="00971795" w:rsidRPr="001362A6" w:rsidRDefault="00971795" w:rsidP="00FD764E">
            <w:pPr>
              <w:rPr>
                <w:rFonts w:ascii="Lato" w:hAnsi="Lato"/>
                <w:sz w:val="22"/>
                <w:szCs w:val="22"/>
              </w:rPr>
            </w:pPr>
          </w:p>
        </w:tc>
      </w:tr>
      <w:tr w:rsidR="00971795" w:rsidRPr="001362A6" w14:paraId="5A488A71" w14:textId="77777777" w:rsidTr="00990D73">
        <w:trPr>
          <w:trHeight w:val="156"/>
        </w:trPr>
        <w:tc>
          <w:tcPr>
            <w:tcW w:w="1316" w:type="dxa"/>
          </w:tcPr>
          <w:p w14:paraId="5D492050" w14:textId="77777777" w:rsidR="00971795" w:rsidRPr="001362A6" w:rsidRDefault="00971795" w:rsidP="00A75241">
            <w:pPr>
              <w:rPr>
                <w:rFonts w:ascii="Lato" w:hAnsi="Lato"/>
                <w:sz w:val="22"/>
                <w:szCs w:val="22"/>
              </w:rPr>
            </w:pPr>
            <w:r w:rsidRPr="001362A6">
              <w:rPr>
                <w:rFonts w:ascii="Lato" w:hAnsi="Lato"/>
                <w:sz w:val="22"/>
                <w:szCs w:val="22"/>
              </w:rPr>
              <w:t>2.2.</w:t>
            </w:r>
            <w:r w:rsidR="00A75241" w:rsidRPr="001362A6">
              <w:rPr>
                <w:rFonts w:ascii="Lato" w:hAnsi="Lato"/>
                <w:sz w:val="22"/>
                <w:szCs w:val="22"/>
              </w:rPr>
              <w:t>4</w:t>
            </w:r>
          </w:p>
        </w:tc>
        <w:tc>
          <w:tcPr>
            <w:tcW w:w="5891" w:type="dxa"/>
          </w:tcPr>
          <w:p w14:paraId="59698D61" w14:textId="77777777" w:rsidR="00971795" w:rsidRPr="001362A6" w:rsidRDefault="00971795" w:rsidP="00FD764E">
            <w:pPr>
              <w:pStyle w:val="Heading6"/>
              <w:jc w:val="both"/>
              <w:rPr>
                <w:rFonts w:ascii="Lato" w:hAnsi="Lato"/>
                <w:color w:val="auto"/>
                <w:szCs w:val="22"/>
              </w:rPr>
            </w:pPr>
          </w:p>
        </w:tc>
        <w:tc>
          <w:tcPr>
            <w:tcW w:w="3188" w:type="dxa"/>
            <w:tcBorders>
              <w:bottom w:val="single" w:sz="4" w:space="0" w:color="auto"/>
            </w:tcBorders>
          </w:tcPr>
          <w:p w14:paraId="4161A6CB" w14:textId="77777777" w:rsidR="00971795" w:rsidRPr="001362A6" w:rsidRDefault="00971795" w:rsidP="00FD764E">
            <w:pPr>
              <w:rPr>
                <w:rFonts w:ascii="Lato" w:hAnsi="Lato"/>
                <w:sz w:val="22"/>
                <w:szCs w:val="22"/>
              </w:rPr>
            </w:pPr>
          </w:p>
        </w:tc>
      </w:tr>
      <w:tr w:rsidR="00971795" w:rsidRPr="001362A6" w14:paraId="2E0F8325" w14:textId="77777777" w:rsidTr="00990D73">
        <w:trPr>
          <w:trHeight w:val="156"/>
        </w:trPr>
        <w:tc>
          <w:tcPr>
            <w:tcW w:w="1316" w:type="dxa"/>
          </w:tcPr>
          <w:p w14:paraId="2BF402F1" w14:textId="77777777" w:rsidR="00971795" w:rsidRPr="001362A6" w:rsidRDefault="00971795" w:rsidP="00971795">
            <w:pPr>
              <w:jc w:val="right"/>
              <w:rPr>
                <w:rFonts w:ascii="Lato" w:hAnsi="Lato"/>
                <w:sz w:val="22"/>
                <w:szCs w:val="22"/>
              </w:rPr>
            </w:pPr>
            <w:r w:rsidRPr="001362A6">
              <w:rPr>
                <w:rFonts w:ascii="Lato" w:hAnsi="Lato"/>
                <w:sz w:val="22"/>
                <w:szCs w:val="22"/>
              </w:rPr>
              <w:t>(i)</w:t>
            </w:r>
            <w:r w:rsidR="00206F79" w:rsidRPr="001362A6">
              <w:rPr>
                <w:rFonts w:ascii="Lato" w:hAnsi="Lato"/>
                <w:sz w:val="22"/>
                <w:szCs w:val="22"/>
              </w:rPr>
              <w:t>(a)</w:t>
            </w:r>
          </w:p>
        </w:tc>
        <w:tc>
          <w:tcPr>
            <w:tcW w:w="5891" w:type="dxa"/>
            <w:tcBorders>
              <w:right w:val="single" w:sz="4" w:space="0" w:color="auto"/>
            </w:tcBorders>
          </w:tcPr>
          <w:p w14:paraId="4B21B4FC" w14:textId="77777777" w:rsidR="00971795" w:rsidRPr="001362A6" w:rsidRDefault="00971795" w:rsidP="00206F79">
            <w:pPr>
              <w:pStyle w:val="Heading6"/>
              <w:jc w:val="both"/>
              <w:rPr>
                <w:rFonts w:ascii="Lato" w:hAnsi="Lato"/>
                <w:color w:val="auto"/>
                <w:szCs w:val="22"/>
              </w:rPr>
            </w:pPr>
            <w:r w:rsidRPr="001362A6">
              <w:rPr>
                <w:rFonts w:ascii="Lato" w:hAnsi="Lato"/>
                <w:color w:val="auto"/>
                <w:szCs w:val="22"/>
                <w:u w:val="none"/>
              </w:rPr>
              <w:t xml:space="preserve">Disclose </w:t>
            </w:r>
            <w:r w:rsidR="00206F79" w:rsidRPr="001362A6">
              <w:rPr>
                <w:rFonts w:ascii="Lato" w:hAnsi="Lato"/>
                <w:color w:val="auto"/>
                <w:szCs w:val="22"/>
                <w:u w:val="none"/>
              </w:rPr>
              <w:t xml:space="preserve"> the extent to which it is intended to invest in </w:t>
            </w:r>
          </w:p>
        </w:tc>
        <w:tc>
          <w:tcPr>
            <w:tcW w:w="3188" w:type="dxa"/>
            <w:tcBorders>
              <w:top w:val="single" w:sz="4" w:space="0" w:color="auto"/>
              <w:left w:val="single" w:sz="4" w:space="0" w:color="auto"/>
              <w:bottom w:val="single" w:sz="4" w:space="0" w:color="auto"/>
              <w:right w:val="single" w:sz="4" w:space="0" w:color="auto"/>
            </w:tcBorders>
          </w:tcPr>
          <w:p w14:paraId="672914CA" w14:textId="77777777" w:rsidR="00971795" w:rsidRPr="001362A6" w:rsidRDefault="00971795" w:rsidP="00FD764E">
            <w:pPr>
              <w:rPr>
                <w:rFonts w:ascii="Lato" w:hAnsi="Lato"/>
                <w:sz w:val="22"/>
                <w:szCs w:val="22"/>
              </w:rPr>
            </w:pPr>
          </w:p>
        </w:tc>
      </w:tr>
      <w:tr w:rsidR="00971795" w:rsidRPr="001362A6" w14:paraId="4F16A26D" w14:textId="77777777" w:rsidTr="00A70AEC">
        <w:trPr>
          <w:trHeight w:val="156"/>
        </w:trPr>
        <w:tc>
          <w:tcPr>
            <w:tcW w:w="1316" w:type="dxa"/>
          </w:tcPr>
          <w:p w14:paraId="2426DC4A" w14:textId="77777777" w:rsidR="00971795" w:rsidRPr="001362A6" w:rsidRDefault="00971795" w:rsidP="00971795">
            <w:pPr>
              <w:jc w:val="right"/>
              <w:rPr>
                <w:rFonts w:ascii="Lato" w:hAnsi="Lato"/>
                <w:sz w:val="22"/>
                <w:szCs w:val="22"/>
              </w:rPr>
            </w:pPr>
          </w:p>
        </w:tc>
        <w:tc>
          <w:tcPr>
            <w:tcW w:w="5891" w:type="dxa"/>
          </w:tcPr>
          <w:p w14:paraId="01DDBF0E" w14:textId="77777777" w:rsidR="00971795" w:rsidRPr="001362A6" w:rsidRDefault="00971795" w:rsidP="00206F79">
            <w:pPr>
              <w:pStyle w:val="Heading6"/>
              <w:jc w:val="both"/>
              <w:rPr>
                <w:rFonts w:ascii="Lato" w:hAnsi="Lato"/>
                <w:color w:val="auto"/>
                <w:szCs w:val="22"/>
              </w:rPr>
            </w:pPr>
            <w:r w:rsidRPr="001362A6">
              <w:rPr>
                <w:rFonts w:ascii="Lato" w:hAnsi="Lato"/>
                <w:color w:val="auto"/>
                <w:szCs w:val="22"/>
                <w:u w:val="none"/>
              </w:rPr>
              <w:t>another investment fund</w:t>
            </w:r>
            <w:r w:rsidR="006A1A8B" w:rsidRPr="001362A6">
              <w:rPr>
                <w:rFonts w:ascii="Lato" w:hAnsi="Lato"/>
                <w:color w:val="auto"/>
                <w:szCs w:val="22"/>
                <w:u w:val="none"/>
              </w:rPr>
              <w:t>s</w:t>
            </w:r>
          </w:p>
        </w:tc>
        <w:tc>
          <w:tcPr>
            <w:tcW w:w="3188" w:type="dxa"/>
            <w:tcBorders>
              <w:top w:val="single" w:sz="4" w:space="0" w:color="auto"/>
              <w:bottom w:val="single" w:sz="4" w:space="0" w:color="auto"/>
            </w:tcBorders>
          </w:tcPr>
          <w:p w14:paraId="32F72A18" w14:textId="77777777" w:rsidR="00971795" w:rsidRPr="001362A6" w:rsidRDefault="00971795" w:rsidP="00FD764E">
            <w:pPr>
              <w:rPr>
                <w:rFonts w:ascii="Lato" w:hAnsi="Lato"/>
                <w:sz w:val="22"/>
                <w:szCs w:val="22"/>
              </w:rPr>
            </w:pPr>
          </w:p>
        </w:tc>
      </w:tr>
      <w:tr w:rsidR="00206F79" w:rsidRPr="001362A6" w14:paraId="465BD779" w14:textId="77777777" w:rsidTr="00A70AEC">
        <w:trPr>
          <w:trHeight w:val="156"/>
        </w:trPr>
        <w:tc>
          <w:tcPr>
            <w:tcW w:w="1316" w:type="dxa"/>
          </w:tcPr>
          <w:p w14:paraId="326219EC" w14:textId="77777777" w:rsidR="00206F79" w:rsidRPr="001362A6" w:rsidRDefault="00206F79" w:rsidP="00971795">
            <w:pPr>
              <w:jc w:val="right"/>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788942E8" w14:textId="77777777" w:rsidR="00206F79" w:rsidRPr="001362A6" w:rsidDel="00206F79" w:rsidRDefault="00206F79" w:rsidP="00206F79">
            <w:pPr>
              <w:pStyle w:val="Heading6"/>
              <w:jc w:val="both"/>
              <w:rPr>
                <w:rFonts w:ascii="Lato" w:hAnsi="Lato"/>
                <w:color w:val="auto"/>
                <w:szCs w:val="22"/>
                <w:u w:val="none"/>
              </w:rPr>
            </w:pPr>
            <w:r w:rsidRPr="001362A6">
              <w:rPr>
                <w:rFonts w:ascii="Lato" w:hAnsi="Lato"/>
                <w:color w:val="auto"/>
                <w:szCs w:val="22"/>
                <w:u w:val="none"/>
              </w:rPr>
              <w:t>state that additional fees will arise from this investment policy</w:t>
            </w:r>
          </w:p>
        </w:tc>
        <w:tc>
          <w:tcPr>
            <w:tcW w:w="3188" w:type="dxa"/>
            <w:tcBorders>
              <w:top w:val="single" w:sz="4" w:space="0" w:color="auto"/>
              <w:left w:val="single" w:sz="4" w:space="0" w:color="auto"/>
              <w:bottom w:val="single" w:sz="4" w:space="0" w:color="auto"/>
              <w:right w:val="single" w:sz="4" w:space="0" w:color="auto"/>
            </w:tcBorders>
          </w:tcPr>
          <w:p w14:paraId="44D8A5C2" w14:textId="77777777" w:rsidR="00206F79" w:rsidRPr="001362A6" w:rsidRDefault="00206F79" w:rsidP="00FD764E">
            <w:pPr>
              <w:rPr>
                <w:rFonts w:ascii="Lato" w:hAnsi="Lato"/>
                <w:sz w:val="22"/>
                <w:szCs w:val="22"/>
              </w:rPr>
            </w:pPr>
          </w:p>
        </w:tc>
      </w:tr>
      <w:tr w:rsidR="00971795" w:rsidRPr="001362A6" w14:paraId="6CFDF60B" w14:textId="77777777" w:rsidTr="00990D73">
        <w:trPr>
          <w:trHeight w:val="156"/>
        </w:trPr>
        <w:tc>
          <w:tcPr>
            <w:tcW w:w="1316" w:type="dxa"/>
          </w:tcPr>
          <w:p w14:paraId="4C66082F" w14:textId="77777777" w:rsidR="00971795" w:rsidRPr="001362A6" w:rsidRDefault="00971795" w:rsidP="00971795">
            <w:pPr>
              <w:jc w:val="right"/>
              <w:rPr>
                <w:rFonts w:ascii="Lato" w:hAnsi="Lato"/>
                <w:sz w:val="22"/>
                <w:szCs w:val="22"/>
              </w:rPr>
            </w:pPr>
          </w:p>
        </w:tc>
        <w:tc>
          <w:tcPr>
            <w:tcW w:w="5891" w:type="dxa"/>
          </w:tcPr>
          <w:p w14:paraId="0154DB01" w14:textId="77777777" w:rsidR="00971795" w:rsidRPr="001362A6" w:rsidRDefault="00971795" w:rsidP="00FD764E">
            <w:pPr>
              <w:pStyle w:val="Heading6"/>
              <w:jc w:val="both"/>
              <w:rPr>
                <w:rFonts w:ascii="Lato" w:hAnsi="Lato"/>
                <w:color w:val="auto"/>
                <w:szCs w:val="22"/>
                <w:u w:val="none"/>
              </w:rPr>
            </w:pPr>
          </w:p>
        </w:tc>
        <w:tc>
          <w:tcPr>
            <w:tcW w:w="3188" w:type="dxa"/>
            <w:tcBorders>
              <w:top w:val="single" w:sz="4" w:space="0" w:color="auto"/>
              <w:bottom w:val="single" w:sz="4" w:space="0" w:color="auto"/>
            </w:tcBorders>
          </w:tcPr>
          <w:p w14:paraId="2F62665E" w14:textId="77777777" w:rsidR="00971795" w:rsidRPr="001362A6" w:rsidRDefault="00971795" w:rsidP="00FD764E">
            <w:pPr>
              <w:rPr>
                <w:rFonts w:ascii="Lato" w:hAnsi="Lato"/>
                <w:sz w:val="22"/>
                <w:szCs w:val="22"/>
              </w:rPr>
            </w:pPr>
          </w:p>
        </w:tc>
      </w:tr>
      <w:tr w:rsidR="00971795" w:rsidRPr="001362A6" w14:paraId="75CD9434" w14:textId="77777777" w:rsidTr="00990D73">
        <w:trPr>
          <w:trHeight w:val="156"/>
        </w:trPr>
        <w:tc>
          <w:tcPr>
            <w:tcW w:w="1316" w:type="dxa"/>
          </w:tcPr>
          <w:p w14:paraId="65D4FDCA" w14:textId="77777777" w:rsidR="00971795" w:rsidRPr="001362A6" w:rsidRDefault="00971795" w:rsidP="00971795">
            <w:pPr>
              <w:jc w:val="right"/>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3719254B" w14:textId="77777777" w:rsidR="00971795" w:rsidRPr="001362A6" w:rsidRDefault="00206F79" w:rsidP="00FD764E">
            <w:pPr>
              <w:pStyle w:val="Heading6"/>
              <w:jc w:val="both"/>
              <w:rPr>
                <w:rFonts w:ascii="Lato" w:hAnsi="Lato"/>
                <w:color w:val="auto"/>
                <w:szCs w:val="22"/>
              </w:rPr>
            </w:pPr>
            <w:r w:rsidRPr="001362A6">
              <w:rPr>
                <w:rFonts w:ascii="Lato" w:hAnsi="Lato"/>
                <w:color w:val="auto"/>
                <w:szCs w:val="22"/>
                <w:u w:val="none"/>
              </w:rPr>
              <w:t>Disclose and quantify to the extent possible</w:t>
            </w:r>
          </w:p>
        </w:tc>
        <w:tc>
          <w:tcPr>
            <w:tcW w:w="3188" w:type="dxa"/>
            <w:tcBorders>
              <w:top w:val="single" w:sz="4" w:space="0" w:color="auto"/>
              <w:left w:val="single" w:sz="4" w:space="0" w:color="auto"/>
              <w:bottom w:val="single" w:sz="4" w:space="0" w:color="auto"/>
              <w:right w:val="single" w:sz="4" w:space="0" w:color="auto"/>
            </w:tcBorders>
          </w:tcPr>
          <w:p w14:paraId="5AB89233" w14:textId="77777777" w:rsidR="00971795" w:rsidRPr="001362A6" w:rsidRDefault="00971795" w:rsidP="00FD764E">
            <w:pPr>
              <w:rPr>
                <w:rFonts w:ascii="Lato" w:hAnsi="Lato"/>
                <w:sz w:val="22"/>
                <w:szCs w:val="22"/>
              </w:rPr>
            </w:pPr>
          </w:p>
        </w:tc>
      </w:tr>
      <w:tr w:rsidR="00971795" w:rsidRPr="001362A6" w14:paraId="210361BE" w14:textId="77777777" w:rsidTr="00990D73">
        <w:trPr>
          <w:trHeight w:val="156"/>
        </w:trPr>
        <w:tc>
          <w:tcPr>
            <w:tcW w:w="1316" w:type="dxa"/>
          </w:tcPr>
          <w:p w14:paraId="6ABB7B62" w14:textId="77777777" w:rsidR="00971795" w:rsidRPr="001362A6" w:rsidRDefault="00971795" w:rsidP="00971795">
            <w:pPr>
              <w:jc w:val="right"/>
              <w:rPr>
                <w:rFonts w:ascii="Lato" w:hAnsi="Lato"/>
                <w:sz w:val="22"/>
                <w:szCs w:val="22"/>
              </w:rPr>
            </w:pPr>
          </w:p>
        </w:tc>
        <w:tc>
          <w:tcPr>
            <w:tcW w:w="5891" w:type="dxa"/>
          </w:tcPr>
          <w:p w14:paraId="35795F67" w14:textId="77777777" w:rsidR="00971795" w:rsidRPr="001362A6" w:rsidRDefault="00206F79" w:rsidP="00FD764E">
            <w:pPr>
              <w:pStyle w:val="Heading6"/>
              <w:jc w:val="both"/>
              <w:rPr>
                <w:rFonts w:ascii="Lato" w:hAnsi="Lato"/>
                <w:color w:val="auto"/>
                <w:szCs w:val="22"/>
              </w:rPr>
            </w:pPr>
            <w:r w:rsidRPr="001362A6">
              <w:rPr>
                <w:rFonts w:ascii="Lato" w:hAnsi="Lato"/>
                <w:color w:val="auto"/>
                <w:szCs w:val="22"/>
                <w:u w:val="none"/>
              </w:rPr>
              <w:t xml:space="preserve"> the types of charges, and other costs, relating to the underlying investment funds which will be borne by the Qualifying Investor AIF</w:t>
            </w:r>
          </w:p>
        </w:tc>
        <w:tc>
          <w:tcPr>
            <w:tcW w:w="3188" w:type="dxa"/>
            <w:tcBorders>
              <w:top w:val="single" w:sz="4" w:space="0" w:color="auto"/>
            </w:tcBorders>
          </w:tcPr>
          <w:p w14:paraId="0C4DD57A" w14:textId="77777777" w:rsidR="00971795" w:rsidRPr="001362A6" w:rsidRDefault="00971795" w:rsidP="00FD764E">
            <w:pPr>
              <w:rPr>
                <w:rFonts w:ascii="Lato" w:hAnsi="Lato"/>
                <w:sz w:val="22"/>
                <w:szCs w:val="22"/>
              </w:rPr>
            </w:pPr>
          </w:p>
        </w:tc>
      </w:tr>
      <w:tr w:rsidR="00971795" w:rsidRPr="001362A6" w14:paraId="4360AB99" w14:textId="77777777" w:rsidTr="00990D73">
        <w:trPr>
          <w:trHeight w:val="156"/>
        </w:trPr>
        <w:tc>
          <w:tcPr>
            <w:tcW w:w="1316" w:type="dxa"/>
          </w:tcPr>
          <w:p w14:paraId="19C98740" w14:textId="77777777" w:rsidR="00971795" w:rsidRPr="001362A6" w:rsidRDefault="00971795" w:rsidP="00971795">
            <w:pPr>
              <w:jc w:val="right"/>
              <w:rPr>
                <w:rFonts w:ascii="Lato" w:hAnsi="Lato"/>
                <w:sz w:val="22"/>
                <w:szCs w:val="22"/>
              </w:rPr>
            </w:pPr>
          </w:p>
        </w:tc>
        <w:tc>
          <w:tcPr>
            <w:tcW w:w="5891" w:type="dxa"/>
          </w:tcPr>
          <w:p w14:paraId="635651D4" w14:textId="77777777" w:rsidR="00971795" w:rsidRPr="001362A6" w:rsidRDefault="00971795" w:rsidP="00FD764E">
            <w:pPr>
              <w:pStyle w:val="Heading6"/>
              <w:jc w:val="both"/>
              <w:rPr>
                <w:rFonts w:ascii="Lato" w:hAnsi="Lato"/>
                <w:color w:val="auto"/>
                <w:szCs w:val="22"/>
              </w:rPr>
            </w:pPr>
          </w:p>
        </w:tc>
        <w:tc>
          <w:tcPr>
            <w:tcW w:w="3188" w:type="dxa"/>
          </w:tcPr>
          <w:p w14:paraId="018E18F9" w14:textId="77777777" w:rsidR="00971795" w:rsidRPr="001362A6" w:rsidRDefault="00971795" w:rsidP="00FD764E">
            <w:pPr>
              <w:rPr>
                <w:rFonts w:ascii="Lato" w:hAnsi="Lato"/>
                <w:sz w:val="22"/>
                <w:szCs w:val="22"/>
              </w:rPr>
            </w:pPr>
          </w:p>
        </w:tc>
      </w:tr>
      <w:tr w:rsidR="00971795" w:rsidRPr="001362A6" w14:paraId="2E68C8A7" w14:textId="77777777" w:rsidTr="00990D73">
        <w:trPr>
          <w:trHeight w:val="156"/>
        </w:trPr>
        <w:tc>
          <w:tcPr>
            <w:tcW w:w="1316" w:type="dxa"/>
          </w:tcPr>
          <w:p w14:paraId="6EA3EDB0" w14:textId="77777777" w:rsidR="00971795" w:rsidRPr="001362A6" w:rsidRDefault="00971795" w:rsidP="00971795">
            <w:pPr>
              <w:jc w:val="right"/>
              <w:rPr>
                <w:rFonts w:ascii="Lato" w:hAnsi="Lato"/>
                <w:sz w:val="22"/>
                <w:szCs w:val="22"/>
              </w:rPr>
            </w:pPr>
            <w:r w:rsidRPr="001362A6">
              <w:rPr>
                <w:rFonts w:ascii="Lato" w:hAnsi="Lato"/>
                <w:sz w:val="22"/>
                <w:szCs w:val="22"/>
              </w:rPr>
              <w:t>(iii)</w:t>
            </w:r>
          </w:p>
        </w:tc>
        <w:tc>
          <w:tcPr>
            <w:tcW w:w="5891" w:type="dxa"/>
            <w:tcBorders>
              <w:right w:val="single" w:sz="4" w:space="0" w:color="auto"/>
            </w:tcBorders>
          </w:tcPr>
          <w:p w14:paraId="21E26DD4" w14:textId="77777777" w:rsidR="00971795" w:rsidRPr="001362A6" w:rsidRDefault="00971795" w:rsidP="00971795">
            <w:pPr>
              <w:pStyle w:val="Heading6"/>
              <w:jc w:val="both"/>
              <w:rPr>
                <w:rFonts w:ascii="Lato" w:hAnsi="Lato"/>
                <w:color w:val="auto"/>
                <w:szCs w:val="22"/>
                <w:u w:val="none"/>
              </w:rPr>
            </w:pPr>
            <w:r w:rsidRPr="001362A6">
              <w:rPr>
                <w:rFonts w:ascii="Lato" w:hAnsi="Lato"/>
                <w:color w:val="auto"/>
                <w:szCs w:val="22"/>
                <w:u w:val="none"/>
              </w:rPr>
              <w:t>Disclose where the underlying funds are established</w:t>
            </w:r>
          </w:p>
        </w:tc>
        <w:tc>
          <w:tcPr>
            <w:tcW w:w="3188" w:type="dxa"/>
            <w:tcBorders>
              <w:top w:val="single" w:sz="4" w:space="0" w:color="auto"/>
              <w:left w:val="single" w:sz="4" w:space="0" w:color="auto"/>
              <w:bottom w:val="single" w:sz="4" w:space="0" w:color="auto"/>
              <w:right w:val="single" w:sz="4" w:space="0" w:color="auto"/>
            </w:tcBorders>
          </w:tcPr>
          <w:p w14:paraId="069C1F48" w14:textId="77777777" w:rsidR="00971795" w:rsidRPr="001362A6" w:rsidRDefault="00971795" w:rsidP="00FD764E">
            <w:pPr>
              <w:rPr>
                <w:rFonts w:ascii="Lato" w:hAnsi="Lato"/>
                <w:sz w:val="22"/>
                <w:szCs w:val="22"/>
              </w:rPr>
            </w:pPr>
          </w:p>
        </w:tc>
      </w:tr>
      <w:tr w:rsidR="00971795" w:rsidRPr="001362A6" w14:paraId="03D4C571" w14:textId="77777777" w:rsidTr="00990D73">
        <w:trPr>
          <w:trHeight w:val="156"/>
        </w:trPr>
        <w:tc>
          <w:tcPr>
            <w:tcW w:w="1316" w:type="dxa"/>
          </w:tcPr>
          <w:p w14:paraId="04E66AB1" w14:textId="77777777" w:rsidR="00971795" w:rsidRPr="001362A6" w:rsidRDefault="00971795" w:rsidP="00971795">
            <w:pPr>
              <w:jc w:val="right"/>
              <w:rPr>
                <w:rFonts w:ascii="Lato" w:hAnsi="Lato"/>
                <w:sz w:val="22"/>
                <w:szCs w:val="22"/>
              </w:rPr>
            </w:pPr>
          </w:p>
        </w:tc>
        <w:tc>
          <w:tcPr>
            <w:tcW w:w="5891" w:type="dxa"/>
          </w:tcPr>
          <w:p w14:paraId="1697A85F" w14:textId="77777777" w:rsidR="00971795" w:rsidRPr="001362A6" w:rsidRDefault="00971795" w:rsidP="00971795">
            <w:pPr>
              <w:pStyle w:val="Heading6"/>
              <w:jc w:val="both"/>
              <w:rPr>
                <w:rFonts w:ascii="Lato" w:hAnsi="Lato"/>
                <w:color w:val="auto"/>
                <w:szCs w:val="22"/>
                <w:u w:val="none"/>
              </w:rPr>
            </w:pPr>
          </w:p>
        </w:tc>
        <w:tc>
          <w:tcPr>
            <w:tcW w:w="3188" w:type="dxa"/>
            <w:tcBorders>
              <w:top w:val="single" w:sz="4" w:space="0" w:color="auto"/>
              <w:bottom w:val="single" w:sz="4" w:space="0" w:color="auto"/>
            </w:tcBorders>
          </w:tcPr>
          <w:p w14:paraId="53231476" w14:textId="77777777" w:rsidR="00971795" w:rsidRPr="001362A6" w:rsidRDefault="00971795" w:rsidP="00FD764E">
            <w:pPr>
              <w:rPr>
                <w:rFonts w:ascii="Lato" w:hAnsi="Lato"/>
                <w:sz w:val="22"/>
                <w:szCs w:val="22"/>
              </w:rPr>
            </w:pPr>
          </w:p>
        </w:tc>
      </w:tr>
      <w:tr w:rsidR="00971795" w:rsidRPr="001362A6" w14:paraId="459AA6C0" w14:textId="77777777" w:rsidTr="00990D73">
        <w:trPr>
          <w:trHeight w:val="156"/>
        </w:trPr>
        <w:tc>
          <w:tcPr>
            <w:tcW w:w="1316" w:type="dxa"/>
          </w:tcPr>
          <w:p w14:paraId="14A739F9" w14:textId="77777777" w:rsidR="00971795" w:rsidRPr="001362A6" w:rsidRDefault="00971795" w:rsidP="00971795">
            <w:pPr>
              <w:jc w:val="right"/>
              <w:rPr>
                <w:rFonts w:ascii="Lato" w:hAnsi="Lato"/>
                <w:sz w:val="22"/>
                <w:szCs w:val="22"/>
              </w:rPr>
            </w:pPr>
            <w:r w:rsidRPr="001362A6">
              <w:rPr>
                <w:rFonts w:ascii="Lato" w:hAnsi="Lato"/>
                <w:sz w:val="22"/>
                <w:szCs w:val="22"/>
              </w:rPr>
              <w:t>(iv)</w:t>
            </w:r>
          </w:p>
        </w:tc>
        <w:tc>
          <w:tcPr>
            <w:tcW w:w="5891" w:type="dxa"/>
            <w:tcBorders>
              <w:right w:val="single" w:sz="4" w:space="0" w:color="auto"/>
            </w:tcBorders>
          </w:tcPr>
          <w:p w14:paraId="6E67C897" w14:textId="77777777" w:rsidR="00971795" w:rsidRPr="001362A6" w:rsidRDefault="00971795" w:rsidP="00D95E9D">
            <w:pPr>
              <w:pStyle w:val="Heading6"/>
              <w:jc w:val="both"/>
              <w:rPr>
                <w:rFonts w:ascii="Lato" w:hAnsi="Lato"/>
                <w:color w:val="auto"/>
                <w:szCs w:val="22"/>
                <w:u w:val="none"/>
              </w:rPr>
            </w:pPr>
            <w:r w:rsidRPr="001362A6">
              <w:rPr>
                <w:rFonts w:ascii="Lato" w:hAnsi="Lato"/>
                <w:color w:val="auto"/>
                <w:szCs w:val="22"/>
                <w:u w:val="none"/>
              </w:rPr>
              <w:t xml:space="preserve">where a Qualifying investor AIF </w:t>
            </w:r>
            <w:r w:rsidR="007F094D" w:rsidRPr="001362A6">
              <w:rPr>
                <w:rFonts w:ascii="Lato" w:hAnsi="Lato"/>
                <w:color w:val="auto"/>
                <w:szCs w:val="22"/>
                <w:u w:val="none"/>
              </w:rPr>
              <w:t xml:space="preserve">is a fund of funds it </w:t>
            </w:r>
            <w:r w:rsidRPr="001362A6">
              <w:rPr>
                <w:rFonts w:ascii="Lato" w:hAnsi="Lato"/>
                <w:color w:val="auto"/>
                <w:szCs w:val="22"/>
                <w:u w:val="none"/>
              </w:rPr>
              <w:t>may</w:t>
            </w:r>
            <w:r w:rsidR="007F094D" w:rsidRPr="001362A6">
              <w:rPr>
                <w:rFonts w:ascii="Lato" w:hAnsi="Lato"/>
                <w:color w:val="auto"/>
                <w:szCs w:val="22"/>
                <w:u w:val="none"/>
              </w:rPr>
              <w:t xml:space="preserve"> </w:t>
            </w:r>
          </w:p>
        </w:tc>
        <w:tc>
          <w:tcPr>
            <w:tcW w:w="3188" w:type="dxa"/>
            <w:tcBorders>
              <w:top w:val="single" w:sz="4" w:space="0" w:color="auto"/>
              <w:left w:val="single" w:sz="4" w:space="0" w:color="auto"/>
              <w:bottom w:val="single" w:sz="4" w:space="0" w:color="auto"/>
              <w:right w:val="single" w:sz="4" w:space="0" w:color="auto"/>
            </w:tcBorders>
          </w:tcPr>
          <w:p w14:paraId="1E873F78" w14:textId="77777777" w:rsidR="00971795" w:rsidRPr="001362A6" w:rsidRDefault="00971795" w:rsidP="00FD764E">
            <w:pPr>
              <w:rPr>
                <w:rFonts w:ascii="Lato" w:hAnsi="Lato"/>
                <w:sz w:val="22"/>
                <w:szCs w:val="22"/>
              </w:rPr>
            </w:pPr>
          </w:p>
        </w:tc>
      </w:tr>
      <w:tr w:rsidR="00971795" w:rsidRPr="001362A6" w14:paraId="44F2FF3C" w14:textId="77777777" w:rsidTr="00990D73">
        <w:trPr>
          <w:trHeight w:val="156"/>
        </w:trPr>
        <w:tc>
          <w:tcPr>
            <w:tcW w:w="1316" w:type="dxa"/>
          </w:tcPr>
          <w:p w14:paraId="58FBEA84" w14:textId="77777777" w:rsidR="00971795" w:rsidRPr="001362A6" w:rsidRDefault="00971795" w:rsidP="00971795">
            <w:pPr>
              <w:jc w:val="right"/>
              <w:rPr>
                <w:rFonts w:ascii="Lato" w:hAnsi="Lato"/>
                <w:sz w:val="22"/>
                <w:szCs w:val="22"/>
              </w:rPr>
            </w:pPr>
          </w:p>
        </w:tc>
        <w:tc>
          <w:tcPr>
            <w:tcW w:w="5891" w:type="dxa"/>
          </w:tcPr>
          <w:p w14:paraId="5360B0D4" w14:textId="77777777" w:rsidR="00971795" w:rsidRPr="001362A6" w:rsidRDefault="00A21DB1" w:rsidP="00D95E9D">
            <w:pPr>
              <w:pStyle w:val="Heading6"/>
              <w:jc w:val="both"/>
              <w:rPr>
                <w:rFonts w:ascii="Lato" w:hAnsi="Lato"/>
                <w:color w:val="auto"/>
                <w:szCs w:val="22"/>
                <w:u w:val="none"/>
              </w:rPr>
            </w:pPr>
            <w:r w:rsidRPr="00590C6D">
              <w:rPr>
                <w:rFonts w:ascii="Lato" w:hAnsi="Lato"/>
                <w:color w:val="auto"/>
                <w:szCs w:val="22"/>
                <w:u w:val="none"/>
              </w:rPr>
              <w:t xml:space="preserve">only </w:t>
            </w:r>
            <w:r w:rsidR="00F24645" w:rsidRPr="001362A6">
              <w:rPr>
                <w:rFonts w:ascii="Lato" w:hAnsi="Lato"/>
                <w:color w:val="auto"/>
                <w:szCs w:val="22"/>
                <w:u w:val="none"/>
              </w:rPr>
              <w:t xml:space="preserve">invest in other </w:t>
            </w:r>
            <w:r w:rsidR="00971795" w:rsidRPr="001362A6">
              <w:rPr>
                <w:rFonts w:ascii="Lato" w:hAnsi="Lato"/>
                <w:color w:val="auto"/>
                <w:szCs w:val="22"/>
                <w:u w:val="none"/>
              </w:rPr>
              <w:t>investment fund which itself invests more than 50% of net</w:t>
            </w:r>
            <w:r w:rsidR="00650A88" w:rsidRPr="001362A6">
              <w:rPr>
                <w:rFonts w:ascii="Lato" w:hAnsi="Lato"/>
                <w:color w:val="auto"/>
                <w:szCs w:val="22"/>
                <w:u w:val="none"/>
              </w:rPr>
              <w:t xml:space="preserve"> assets in other investment funds, </w:t>
            </w:r>
          </w:p>
        </w:tc>
        <w:tc>
          <w:tcPr>
            <w:tcW w:w="3188" w:type="dxa"/>
            <w:tcBorders>
              <w:top w:val="single" w:sz="4" w:space="0" w:color="auto"/>
            </w:tcBorders>
          </w:tcPr>
          <w:p w14:paraId="3F6C9DEA" w14:textId="77777777" w:rsidR="00971795" w:rsidRPr="001362A6" w:rsidRDefault="00971795" w:rsidP="00FD764E">
            <w:pPr>
              <w:rPr>
                <w:rFonts w:ascii="Lato" w:hAnsi="Lato"/>
                <w:sz w:val="22"/>
                <w:szCs w:val="22"/>
              </w:rPr>
            </w:pPr>
          </w:p>
        </w:tc>
      </w:tr>
      <w:tr w:rsidR="00971795" w:rsidRPr="001362A6" w14:paraId="59E991F2" w14:textId="77777777" w:rsidTr="00990D73">
        <w:trPr>
          <w:trHeight w:val="156"/>
        </w:trPr>
        <w:tc>
          <w:tcPr>
            <w:tcW w:w="1316" w:type="dxa"/>
          </w:tcPr>
          <w:p w14:paraId="393689D9" w14:textId="77777777" w:rsidR="00971795" w:rsidRPr="001362A6" w:rsidRDefault="00971795" w:rsidP="00971795">
            <w:pPr>
              <w:jc w:val="right"/>
              <w:rPr>
                <w:rFonts w:ascii="Lato" w:hAnsi="Lato"/>
                <w:sz w:val="22"/>
                <w:szCs w:val="22"/>
              </w:rPr>
            </w:pPr>
          </w:p>
        </w:tc>
        <w:tc>
          <w:tcPr>
            <w:tcW w:w="5891" w:type="dxa"/>
          </w:tcPr>
          <w:p w14:paraId="7C5316A1" w14:textId="77777777" w:rsidR="00971795" w:rsidRPr="001362A6" w:rsidRDefault="00A21DB1" w:rsidP="00D95E9D">
            <w:pPr>
              <w:pStyle w:val="Heading6"/>
              <w:jc w:val="both"/>
              <w:rPr>
                <w:rFonts w:ascii="Lato" w:hAnsi="Lato"/>
                <w:color w:val="auto"/>
                <w:szCs w:val="22"/>
                <w:u w:val="none"/>
              </w:rPr>
            </w:pPr>
            <w:r w:rsidRPr="00590C6D">
              <w:rPr>
                <w:rFonts w:ascii="Lato" w:hAnsi="Lato"/>
                <w:color w:val="auto"/>
                <w:szCs w:val="22"/>
                <w:u w:val="none"/>
              </w:rPr>
              <w:t>provide clear</w:t>
            </w:r>
            <w:r w:rsidRPr="00D95E9D">
              <w:rPr>
                <w:rFonts w:ascii="Lato" w:hAnsi="Lato"/>
                <w:color w:val="auto"/>
                <w:szCs w:val="22"/>
                <w:u w:val="none"/>
              </w:rPr>
              <w:t xml:space="preserve"> </w:t>
            </w:r>
            <w:r w:rsidR="00971795" w:rsidRPr="001362A6">
              <w:rPr>
                <w:rFonts w:ascii="Lato" w:hAnsi="Lato"/>
                <w:color w:val="auto"/>
                <w:szCs w:val="22"/>
                <w:u w:val="none"/>
              </w:rPr>
              <w:t>disclosure</w:t>
            </w:r>
            <w:r w:rsidR="00650A88" w:rsidRPr="001362A6">
              <w:rPr>
                <w:rFonts w:ascii="Lato" w:hAnsi="Lato"/>
                <w:color w:val="auto"/>
                <w:szCs w:val="22"/>
                <w:u w:val="none"/>
              </w:rPr>
              <w:t xml:space="preserve"> regarding increased costs and lack </w:t>
            </w:r>
          </w:p>
        </w:tc>
        <w:tc>
          <w:tcPr>
            <w:tcW w:w="3188" w:type="dxa"/>
          </w:tcPr>
          <w:p w14:paraId="1A9825A9" w14:textId="77777777" w:rsidR="00971795" w:rsidRPr="001362A6" w:rsidRDefault="00971795" w:rsidP="00FD764E">
            <w:pPr>
              <w:rPr>
                <w:rFonts w:ascii="Lato" w:hAnsi="Lato"/>
                <w:sz w:val="22"/>
                <w:szCs w:val="22"/>
              </w:rPr>
            </w:pPr>
          </w:p>
        </w:tc>
      </w:tr>
      <w:tr w:rsidR="00971795" w:rsidRPr="001362A6" w14:paraId="4D31891D" w14:textId="77777777" w:rsidTr="00990D73">
        <w:trPr>
          <w:trHeight w:val="156"/>
        </w:trPr>
        <w:tc>
          <w:tcPr>
            <w:tcW w:w="1316" w:type="dxa"/>
          </w:tcPr>
          <w:p w14:paraId="7090CAAD" w14:textId="77777777" w:rsidR="00971795" w:rsidRPr="001362A6" w:rsidRDefault="00971795" w:rsidP="00971795">
            <w:pPr>
              <w:jc w:val="right"/>
              <w:rPr>
                <w:rFonts w:ascii="Lato" w:hAnsi="Lato"/>
                <w:sz w:val="22"/>
                <w:szCs w:val="22"/>
              </w:rPr>
            </w:pPr>
          </w:p>
        </w:tc>
        <w:tc>
          <w:tcPr>
            <w:tcW w:w="5891" w:type="dxa"/>
          </w:tcPr>
          <w:p w14:paraId="7DBC3FE9" w14:textId="77777777" w:rsidR="00971795" w:rsidRPr="001362A6" w:rsidRDefault="00A21DB1" w:rsidP="00D95E9D">
            <w:pPr>
              <w:pStyle w:val="Heading6"/>
              <w:jc w:val="both"/>
              <w:rPr>
                <w:rFonts w:ascii="Lato" w:hAnsi="Lato"/>
                <w:color w:val="auto"/>
                <w:szCs w:val="22"/>
                <w:u w:val="none"/>
              </w:rPr>
            </w:pPr>
            <w:r w:rsidRPr="00590C6D">
              <w:rPr>
                <w:rFonts w:ascii="Lato" w:hAnsi="Lato"/>
                <w:color w:val="auto"/>
                <w:szCs w:val="22"/>
                <w:u w:val="none"/>
              </w:rPr>
              <w:t>of transparency</w:t>
            </w:r>
            <w:r w:rsidRPr="00D95E9D">
              <w:rPr>
                <w:rFonts w:ascii="Lato" w:hAnsi="Lato"/>
                <w:color w:val="auto"/>
                <w:szCs w:val="22"/>
                <w:u w:val="none"/>
              </w:rPr>
              <w:t xml:space="preserve"> </w:t>
            </w:r>
            <w:r w:rsidR="007F094D" w:rsidRPr="001362A6">
              <w:rPr>
                <w:rFonts w:ascii="Lato" w:hAnsi="Lato"/>
                <w:color w:val="auto"/>
                <w:szCs w:val="22"/>
                <w:u w:val="none"/>
              </w:rPr>
              <w:t>concerning</w:t>
            </w:r>
            <w:r w:rsidR="00650A88" w:rsidRPr="001362A6">
              <w:rPr>
                <w:rFonts w:ascii="Lato" w:hAnsi="Lato"/>
                <w:color w:val="auto"/>
                <w:szCs w:val="22"/>
                <w:u w:val="none"/>
              </w:rPr>
              <w:t xml:space="preserve"> the ultimate exposure  (Any </w:t>
            </w:r>
          </w:p>
        </w:tc>
        <w:tc>
          <w:tcPr>
            <w:tcW w:w="3188" w:type="dxa"/>
          </w:tcPr>
          <w:p w14:paraId="39ECD198" w14:textId="77777777" w:rsidR="00971795" w:rsidRPr="001362A6" w:rsidRDefault="00971795" w:rsidP="00FD764E">
            <w:pPr>
              <w:rPr>
                <w:rFonts w:ascii="Lato" w:hAnsi="Lato"/>
                <w:sz w:val="22"/>
                <w:szCs w:val="22"/>
              </w:rPr>
            </w:pPr>
          </w:p>
        </w:tc>
      </w:tr>
      <w:tr w:rsidR="007F094D" w:rsidRPr="001362A6" w14:paraId="11D9D9FB" w14:textId="77777777" w:rsidTr="00990D73">
        <w:trPr>
          <w:trHeight w:val="156"/>
        </w:trPr>
        <w:tc>
          <w:tcPr>
            <w:tcW w:w="1316" w:type="dxa"/>
          </w:tcPr>
          <w:p w14:paraId="0065EFA9" w14:textId="77777777" w:rsidR="007F094D" w:rsidRPr="001362A6" w:rsidRDefault="007F094D" w:rsidP="00971795">
            <w:pPr>
              <w:jc w:val="right"/>
              <w:rPr>
                <w:rFonts w:ascii="Lato" w:hAnsi="Lato"/>
                <w:sz w:val="22"/>
                <w:szCs w:val="22"/>
              </w:rPr>
            </w:pPr>
          </w:p>
        </w:tc>
        <w:tc>
          <w:tcPr>
            <w:tcW w:w="5891" w:type="dxa"/>
          </w:tcPr>
          <w:p w14:paraId="61A7DCDE" w14:textId="77777777" w:rsidR="007F094D" w:rsidRPr="001362A6" w:rsidRDefault="00A21DB1" w:rsidP="00C41DD8">
            <w:pPr>
              <w:pStyle w:val="Heading6"/>
              <w:jc w:val="both"/>
              <w:rPr>
                <w:rFonts w:ascii="Lato" w:hAnsi="Lato"/>
                <w:color w:val="auto"/>
                <w:szCs w:val="22"/>
                <w:u w:val="none"/>
              </w:rPr>
            </w:pPr>
            <w:r w:rsidRPr="00590C6D">
              <w:rPr>
                <w:rFonts w:ascii="Lato" w:hAnsi="Lato"/>
                <w:color w:val="auto"/>
                <w:szCs w:val="22"/>
                <w:u w:val="none"/>
              </w:rPr>
              <w:t xml:space="preserve">such investments must </w:t>
            </w:r>
            <w:r w:rsidR="00650A88" w:rsidRPr="001362A6">
              <w:rPr>
                <w:rFonts w:ascii="Lato" w:hAnsi="Lato"/>
                <w:color w:val="auto"/>
                <w:szCs w:val="22"/>
                <w:u w:val="none"/>
              </w:rPr>
              <w:t xml:space="preserve">not </w:t>
            </w:r>
            <w:r w:rsidR="00AF504A" w:rsidRPr="001362A6">
              <w:rPr>
                <w:rFonts w:ascii="Lato" w:hAnsi="Lato"/>
                <w:color w:val="auto"/>
                <w:szCs w:val="22"/>
                <w:u w:val="none"/>
              </w:rPr>
              <w:t>be made for the purpose of duplicating management and/or investment management fees</w:t>
            </w:r>
            <w:r w:rsidR="00C41DD8" w:rsidRPr="001362A6">
              <w:rPr>
                <w:rFonts w:ascii="Lato" w:hAnsi="Lato"/>
                <w:color w:val="auto"/>
                <w:szCs w:val="22"/>
                <w:u w:val="none"/>
              </w:rPr>
              <w:t>)</w:t>
            </w:r>
          </w:p>
        </w:tc>
        <w:tc>
          <w:tcPr>
            <w:tcW w:w="3188" w:type="dxa"/>
          </w:tcPr>
          <w:p w14:paraId="7FD10C82" w14:textId="77777777" w:rsidR="007F094D" w:rsidRPr="001362A6" w:rsidRDefault="007F094D" w:rsidP="00FD764E">
            <w:pPr>
              <w:rPr>
                <w:rFonts w:ascii="Lato" w:hAnsi="Lato"/>
                <w:sz w:val="22"/>
                <w:szCs w:val="22"/>
              </w:rPr>
            </w:pPr>
          </w:p>
        </w:tc>
      </w:tr>
      <w:tr w:rsidR="00971795" w:rsidRPr="001362A6" w14:paraId="32435C41" w14:textId="77777777" w:rsidTr="00990D73">
        <w:trPr>
          <w:trHeight w:val="156"/>
        </w:trPr>
        <w:tc>
          <w:tcPr>
            <w:tcW w:w="1316" w:type="dxa"/>
          </w:tcPr>
          <w:p w14:paraId="6D8C244F" w14:textId="77777777" w:rsidR="00971795" w:rsidRPr="001362A6" w:rsidRDefault="00971795" w:rsidP="00971795">
            <w:pPr>
              <w:jc w:val="right"/>
              <w:rPr>
                <w:rFonts w:ascii="Lato" w:hAnsi="Lato"/>
                <w:sz w:val="22"/>
                <w:szCs w:val="22"/>
              </w:rPr>
            </w:pPr>
          </w:p>
        </w:tc>
        <w:tc>
          <w:tcPr>
            <w:tcW w:w="5891" w:type="dxa"/>
          </w:tcPr>
          <w:p w14:paraId="3459D865" w14:textId="77777777" w:rsidR="00971795" w:rsidRPr="001362A6" w:rsidRDefault="00971795" w:rsidP="00971795">
            <w:pPr>
              <w:pStyle w:val="Heading6"/>
              <w:jc w:val="both"/>
              <w:rPr>
                <w:rFonts w:ascii="Lato" w:hAnsi="Lato"/>
                <w:color w:val="auto"/>
                <w:szCs w:val="22"/>
                <w:u w:val="none"/>
              </w:rPr>
            </w:pPr>
          </w:p>
        </w:tc>
        <w:tc>
          <w:tcPr>
            <w:tcW w:w="3188" w:type="dxa"/>
            <w:tcBorders>
              <w:bottom w:val="single" w:sz="4" w:space="0" w:color="auto"/>
            </w:tcBorders>
          </w:tcPr>
          <w:p w14:paraId="75CF7188" w14:textId="77777777" w:rsidR="00971795" w:rsidRPr="001362A6" w:rsidRDefault="00971795" w:rsidP="00FD764E">
            <w:pPr>
              <w:rPr>
                <w:rFonts w:ascii="Lato" w:hAnsi="Lato"/>
                <w:sz w:val="22"/>
                <w:szCs w:val="22"/>
              </w:rPr>
            </w:pPr>
          </w:p>
        </w:tc>
      </w:tr>
      <w:tr w:rsidR="00AC48D2" w:rsidRPr="001362A6" w14:paraId="3B0CE30F" w14:textId="77777777" w:rsidTr="00990D73">
        <w:trPr>
          <w:trHeight w:val="156"/>
        </w:trPr>
        <w:tc>
          <w:tcPr>
            <w:tcW w:w="1316" w:type="dxa"/>
          </w:tcPr>
          <w:p w14:paraId="5D36E82D" w14:textId="77777777" w:rsidR="00AC48D2" w:rsidRPr="001362A6" w:rsidRDefault="00E81A3D" w:rsidP="00971795">
            <w:pPr>
              <w:jc w:val="right"/>
              <w:rPr>
                <w:rFonts w:ascii="Lato" w:hAnsi="Lato"/>
                <w:sz w:val="22"/>
                <w:szCs w:val="22"/>
              </w:rPr>
            </w:pPr>
            <w:r w:rsidRPr="001362A6">
              <w:rPr>
                <w:rFonts w:ascii="Lato" w:hAnsi="Lato"/>
                <w:sz w:val="22"/>
                <w:szCs w:val="22"/>
              </w:rPr>
              <w:t>(v</w:t>
            </w:r>
            <w:r w:rsidR="00AC48D2" w:rsidRPr="001362A6">
              <w:rPr>
                <w:rFonts w:ascii="Lato" w:hAnsi="Lato"/>
                <w:sz w:val="22"/>
                <w:szCs w:val="22"/>
              </w:rPr>
              <w:t>)</w:t>
            </w:r>
          </w:p>
        </w:tc>
        <w:tc>
          <w:tcPr>
            <w:tcW w:w="5891" w:type="dxa"/>
            <w:tcBorders>
              <w:right w:val="single" w:sz="4" w:space="0" w:color="auto"/>
            </w:tcBorders>
          </w:tcPr>
          <w:p w14:paraId="1E75F9E4" w14:textId="77777777" w:rsidR="00AC48D2" w:rsidRPr="001362A6" w:rsidRDefault="00AC48D2" w:rsidP="001E0BA6">
            <w:pPr>
              <w:pStyle w:val="Heading6"/>
              <w:jc w:val="both"/>
              <w:rPr>
                <w:rFonts w:ascii="Lato" w:hAnsi="Lato"/>
                <w:color w:val="auto"/>
                <w:szCs w:val="22"/>
                <w:u w:val="none"/>
              </w:rPr>
            </w:pPr>
            <w:r w:rsidRPr="001362A6">
              <w:rPr>
                <w:rFonts w:ascii="Lato" w:hAnsi="Lato"/>
                <w:color w:val="auto"/>
                <w:szCs w:val="22"/>
                <w:u w:val="none"/>
              </w:rPr>
              <w:t xml:space="preserve">Provide that the Qualifying Investor AIF may </w:t>
            </w:r>
            <w:r w:rsidR="001E0BA6" w:rsidRPr="001362A6">
              <w:rPr>
                <w:rFonts w:ascii="Lato" w:hAnsi="Lato"/>
                <w:color w:val="auto"/>
                <w:szCs w:val="22"/>
                <w:u w:val="none"/>
              </w:rPr>
              <w:t>only retain</w:t>
            </w:r>
            <w:r w:rsidRPr="001362A6">
              <w:rPr>
                <w:rFonts w:ascii="Lato" w:hAnsi="Lato"/>
                <w:color w:val="auto"/>
                <w:szCs w:val="22"/>
                <w:u w:val="none"/>
              </w:rPr>
              <w:t xml:space="preserve"> </w:t>
            </w:r>
          </w:p>
        </w:tc>
        <w:tc>
          <w:tcPr>
            <w:tcW w:w="3188" w:type="dxa"/>
            <w:tcBorders>
              <w:top w:val="single" w:sz="4" w:space="0" w:color="auto"/>
              <w:left w:val="single" w:sz="4" w:space="0" w:color="auto"/>
              <w:bottom w:val="single" w:sz="4" w:space="0" w:color="auto"/>
              <w:right w:val="single" w:sz="4" w:space="0" w:color="auto"/>
            </w:tcBorders>
          </w:tcPr>
          <w:p w14:paraId="2F0056C0" w14:textId="77777777" w:rsidR="00AC48D2" w:rsidRPr="001362A6" w:rsidRDefault="00AC48D2" w:rsidP="00FD764E">
            <w:pPr>
              <w:rPr>
                <w:rFonts w:ascii="Lato" w:hAnsi="Lato"/>
                <w:sz w:val="22"/>
                <w:szCs w:val="22"/>
              </w:rPr>
            </w:pPr>
          </w:p>
        </w:tc>
      </w:tr>
      <w:tr w:rsidR="00AC48D2" w:rsidRPr="001362A6" w14:paraId="0D4021BB" w14:textId="77777777" w:rsidTr="00990D73">
        <w:trPr>
          <w:trHeight w:val="156"/>
        </w:trPr>
        <w:tc>
          <w:tcPr>
            <w:tcW w:w="1316" w:type="dxa"/>
          </w:tcPr>
          <w:p w14:paraId="786F9215" w14:textId="77777777" w:rsidR="00AC48D2" w:rsidRPr="001362A6" w:rsidRDefault="00AC48D2" w:rsidP="00971795">
            <w:pPr>
              <w:jc w:val="right"/>
              <w:rPr>
                <w:rFonts w:ascii="Lato" w:hAnsi="Lato"/>
                <w:sz w:val="22"/>
                <w:szCs w:val="22"/>
              </w:rPr>
            </w:pPr>
          </w:p>
        </w:tc>
        <w:tc>
          <w:tcPr>
            <w:tcW w:w="5891" w:type="dxa"/>
          </w:tcPr>
          <w:p w14:paraId="6B443573" w14:textId="77777777" w:rsidR="00AC48D2" w:rsidRPr="001362A6" w:rsidRDefault="00AC48D2" w:rsidP="001E0BA6">
            <w:pPr>
              <w:pStyle w:val="Heading6"/>
              <w:jc w:val="both"/>
              <w:rPr>
                <w:rFonts w:ascii="Lato" w:hAnsi="Lato"/>
                <w:color w:val="auto"/>
                <w:szCs w:val="22"/>
                <w:u w:val="none"/>
              </w:rPr>
            </w:pPr>
            <w:r w:rsidRPr="001362A6">
              <w:rPr>
                <w:rFonts w:ascii="Lato" w:hAnsi="Lato"/>
                <w:color w:val="auto"/>
                <w:szCs w:val="22"/>
                <w:u w:val="none"/>
              </w:rPr>
              <w:t xml:space="preserve"> 10% of redemption proceeds where this reflects</w:t>
            </w:r>
          </w:p>
        </w:tc>
        <w:tc>
          <w:tcPr>
            <w:tcW w:w="3188" w:type="dxa"/>
            <w:tcBorders>
              <w:top w:val="single" w:sz="4" w:space="0" w:color="auto"/>
            </w:tcBorders>
          </w:tcPr>
          <w:p w14:paraId="32C36681" w14:textId="77777777" w:rsidR="00AC48D2" w:rsidRPr="001362A6" w:rsidRDefault="00AC48D2" w:rsidP="00FD764E">
            <w:pPr>
              <w:rPr>
                <w:rFonts w:ascii="Lato" w:hAnsi="Lato"/>
                <w:sz w:val="22"/>
                <w:szCs w:val="22"/>
              </w:rPr>
            </w:pPr>
          </w:p>
        </w:tc>
      </w:tr>
      <w:tr w:rsidR="00AC48D2" w:rsidRPr="001362A6" w14:paraId="48864CAF" w14:textId="77777777" w:rsidTr="00990D73">
        <w:trPr>
          <w:trHeight w:val="156"/>
        </w:trPr>
        <w:tc>
          <w:tcPr>
            <w:tcW w:w="1316" w:type="dxa"/>
          </w:tcPr>
          <w:p w14:paraId="705AC59E" w14:textId="77777777" w:rsidR="00AC48D2" w:rsidRPr="001362A6" w:rsidRDefault="00AC48D2" w:rsidP="00971795">
            <w:pPr>
              <w:jc w:val="right"/>
              <w:rPr>
                <w:rFonts w:ascii="Lato" w:hAnsi="Lato"/>
                <w:sz w:val="22"/>
                <w:szCs w:val="22"/>
              </w:rPr>
            </w:pPr>
          </w:p>
        </w:tc>
        <w:tc>
          <w:tcPr>
            <w:tcW w:w="5891" w:type="dxa"/>
          </w:tcPr>
          <w:p w14:paraId="655C3190" w14:textId="77777777" w:rsidR="00AC48D2" w:rsidRPr="001362A6" w:rsidRDefault="00AC48D2" w:rsidP="00D95E9D">
            <w:pPr>
              <w:pStyle w:val="Heading6"/>
              <w:jc w:val="both"/>
              <w:rPr>
                <w:rFonts w:ascii="Lato" w:hAnsi="Lato"/>
                <w:color w:val="auto"/>
                <w:szCs w:val="22"/>
                <w:u w:val="none"/>
              </w:rPr>
            </w:pPr>
            <w:r w:rsidRPr="001362A6">
              <w:rPr>
                <w:rFonts w:ascii="Lato" w:hAnsi="Lato"/>
                <w:color w:val="auto"/>
                <w:szCs w:val="22"/>
                <w:u w:val="none"/>
              </w:rPr>
              <w:t xml:space="preserve">the redemption policy of the underlying investment fund(s) </w:t>
            </w:r>
          </w:p>
        </w:tc>
        <w:tc>
          <w:tcPr>
            <w:tcW w:w="3188" w:type="dxa"/>
          </w:tcPr>
          <w:p w14:paraId="1CE64232" w14:textId="77777777" w:rsidR="00AC48D2" w:rsidRPr="001362A6" w:rsidRDefault="00AC48D2" w:rsidP="00FD764E">
            <w:pPr>
              <w:rPr>
                <w:rFonts w:ascii="Lato" w:hAnsi="Lato"/>
                <w:sz w:val="22"/>
                <w:szCs w:val="22"/>
              </w:rPr>
            </w:pPr>
          </w:p>
        </w:tc>
      </w:tr>
      <w:tr w:rsidR="00AC48D2" w:rsidRPr="001362A6" w14:paraId="62FFED50" w14:textId="77777777" w:rsidTr="00990D73">
        <w:trPr>
          <w:trHeight w:val="156"/>
        </w:trPr>
        <w:tc>
          <w:tcPr>
            <w:tcW w:w="1316" w:type="dxa"/>
          </w:tcPr>
          <w:p w14:paraId="6338AB37" w14:textId="77777777" w:rsidR="00AC48D2" w:rsidRPr="001362A6" w:rsidRDefault="00AC48D2" w:rsidP="00971795">
            <w:pPr>
              <w:jc w:val="right"/>
              <w:rPr>
                <w:rFonts w:ascii="Lato" w:hAnsi="Lato"/>
                <w:sz w:val="22"/>
                <w:szCs w:val="22"/>
              </w:rPr>
            </w:pPr>
          </w:p>
        </w:tc>
        <w:tc>
          <w:tcPr>
            <w:tcW w:w="5891" w:type="dxa"/>
          </w:tcPr>
          <w:p w14:paraId="100D4E6D" w14:textId="77777777" w:rsidR="00AC48D2" w:rsidRPr="001362A6" w:rsidRDefault="00A21DB1" w:rsidP="00D95E9D">
            <w:pPr>
              <w:pStyle w:val="Heading6"/>
              <w:jc w:val="both"/>
              <w:rPr>
                <w:rFonts w:ascii="Lato" w:hAnsi="Lato"/>
                <w:color w:val="auto"/>
                <w:szCs w:val="22"/>
                <w:u w:val="none"/>
              </w:rPr>
            </w:pPr>
            <w:r w:rsidRPr="00590C6D">
              <w:rPr>
                <w:rFonts w:ascii="Lato" w:hAnsi="Lato"/>
                <w:color w:val="auto"/>
                <w:szCs w:val="22"/>
                <w:u w:val="none"/>
              </w:rPr>
              <w:t>until</w:t>
            </w:r>
            <w:r w:rsidRPr="00D95E9D">
              <w:rPr>
                <w:rFonts w:ascii="Lato" w:hAnsi="Lato"/>
                <w:color w:val="auto"/>
                <w:szCs w:val="22"/>
                <w:u w:val="none"/>
              </w:rPr>
              <w:t xml:space="preserve"> </w:t>
            </w:r>
            <w:r w:rsidR="00AC48D2" w:rsidRPr="001362A6">
              <w:rPr>
                <w:rFonts w:ascii="Lato" w:hAnsi="Lato"/>
                <w:color w:val="auto"/>
                <w:szCs w:val="22"/>
                <w:u w:val="none"/>
              </w:rPr>
              <w:t xml:space="preserve">such time as the full redemption proceeds from the </w:t>
            </w:r>
          </w:p>
        </w:tc>
        <w:tc>
          <w:tcPr>
            <w:tcW w:w="3188" w:type="dxa"/>
          </w:tcPr>
          <w:p w14:paraId="69865F39" w14:textId="77777777" w:rsidR="00AC48D2" w:rsidRPr="001362A6" w:rsidRDefault="00AC48D2" w:rsidP="00FD764E">
            <w:pPr>
              <w:rPr>
                <w:rFonts w:ascii="Lato" w:hAnsi="Lato"/>
                <w:sz w:val="22"/>
                <w:szCs w:val="22"/>
              </w:rPr>
            </w:pPr>
          </w:p>
        </w:tc>
      </w:tr>
      <w:tr w:rsidR="00AC48D2" w:rsidRPr="001362A6" w14:paraId="3F4A7368" w14:textId="77777777" w:rsidTr="00990D73">
        <w:trPr>
          <w:trHeight w:val="156"/>
        </w:trPr>
        <w:tc>
          <w:tcPr>
            <w:tcW w:w="1316" w:type="dxa"/>
          </w:tcPr>
          <w:p w14:paraId="0F400D94" w14:textId="77777777" w:rsidR="00AC48D2" w:rsidRPr="001362A6" w:rsidRDefault="00AC48D2" w:rsidP="00971795">
            <w:pPr>
              <w:jc w:val="right"/>
              <w:rPr>
                <w:rFonts w:ascii="Lato" w:hAnsi="Lato"/>
                <w:sz w:val="22"/>
                <w:szCs w:val="22"/>
              </w:rPr>
            </w:pPr>
          </w:p>
        </w:tc>
        <w:tc>
          <w:tcPr>
            <w:tcW w:w="5891" w:type="dxa"/>
          </w:tcPr>
          <w:p w14:paraId="27558F61" w14:textId="77777777" w:rsidR="00AC48D2" w:rsidRPr="001362A6" w:rsidRDefault="00A21DB1" w:rsidP="004D6C78">
            <w:pPr>
              <w:pStyle w:val="Heading6"/>
              <w:jc w:val="both"/>
              <w:rPr>
                <w:rFonts w:ascii="Lato" w:hAnsi="Lato"/>
                <w:color w:val="auto"/>
                <w:szCs w:val="22"/>
                <w:u w:val="none"/>
              </w:rPr>
            </w:pPr>
            <w:r w:rsidRPr="00590C6D">
              <w:rPr>
                <w:rFonts w:ascii="Lato" w:hAnsi="Lato"/>
                <w:color w:val="auto"/>
                <w:szCs w:val="22"/>
                <w:u w:val="none"/>
              </w:rPr>
              <w:t>underlying</w:t>
            </w:r>
            <w:r w:rsidRPr="00D95E9D">
              <w:rPr>
                <w:rFonts w:ascii="Lato" w:hAnsi="Lato"/>
                <w:color w:val="auto"/>
                <w:szCs w:val="22"/>
                <w:u w:val="none"/>
              </w:rPr>
              <w:t xml:space="preserve"> </w:t>
            </w:r>
            <w:r w:rsidR="00AC48D2" w:rsidRPr="001362A6">
              <w:rPr>
                <w:rFonts w:ascii="Lato" w:hAnsi="Lato"/>
                <w:color w:val="auto"/>
                <w:szCs w:val="22"/>
                <w:u w:val="none"/>
              </w:rPr>
              <w:t>investment fund(s) is received</w:t>
            </w:r>
            <w:r w:rsidR="00A62FE1" w:rsidRPr="001362A6">
              <w:rPr>
                <w:rFonts w:ascii="Lato" w:hAnsi="Lato"/>
                <w:color w:val="auto"/>
                <w:szCs w:val="22"/>
                <w:u w:val="none"/>
              </w:rPr>
              <w:t>.</w:t>
            </w:r>
          </w:p>
        </w:tc>
        <w:tc>
          <w:tcPr>
            <w:tcW w:w="3188" w:type="dxa"/>
          </w:tcPr>
          <w:p w14:paraId="186A40F3" w14:textId="77777777" w:rsidR="00AC48D2" w:rsidRPr="001362A6" w:rsidRDefault="00AC48D2" w:rsidP="00FD764E">
            <w:pPr>
              <w:rPr>
                <w:rFonts w:ascii="Lato" w:hAnsi="Lato"/>
                <w:sz w:val="22"/>
                <w:szCs w:val="22"/>
              </w:rPr>
            </w:pPr>
          </w:p>
        </w:tc>
      </w:tr>
      <w:tr w:rsidR="00AC48D2" w:rsidRPr="001362A6" w14:paraId="63F6A1E7" w14:textId="77777777" w:rsidTr="00990D73">
        <w:trPr>
          <w:trHeight w:val="156"/>
        </w:trPr>
        <w:tc>
          <w:tcPr>
            <w:tcW w:w="1316" w:type="dxa"/>
          </w:tcPr>
          <w:p w14:paraId="263A4169" w14:textId="77777777" w:rsidR="00AC48D2" w:rsidRPr="001362A6" w:rsidRDefault="00AC48D2" w:rsidP="00971795">
            <w:pPr>
              <w:jc w:val="right"/>
              <w:rPr>
                <w:rFonts w:ascii="Lato" w:hAnsi="Lato"/>
                <w:sz w:val="22"/>
                <w:szCs w:val="22"/>
              </w:rPr>
            </w:pPr>
          </w:p>
        </w:tc>
        <w:tc>
          <w:tcPr>
            <w:tcW w:w="5891" w:type="dxa"/>
          </w:tcPr>
          <w:p w14:paraId="23EC30D0" w14:textId="77777777" w:rsidR="00AC48D2" w:rsidRPr="001362A6" w:rsidRDefault="00AC48D2" w:rsidP="00971795">
            <w:pPr>
              <w:pStyle w:val="Heading6"/>
              <w:jc w:val="both"/>
              <w:rPr>
                <w:rFonts w:ascii="Lato" w:hAnsi="Lato"/>
                <w:color w:val="auto"/>
                <w:szCs w:val="22"/>
                <w:u w:val="none"/>
              </w:rPr>
            </w:pPr>
          </w:p>
        </w:tc>
        <w:tc>
          <w:tcPr>
            <w:tcW w:w="3188" w:type="dxa"/>
          </w:tcPr>
          <w:p w14:paraId="371962F8" w14:textId="77777777" w:rsidR="00AC48D2" w:rsidRPr="001362A6" w:rsidRDefault="00AC48D2" w:rsidP="00FD764E">
            <w:pPr>
              <w:rPr>
                <w:rFonts w:ascii="Lato" w:hAnsi="Lato"/>
                <w:sz w:val="22"/>
                <w:szCs w:val="22"/>
              </w:rPr>
            </w:pPr>
          </w:p>
        </w:tc>
      </w:tr>
      <w:tr w:rsidR="00AC48D2" w:rsidRPr="001362A6" w14:paraId="72E2FE5F" w14:textId="77777777" w:rsidTr="00990D73">
        <w:trPr>
          <w:trHeight w:val="156"/>
        </w:trPr>
        <w:tc>
          <w:tcPr>
            <w:tcW w:w="1316" w:type="dxa"/>
          </w:tcPr>
          <w:p w14:paraId="07AE04A5" w14:textId="77777777" w:rsidR="00AC48D2" w:rsidRPr="001362A6" w:rsidRDefault="00AC48D2" w:rsidP="00A75241">
            <w:pPr>
              <w:rPr>
                <w:rFonts w:ascii="Lato" w:hAnsi="Lato"/>
                <w:sz w:val="22"/>
                <w:szCs w:val="22"/>
              </w:rPr>
            </w:pPr>
            <w:r w:rsidRPr="001362A6">
              <w:rPr>
                <w:rFonts w:ascii="Lato" w:hAnsi="Lato"/>
                <w:sz w:val="22"/>
                <w:szCs w:val="22"/>
              </w:rPr>
              <w:t>2.2.5</w:t>
            </w:r>
          </w:p>
        </w:tc>
        <w:tc>
          <w:tcPr>
            <w:tcW w:w="5891" w:type="dxa"/>
          </w:tcPr>
          <w:p w14:paraId="39F4ECBB" w14:textId="77777777" w:rsidR="00AC48D2" w:rsidRPr="001362A6" w:rsidRDefault="00AC48D2" w:rsidP="00971795">
            <w:pPr>
              <w:pStyle w:val="Heading6"/>
              <w:jc w:val="both"/>
              <w:rPr>
                <w:rFonts w:ascii="Lato" w:hAnsi="Lato"/>
                <w:color w:val="auto"/>
                <w:szCs w:val="22"/>
                <w:u w:val="none"/>
              </w:rPr>
            </w:pPr>
            <w:r w:rsidRPr="001362A6">
              <w:rPr>
                <w:rFonts w:ascii="Lato" w:hAnsi="Lato"/>
                <w:b/>
                <w:color w:val="auto"/>
                <w:szCs w:val="22"/>
              </w:rPr>
              <w:t>Qualifying Investor AIFs which invest more than 50% of</w:t>
            </w:r>
          </w:p>
        </w:tc>
        <w:tc>
          <w:tcPr>
            <w:tcW w:w="3188" w:type="dxa"/>
          </w:tcPr>
          <w:p w14:paraId="042AA405" w14:textId="77777777" w:rsidR="00AC48D2" w:rsidRPr="001362A6" w:rsidRDefault="00AC48D2" w:rsidP="00FD764E">
            <w:pPr>
              <w:rPr>
                <w:rFonts w:ascii="Lato" w:hAnsi="Lato"/>
                <w:sz w:val="22"/>
                <w:szCs w:val="22"/>
              </w:rPr>
            </w:pPr>
          </w:p>
        </w:tc>
      </w:tr>
      <w:tr w:rsidR="00AC48D2" w:rsidRPr="001362A6" w14:paraId="33FEBCE9" w14:textId="77777777" w:rsidTr="00990D73">
        <w:trPr>
          <w:trHeight w:val="156"/>
        </w:trPr>
        <w:tc>
          <w:tcPr>
            <w:tcW w:w="1316" w:type="dxa"/>
          </w:tcPr>
          <w:p w14:paraId="09458950" w14:textId="77777777" w:rsidR="00AC48D2" w:rsidRPr="001362A6" w:rsidRDefault="00AC48D2" w:rsidP="00971795">
            <w:pPr>
              <w:jc w:val="right"/>
              <w:rPr>
                <w:rFonts w:ascii="Lato" w:hAnsi="Lato"/>
                <w:sz w:val="22"/>
                <w:szCs w:val="22"/>
              </w:rPr>
            </w:pPr>
          </w:p>
        </w:tc>
        <w:tc>
          <w:tcPr>
            <w:tcW w:w="5891" w:type="dxa"/>
          </w:tcPr>
          <w:p w14:paraId="4BB16CD9" w14:textId="77777777" w:rsidR="00AC48D2" w:rsidRPr="001362A6" w:rsidRDefault="00AC48D2" w:rsidP="00971795">
            <w:pPr>
              <w:pStyle w:val="Heading6"/>
              <w:jc w:val="both"/>
              <w:rPr>
                <w:rFonts w:ascii="Lato" w:hAnsi="Lato"/>
                <w:color w:val="auto"/>
                <w:szCs w:val="22"/>
                <w:u w:val="none"/>
              </w:rPr>
            </w:pPr>
            <w:r w:rsidRPr="001362A6">
              <w:rPr>
                <w:rFonts w:ascii="Lato" w:hAnsi="Lato"/>
                <w:b/>
                <w:color w:val="auto"/>
                <w:szCs w:val="22"/>
              </w:rPr>
              <w:t>net asset in another investment fund</w:t>
            </w:r>
          </w:p>
        </w:tc>
        <w:tc>
          <w:tcPr>
            <w:tcW w:w="3188" w:type="dxa"/>
          </w:tcPr>
          <w:p w14:paraId="70A98FCE" w14:textId="77777777" w:rsidR="00AC48D2" w:rsidRPr="001362A6" w:rsidRDefault="00AC48D2" w:rsidP="00FD764E">
            <w:pPr>
              <w:rPr>
                <w:rFonts w:ascii="Lato" w:hAnsi="Lato"/>
                <w:sz w:val="22"/>
                <w:szCs w:val="22"/>
              </w:rPr>
            </w:pPr>
          </w:p>
        </w:tc>
      </w:tr>
      <w:tr w:rsidR="00AC48D2" w:rsidRPr="001362A6" w14:paraId="063EE103" w14:textId="77777777" w:rsidTr="00990D73">
        <w:trPr>
          <w:trHeight w:val="156"/>
        </w:trPr>
        <w:tc>
          <w:tcPr>
            <w:tcW w:w="1316" w:type="dxa"/>
          </w:tcPr>
          <w:p w14:paraId="4EA1FFD9" w14:textId="77777777" w:rsidR="00AC48D2" w:rsidRPr="001362A6" w:rsidRDefault="00AC48D2" w:rsidP="0042571B">
            <w:pPr>
              <w:rPr>
                <w:rFonts w:ascii="Lato" w:hAnsi="Lato"/>
                <w:sz w:val="22"/>
                <w:szCs w:val="22"/>
              </w:rPr>
            </w:pPr>
            <w:r w:rsidRPr="001362A6">
              <w:rPr>
                <w:rFonts w:ascii="Lato" w:hAnsi="Lato"/>
                <w:sz w:val="22"/>
                <w:szCs w:val="22"/>
              </w:rPr>
              <w:t>(i)</w:t>
            </w:r>
          </w:p>
        </w:tc>
        <w:tc>
          <w:tcPr>
            <w:tcW w:w="5891" w:type="dxa"/>
          </w:tcPr>
          <w:p w14:paraId="37E1136E" w14:textId="77777777" w:rsidR="00AC48D2" w:rsidRPr="001362A6" w:rsidRDefault="00A82999" w:rsidP="00D95E9D">
            <w:pPr>
              <w:pStyle w:val="Heading6"/>
              <w:jc w:val="both"/>
              <w:rPr>
                <w:rFonts w:ascii="Lato" w:hAnsi="Lato"/>
                <w:color w:val="auto"/>
                <w:szCs w:val="22"/>
                <w:u w:val="none"/>
              </w:rPr>
            </w:pPr>
            <w:r w:rsidRPr="001362A6">
              <w:rPr>
                <w:rFonts w:ascii="Lato" w:hAnsi="Lato"/>
                <w:color w:val="auto"/>
                <w:szCs w:val="22"/>
                <w:u w:val="none"/>
              </w:rPr>
              <w:t xml:space="preserve">(Subject to 2.2.5(iv) </w:t>
            </w:r>
            <w:r w:rsidR="00AC48D2" w:rsidRPr="001362A6">
              <w:rPr>
                <w:rFonts w:ascii="Lato" w:hAnsi="Lato"/>
                <w:color w:val="auto"/>
                <w:szCs w:val="22"/>
                <w:u w:val="none"/>
              </w:rPr>
              <w:t xml:space="preserve">A Qualifying Investor AIF which invests </w:t>
            </w:r>
          </w:p>
        </w:tc>
        <w:tc>
          <w:tcPr>
            <w:tcW w:w="3188" w:type="dxa"/>
          </w:tcPr>
          <w:p w14:paraId="50B33681" w14:textId="77777777" w:rsidR="00AC48D2" w:rsidRPr="001362A6" w:rsidRDefault="00AC48D2" w:rsidP="00FD764E">
            <w:pPr>
              <w:rPr>
                <w:rFonts w:ascii="Lato" w:hAnsi="Lato"/>
                <w:sz w:val="22"/>
                <w:szCs w:val="22"/>
              </w:rPr>
            </w:pPr>
          </w:p>
        </w:tc>
      </w:tr>
      <w:tr w:rsidR="00AC48D2" w:rsidRPr="001362A6" w14:paraId="52B9D6A6" w14:textId="77777777" w:rsidTr="00990D73">
        <w:trPr>
          <w:trHeight w:val="156"/>
        </w:trPr>
        <w:tc>
          <w:tcPr>
            <w:tcW w:w="1316" w:type="dxa"/>
          </w:tcPr>
          <w:p w14:paraId="354AE404" w14:textId="77777777" w:rsidR="00AC48D2" w:rsidRPr="001362A6" w:rsidRDefault="00AC48D2" w:rsidP="00971795">
            <w:pPr>
              <w:jc w:val="right"/>
              <w:rPr>
                <w:rFonts w:ascii="Lato" w:hAnsi="Lato"/>
                <w:sz w:val="22"/>
                <w:szCs w:val="22"/>
              </w:rPr>
            </w:pPr>
          </w:p>
        </w:tc>
        <w:tc>
          <w:tcPr>
            <w:tcW w:w="5891" w:type="dxa"/>
          </w:tcPr>
          <w:p w14:paraId="151A4293" w14:textId="77777777" w:rsidR="00AC48D2" w:rsidRPr="001362A6" w:rsidRDefault="00A21DB1" w:rsidP="00735EB0">
            <w:pPr>
              <w:pStyle w:val="Heading6"/>
              <w:jc w:val="both"/>
              <w:rPr>
                <w:rFonts w:ascii="Lato" w:hAnsi="Lato"/>
                <w:color w:val="auto"/>
                <w:szCs w:val="22"/>
                <w:u w:val="none"/>
              </w:rPr>
            </w:pPr>
            <w:r w:rsidRPr="00590C6D">
              <w:rPr>
                <w:rFonts w:ascii="Lato" w:hAnsi="Lato"/>
                <w:color w:val="auto"/>
                <w:szCs w:val="22"/>
                <w:u w:val="none"/>
              </w:rPr>
              <w:t xml:space="preserve">more than 50% of its </w:t>
            </w:r>
            <w:r w:rsidR="00AC48D2" w:rsidRPr="001362A6">
              <w:rPr>
                <w:rFonts w:ascii="Lato" w:hAnsi="Lato"/>
                <w:color w:val="auto"/>
                <w:szCs w:val="22"/>
                <w:u w:val="none"/>
              </w:rPr>
              <w:t>net assets in one other investment fund must</w:t>
            </w:r>
            <w:r w:rsidR="00564C30" w:rsidRPr="001362A6">
              <w:rPr>
                <w:rFonts w:ascii="Lato" w:hAnsi="Lato"/>
                <w:color w:val="auto"/>
                <w:szCs w:val="22"/>
                <w:u w:val="none"/>
              </w:rPr>
              <w:t>:</w:t>
            </w:r>
            <w:r w:rsidR="00AC48D2" w:rsidRPr="001362A6">
              <w:rPr>
                <w:rFonts w:ascii="Lato" w:hAnsi="Lato"/>
                <w:color w:val="auto"/>
                <w:szCs w:val="22"/>
                <w:u w:val="none"/>
              </w:rPr>
              <w:t xml:space="preserve"> </w:t>
            </w:r>
          </w:p>
        </w:tc>
        <w:tc>
          <w:tcPr>
            <w:tcW w:w="3188" w:type="dxa"/>
          </w:tcPr>
          <w:p w14:paraId="2B78C211" w14:textId="77777777" w:rsidR="00AC48D2" w:rsidRPr="001362A6" w:rsidRDefault="00AC48D2" w:rsidP="00FD764E">
            <w:pPr>
              <w:rPr>
                <w:rFonts w:ascii="Lato" w:hAnsi="Lato"/>
                <w:sz w:val="22"/>
                <w:szCs w:val="22"/>
              </w:rPr>
            </w:pPr>
          </w:p>
        </w:tc>
      </w:tr>
      <w:tr w:rsidR="00AC48D2" w:rsidRPr="001362A6" w14:paraId="192CA4D7" w14:textId="77777777" w:rsidTr="00990D73">
        <w:trPr>
          <w:trHeight w:val="156"/>
        </w:trPr>
        <w:tc>
          <w:tcPr>
            <w:tcW w:w="1316" w:type="dxa"/>
          </w:tcPr>
          <w:p w14:paraId="3E6C7B4B" w14:textId="77777777" w:rsidR="00AC48D2" w:rsidRPr="001362A6" w:rsidRDefault="00AC48D2" w:rsidP="00971795">
            <w:pPr>
              <w:jc w:val="right"/>
              <w:rPr>
                <w:rFonts w:ascii="Lato" w:hAnsi="Lato"/>
                <w:sz w:val="22"/>
                <w:szCs w:val="22"/>
              </w:rPr>
            </w:pPr>
            <w:r w:rsidRPr="001362A6">
              <w:rPr>
                <w:rFonts w:ascii="Lato" w:hAnsi="Lato"/>
                <w:sz w:val="22"/>
                <w:szCs w:val="22"/>
              </w:rPr>
              <w:t>(a)</w:t>
            </w:r>
          </w:p>
        </w:tc>
        <w:tc>
          <w:tcPr>
            <w:tcW w:w="5891" w:type="dxa"/>
          </w:tcPr>
          <w:p w14:paraId="62C2AFAE" w14:textId="77777777" w:rsidR="00AC48D2" w:rsidRPr="001362A6" w:rsidRDefault="00AC48D2" w:rsidP="00735EB0">
            <w:pPr>
              <w:pStyle w:val="Heading6"/>
              <w:jc w:val="both"/>
              <w:rPr>
                <w:rFonts w:ascii="Lato" w:hAnsi="Lato"/>
                <w:color w:val="auto"/>
                <w:szCs w:val="22"/>
                <w:u w:val="none"/>
              </w:rPr>
            </w:pPr>
            <w:r w:rsidRPr="001362A6">
              <w:rPr>
                <w:rFonts w:ascii="Lato" w:hAnsi="Lato"/>
                <w:color w:val="auto"/>
                <w:szCs w:val="22"/>
                <w:u w:val="none"/>
              </w:rPr>
              <w:t>confirm that the underlying fund falls within either</w:t>
            </w:r>
          </w:p>
        </w:tc>
        <w:tc>
          <w:tcPr>
            <w:tcW w:w="3188" w:type="dxa"/>
            <w:tcBorders>
              <w:bottom w:val="single" w:sz="4" w:space="0" w:color="auto"/>
            </w:tcBorders>
          </w:tcPr>
          <w:p w14:paraId="61DA9255" w14:textId="77777777" w:rsidR="00AC48D2" w:rsidRPr="001362A6" w:rsidRDefault="00AC48D2" w:rsidP="00FD764E">
            <w:pPr>
              <w:rPr>
                <w:rFonts w:ascii="Lato" w:hAnsi="Lato"/>
                <w:sz w:val="22"/>
                <w:szCs w:val="22"/>
              </w:rPr>
            </w:pPr>
          </w:p>
        </w:tc>
      </w:tr>
      <w:tr w:rsidR="00AC48D2" w:rsidRPr="001362A6" w14:paraId="41FBD236" w14:textId="77777777" w:rsidTr="00990D73">
        <w:trPr>
          <w:trHeight w:val="156"/>
        </w:trPr>
        <w:tc>
          <w:tcPr>
            <w:tcW w:w="1316" w:type="dxa"/>
          </w:tcPr>
          <w:p w14:paraId="60BC9D67" w14:textId="77777777" w:rsidR="00AC48D2" w:rsidRPr="001362A6" w:rsidRDefault="00AC48D2" w:rsidP="00971795">
            <w:pPr>
              <w:jc w:val="right"/>
              <w:rPr>
                <w:rFonts w:ascii="Lato" w:hAnsi="Lato"/>
                <w:sz w:val="22"/>
                <w:szCs w:val="22"/>
              </w:rPr>
            </w:pPr>
          </w:p>
        </w:tc>
        <w:tc>
          <w:tcPr>
            <w:tcW w:w="5891" w:type="dxa"/>
            <w:tcBorders>
              <w:right w:val="single" w:sz="4" w:space="0" w:color="auto"/>
            </w:tcBorders>
          </w:tcPr>
          <w:p w14:paraId="3EEF5554" w14:textId="77777777" w:rsidR="00AC48D2" w:rsidRPr="001362A6" w:rsidRDefault="00AC48D2" w:rsidP="00971795">
            <w:pPr>
              <w:pStyle w:val="Heading6"/>
              <w:jc w:val="both"/>
              <w:rPr>
                <w:rFonts w:ascii="Lato" w:hAnsi="Lato"/>
                <w:color w:val="auto"/>
                <w:szCs w:val="22"/>
                <w:u w:val="none"/>
              </w:rPr>
            </w:pPr>
            <w:r w:rsidRPr="001362A6">
              <w:rPr>
                <w:rFonts w:ascii="Lato" w:hAnsi="Lato"/>
                <w:color w:val="auto"/>
                <w:szCs w:val="22"/>
                <w:u w:val="none"/>
              </w:rPr>
              <w:t>Category 1;</w:t>
            </w:r>
            <w:r w:rsidR="00564C30" w:rsidRPr="001362A6">
              <w:rPr>
                <w:rFonts w:ascii="Lato" w:hAnsi="Lato"/>
                <w:color w:val="auto"/>
                <w:szCs w:val="22"/>
                <w:u w:val="none"/>
              </w:rPr>
              <w:t xml:space="preserve"> </w:t>
            </w:r>
            <w:r w:rsidRPr="001362A6">
              <w:rPr>
                <w:rFonts w:ascii="Lato" w:hAnsi="Lato"/>
                <w:color w:val="auto"/>
                <w:szCs w:val="22"/>
                <w:u w:val="none"/>
              </w:rPr>
              <w:t>or</w:t>
            </w:r>
          </w:p>
        </w:tc>
        <w:tc>
          <w:tcPr>
            <w:tcW w:w="3188" w:type="dxa"/>
            <w:tcBorders>
              <w:top w:val="single" w:sz="4" w:space="0" w:color="auto"/>
              <w:left w:val="single" w:sz="4" w:space="0" w:color="auto"/>
              <w:bottom w:val="single" w:sz="4" w:space="0" w:color="auto"/>
              <w:right w:val="single" w:sz="4" w:space="0" w:color="auto"/>
            </w:tcBorders>
          </w:tcPr>
          <w:p w14:paraId="7EA95A58" w14:textId="77777777" w:rsidR="00AC48D2" w:rsidRPr="001362A6" w:rsidRDefault="00AC48D2" w:rsidP="00FD764E">
            <w:pPr>
              <w:rPr>
                <w:rFonts w:ascii="Lato" w:hAnsi="Lato"/>
                <w:sz w:val="22"/>
                <w:szCs w:val="22"/>
              </w:rPr>
            </w:pPr>
          </w:p>
        </w:tc>
      </w:tr>
      <w:tr w:rsidR="00AC48D2" w:rsidRPr="001362A6" w14:paraId="5542D73F" w14:textId="77777777" w:rsidTr="00990D73">
        <w:trPr>
          <w:trHeight w:val="156"/>
        </w:trPr>
        <w:tc>
          <w:tcPr>
            <w:tcW w:w="1316" w:type="dxa"/>
          </w:tcPr>
          <w:p w14:paraId="74BC3F59" w14:textId="77777777" w:rsidR="00AC48D2" w:rsidRPr="001362A6" w:rsidRDefault="00AC48D2" w:rsidP="00971795">
            <w:pPr>
              <w:jc w:val="right"/>
              <w:rPr>
                <w:rFonts w:ascii="Lato" w:hAnsi="Lato"/>
                <w:sz w:val="22"/>
                <w:szCs w:val="22"/>
              </w:rPr>
            </w:pPr>
          </w:p>
        </w:tc>
        <w:tc>
          <w:tcPr>
            <w:tcW w:w="5891" w:type="dxa"/>
            <w:tcBorders>
              <w:right w:val="single" w:sz="4" w:space="0" w:color="auto"/>
            </w:tcBorders>
          </w:tcPr>
          <w:p w14:paraId="74D74273" w14:textId="77777777" w:rsidR="00AC48D2" w:rsidRPr="001362A6" w:rsidRDefault="00AC48D2" w:rsidP="00971795">
            <w:pPr>
              <w:pStyle w:val="Heading6"/>
              <w:jc w:val="both"/>
              <w:rPr>
                <w:rFonts w:ascii="Lato" w:hAnsi="Lato"/>
                <w:color w:val="auto"/>
                <w:szCs w:val="22"/>
                <w:u w:val="none"/>
              </w:rPr>
            </w:pPr>
            <w:r w:rsidRPr="001362A6">
              <w:rPr>
                <w:rFonts w:ascii="Lato" w:hAnsi="Lato"/>
                <w:color w:val="auto"/>
                <w:szCs w:val="22"/>
              </w:rPr>
              <w:t>Category 2</w:t>
            </w:r>
          </w:p>
        </w:tc>
        <w:tc>
          <w:tcPr>
            <w:tcW w:w="3188" w:type="dxa"/>
            <w:tcBorders>
              <w:top w:val="single" w:sz="4" w:space="0" w:color="auto"/>
              <w:left w:val="single" w:sz="4" w:space="0" w:color="auto"/>
              <w:bottom w:val="single" w:sz="4" w:space="0" w:color="auto"/>
              <w:right w:val="single" w:sz="4" w:space="0" w:color="auto"/>
            </w:tcBorders>
          </w:tcPr>
          <w:p w14:paraId="011D1F35" w14:textId="77777777" w:rsidR="00AC48D2" w:rsidRPr="001362A6" w:rsidRDefault="00AC48D2" w:rsidP="00FD764E">
            <w:pPr>
              <w:rPr>
                <w:rFonts w:ascii="Lato" w:hAnsi="Lato"/>
                <w:sz w:val="22"/>
                <w:szCs w:val="22"/>
              </w:rPr>
            </w:pPr>
          </w:p>
        </w:tc>
      </w:tr>
      <w:tr w:rsidR="00AC48D2" w:rsidRPr="001362A6" w14:paraId="39EBFDEC" w14:textId="77777777" w:rsidTr="00990D73">
        <w:trPr>
          <w:trHeight w:val="156"/>
        </w:trPr>
        <w:tc>
          <w:tcPr>
            <w:tcW w:w="1316" w:type="dxa"/>
          </w:tcPr>
          <w:p w14:paraId="00485F10" w14:textId="77777777" w:rsidR="00AC48D2" w:rsidRPr="001362A6" w:rsidRDefault="00AC48D2" w:rsidP="00971795">
            <w:pPr>
              <w:jc w:val="right"/>
              <w:rPr>
                <w:rFonts w:ascii="Lato" w:hAnsi="Lato"/>
                <w:sz w:val="22"/>
                <w:szCs w:val="22"/>
              </w:rPr>
            </w:pPr>
          </w:p>
        </w:tc>
        <w:tc>
          <w:tcPr>
            <w:tcW w:w="5891" w:type="dxa"/>
          </w:tcPr>
          <w:p w14:paraId="73739937" w14:textId="77777777" w:rsidR="00AC48D2" w:rsidRPr="001362A6" w:rsidRDefault="00AC48D2" w:rsidP="00735EB0">
            <w:pPr>
              <w:pStyle w:val="Heading6"/>
              <w:jc w:val="both"/>
              <w:rPr>
                <w:rFonts w:ascii="Lato" w:hAnsi="Lato"/>
                <w:color w:val="auto"/>
                <w:szCs w:val="22"/>
                <w:u w:val="none"/>
              </w:rPr>
            </w:pPr>
            <w:r w:rsidRPr="001362A6">
              <w:rPr>
                <w:rFonts w:ascii="Lato" w:hAnsi="Lato"/>
                <w:color w:val="auto"/>
                <w:szCs w:val="22"/>
                <w:u w:val="none"/>
              </w:rPr>
              <w:t xml:space="preserve">of Chapter 2, Part II, Section 2 of the AIF </w:t>
            </w:r>
            <w:r w:rsidR="00A70AEC" w:rsidRPr="001362A6">
              <w:rPr>
                <w:rFonts w:ascii="Lato" w:hAnsi="Lato"/>
                <w:color w:val="auto"/>
                <w:szCs w:val="22"/>
                <w:u w:val="none"/>
              </w:rPr>
              <w:t>Rulebook</w:t>
            </w:r>
          </w:p>
        </w:tc>
        <w:tc>
          <w:tcPr>
            <w:tcW w:w="3188" w:type="dxa"/>
            <w:tcBorders>
              <w:top w:val="single" w:sz="4" w:space="0" w:color="auto"/>
              <w:bottom w:val="single" w:sz="4" w:space="0" w:color="auto"/>
            </w:tcBorders>
          </w:tcPr>
          <w:p w14:paraId="34C9B9DC" w14:textId="77777777" w:rsidR="00AC48D2" w:rsidRPr="001362A6" w:rsidRDefault="00AC48D2" w:rsidP="00FD764E">
            <w:pPr>
              <w:rPr>
                <w:rFonts w:ascii="Lato" w:hAnsi="Lato"/>
                <w:sz w:val="22"/>
                <w:szCs w:val="22"/>
              </w:rPr>
            </w:pPr>
          </w:p>
        </w:tc>
      </w:tr>
      <w:tr w:rsidR="00AC48D2" w:rsidRPr="001362A6" w14:paraId="547B035B" w14:textId="77777777" w:rsidTr="00990D73">
        <w:trPr>
          <w:trHeight w:val="156"/>
        </w:trPr>
        <w:tc>
          <w:tcPr>
            <w:tcW w:w="1316" w:type="dxa"/>
          </w:tcPr>
          <w:p w14:paraId="2D7907C6" w14:textId="77777777" w:rsidR="00AC48D2" w:rsidRPr="001362A6" w:rsidRDefault="00AC48D2" w:rsidP="00971795">
            <w:pPr>
              <w:jc w:val="right"/>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172C03E2" w14:textId="77777777" w:rsidR="00AC48D2" w:rsidRPr="001362A6" w:rsidRDefault="00AC48D2" w:rsidP="00735EB0">
            <w:pPr>
              <w:pStyle w:val="Heading6"/>
              <w:jc w:val="both"/>
              <w:rPr>
                <w:rFonts w:ascii="Lato" w:hAnsi="Lato"/>
                <w:color w:val="auto"/>
                <w:szCs w:val="22"/>
                <w:u w:val="none"/>
              </w:rPr>
            </w:pPr>
            <w:r w:rsidRPr="001362A6">
              <w:rPr>
                <w:rFonts w:ascii="Lato" w:hAnsi="Lato"/>
                <w:color w:val="auto"/>
                <w:szCs w:val="22"/>
                <w:u w:val="none"/>
              </w:rPr>
              <w:t>Confirm the prospectus of the underlying fund is attached</w:t>
            </w:r>
          </w:p>
        </w:tc>
        <w:tc>
          <w:tcPr>
            <w:tcW w:w="3188" w:type="dxa"/>
            <w:tcBorders>
              <w:top w:val="single" w:sz="4" w:space="0" w:color="auto"/>
              <w:left w:val="single" w:sz="4" w:space="0" w:color="auto"/>
              <w:bottom w:val="single" w:sz="4" w:space="0" w:color="auto"/>
              <w:right w:val="single" w:sz="4" w:space="0" w:color="auto"/>
            </w:tcBorders>
          </w:tcPr>
          <w:p w14:paraId="0E9DBD7C" w14:textId="77777777" w:rsidR="00AC48D2" w:rsidRPr="001362A6" w:rsidRDefault="00AC48D2" w:rsidP="00FD764E">
            <w:pPr>
              <w:rPr>
                <w:rFonts w:ascii="Lato" w:hAnsi="Lato"/>
                <w:sz w:val="22"/>
                <w:szCs w:val="22"/>
              </w:rPr>
            </w:pPr>
          </w:p>
        </w:tc>
      </w:tr>
      <w:tr w:rsidR="00AC48D2" w:rsidRPr="001362A6" w14:paraId="3D28A0EB" w14:textId="77777777" w:rsidTr="00990D73">
        <w:trPr>
          <w:trHeight w:val="156"/>
        </w:trPr>
        <w:tc>
          <w:tcPr>
            <w:tcW w:w="1316" w:type="dxa"/>
          </w:tcPr>
          <w:p w14:paraId="0E3C9493" w14:textId="77777777" w:rsidR="00AC48D2" w:rsidRPr="001362A6" w:rsidRDefault="00AC48D2" w:rsidP="00971795">
            <w:pPr>
              <w:jc w:val="right"/>
              <w:rPr>
                <w:rFonts w:ascii="Lato" w:hAnsi="Lato"/>
                <w:sz w:val="22"/>
                <w:szCs w:val="22"/>
              </w:rPr>
            </w:pPr>
          </w:p>
        </w:tc>
        <w:tc>
          <w:tcPr>
            <w:tcW w:w="5891" w:type="dxa"/>
          </w:tcPr>
          <w:p w14:paraId="451C8F10" w14:textId="77777777" w:rsidR="00AC48D2" w:rsidRPr="001362A6" w:rsidRDefault="00AC48D2" w:rsidP="00735EB0">
            <w:pPr>
              <w:pStyle w:val="Heading6"/>
              <w:jc w:val="both"/>
              <w:rPr>
                <w:rFonts w:ascii="Lato" w:hAnsi="Lato"/>
                <w:color w:val="auto"/>
                <w:szCs w:val="22"/>
                <w:u w:val="none"/>
              </w:rPr>
            </w:pPr>
          </w:p>
        </w:tc>
        <w:tc>
          <w:tcPr>
            <w:tcW w:w="3188" w:type="dxa"/>
            <w:tcBorders>
              <w:top w:val="single" w:sz="4" w:space="0" w:color="auto"/>
              <w:bottom w:val="single" w:sz="4" w:space="0" w:color="auto"/>
            </w:tcBorders>
          </w:tcPr>
          <w:p w14:paraId="73A93379" w14:textId="77777777" w:rsidR="00AC48D2" w:rsidRPr="001362A6" w:rsidRDefault="00AC48D2" w:rsidP="00FD764E">
            <w:pPr>
              <w:rPr>
                <w:rFonts w:ascii="Lato" w:hAnsi="Lato"/>
                <w:sz w:val="22"/>
                <w:szCs w:val="22"/>
              </w:rPr>
            </w:pPr>
          </w:p>
        </w:tc>
      </w:tr>
      <w:tr w:rsidR="00AC48D2" w:rsidRPr="001362A6" w14:paraId="2665ADDC" w14:textId="77777777" w:rsidTr="00990D73">
        <w:trPr>
          <w:trHeight w:val="156"/>
        </w:trPr>
        <w:tc>
          <w:tcPr>
            <w:tcW w:w="1316" w:type="dxa"/>
          </w:tcPr>
          <w:p w14:paraId="5AB229DE" w14:textId="77777777" w:rsidR="00AC48D2" w:rsidRPr="001362A6" w:rsidRDefault="00AC48D2" w:rsidP="00996002">
            <w:pPr>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7FFD02F6" w14:textId="77777777" w:rsidR="00AC48D2" w:rsidRPr="001362A6" w:rsidRDefault="00AC48D2" w:rsidP="00743E19">
            <w:pPr>
              <w:pStyle w:val="Heading6"/>
              <w:jc w:val="both"/>
              <w:rPr>
                <w:rFonts w:ascii="Lato" w:hAnsi="Lato"/>
                <w:color w:val="auto"/>
                <w:szCs w:val="22"/>
                <w:u w:val="none"/>
              </w:rPr>
            </w:pPr>
            <w:r w:rsidRPr="001362A6">
              <w:rPr>
                <w:rFonts w:ascii="Lato" w:hAnsi="Lato"/>
                <w:color w:val="auto"/>
                <w:szCs w:val="22"/>
                <w:u w:val="none"/>
              </w:rPr>
              <w:t>The requirements of 2.2.</w:t>
            </w:r>
            <w:r w:rsidR="00743E19" w:rsidRPr="001362A6">
              <w:rPr>
                <w:rFonts w:ascii="Lato" w:hAnsi="Lato"/>
                <w:color w:val="auto"/>
                <w:szCs w:val="22"/>
                <w:u w:val="none"/>
              </w:rPr>
              <w:t>5</w:t>
            </w:r>
            <w:r w:rsidRPr="001362A6">
              <w:rPr>
                <w:rFonts w:ascii="Lato" w:hAnsi="Lato"/>
                <w:color w:val="auto"/>
                <w:szCs w:val="22"/>
                <w:u w:val="none"/>
              </w:rPr>
              <w:t xml:space="preserve">(i) do not apply in circumstances </w:t>
            </w:r>
          </w:p>
        </w:tc>
        <w:tc>
          <w:tcPr>
            <w:tcW w:w="3188" w:type="dxa"/>
            <w:tcBorders>
              <w:top w:val="single" w:sz="4" w:space="0" w:color="auto"/>
              <w:left w:val="single" w:sz="4" w:space="0" w:color="auto"/>
              <w:bottom w:val="single" w:sz="4" w:space="0" w:color="auto"/>
              <w:right w:val="single" w:sz="4" w:space="0" w:color="auto"/>
            </w:tcBorders>
          </w:tcPr>
          <w:p w14:paraId="286784FD" w14:textId="77777777" w:rsidR="00AC48D2" w:rsidRPr="001362A6" w:rsidRDefault="00AC48D2" w:rsidP="00FD764E">
            <w:pPr>
              <w:rPr>
                <w:rFonts w:ascii="Lato" w:hAnsi="Lato"/>
                <w:sz w:val="22"/>
                <w:szCs w:val="22"/>
              </w:rPr>
            </w:pPr>
          </w:p>
        </w:tc>
      </w:tr>
      <w:tr w:rsidR="00AC48D2" w:rsidRPr="001362A6" w14:paraId="535E85BD" w14:textId="77777777" w:rsidTr="00990D73">
        <w:trPr>
          <w:trHeight w:val="156"/>
        </w:trPr>
        <w:tc>
          <w:tcPr>
            <w:tcW w:w="1316" w:type="dxa"/>
          </w:tcPr>
          <w:p w14:paraId="25CBA37F" w14:textId="77777777" w:rsidR="00AC48D2" w:rsidRPr="001362A6" w:rsidRDefault="00AC48D2" w:rsidP="00971795">
            <w:pPr>
              <w:jc w:val="right"/>
              <w:rPr>
                <w:rFonts w:ascii="Lato" w:hAnsi="Lato"/>
                <w:sz w:val="22"/>
                <w:szCs w:val="22"/>
              </w:rPr>
            </w:pPr>
          </w:p>
        </w:tc>
        <w:tc>
          <w:tcPr>
            <w:tcW w:w="5891" w:type="dxa"/>
          </w:tcPr>
          <w:p w14:paraId="104BF90F" w14:textId="77777777" w:rsidR="00AC48D2" w:rsidRPr="001362A6" w:rsidRDefault="00E36A4E" w:rsidP="00735EB0">
            <w:pPr>
              <w:pStyle w:val="Heading6"/>
              <w:jc w:val="both"/>
              <w:rPr>
                <w:rFonts w:ascii="Lato" w:hAnsi="Lato"/>
                <w:color w:val="auto"/>
                <w:szCs w:val="22"/>
                <w:u w:val="none"/>
              </w:rPr>
            </w:pPr>
            <w:r w:rsidRPr="001362A6">
              <w:rPr>
                <w:rFonts w:ascii="Lato" w:hAnsi="Lato"/>
                <w:color w:val="auto"/>
                <w:szCs w:val="22"/>
                <w:u w:val="none"/>
              </w:rPr>
              <w:t>w</w:t>
            </w:r>
            <w:r w:rsidR="00AC48D2" w:rsidRPr="001362A6">
              <w:rPr>
                <w:rFonts w:ascii="Lato" w:hAnsi="Lato"/>
                <w:color w:val="auto"/>
                <w:szCs w:val="22"/>
                <w:u w:val="none"/>
              </w:rPr>
              <w:t>here:</w:t>
            </w:r>
          </w:p>
        </w:tc>
        <w:tc>
          <w:tcPr>
            <w:tcW w:w="3188" w:type="dxa"/>
            <w:tcBorders>
              <w:top w:val="single" w:sz="4" w:space="0" w:color="auto"/>
            </w:tcBorders>
          </w:tcPr>
          <w:p w14:paraId="4D9E7796" w14:textId="77777777" w:rsidR="00AC48D2" w:rsidRPr="001362A6" w:rsidRDefault="00AC48D2" w:rsidP="00FD764E">
            <w:pPr>
              <w:rPr>
                <w:rFonts w:ascii="Lato" w:hAnsi="Lato"/>
                <w:sz w:val="22"/>
                <w:szCs w:val="22"/>
              </w:rPr>
            </w:pPr>
          </w:p>
        </w:tc>
      </w:tr>
      <w:tr w:rsidR="00AC48D2" w:rsidRPr="001362A6" w14:paraId="78E9B6BA" w14:textId="77777777" w:rsidTr="00990D73">
        <w:trPr>
          <w:trHeight w:val="156"/>
        </w:trPr>
        <w:tc>
          <w:tcPr>
            <w:tcW w:w="1316" w:type="dxa"/>
          </w:tcPr>
          <w:p w14:paraId="6C3D921A" w14:textId="77777777" w:rsidR="00AC48D2" w:rsidRPr="001362A6" w:rsidRDefault="00AC48D2" w:rsidP="00971795">
            <w:pPr>
              <w:jc w:val="right"/>
              <w:rPr>
                <w:rFonts w:ascii="Lato" w:hAnsi="Lato"/>
                <w:sz w:val="22"/>
                <w:szCs w:val="22"/>
              </w:rPr>
            </w:pPr>
          </w:p>
        </w:tc>
        <w:tc>
          <w:tcPr>
            <w:tcW w:w="5891" w:type="dxa"/>
          </w:tcPr>
          <w:p w14:paraId="111AE59C" w14:textId="77777777" w:rsidR="00AC48D2" w:rsidRPr="001362A6" w:rsidRDefault="00B030D3" w:rsidP="00735EB0">
            <w:pPr>
              <w:pStyle w:val="Heading6"/>
              <w:jc w:val="both"/>
              <w:rPr>
                <w:rFonts w:ascii="Lato" w:hAnsi="Lato"/>
                <w:color w:val="auto"/>
                <w:szCs w:val="22"/>
                <w:u w:val="none"/>
              </w:rPr>
            </w:pPr>
            <w:r w:rsidRPr="001362A6">
              <w:rPr>
                <w:rFonts w:ascii="Lato" w:hAnsi="Lato"/>
                <w:color w:val="auto"/>
                <w:szCs w:val="22"/>
                <w:u w:val="none"/>
              </w:rPr>
              <w:t>t</w:t>
            </w:r>
            <w:r w:rsidR="00AC48D2" w:rsidRPr="001362A6">
              <w:rPr>
                <w:rFonts w:ascii="Lato" w:hAnsi="Lato"/>
                <w:color w:val="auto"/>
                <w:szCs w:val="22"/>
                <w:u w:val="none"/>
              </w:rPr>
              <w:t>he Qualifying Investor AIF has a minimum subscription</w:t>
            </w:r>
          </w:p>
        </w:tc>
        <w:tc>
          <w:tcPr>
            <w:tcW w:w="3188" w:type="dxa"/>
          </w:tcPr>
          <w:p w14:paraId="4FE75661" w14:textId="77777777" w:rsidR="00AC48D2" w:rsidRPr="001362A6" w:rsidRDefault="00AC48D2" w:rsidP="00FD764E">
            <w:pPr>
              <w:rPr>
                <w:rFonts w:ascii="Lato" w:hAnsi="Lato"/>
                <w:sz w:val="22"/>
                <w:szCs w:val="22"/>
              </w:rPr>
            </w:pPr>
          </w:p>
        </w:tc>
      </w:tr>
      <w:tr w:rsidR="00AC48D2" w:rsidRPr="001362A6" w14:paraId="4D39678E" w14:textId="77777777" w:rsidTr="00990D73">
        <w:trPr>
          <w:trHeight w:val="156"/>
        </w:trPr>
        <w:tc>
          <w:tcPr>
            <w:tcW w:w="1316" w:type="dxa"/>
          </w:tcPr>
          <w:p w14:paraId="39140890" w14:textId="77777777" w:rsidR="00AC48D2" w:rsidRPr="001362A6" w:rsidRDefault="00AC48D2" w:rsidP="00971795">
            <w:pPr>
              <w:jc w:val="right"/>
              <w:rPr>
                <w:rFonts w:ascii="Lato" w:hAnsi="Lato"/>
                <w:sz w:val="22"/>
                <w:szCs w:val="22"/>
              </w:rPr>
            </w:pPr>
          </w:p>
        </w:tc>
        <w:tc>
          <w:tcPr>
            <w:tcW w:w="5891" w:type="dxa"/>
          </w:tcPr>
          <w:p w14:paraId="5099540E" w14:textId="77777777" w:rsidR="00AC48D2" w:rsidRPr="001362A6" w:rsidRDefault="00AC48D2" w:rsidP="00D95E9D">
            <w:pPr>
              <w:pStyle w:val="Heading6"/>
              <w:jc w:val="both"/>
              <w:rPr>
                <w:rFonts w:ascii="Lato" w:hAnsi="Lato"/>
                <w:color w:val="auto"/>
                <w:szCs w:val="22"/>
                <w:u w:val="none"/>
              </w:rPr>
            </w:pPr>
            <w:r w:rsidRPr="001362A6">
              <w:rPr>
                <w:rFonts w:ascii="Lato" w:hAnsi="Lato"/>
                <w:color w:val="auto"/>
                <w:szCs w:val="22"/>
                <w:u w:val="none"/>
              </w:rPr>
              <w:t xml:space="preserve">limit of €500,000 (or its equivalent in other currencies); </w:t>
            </w:r>
          </w:p>
        </w:tc>
        <w:tc>
          <w:tcPr>
            <w:tcW w:w="3188" w:type="dxa"/>
          </w:tcPr>
          <w:p w14:paraId="253A6B77" w14:textId="77777777" w:rsidR="00AC48D2" w:rsidRPr="001362A6" w:rsidRDefault="00AC48D2" w:rsidP="00FD764E">
            <w:pPr>
              <w:rPr>
                <w:rFonts w:ascii="Lato" w:hAnsi="Lato"/>
                <w:sz w:val="22"/>
                <w:szCs w:val="22"/>
              </w:rPr>
            </w:pPr>
          </w:p>
        </w:tc>
      </w:tr>
      <w:tr w:rsidR="00AC48D2" w:rsidRPr="001362A6" w14:paraId="00CA1DBC" w14:textId="77777777" w:rsidTr="00990D73">
        <w:trPr>
          <w:trHeight w:val="156"/>
        </w:trPr>
        <w:tc>
          <w:tcPr>
            <w:tcW w:w="1316" w:type="dxa"/>
          </w:tcPr>
          <w:p w14:paraId="2E469CB0" w14:textId="77777777" w:rsidR="00AC48D2" w:rsidRPr="001362A6" w:rsidRDefault="00AC48D2" w:rsidP="00971795">
            <w:pPr>
              <w:jc w:val="right"/>
              <w:rPr>
                <w:rFonts w:ascii="Lato" w:hAnsi="Lato"/>
                <w:sz w:val="22"/>
                <w:szCs w:val="22"/>
              </w:rPr>
            </w:pPr>
          </w:p>
        </w:tc>
        <w:tc>
          <w:tcPr>
            <w:tcW w:w="5891" w:type="dxa"/>
          </w:tcPr>
          <w:p w14:paraId="65F5C734" w14:textId="77777777" w:rsidR="00AC48D2" w:rsidRPr="001362A6" w:rsidRDefault="00AD0F7D" w:rsidP="00D95E9D">
            <w:pPr>
              <w:pStyle w:val="Heading6"/>
              <w:jc w:val="both"/>
              <w:rPr>
                <w:rFonts w:ascii="Lato" w:hAnsi="Lato"/>
                <w:color w:val="auto"/>
                <w:szCs w:val="22"/>
                <w:u w:val="none"/>
              </w:rPr>
            </w:pPr>
            <w:r w:rsidRPr="00590C6D">
              <w:rPr>
                <w:rFonts w:ascii="Lato" w:hAnsi="Lato"/>
                <w:color w:val="auto"/>
                <w:szCs w:val="22"/>
                <w:u w:val="none"/>
              </w:rPr>
              <w:t>and</w:t>
            </w:r>
            <w:r w:rsidRPr="00D95E9D">
              <w:rPr>
                <w:rFonts w:ascii="Lato" w:hAnsi="Lato"/>
                <w:color w:val="auto"/>
                <w:szCs w:val="22"/>
                <w:u w:val="none"/>
              </w:rPr>
              <w:t xml:space="preserve"> </w:t>
            </w:r>
            <w:r w:rsidR="00B030D3" w:rsidRPr="001362A6">
              <w:rPr>
                <w:rFonts w:ascii="Lato" w:hAnsi="Lato"/>
                <w:color w:val="auto"/>
                <w:szCs w:val="22"/>
                <w:u w:val="none"/>
              </w:rPr>
              <w:t>a</w:t>
            </w:r>
            <w:r w:rsidR="00AC48D2" w:rsidRPr="001362A6">
              <w:rPr>
                <w:rFonts w:ascii="Lato" w:hAnsi="Lato"/>
                <w:color w:val="auto"/>
                <w:szCs w:val="22"/>
                <w:u w:val="none"/>
              </w:rPr>
              <w:t xml:space="preserve"> detailed and prominent disclosure is given which </w:t>
            </w:r>
          </w:p>
        </w:tc>
        <w:tc>
          <w:tcPr>
            <w:tcW w:w="3188" w:type="dxa"/>
          </w:tcPr>
          <w:p w14:paraId="20E809BB" w14:textId="77777777" w:rsidR="00AC48D2" w:rsidRPr="001362A6" w:rsidRDefault="00AC48D2" w:rsidP="00FD764E">
            <w:pPr>
              <w:rPr>
                <w:rFonts w:ascii="Lato" w:hAnsi="Lato"/>
                <w:sz w:val="22"/>
                <w:szCs w:val="22"/>
              </w:rPr>
            </w:pPr>
          </w:p>
        </w:tc>
      </w:tr>
      <w:tr w:rsidR="00AC48D2" w:rsidRPr="001362A6" w14:paraId="3890B5E0" w14:textId="77777777" w:rsidTr="00990D73">
        <w:trPr>
          <w:trHeight w:val="156"/>
        </w:trPr>
        <w:tc>
          <w:tcPr>
            <w:tcW w:w="1316" w:type="dxa"/>
          </w:tcPr>
          <w:p w14:paraId="64E35DC2" w14:textId="77777777" w:rsidR="00AC48D2" w:rsidRPr="001362A6" w:rsidRDefault="00AC48D2" w:rsidP="00971795">
            <w:pPr>
              <w:jc w:val="right"/>
              <w:rPr>
                <w:rFonts w:ascii="Lato" w:hAnsi="Lato"/>
                <w:sz w:val="22"/>
                <w:szCs w:val="22"/>
              </w:rPr>
            </w:pPr>
          </w:p>
        </w:tc>
        <w:tc>
          <w:tcPr>
            <w:tcW w:w="5891" w:type="dxa"/>
          </w:tcPr>
          <w:p w14:paraId="0190B89E" w14:textId="77777777" w:rsidR="00AC48D2" w:rsidRPr="001362A6" w:rsidRDefault="00AD0F7D" w:rsidP="00D95E9D">
            <w:pPr>
              <w:pStyle w:val="Heading6"/>
              <w:jc w:val="both"/>
              <w:rPr>
                <w:rFonts w:ascii="Lato" w:hAnsi="Lato"/>
                <w:color w:val="auto"/>
                <w:szCs w:val="22"/>
                <w:u w:val="none"/>
              </w:rPr>
            </w:pPr>
            <w:r w:rsidRPr="00590C6D">
              <w:rPr>
                <w:rFonts w:ascii="Lato" w:hAnsi="Lato"/>
                <w:color w:val="auto"/>
                <w:szCs w:val="22"/>
                <w:u w:val="none"/>
              </w:rPr>
              <w:t>identifies</w:t>
            </w:r>
            <w:r w:rsidRPr="00D95E9D">
              <w:rPr>
                <w:rFonts w:ascii="Lato" w:hAnsi="Lato"/>
                <w:color w:val="auto"/>
                <w:szCs w:val="22"/>
                <w:u w:val="none"/>
              </w:rPr>
              <w:t xml:space="preserve"> </w:t>
            </w:r>
            <w:r w:rsidR="00AC48D2" w:rsidRPr="001362A6">
              <w:rPr>
                <w:rFonts w:ascii="Lato" w:hAnsi="Lato"/>
                <w:color w:val="auto"/>
                <w:szCs w:val="22"/>
                <w:u w:val="none"/>
              </w:rPr>
              <w:t xml:space="preserve">on an item-by-item basis those obligations and </w:t>
            </w:r>
          </w:p>
        </w:tc>
        <w:tc>
          <w:tcPr>
            <w:tcW w:w="3188" w:type="dxa"/>
          </w:tcPr>
          <w:p w14:paraId="28073BE0" w14:textId="77777777" w:rsidR="00AC48D2" w:rsidRPr="001362A6" w:rsidRDefault="00AC48D2" w:rsidP="00FD764E">
            <w:pPr>
              <w:rPr>
                <w:rFonts w:ascii="Lato" w:hAnsi="Lato"/>
                <w:sz w:val="22"/>
                <w:szCs w:val="22"/>
              </w:rPr>
            </w:pPr>
          </w:p>
        </w:tc>
      </w:tr>
      <w:tr w:rsidR="00AC48D2" w:rsidRPr="001362A6" w14:paraId="036FDCB6" w14:textId="77777777" w:rsidTr="00990D73">
        <w:trPr>
          <w:trHeight w:val="156"/>
        </w:trPr>
        <w:tc>
          <w:tcPr>
            <w:tcW w:w="1316" w:type="dxa"/>
          </w:tcPr>
          <w:p w14:paraId="229E2BE1" w14:textId="77777777" w:rsidR="00AC48D2" w:rsidRPr="001362A6" w:rsidRDefault="00AC48D2" w:rsidP="00971795">
            <w:pPr>
              <w:jc w:val="right"/>
              <w:rPr>
                <w:rFonts w:ascii="Lato" w:hAnsi="Lato"/>
                <w:sz w:val="22"/>
                <w:szCs w:val="22"/>
              </w:rPr>
            </w:pPr>
          </w:p>
        </w:tc>
        <w:tc>
          <w:tcPr>
            <w:tcW w:w="5891" w:type="dxa"/>
          </w:tcPr>
          <w:p w14:paraId="29061C46" w14:textId="77777777" w:rsidR="00AC48D2" w:rsidRPr="001362A6" w:rsidRDefault="00AD0F7D" w:rsidP="00D95E9D">
            <w:pPr>
              <w:pStyle w:val="Heading6"/>
              <w:jc w:val="both"/>
              <w:rPr>
                <w:rFonts w:ascii="Lato" w:hAnsi="Lato"/>
                <w:color w:val="auto"/>
                <w:szCs w:val="22"/>
                <w:u w:val="none"/>
              </w:rPr>
            </w:pPr>
            <w:r w:rsidRPr="00590C6D">
              <w:rPr>
                <w:rFonts w:ascii="Lato" w:hAnsi="Lato"/>
                <w:color w:val="auto"/>
                <w:szCs w:val="22"/>
                <w:u w:val="none"/>
              </w:rPr>
              <w:t>conditions</w:t>
            </w:r>
            <w:r w:rsidRPr="00D95E9D">
              <w:rPr>
                <w:rFonts w:ascii="Lato" w:hAnsi="Lato"/>
                <w:color w:val="auto"/>
                <w:szCs w:val="22"/>
                <w:u w:val="none"/>
              </w:rPr>
              <w:t xml:space="preserve"> </w:t>
            </w:r>
            <w:r w:rsidR="00AC48D2" w:rsidRPr="001362A6">
              <w:rPr>
                <w:rFonts w:ascii="Lato" w:hAnsi="Lato"/>
                <w:color w:val="auto"/>
                <w:szCs w:val="22"/>
                <w:u w:val="none"/>
              </w:rPr>
              <w:t xml:space="preserve">which apply to the Qualifying Investor AIF and </w:t>
            </w:r>
          </w:p>
        </w:tc>
        <w:tc>
          <w:tcPr>
            <w:tcW w:w="3188" w:type="dxa"/>
          </w:tcPr>
          <w:p w14:paraId="6A77727C" w14:textId="77777777" w:rsidR="00AC48D2" w:rsidRPr="001362A6" w:rsidRDefault="00AC48D2" w:rsidP="00FD764E">
            <w:pPr>
              <w:rPr>
                <w:rFonts w:ascii="Lato" w:hAnsi="Lato"/>
                <w:sz w:val="22"/>
                <w:szCs w:val="22"/>
              </w:rPr>
            </w:pPr>
          </w:p>
        </w:tc>
      </w:tr>
      <w:tr w:rsidR="00AC48D2" w:rsidRPr="001362A6" w14:paraId="16D29CD8" w14:textId="77777777" w:rsidTr="00990D73">
        <w:trPr>
          <w:trHeight w:val="156"/>
        </w:trPr>
        <w:tc>
          <w:tcPr>
            <w:tcW w:w="1316" w:type="dxa"/>
          </w:tcPr>
          <w:p w14:paraId="7572E78A" w14:textId="77777777" w:rsidR="00AC48D2" w:rsidRPr="001362A6" w:rsidRDefault="00AC48D2" w:rsidP="00971795">
            <w:pPr>
              <w:jc w:val="right"/>
              <w:rPr>
                <w:rFonts w:ascii="Lato" w:hAnsi="Lato"/>
                <w:sz w:val="22"/>
                <w:szCs w:val="22"/>
              </w:rPr>
            </w:pPr>
          </w:p>
        </w:tc>
        <w:tc>
          <w:tcPr>
            <w:tcW w:w="5891" w:type="dxa"/>
          </w:tcPr>
          <w:p w14:paraId="54298687" w14:textId="77777777" w:rsidR="00AC48D2" w:rsidRPr="001362A6" w:rsidRDefault="00AD0F7D" w:rsidP="00D95E9D">
            <w:pPr>
              <w:pStyle w:val="Heading6"/>
              <w:jc w:val="both"/>
              <w:rPr>
                <w:rFonts w:ascii="Lato" w:hAnsi="Lato"/>
                <w:color w:val="auto"/>
                <w:szCs w:val="22"/>
                <w:u w:val="none"/>
              </w:rPr>
            </w:pPr>
            <w:r w:rsidRPr="00590C6D">
              <w:rPr>
                <w:rFonts w:ascii="Lato" w:hAnsi="Lato"/>
                <w:color w:val="auto"/>
                <w:szCs w:val="22"/>
                <w:u w:val="none"/>
              </w:rPr>
              <w:t>its AIFM</w:t>
            </w:r>
            <w:r w:rsidRPr="00D95E9D">
              <w:rPr>
                <w:rFonts w:ascii="Lato" w:hAnsi="Lato"/>
                <w:color w:val="auto"/>
                <w:szCs w:val="22"/>
                <w:u w:val="none"/>
              </w:rPr>
              <w:t xml:space="preserve"> </w:t>
            </w:r>
            <w:r w:rsidR="00AC48D2" w:rsidRPr="001362A6">
              <w:rPr>
                <w:rFonts w:ascii="Lato" w:hAnsi="Lato"/>
                <w:color w:val="auto"/>
                <w:szCs w:val="22"/>
                <w:u w:val="none"/>
              </w:rPr>
              <w:t xml:space="preserve">but which do not apply to the underlying </w:t>
            </w:r>
          </w:p>
        </w:tc>
        <w:tc>
          <w:tcPr>
            <w:tcW w:w="3188" w:type="dxa"/>
          </w:tcPr>
          <w:p w14:paraId="581ACA60" w14:textId="77777777" w:rsidR="00AC48D2" w:rsidRPr="001362A6" w:rsidRDefault="00AC48D2" w:rsidP="00FD764E">
            <w:pPr>
              <w:rPr>
                <w:rFonts w:ascii="Lato" w:hAnsi="Lato"/>
                <w:sz w:val="22"/>
                <w:szCs w:val="22"/>
              </w:rPr>
            </w:pPr>
          </w:p>
        </w:tc>
      </w:tr>
      <w:tr w:rsidR="00AC48D2" w:rsidRPr="001362A6" w14:paraId="34CE7AF4" w14:textId="77777777" w:rsidTr="00990D73">
        <w:trPr>
          <w:trHeight w:val="156"/>
        </w:trPr>
        <w:tc>
          <w:tcPr>
            <w:tcW w:w="1316" w:type="dxa"/>
          </w:tcPr>
          <w:p w14:paraId="28D7C763" w14:textId="77777777" w:rsidR="00AC48D2" w:rsidRPr="001362A6" w:rsidRDefault="00AC48D2" w:rsidP="00971795">
            <w:pPr>
              <w:jc w:val="right"/>
              <w:rPr>
                <w:rFonts w:ascii="Lato" w:hAnsi="Lato"/>
                <w:sz w:val="22"/>
                <w:szCs w:val="22"/>
              </w:rPr>
            </w:pPr>
          </w:p>
        </w:tc>
        <w:tc>
          <w:tcPr>
            <w:tcW w:w="5891" w:type="dxa"/>
          </w:tcPr>
          <w:p w14:paraId="7908EE4A" w14:textId="77777777" w:rsidR="00AC48D2" w:rsidRPr="001362A6" w:rsidRDefault="00AD0F7D" w:rsidP="00735EB0">
            <w:pPr>
              <w:pStyle w:val="Heading6"/>
              <w:jc w:val="both"/>
              <w:rPr>
                <w:rFonts w:ascii="Lato" w:hAnsi="Lato"/>
                <w:color w:val="auto"/>
                <w:szCs w:val="22"/>
                <w:u w:val="none"/>
              </w:rPr>
            </w:pPr>
            <w:r w:rsidRPr="00590C6D">
              <w:rPr>
                <w:rFonts w:ascii="Lato" w:hAnsi="Lato"/>
                <w:color w:val="auto"/>
                <w:szCs w:val="22"/>
                <w:u w:val="none"/>
              </w:rPr>
              <w:t>unregulated</w:t>
            </w:r>
            <w:r w:rsidRPr="00D95E9D">
              <w:rPr>
                <w:rFonts w:ascii="Lato" w:hAnsi="Lato"/>
                <w:color w:val="auto"/>
                <w:szCs w:val="22"/>
                <w:u w:val="none"/>
              </w:rPr>
              <w:t xml:space="preserve"> </w:t>
            </w:r>
            <w:r w:rsidR="00B030D3" w:rsidRPr="001362A6">
              <w:rPr>
                <w:rFonts w:ascii="Lato" w:hAnsi="Lato"/>
                <w:color w:val="auto"/>
                <w:szCs w:val="22"/>
                <w:u w:val="none"/>
              </w:rPr>
              <w:t>investment fund and its management company</w:t>
            </w:r>
            <w:r w:rsidR="00AC48D2" w:rsidRPr="001362A6">
              <w:rPr>
                <w:rFonts w:ascii="Lato" w:hAnsi="Lato"/>
                <w:color w:val="auto"/>
                <w:szCs w:val="22"/>
                <w:u w:val="none"/>
              </w:rPr>
              <w:t>.</w:t>
            </w:r>
          </w:p>
        </w:tc>
        <w:tc>
          <w:tcPr>
            <w:tcW w:w="3188" w:type="dxa"/>
          </w:tcPr>
          <w:p w14:paraId="66AA781A" w14:textId="77777777" w:rsidR="00AC48D2" w:rsidRPr="001362A6" w:rsidRDefault="00AC48D2" w:rsidP="00FD764E">
            <w:pPr>
              <w:rPr>
                <w:rFonts w:ascii="Lato" w:hAnsi="Lato"/>
                <w:sz w:val="22"/>
                <w:szCs w:val="22"/>
              </w:rPr>
            </w:pPr>
          </w:p>
        </w:tc>
      </w:tr>
      <w:tr w:rsidR="00AC48D2" w:rsidRPr="001362A6" w14:paraId="7A9B43CE" w14:textId="77777777" w:rsidTr="00990D73">
        <w:trPr>
          <w:trHeight w:val="156"/>
        </w:trPr>
        <w:tc>
          <w:tcPr>
            <w:tcW w:w="1316" w:type="dxa"/>
          </w:tcPr>
          <w:p w14:paraId="704F9FA1" w14:textId="77777777" w:rsidR="00AC48D2" w:rsidRPr="001362A6" w:rsidRDefault="00AC48D2" w:rsidP="00971795">
            <w:pPr>
              <w:jc w:val="right"/>
              <w:rPr>
                <w:rFonts w:ascii="Lato" w:hAnsi="Lato"/>
                <w:sz w:val="22"/>
                <w:szCs w:val="22"/>
              </w:rPr>
            </w:pPr>
          </w:p>
        </w:tc>
        <w:tc>
          <w:tcPr>
            <w:tcW w:w="5891" w:type="dxa"/>
          </w:tcPr>
          <w:p w14:paraId="39ABDE26" w14:textId="77777777" w:rsidR="00AC48D2" w:rsidRPr="001362A6" w:rsidRDefault="00AC48D2" w:rsidP="00735EB0">
            <w:pPr>
              <w:pStyle w:val="Heading6"/>
              <w:jc w:val="both"/>
              <w:rPr>
                <w:rFonts w:ascii="Lato" w:hAnsi="Lato"/>
                <w:color w:val="auto"/>
                <w:szCs w:val="22"/>
                <w:u w:val="none"/>
              </w:rPr>
            </w:pPr>
          </w:p>
        </w:tc>
        <w:tc>
          <w:tcPr>
            <w:tcW w:w="3188" w:type="dxa"/>
            <w:tcBorders>
              <w:bottom w:val="single" w:sz="4" w:space="0" w:color="auto"/>
            </w:tcBorders>
          </w:tcPr>
          <w:p w14:paraId="1176189F" w14:textId="77777777" w:rsidR="00AC48D2" w:rsidRPr="001362A6" w:rsidRDefault="00AC48D2" w:rsidP="00FD764E">
            <w:pPr>
              <w:rPr>
                <w:rFonts w:ascii="Lato" w:hAnsi="Lato"/>
                <w:sz w:val="22"/>
                <w:szCs w:val="22"/>
              </w:rPr>
            </w:pPr>
          </w:p>
        </w:tc>
      </w:tr>
      <w:tr w:rsidR="00AC48D2" w:rsidRPr="001362A6" w14:paraId="703E35E5" w14:textId="77777777" w:rsidTr="00990D73">
        <w:trPr>
          <w:trHeight w:val="156"/>
        </w:trPr>
        <w:tc>
          <w:tcPr>
            <w:tcW w:w="1316" w:type="dxa"/>
          </w:tcPr>
          <w:p w14:paraId="318530F2" w14:textId="77777777" w:rsidR="00AC48D2" w:rsidRPr="001362A6" w:rsidRDefault="00E81A3D" w:rsidP="00996002">
            <w:pPr>
              <w:rPr>
                <w:rFonts w:ascii="Lato" w:hAnsi="Lato"/>
                <w:sz w:val="22"/>
                <w:szCs w:val="22"/>
              </w:rPr>
            </w:pPr>
            <w:r w:rsidRPr="001362A6">
              <w:rPr>
                <w:rFonts w:ascii="Lato" w:hAnsi="Lato"/>
                <w:sz w:val="22"/>
                <w:szCs w:val="22"/>
              </w:rPr>
              <w:t>(iii</w:t>
            </w:r>
            <w:r w:rsidR="00AC48D2" w:rsidRPr="001362A6">
              <w:rPr>
                <w:rFonts w:ascii="Lato" w:hAnsi="Lato"/>
                <w:sz w:val="22"/>
                <w:szCs w:val="22"/>
              </w:rPr>
              <w:t>)</w:t>
            </w:r>
          </w:p>
        </w:tc>
        <w:tc>
          <w:tcPr>
            <w:tcW w:w="5891" w:type="dxa"/>
            <w:tcBorders>
              <w:right w:val="single" w:sz="4" w:space="0" w:color="auto"/>
            </w:tcBorders>
          </w:tcPr>
          <w:p w14:paraId="5DB3782C" w14:textId="77777777" w:rsidR="00AC48D2" w:rsidRPr="001362A6" w:rsidRDefault="00A82999" w:rsidP="00D95E9D">
            <w:pPr>
              <w:pStyle w:val="Heading6"/>
              <w:jc w:val="both"/>
              <w:rPr>
                <w:rFonts w:ascii="Lato" w:hAnsi="Lato"/>
                <w:color w:val="auto"/>
                <w:szCs w:val="22"/>
                <w:u w:val="none"/>
              </w:rPr>
            </w:pPr>
            <w:r w:rsidRPr="001362A6">
              <w:rPr>
                <w:rFonts w:ascii="Lato" w:hAnsi="Lato"/>
                <w:color w:val="auto"/>
                <w:szCs w:val="22"/>
                <w:u w:val="none"/>
              </w:rPr>
              <w:t>P</w:t>
            </w:r>
            <w:r w:rsidR="00AC48D2" w:rsidRPr="001362A6">
              <w:rPr>
                <w:rFonts w:ascii="Lato" w:hAnsi="Lato"/>
                <w:color w:val="auto"/>
                <w:szCs w:val="22"/>
                <w:u w:val="none"/>
              </w:rPr>
              <w:t xml:space="preserve">rovide that a Qualifying Investor AIF will not invest more </w:t>
            </w:r>
          </w:p>
        </w:tc>
        <w:tc>
          <w:tcPr>
            <w:tcW w:w="3188" w:type="dxa"/>
            <w:tcBorders>
              <w:top w:val="single" w:sz="4" w:space="0" w:color="auto"/>
              <w:left w:val="single" w:sz="4" w:space="0" w:color="auto"/>
              <w:bottom w:val="single" w:sz="4" w:space="0" w:color="auto"/>
              <w:right w:val="single" w:sz="4" w:space="0" w:color="auto"/>
            </w:tcBorders>
          </w:tcPr>
          <w:p w14:paraId="49161C08" w14:textId="77777777" w:rsidR="00AC48D2" w:rsidRPr="001362A6" w:rsidRDefault="00AC48D2" w:rsidP="00FD764E">
            <w:pPr>
              <w:rPr>
                <w:rFonts w:ascii="Lato" w:hAnsi="Lato"/>
                <w:sz w:val="22"/>
                <w:szCs w:val="22"/>
              </w:rPr>
            </w:pPr>
          </w:p>
        </w:tc>
      </w:tr>
      <w:tr w:rsidR="00AC48D2" w:rsidRPr="001362A6" w14:paraId="2F75839C" w14:textId="77777777" w:rsidTr="00990D73">
        <w:trPr>
          <w:trHeight w:val="156"/>
        </w:trPr>
        <w:tc>
          <w:tcPr>
            <w:tcW w:w="1316" w:type="dxa"/>
          </w:tcPr>
          <w:p w14:paraId="1DA68DFA" w14:textId="77777777" w:rsidR="00AC48D2" w:rsidRPr="001362A6" w:rsidRDefault="00AC48D2" w:rsidP="00971795">
            <w:pPr>
              <w:jc w:val="right"/>
              <w:rPr>
                <w:rFonts w:ascii="Lato" w:hAnsi="Lato"/>
                <w:sz w:val="22"/>
                <w:szCs w:val="22"/>
              </w:rPr>
            </w:pPr>
          </w:p>
        </w:tc>
        <w:tc>
          <w:tcPr>
            <w:tcW w:w="5891" w:type="dxa"/>
          </w:tcPr>
          <w:p w14:paraId="19A165FF" w14:textId="77777777" w:rsidR="00AC48D2" w:rsidRPr="001362A6" w:rsidRDefault="00AD0F7D" w:rsidP="004D6C78">
            <w:pPr>
              <w:pStyle w:val="Heading6"/>
              <w:jc w:val="both"/>
              <w:rPr>
                <w:rFonts w:ascii="Lato" w:hAnsi="Lato"/>
                <w:color w:val="auto"/>
                <w:szCs w:val="22"/>
                <w:u w:val="none"/>
              </w:rPr>
            </w:pPr>
            <w:r w:rsidRPr="00590C6D">
              <w:rPr>
                <w:rFonts w:ascii="Lato" w:hAnsi="Lato"/>
                <w:color w:val="auto"/>
                <w:szCs w:val="22"/>
                <w:u w:val="none"/>
              </w:rPr>
              <w:t>than</w:t>
            </w:r>
            <w:r w:rsidRPr="00D95E9D">
              <w:rPr>
                <w:rFonts w:ascii="Lato" w:hAnsi="Lato"/>
                <w:color w:val="auto"/>
                <w:szCs w:val="22"/>
                <w:u w:val="none"/>
              </w:rPr>
              <w:t xml:space="preserve"> </w:t>
            </w:r>
            <w:r w:rsidR="00AC48D2" w:rsidRPr="001362A6">
              <w:rPr>
                <w:rFonts w:ascii="Lato" w:hAnsi="Lato"/>
                <w:color w:val="auto"/>
                <w:szCs w:val="22"/>
                <w:u w:val="none"/>
              </w:rPr>
              <w:t>50% of net assets in any one unregulated investment fund</w:t>
            </w:r>
          </w:p>
        </w:tc>
        <w:tc>
          <w:tcPr>
            <w:tcW w:w="3188" w:type="dxa"/>
            <w:tcBorders>
              <w:top w:val="single" w:sz="4" w:space="0" w:color="auto"/>
            </w:tcBorders>
          </w:tcPr>
          <w:p w14:paraId="5FD2A7A0" w14:textId="77777777" w:rsidR="00AC48D2" w:rsidRPr="001362A6" w:rsidRDefault="00AC48D2" w:rsidP="00FD764E">
            <w:pPr>
              <w:rPr>
                <w:rFonts w:ascii="Lato" w:hAnsi="Lato"/>
                <w:sz w:val="22"/>
                <w:szCs w:val="22"/>
              </w:rPr>
            </w:pPr>
          </w:p>
        </w:tc>
      </w:tr>
      <w:tr w:rsidR="00AC48D2" w:rsidRPr="001362A6" w14:paraId="42AA803A" w14:textId="77777777" w:rsidTr="00990D73">
        <w:trPr>
          <w:trHeight w:val="156"/>
        </w:trPr>
        <w:tc>
          <w:tcPr>
            <w:tcW w:w="1316" w:type="dxa"/>
          </w:tcPr>
          <w:p w14:paraId="4A46D362" w14:textId="77777777" w:rsidR="00AC48D2" w:rsidRPr="001362A6" w:rsidRDefault="00AC48D2" w:rsidP="00971795">
            <w:pPr>
              <w:jc w:val="right"/>
              <w:rPr>
                <w:rFonts w:ascii="Lato" w:hAnsi="Lato"/>
                <w:sz w:val="22"/>
                <w:szCs w:val="22"/>
              </w:rPr>
            </w:pPr>
          </w:p>
        </w:tc>
        <w:tc>
          <w:tcPr>
            <w:tcW w:w="5891" w:type="dxa"/>
          </w:tcPr>
          <w:p w14:paraId="1A283D08" w14:textId="77777777" w:rsidR="00AC48D2" w:rsidRPr="001362A6" w:rsidRDefault="00AC48D2" w:rsidP="00735EB0">
            <w:pPr>
              <w:pStyle w:val="Heading6"/>
              <w:jc w:val="both"/>
              <w:rPr>
                <w:rFonts w:ascii="Lato" w:hAnsi="Lato"/>
                <w:color w:val="auto"/>
                <w:szCs w:val="22"/>
                <w:u w:val="none"/>
              </w:rPr>
            </w:pPr>
          </w:p>
        </w:tc>
        <w:tc>
          <w:tcPr>
            <w:tcW w:w="3188" w:type="dxa"/>
          </w:tcPr>
          <w:p w14:paraId="14BA1B00" w14:textId="77777777" w:rsidR="00AC48D2" w:rsidRPr="001362A6" w:rsidRDefault="00AC48D2" w:rsidP="00FD764E">
            <w:pPr>
              <w:rPr>
                <w:rFonts w:ascii="Lato" w:hAnsi="Lato"/>
                <w:sz w:val="22"/>
                <w:szCs w:val="22"/>
              </w:rPr>
            </w:pPr>
          </w:p>
        </w:tc>
      </w:tr>
      <w:tr w:rsidR="00AC48D2" w:rsidRPr="001362A6" w14:paraId="5D6EAD3A" w14:textId="77777777" w:rsidTr="00990D73">
        <w:trPr>
          <w:trHeight w:val="156"/>
        </w:trPr>
        <w:tc>
          <w:tcPr>
            <w:tcW w:w="1316" w:type="dxa"/>
          </w:tcPr>
          <w:p w14:paraId="220617E0" w14:textId="77777777" w:rsidR="00AC48D2" w:rsidRPr="001362A6" w:rsidRDefault="00AC48D2" w:rsidP="00971795">
            <w:pPr>
              <w:jc w:val="right"/>
              <w:rPr>
                <w:rFonts w:ascii="Lato" w:hAnsi="Lato"/>
                <w:sz w:val="22"/>
                <w:szCs w:val="22"/>
              </w:rPr>
            </w:pPr>
          </w:p>
        </w:tc>
        <w:tc>
          <w:tcPr>
            <w:tcW w:w="5891" w:type="dxa"/>
          </w:tcPr>
          <w:p w14:paraId="5ECEA7F1" w14:textId="77777777" w:rsidR="00AC48D2" w:rsidRPr="001362A6" w:rsidRDefault="00AC48D2" w:rsidP="00735EB0">
            <w:pPr>
              <w:pStyle w:val="Heading6"/>
              <w:jc w:val="both"/>
              <w:rPr>
                <w:rFonts w:ascii="Lato" w:hAnsi="Lato"/>
                <w:color w:val="auto"/>
                <w:szCs w:val="22"/>
                <w:u w:val="none"/>
              </w:rPr>
            </w:pPr>
          </w:p>
        </w:tc>
        <w:tc>
          <w:tcPr>
            <w:tcW w:w="3188" w:type="dxa"/>
            <w:tcBorders>
              <w:bottom w:val="single" w:sz="4" w:space="0" w:color="auto"/>
            </w:tcBorders>
          </w:tcPr>
          <w:p w14:paraId="390DB1E7" w14:textId="77777777" w:rsidR="00AC48D2" w:rsidRPr="001362A6" w:rsidRDefault="00AC48D2" w:rsidP="00FD764E">
            <w:pPr>
              <w:rPr>
                <w:rFonts w:ascii="Lato" w:hAnsi="Lato"/>
                <w:sz w:val="22"/>
                <w:szCs w:val="22"/>
              </w:rPr>
            </w:pPr>
          </w:p>
        </w:tc>
      </w:tr>
      <w:tr w:rsidR="00AC48D2" w:rsidRPr="001362A6" w14:paraId="00E7B517" w14:textId="77777777" w:rsidTr="00990D73">
        <w:trPr>
          <w:trHeight w:val="156"/>
        </w:trPr>
        <w:tc>
          <w:tcPr>
            <w:tcW w:w="1316" w:type="dxa"/>
          </w:tcPr>
          <w:p w14:paraId="79F880C1" w14:textId="77777777" w:rsidR="00AC48D2" w:rsidRPr="001362A6" w:rsidRDefault="00AC48D2" w:rsidP="00996002">
            <w:pPr>
              <w:rPr>
                <w:rFonts w:ascii="Lato" w:hAnsi="Lato"/>
                <w:sz w:val="22"/>
                <w:szCs w:val="22"/>
              </w:rPr>
            </w:pPr>
            <w:r w:rsidRPr="001362A6">
              <w:rPr>
                <w:rFonts w:ascii="Lato" w:hAnsi="Lato"/>
                <w:sz w:val="22"/>
                <w:szCs w:val="22"/>
              </w:rPr>
              <w:t>(iv)</w:t>
            </w:r>
          </w:p>
        </w:tc>
        <w:tc>
          <w:tcPr>
            <w:tcW w:w="5891" w:type="dxa"/>
            <w:tcBorders>
              <w:right w:val="single" w:sz="4" w:space="0" w:color="auto"/>
            </w:tcBorders>
          </w:tcPr>
          <w:p w14:paraId="4D706187" w14:textId="77777777" w:rsidR="00AC48D2" w:rsidRPr="001362A6" w:rsidRDefault="00AC48D2" w:rsidP="00D95E9D">
            <w:pPr>
              <w:pStyle w:val="Heading6"/>
              <w:jc w:val="both"/>
              <w:rPr>
                <w:rFonts w:ascii="Lato" w:hAnsi="Lato"/>
                <w:color w:val="auto"/>
                <w:szCs w:val="22"/>
                <w:u w:val="none"/>
              </w:rPr>
            </w:pPr>
            <w:r w:rsidRPr="001362A6">
              <w:rPr>
                <w:rFonts w:ascii="Lato" w:hAnsi="Lato"/>
                <w:color w:val="auto"/>
                <w:szCs w:val="22"/>
                <w:u w:val="none"/>
              </w:rPr>
              <w:t xml:space="preserve">A Qualifying Investor AIF may not invest more than 50% of </w:t>
            </w:r>
          </w:p>
        </w:tc>
        <w:tc>
          <w:tcPr>
            <w:tcW w:w="3188" w:type="dxa"/>
            <w:tcBorders>
              <w:top w:val="single" w:sz="4" w:space="0" w:color="auto"/>
              <w:left w:val="single" w:sz="4" w:space="0" w:color="auto"/>
              <w:bottom w:val="single" w:sz="4" w:space="0" w:color="auto"/>
              <w:right w:val="single" w:sz="4" w:space="0" w:color="auto"/>
            </w:tcBorders>
          </w:tcPr>
          <w:p w14:paraId="6B5A43CB" w14:textId="77777777" w:rsidR="00AC48D2" w:rsidRPr="001362A6" w:rsidRDefault="00AC48D2" w:rsidP="00FD764E">
            <w:pPr>
              <w:rPr>
                <w:rFonts w:ascii="Lato" w:hAnsi="Lato"/>
                <w:sz w:val="22"/>
                <w:szCs w:val="22"/>
              </w:rPr>
            </w:pPr>
          </w:p>
        </w:tc>
      </w:tr>
      <w:tr w:rsidR="00AC48D2" w:rsidRPr="001362A6" w14:paraId="7AEF0570" w14:textId="77777777" w:rsidTr="00990D73">
        <w:trPr>
          <w:trHeight w:val="156"/>
        </w:trPr>
        <w:tc>
          <w:tcPr>
            <w:tcW w:w="1316" w:type="dxa"/>
          </w:tcPr>
          <w:p w14:paraId="541AEE06" w14:textId="77777777" w:rsidR="00AC48D2" w:rsidRPr="001362A6" w:rsidRDefault="00AC48D2" w:rsidP="00971795">
            <w:pPr>
              <w:jc w:val="right"/>
              <w:rPr>
                <w:rFonts w:ascii="Lato" w:hAnsi="Lato"/>
                <w:sz w:val="22"/>
                <w:szCs w:val="22"/>
              </w:rPr>
            </w:pPr>
          </w:p>
        </w:tc>
        <w:tc>
          <w:tcPr>
            <w:tcW w:w="5891" w:type="dxa"/>
          </w:tcPr>
          <w:p w14:paraId="282A3EA3" w14:textId="77777777" w:rsidR="00AC48D2" w:rsidRPr="001362A6" w:rsidRDefault="00AD0F7D" w:rsidP="00D95E9D">
            <w:pPr>
              <w:pStyle w:val="Heading6"/>
              <w:jc w:val="both"/>
              <w:rPr>
                <w:rFonts w:ascii="Lato" w:hAnsi="Lato"/>
                <w:color w:val="auto"/>
                <w:szCs w:val="22"/>
                <w:u w:val="none"/>
              </w:rPr>
            </w:pPr>
            <w:r w:rsidRPr="00590C6D">
              <w:rPr>
                <w:rFonts w:ascii="Lato" w:hAnsi="Lato"/>
                <w:color w:val="auto"/>
                <w:szCs w:val="22"/>
                <w:u w:val="none"/>
              </w:rPr>
              <w:t>net</w:t>
            </w:r>
            <w:r w:rsidRPr="00D95E9D">
              <w:rPr>
                <w:rFonts w:ascii="Lato" w:hAnsi="Lato"/>
                <w:color w:val="auto"/>
                <w:szCs w:val="22"/>
                <w:u w:val="none"/>
              </w:rPr>
              <w:t xml:space="preserve"> </w:t>
            </w:r>
            <w:r w:rsidR="00AC48D2" w:rsidRPr="001362A6">
              <w:rPr>
                <w:rFonts w:ascii="Lato" w:hAnsi="Lato"/>
                <w:color w:val="auto"/>
                <w:szCs w:val="22"/>
                <w:u w:val="none"/>
              </w:rPr>
              <w:t xml:space="preserve">assets in another investment fund which  itself invests </w:t>
            </w:r>
          </w:p>
        </w:tc>
        <w:tc>
          <w:tcPr>
            <w:tcW w:w="3188" w:type="dxa"/>
            <w:tcBorders>
              <w:top w:val="single" w:sz="4" w:space="0" w:color="auto"/>
            </w:tcBorders>
          </w:tcPr>
          <w:p w14:paraId="77B1CC14" w14:textId="77777777" w:rsidR="00AC48D2" w:rsidRPr="001362A6" w:rsidRDefault="00AC48D2" w:rsidP="00FD764E">
            <w:pPr>
              <w:rPr>
                <w:rFonts w:ascii="Lato" w:hAnsi="Lato"/>
                <w:sz w:val="22"/>
                <w:szCs w:val="22"/>
              </w:rPr>
            </w:pPr>
          </w:p>
        </w:tc>
      </w:tr>
      <w:tr w:rsidR="00AC48D2" w:rsidRPr="001362A6" w14:paraId="71726746" w14:textId="77777777" w:rsidTr="00990D73">
        <w:trPr>
          <w:trHeight w:val="156"/>
        </w:trPr>
        <w:tc>
          <w:tcPr>
            <w:tcW w:w="1316" w:type="dxa"/>
          </w:tcPr>
          <w:p w14:paraId="3EB0825D" w14:textId="77777777" w:rsidR="00AC48D2" w:rsidRPr="001362A6" w:rsidRDefault="00AC48D2" w:rsidP="00971795">
            <w:pPr>
              <w:jc w:val="right"/>
              <w:rPr>
                <w:rFonts w:ascii="Lato" w:hAnsi="Lato"/>
                <w:sz w:val="22"/>
                <w:szCs w:val="22"/>
              </w:rPr>
            </w:pPr>
          </w:p>
        </w:tc>
        <w:tc>
          <w:tcPr>
            <w:tcW w:w="5891" w:type="dxa"/>
          </w:tcPr>
          <w:p w14:paraId="1485FA30" w14:textId="77777777" w:rsidR="00AC48D2" w:rsidRPr="001362A6" w:rsidRDefault="00AD0F7D" w:rsidP="00315B4E">
            <w:pPr>
              <w:pStyle w:val="Heading6"/>
              <w:jc w:val="both"/>
              <w:rPr>
                <w:rFonts w:ascii="Lato" w:hAnsi="Lato"/>
                <w:color w:val="auto"/>
                <w:szCs w:val="22"/>
                <w:u w:val="none"/>
              </w:rPr>
            </w:pPr>
            <w:r w:rsidRPr="00590C6D">
              <w:rPr>
                <w:rFonts w:ascii="Lato" w:hAnsi="Lato"/>
                <w:color w:val="auto"/>
                <w:szCs w:val="22"/>
                <w:u w:val="none"/>
              </w:rPr>
              <w:t xml:space="preserve">more </w:t>
            </w:r>
            <w:r w:rsidR="003F57C4" w:rsidRPr="001362A6">
              <w:rPr>
                <w:rFonts w:ascii="Lato" w:hAnsi="Lato"/>
                <w:color w:val="auto"/>
                <w:szCs w:val="22"/>
                <w:u w:val="none"/>
              </w:rPr>
              <w:t xml:space="preserve">than </w:t>
            </w:r>
            <w:r w:rsidR="00AC48D2" w:rsidRPr="001362A6">
              <w:rPr>
                <w:rFonts w:ascii="Lato" w:hAnsi="Lato"/>
                <w:color w:val="auto"/>
                <w:szCs w:val="22"/>
                <w:u w:val="none"/>
              </w:rPr>
              <w:t xml:space="preserve">50% of net assets in another investment fund </w:t>
            </w:r>
          </w:p>
        </w:tc>
        <w:tc>
          <w:tcPr>
            <w:tcW w:w="3188" w:type="dxa"/>
          </w:tcPr>
          <w:p w14:paraId="72DBB317" w14:textId="77777777" w:rsidR="00AC48D2" w:rsidRPr="001362A6" w:rsidRDefault="00AC48D2" w:rsidP="00FD764E">
            <w:pPr>
              <w:rPr>
                <w:rFonts w:ascii="Lato" w:hAnsi="Lato"/>
                <w:sz w:val="22"/>
                <w:szCs w:val="22"/>
              </w:rPr>
            </w:pPr>
          </w:p>
        </w:tc>
      </w:tr>
      <w:tr w:rsidR="00AC48D2" w:rsidRPr="001362A6" w14:paraId="4F578980" w14:textId="77777777" w:rsidTr="00990D73">
        <w:trPr>
          <w:trHeight w:val="156"/>
        </w:trPr>
        <w:tc>
          <w:tcPr>
            <w:tcW w:w="1316" w:type="dxa"/>
          </w:tcPr>
          <w:p w14:paraId="4CF0D440" w14:textId="77777777" w:rsidR="00AC48D2" w:rsidRPr="001362A6" w:rsidRDefault="00AC48D2" w:rsidP="00971795">
            <w:pPr>
              <w:jc w:val="right"/>
              <w:rPr>
                <w:rFonts w:ascii="Lato" w:hAnsi="Lato"/>
                <w:sz w:val="22"/>
                <w:szCs w:val="22"/>
              </w:rPr>
            </w:pPr>
          </w:p>
        </w:tc>
        <w:tc>
          <w:tcPr>
            <w:tcW w:w="5891" w:type="dxa"/>
          </w:tcPr>
          <w:p w14:paraId="4E0B83C6" w14:textId="77777777" w:rsidR="00AC48D2" w:rsidRPr="001362A6" w:rsidRDefault="00AC48D2" w:rsidP="00735EB0">
            <w:pPr>
              <w:pStyle w:val="Heading6"/>
              <w:jc w:val="both"/>
              <w:rPr>
                <w:rFonts w:ascii="Lato" w:hAnsi="Lato"/>
                <w:color w:val="auto"/>
                <w:szCs w:val="22"/>
                <w:u w:val="none"/>
              </w:rPr>
            </w:pPr>
          </w:p>
        </w:tc>
        <w:tc>
          <w:tcPr>
            <w:tcW w:w="3188" w:type="dxa"/>
          </w:tcPr>
          <w:p w14:paraId="2ACB2BAE" w14:textId="77777777" w:rsidR="00AC48D2" w:rsidRPr="001362A6" w:rsidRDefault="00AC48D2" w:rsidP="00FD764E">
            <w:pPr>
              <w:rPr>
                <w:rFonts w:ascii="Lato" w:hAnsi="Lato"/>
                <w:sz w:val="22"/>
                <w:szCs w:val="22"/>
              </w:rPr>
            </w:pPr>
          </w:p>
        </w:tc>
      </w:tr>
      <w:tr w:rsidR="00AC48D2" w:rsidRPr="001362A6" w14:paraId="7EED25A2" w14:textId="77777777" w:rsidTr="009844E8">
        <w:trPr>
          <w:trHeight w:val="156"/>
        </w:trPr>
        <w:tc>
          <w:tcPr>
            <w:tcW w:w="1316" w:type="dxa"/>
          </w:tcPr>
          <w:p w14:paraId="6C42E4CA" w14:textId="77777777" w:rsidR="00AC48D2" w:rsidRPr="001362A6" w:rsidRDefault="00E876DF" w:rsidP="009844E8">
            <w:pPr>
              <w:rPr>
                <w:rFonts w:ascii="Lato" w:hAnsi="Lato"/>
                <w:sz w:val="22"/>
                <w:szCs w:val="22"/>
              </w:rPr>
            </w:pPr>
            <w:r w:rsidRPr="001362A6">
              <w:rPr>
                <w:rFonts w:ascii="Lato" w:hAnsi="Lato"/>
                <w:sz w:val="22"/>
                <w:szCs w:val="22"/>
              </w:rPr>
              <w:t>2.2.6</w:t>
            </w:r>
          </w:p>
        </w:tc>
        <w:tc>
          <w:tcPr>
            <w:tcW w:w="5891" w:type="dxa"/>
          </w:tcPr>
          <w:p w14:paraId="5D500BCC" w14:textId="77777777" w:rsidR="00AC48D2" w:rsidRPr="001362A6" w:rsidRDefault="00E876DF" w:rsidP="009844E8">
            <w:pPr>
              <w:pStyle w:val="Heading6"/>
              <w:rPr>
                <w:rFonts w:ascii="Lato" w:hAnsi="Lato"/>
                <w:b/>
                <w:color w:val="auto"/>
                <w:szCs w:val="22"/>
                <w:u w:val="none"/>
              </w:rPr>
            </w:pPr>
            <w:r w:rsidRPr="001362A6">
              <w:rPr>
                <w:rFonts w:ascii="Lato" w:hAnsi="Lato"/>
                <w:b/>
                <w:color w:val="auto"/>
                <w:szCs w:val="22"/>
                <w:u w:val="none"/>
              </w:rPr>
              <w:t>Loan originating Qualifying Investor AIF</w:t>
            </w:r>
          </w:p>
        </w:tc>
        <w:tc>
          <w:tcPr>
            <w:tcW w:w="3188" w:type="dxa"/>
            <w:tcBorders>
              <w:bottom w:val="single" w:sz="4" w:space="0" w:color="auto"/>
            </w:tcBorders>
          </w:tcPr>
          <w:p w14:paraId="62E17908" w14:textId="77777777" w:rsidR="00AC48D2" w:rsidRPr="001362A6" w:rsidRDefault="00AC48D2" w:rsidP="00E876DF">
            <w:pPr>
              <w:rPr>
                <w:rFonts w:ascii="Lato" w:hAnsi="Lato"/>
                <w:sz w:val="22"/>
                <w:szCs w:val="22"/>
              </w:rPr>
            </w:pPr>
          </w:p>
        </w:tc>
      </w:tr>
      <w:tr w:rsidR="00BB028B" w:rsidRPr="001362A6" w14:paraId="7022D824" w14:textId="77777777" w:rsidTr="00801FC1">
        <w:trPr>
          <w:trHeight w:val="156"/>
        </w:trPr>
        <w:tc>
          <w:tcPr>
            <w:tcW w:w="1316" w:type="dxa"/>
          </w:tcPr>
          <w:p w14:paraId="6AC9B01C" w14:textId="77777777" w:rsidR="00BB028B" w:rsidRPr="001362A6" w:rsidRDefault="00BB028B" w:rsidP="00D47A86">
            <w:pPr>
              <w:rPr>
                <w:rFonts w:ascii="Lato" w:hAnsi="Lato"/>
                <w:sz w:val="22"/>
                <w:szCs w:val="22"/>
              </w:rPr>
            </w:pPr>
          </w:p>
        </w:tc>
        <w:tc>
          <w:tcPr>
            <w:tcW w:w="5891" w:type="dxa"/>
          </w:tcPr>
          <w:p w14:paraId="5676108A" w14:textId="77777777" w:rsidR="00BB028B" w:rsidRPr="001362A6" w:rsidRDefault="00BB028B" w:rsidP="00D47A86">
            <w:pPr>
              <w:pStyle w:val="Heading6"/>
              <w:rPr>
                <w:rFonts w:ascii="Lato" w:hAnsi="Lato"/>
                <w:color w:val="auto"/>
                <w:szCs w:val="22"/>
                <w:u w:val="none"/>
              </w:rPr>
            </w:pPr>
          </w:p>
        </w:tc>
        <w:tc>
          <w:tcPr>
            <w:tcW w:w="3188" w:type="dxa"/>
            <w:tcBorders>
              <w:bottom w:val="single" w:sz="4" w:space="0" w:color="auto"/>
            </w:tcBorders>
          </w:tcPr>
          <w:p w14:paraId="0A656D68" w14:textId="77777777" w:rsidR="00BB028B" w:rsidRPr="001362A6" w:rsidRDefault="00BB028B" w:rsidP="00E876DF">
            <w:pPr>
              <w:rPr>
                <w:rFonts w:ascii="Lato" w:hAnsi="Lato"/>
                <w:sz w:val="22"/>
                <w:szCs w:val="22"/>
              </w:rPr>
            </w:pPr>
          </w:p>
        </w:tc>
      </w:tr>
      <w:tr w:rsidR="00E876DF" w:rsidRPr="001362A6" w14:paraId="3E8C6BA8" w14:textId="77777777" w:rsidTr="009844E8">
        <w:trPr>
          <w:trHeight w:val="156"/>
        </w:trPr>
        <w:tc>
          <w:tcPr>
            <w:tcW w:w="1316" w:type="dxa"/>
          </w:tcPr>
          <w:p w14:paraId="03CAC11D" w14:textId="77777777" w:rsidR="00E876DF" w:rsidRPr="001362A6" w:rsidRDefault="00CB1DC7" w:rsidP="00801FC1">
            <w:pPr>
              <w:rPr>
                <w:rFonts w:ascii="Lato" w:hAnsi="Lato"/>
                <w:sz w:val="22"/>
                <w:szCs w:val="22"/>
              </w:rPr>
            </w:pPr>
            <w:r w:rsidRPr="001362A6">
              <w:rPr>
                <w:rFonts w:ascii="Lato" w:hAnsi="Lato"/>
                <w:sz w:val="22"/>
                <w:szCs w:val="22"/>
              </w:rPr>
              <w:t>(</w:t>
            </w:r>
            <w:r w:rsidR="00801FC1" w:rsidRPr="001362A6">
              <w:rPr>
                <w:rFonts w:ascii="Lato" w:hAnsi="Lato"/>
                <w:sz w:val="22"/>
                <w:szCs w:val="22"/>
              </w:rPr>
              <w:t>a</w:t>
            </w:r>
            <w:r w:rsidR="00283A66" w:rsidRPr="001362A6">
              <w:rPr>
                <w:rFonts w:ascii="Lato" w:hAnsi="Lato"/>
                <w:sz w:val="22"/>
                <w:szCs w:val="22"/>
              </w:rPr>
              <w:t>)</w:t>
            </w:r>
          </w:p>
        </w:tc>
        <w:tc>
          <w:tcPr>
            <w:tcW w:w="5891" w:type="dxa"/>
            <w:tcBorders>
              <w:right w:val="single" w:sz="4" w:space="0" w:color="auto"/>
            </w:tcBorders>
          </w:tcPr>
          <w:p w14:paraId="145F1588" w14:textId="77777777" w:rsidR="00E876DF" w:rsidRPr="001362A6" w:rsidRDefault="00283A66" w:rsidP="00CB1DC7">
            <w:pPr>
              <w:pStyle w:val="Heading6"/>
              <w:rPr>
                <w:rFonts w:ascii="Lato" w:hAnsi="Lato"/>
                <w:color w:val="auto"/>
                <w:szCs w:val="22"/>
                <w:u w:val="none"/>
              </w:rPr>
            </w:pPr>
            <w:r w:rsidRPr="001362A6">
              <w:rPr>
                <w:rFonts w:ascii="Lato" w:hAnsi="Lato"/>
                <w:color w:val="auto"/>
                <w:szCs w:val="22"/>
                <w:u w:val="none"/>
              </w:rPr>
              <w:t>Set out the</w:t>
            </w:r>
            <w:r w:rsidR="0070277A" w:rsidRPr="001362A6">
              <w:rPr>
                <w:rFonts w:ascii="Lato" w:hAnsi="Lato"/>
                <w:color w:val="auto"/>
                <w:szCs w:val="22"/>
                <w:u w:val="none"/>
              </w:rPr>
              <w:t xml:space="preserve"> </w:t>
            </w:r>
            <w:r w:rsidRPr="001362A6">
              <w:rPr>
                <w:rFonts w:ascii="Lato" w:hAnsi="Lato"/>
                <w:color w:val="auto"/>
                <w:szCs w:val="22"/>
                <w:u w:val="none"/>
              </w:rPr>
              <w:t xml:space="preserve">risk diversification </w:t>
            </w:r>
            <w:r w:rsidR="00CB1DC7" w:rsidRPr="001362A6">
              <w:rPr>
                <w:rFonts w:ascii="Lato" w:hAnsi="Lato"/>
                <w:color w:val="auto"/>
                <w:szCs w:val="22"/>
                <w:u w:val="none"/>
              </w:rPr>
              <w:t xml:space="preserve">strategy which will achieve a </w:t>
            </w:r>
          </w:p>
        </w:tc>
        <w:tc>
          <w:tcPr>
            <w:tcW w:w="3188" w:type="dxa"/>
            <w:tcBorders>
              <w:top w:val="single" w:sz="4" w:space="0" w:color="auto"/>
              <w:left w:val="single" w:sz="4" w:space="0" w:color="auto"/>
              <w:bottom w:val="single" w:sz="4" w:space="0" w:color="auto"/>
              <w:right w:val="single" w:sz="4" w:space="0" w:color="auto"/>
            </w:tcBorders>
          </w:tcPr>
          <w:p w14:paraId="1EC9CB64" w14:textId="77777777" w:rsidR="00E876DF" w:rsidRPr="001362A6" w:rsidRDefault="00E876DF" w:rsidP="00E876DF">
            <w:pPr>
              <w:rPr>
                <w:rFonts w:ascii="Lato" w:hAnsi="Lato"/>
                <w:sz w:val="22"/>
                <w:szCs w:val="22"/>
              </w:rPr>
            </w:pPr>
          </w:p>
        </w:tc>
      </w:tr>
      <w:tr w:rsidR="00E876DF" w:rsidRPr="001362A6" w14:paraId="2BEC5162" w14:textId="77777777" w:rsidTr="009844E8">
        <w:trPr>
          <w:trHeight w:val="156"/>
        </w:trPr>
        <w:tc>
          <w:tcPr>
            <w:tcW w:w="1316" w:type="dxa"/>
          </w:tcPr>
          <w:p w14:paraId="2C0AEBF1" w14:textId="77777777" w:rsidR="00E876DF" w:rsidRPr="001362A6" w:rsidRDefault="00E876DF" w:rsidP="00D47A86">
            <w:pPr>
              <w:rPr>
                <w:rFonts w:ascii="Lato" w:hAnsi="Lato"/>
                <w:sz w:val="22"/>
                <w:szCs w:val="22"/>
              </w:rPr>
            </w:pPr>
          </w:p>
        </w:tc>
        <w:tc>
          <w:tcPr>
            <w:tcW w:w="5891" w:type="dxa"/>
          </w:tcPr>
          <w:p w14:paraId="3A0A4335" w14:textId="77777777" w:rsidR="00E876DF" w:rsidRPr="001362A6" w:rsidRDefault="00CB1DC7" w:rsidP="00CB1DC7">
            <w:pPr>
              <w:pStyle w:val="Heading6"/>
              <w:rPr>
                <w:rFonts w:ascii="Lato" w:hAnsi="Lato"/>
                <w:color w:val="auto"/>
                <w:szCs w:val="22"/>
                <w:u w:val="none"/>
              </w:rPr>
            </w:pPr>
            <w:r w:rsidRPr="001362A6">
              <w:rPr>
                <w:rFonts w:ascii="Lato" w:hAnsi="Lato"/>
                <w:color w:val="auto"/>
                <w:szCs w:val="22"/>
                <w:u w:val="none"/>
              </w:rPr>
              <w:t>diversified portfolio of loans and limit exposure to any one issuer or group to 25% of net assets</w:t>
            </w:r>
          </w:p>
        </w:tc>
        <w:tc>
          <w:tcPr>
            <w:tcW w:w="3188" w:type="dxa"/>
            <w:tcBorders>
              <w:top w:val="single" w:sz="4" w:space="0" w:color="auto"/>
            </w:tcBorders>
          </w:tcPr>
          <w:p w14:paraId="36C12D1C" w14:textId="77777777" w:rsidR="00E876DF" w:rsidRPr="001362A6" w:rsidRDefault="00E876DF" w:rsidP="00E876DF">
            <w:pPr>
              <w:rPr>
                <w:rFonts w:ascii="Lato" w:hAnsi="Lato"/>
                <w:sz w:val="22"/>
                <w:szCs w:val="22"/>
              </w:rPr>
            </w:pPr>
          </w:p>
        </w:tc>
      </w:tr>
      <w:tr w:rsidR="00CB1DC7" w:rsidRPr="001362A6" w14:paraId="3A3A9079" w14:textId="77777777" w:rsidTr="009844E8">
        <w:trPr>
          <w:trHeight w:val="156"/>
        </w:trPr>
        <w:tc>
          <w:tcPr>
            <w:tcW w:w="1316" w:type="dxa"/>
          </w:tcPr>
          <w:p w14:paraId="23FAD7A6" w14:textId="77777777" w:rsidR="00CB1DC7" w:rsidRPr="001362A6" w:rsidRDefault="00CB1DC7" w:rsidP="009844E8">
            <w:pPr>
              <w:rPr>
                <w:rFonts w:ascii="Lato" w:hAnsi="Lato"/>
                <w:sz w:val="22"/>
                <w:szCs w:val="22"/>
              </w:rPr>
            </w:pPr>
          </w:p>
        </w:tc>
        <w:tc>
          <w:tcPr>
            <w:tcW w:w="5891" w:type="dxa"/>
          </w:tcPr>
          <w:p w14:paraId="692FB3E0" w14:textId="77777777" w:rsidR="00CB1DC7" w:rsidRPr="001362A6" w:rsidRDefault="00CB1DC7" w:rsidP="00CB1DC7">
            <w:pPr>
              <w:pStyle w:val="Heading6"/>
              <w:rPr>
                <w:rFonts w:ascii="Lato" w:hAnsi="Lato"/>
                <w:color w:val="auto"/>
                <w:szCs w:val="22"/>
                <w:u w:val="none"/>
              </w:rPr>
            </w:pPr>
          </w:p>
        </w:tc>
        <w:tc>
          <w:tcPr>
            <w:tcW w:w="3188" w:type="dxa"/>
            <w:tcBorders>
              <w:bottom w:val="single" w:sz="4" w:space="0" w:color="auto"/>
            </w:tcBorders>
          </w:tcPr>
          <w:p w14:paraId="66147788" w14:textId="77777777" w:rsidR="00CB1DC7" w:rsidRPr="001362A6" w:rsidRDefault="00CB1DC7" w:rsidP="00E876DF">
            <w:pPr>
              <w:rPr>
                <w:rFonts w:ascii="Lato" w:hAnsi="Lato"/>
                <w:sz w:val="22"/>
                <w:szCs w:val="22"/>
              </w:rPr>
            </w:pPr>
          </w:p>
        </w:tc>
      </w:tr>
      <w:tr w:rsidR="00CB1DC7" w:rsidRPr="001362A6" w14:paraId="0EEB843B" w14:textId="77777777" w:rsidTr="009844E8">
        <w:trPr>
          <w:trHeight w:val="156"/>
        </w:trPr>
        <w:tc>
          <w:tcPr>
            <w:tcW w:w="1316" w:type="dxa"/>
          </w:tcPr>
          <w:p w14:paraId="73C5334B" w14:textId="77777777" w:rsidR="00CB1DC7" w:rsidRPr="001362A6" w:rsidRDefault="00CB1DC7" w:rsidP="009844E8">
            <w:pPr>
              <w:rPr>
                <w:rFonts w:ascii="Lato" w:hAnsi="Lato"/>
                <w:sz w:val="22"/>
                <w:szCs w:val="22"/>
              </w:rPr>
            </w:pPr>
            <w:r w:rsidRPr="001362A6">
              <w:rPr>
                <w:rFonts w:ascii="Lato" w:hAnsi="Lato"/>
                <w:sz w:val="22"/>
                <w:szCs w:val="22"/>
              </w:rPr>
              <w:t>(</w:t>
            </w:r>
            <w:r w:rsidR="00801FC1" w:rsidRPr="001362A6">
              <w:rPr>
                <w:rFonts w:ascii="Lato" w:hAnsi="Lato"/>
                <w:sz w:val="22"/>
                <w:szCs w:val="22"/>
              </w:rPr>
              <w:t>b</w:t>
            </w:r>
            <w:r w:rsidRPr="001362A6">
              <w:rPr>
                <w:rFonts w:ascii="Lato" w:hAnsi="Lato"/>
                <w:sz w:val="22"/>
                <w:szCs w:val="22"/>
              </w:rPr>
              <w:t>)</w:t>
            </w:r>
          </w:p>
        </w:tc>
        <w:tc>
          <w:tcPr>
            <w:tcW w:w="5891" w:type="dxa"/>
            <w:tcBorders>
              <w:right w:val="single" w:sz="4" w:space="0" w:color="auto"/>
            </w:tcBorders>
          </w:tcPr>
          <w:p w14:paraId="6F4DAD11" w14:textId="77777777" w:rsidR="00CB1DC7" w:rsidRPr="001362A6" w:rsidRDefault="00CB1DC7" w:rsidP="00D95E9D">
            <w:pPr>
              <w:pStyle w:val="Heading6"/>
              <w:rPr>
                <w:rFonts w:ascii="Lato" w:hAnsi="Lato"/>
                <w:color w:val="auto"/>
                <w:szCs w:val="22"/>
                <w:u w:val="none"/>
              </w:rPr>
            </w:pPr>
            <w:r w:rsidRPr="001362A6">
              <w:rPr>
                <w:rFonts w:ascii="Lato" w:hAnsi="Lato"/>
                <w:color w:val="auto"/>
                <w:szCs w:val="22"/>
                <w:u w:val="none"/>
              </w:rPr>
              <w:t xml:space="preserve">Set out a specified time-frame for the Qualifying Investor </w:t>
            </w:r>
          </w:p>
        </w:tc>
        <w:tc>
          <w:tcPr>
            <w:tcW w:w="3188" w:type="dxa"/>
            <w:tcBorders>
              <w:top w:val="single" w:sz="4" w:space="0" w:color="auto"/>
              <w:left w:val="single" w:sz="4" w:space="0" w:color="auto"/>
              <w:bottom w:val="single" w:sz="4" w:space="0" w:color="auto"/>
              <w:right w:val="single" w:sz="4" w:space="0" w:color="auto"/>
            </w:tcBorders>
          </w:tcPr>
          <w:p w14:paraId="11F569E0" w14:textId="77777777" w:rsidR="00CB1DC7" w:rsidRPr="001362A6" w:rsidRDefault="00CB1DC7" w:rsidP="00E876DF">
            <w:pPr>
              <w:rPr>
                <w:rFonts w:ascii="Lato" w:hAnsi="Lato"/>
                <w:sz w:val="22"/>
                <w:szCs w:val="22"/>
              </w:rPr>
            </w:pPr>
          </w:p>
        </w:tc>
      </w:tr>
      <w:tr w:rsidR="00E876DF" w:rsidRPr="001362A6" w14:paraId="3B87716F" w14:textId="77777777" w:rsidTr="009844E8">
        <w:trPr>
          <w:trHeight w:val="156"/>
        </w:trPr>
        <w:tc>
          <w:tcPr>
            <w:tcW w:w="1316" w:type="dxa"/>
          </w:tcPr>
          <w:p w14:paraId="7C3C7457" w14:textId="77777777" w:rsidR="00E876DF" w:rsidRPr="001362A6" w:rsidRDefault="00E876DF" w:rsidP="00D47A86">
            <w:pPr>
              <w:rPr>
                <w:rFonts w:ascii="Lato" w:hAnsi="Lato"/>
                <w:sz w:val="22"/>
                <w:szCs w:val="22"/>
              </w:rPr>
            </w:pPr>
          </w:p>
        </w:tc>
        <w:tc>
          <w:tcPr>
            <w:tcW w:w="5891" w:type="dxa"/>
          </w:tcPr>
          <w:p w14:paraId="3648348D" w14:textId="77777777" w:rsidR="00E876DF" w:rsidRPr="001362A6" w:rsidRDefault="00AD0F7D" w:rsidP="00D47A86">
            <w:pPr>
              <w:pStyle w:val="Heading6"/>
              <w:rPr>
                <w:rFonts w:ascii="Lato" w:hAnsi="Lato"/>
                <w:color w:val="auto"/>
                <w:szCs w:val="22"/>
                <w:u w:val="none"/>
              </w:rPr>
            </w:pPr>
            <w:r w:rsidRPr="00590C6D">
              <w:rPr>
                <w:rFonts w:ascii="Lato" w:hAnsi="Lato"/>
                <w:color w:val="auto"/>
                <w:szCs w:val="22"/>
                <w:u w:val="none"/>
              </w:rPr>
              <w:t>AIF</w:t>
            </w:r>
            <w:r w:rsidRPr="00D95E9D">
              <w:rPr>
                <w:rFonts w:ascii="Lato" w:hAnsi="Lato"/>
                <w:color w:val="auto"/>
                <w:szCs w:val="22"/>
                <w:u w:val="none"/>
              </w:rPr>
              <w:t xml:space="preserve"> </w:t>
            </w:r>
            <w:r w:rsidR="00CB1DC7" w:rsidRPr="001362A6">
              <w:rPr>
                <w:rFonts w:ascii="Lato" w:hAnsi="Lato"/>
                <w:color w:val="auto"/>
                <w:szCs w:val="22"/>
                <w:u w:val="none"/>
              </w:rPr>
              <w:t>to achieve its risk diversification strategy</w:t>
            </w:r>
          </w:p>
        </w:tc>
        <w:tc>
          <w:tcPr>
            <w:tcW w:w="3188" w:type="dxa"/>
            <w:tcBorders>
              <w:top w:val="single" w:sz="4" w:space="0" w:color="auto"/>
            </w:tcBorders>
          </w:tcPr>
          <w:p w14:paraId="0B14E44F" w14:textId="77777777" w:rsidR="00E876DF" w:rsidRPr="001362A6" w:rsidRDefault="00E876DF" w:rsidP="00E876DF">
            <w:pPr>
              <w:rPr>
                <w:rFonts w:ascii="Lato" w:hAnsi="Lato"/>
                <w:sz w:val="22"/>
                <w:szCs w:val="22"/>
              </w:rPr>
            </w:pPr>
          </w:p>
        </w:tc>
      </w:tr>
      <w:tr w:rsidR="00CB1DC7" w:rsidRPr="001362A6" w14:paraId="6C548244" w14:textId="77777777" w:rsidTr="009844E8">
        <w:trPr>
          <w:trHeight w:val="156"/>
        </w:trPr>
        <w:tc>
          <w:tcPr>
            <w:tcW w:w="1316" w:type="dxa"/>
          </w:tcPr>
          <w:p w14:paraId="561774C8" w14:textId="77777777" w:rsidR="00CB1DC7" w:rsidRPr="001362A6" w:rsidRDefault="00CB1DC7" w:rsidP="00D47A86">
            <w:pPr>
              <w:rPr>
                <w:rFonts w:ascii="Lato" w:hAnsi="Lato"/>
                <w:sz w:val="22"/>
                <w:szCs w:val="22"/>
              </w:rPr>
            </w:pPr>
          </w:p>
        </w:tc>
        <w:tc>
          <w:tcPr>
            <w:tcW w:w="5891" w:type="dxa"/>
          </w:tcPr>
          <w:p w14:paraId="5CE8051B" w14:textId="77777777" w:rsidR="00CB1DC7" w:rsidRPr="001362A6" w:rsidRDefault="00CB1DC7" w:rsidP="00D47A86">
            <w:pPr>
              <w:pStyle w:val="Heading6"/>
              <w:rPr>
                <w:rFonts w:ascii="Lato" w:hAnsi="Lato"/>
                <w:color w:val="auto"/>
                <w:szCs w:val="22"/>
                <w:u w:val="none"/>
              </w:rPr>
            </w:pPr>
          </w:p>
        </w:tc>
        <w:tc>
          <w:tcPr>
            <w:tcW w:w="3188" w:type="dxa"/>
            <w:tcBorders>
              <w:bottom w:val="single" w:sz="4" w:space="0" w:color="auto"/>
            </w:tcBorders>
          </w:tcPr>
          <w:p w14:paraId="4C18BE97" w14:textId="77777777" w:rsidR="00CB1DC7" w:rsidRPr="001362A6" w:rsidRDefault="00CB1DC7" w:rsidP="00E876DF">
            <w:pPr>
              <w:rPr>
                <w:rFonts w:ascii="Lato" w:hAnsi="Lato"/>
                <w:sz w:val="22"/>
                <w:szCs w:val="22"/>
              </w:rPr>
            </w:pPr>
          </w:p>
        </w:tc>
      </w:tr>
      <w:tr w:rsidR="00C54B3C" w:rsidRPr="001362A6" w14:paraId="29D11E20" w14:textId="77777777" w:rsidTr="009844E8">
        <w:trPr>
          <w:trHeight w:val="156"/>
        </w:trPr>
        <w:tc>
          <w:tcPr>
            <w:tcW w:w="1316" w:type="dxa"/>
          </w:tcPr>
          <w:p w14:paraId="01165BA0" w14:textId="77777777" w:rsidR="00C54B3C" w:rsidRPr="001362A6" w:rsidRDefault="00C54B3C" w:rsidP="00D47A86">
            <w:pPr>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51C5B269" w14:textId="77777777" w:rsidR="00C54B3C" w:rsidRPr="001362A6" w:rsidRDefault="00C54B3C" w:rsidP="00D95E9D">
            <w:pPr>
              <w:pStyle w:val="Heading6"/>
              <w:rPr>
                <w:rFonts w:ascii="Lato" w:hAnsi="Lato"/>
                <w:color w:val="auto"/>
                <w:szCs w:val="22"/>
                <w:u w:val="none"/>
              </w:rPr>
            </w:pPr>
            <w:r w:rsidRPr="001362A6">
              <w:rPr>
                <w:rFonts w:ascii="Lato" w:hAnsi="Lato"/>
                <w:color w:val="auto"/>
                <w:szCs w:val="22"/>
                <w:u w:val="none"/>
              </w:rPr>
              <w:t xml:space="preserve">If relevant, disclose the dates at which the </w:t>
            </w:r>
          </w:p>
        </w:tc>
        <w:tc>
          <w:tcPr>
            <w:tcW w:w="3188" w:type="dxa"/>
            <w:tcBorders>
              <w:top w:val="single" w:sz="4" w:space="0" w:color="auto"/>
              <w:left w:val="single" w:sz="4" w:space="0" w:color="auto"/>
              <w:bottom w:val="single" w:sz="4" w:space="0" w:color="auto"/>
              <w:right w:val="single" w:sz="4" w:space="0" w:color="auto"/>
            </w:tcBorders>
          </w:tcPr>
          <w:p w14:paraId="285A4335" w14:textId="77777777" w:rsidR="00C54B3C" w:rsidRPr="001362A6" w:rsidRDefault="00C54B3C" w:rsidP="00E876DF">
            <w:pPr>
              <w:rPr>
                <w:rFonts w:ascii="Lato" w:hAnsi="Lato"/>
                <w:sz w:val="22"/>
                <w:szCs w:val="22"/>
              </w:rPr>
            </w:pPr>
          </w:p>
        </w:tc>
      </w:tr>
      <w:tr w:rsidR="00C54B3C" w:rsidRPr="001362A6" w14:paraId="187C35BD" w14:textId="77777777" w:rsidTr="009844E8">
        <w:trPr>
          <w:trHeight w:val="156"/>
        </w:trPr>
        <w:tc>
          <w:tcPr>
            <w:tcW w:w="1316" w:type="dxa"/>
          </w:tcPr>
          <w:p w14:paraId="567D6B3E" w14:textId="77777777" w:rsidR="00C54B3C" w:rsidRPr="001362A6" w:rsidRDefault="00C54B3C" w:rsidP="00D47A86">
            <w:pPr>
              <w:rPr>
                <w:rFonts w:ascii="Lato" w:hAnsi="Lato"/>
                <w:sz w:val="22"/>
                <w:szCs w:val="22"/>
              </w:rPr>
            </w:pPr>
          </w:p>
        </w:tc>
        <w:tc>
          <w:tcPr>
            <w:tcW w:w="5891" w:type="dxa"/>
          </w:tcPr>
          <w:p w14:paraId="24881D84" w14:textId="77777777" w:rsidR="00C54B3C" w:rsidRPr="001362A6" w:rsidRDefault="00AD0F7D" w:rsidP="00C54B3C">
            <w:pPr>
              <w:pStyle w:val="Heading6"/>
              <w:rPr>
                <w:rFonts w:ascii="Lato" w:hAnsi="Lato"/>
                <w:color w:val="auto"/>
                <w:szCs w:val="22"/>
                <w:u w:val="none"/>
              </w:rPr>
            </w:pPr>
            <w:r w:rsidRPr="00590C6D">
              <w:rPr>
                <w:rFonts w:ascii="Lato" w:hAnsi="Lato"/>
                <w:color w:val="auto"/>
                <w:szCs w:val="22"/>
                <w:u w:val="none"/>
              </w:rPr>
              <w:t xml:space="preserve">AIFM/investment </w:t>
            </w:r>
            <w:r w:rsidR="00C54B3C" w:rsidRPr="001362A6">
              <w:rPr>
                <w:rFonts w:ascii="Lato" w:hAnsi="Lato"/>
                <w:color w:val="auto"/>
                <w:szCs w:val="22"/>
                <w:u w:val="none"/>
              </w:rPr>
              <w:t>company/management company/general partner may have discretion, without commitment and on a non-preferred basis, to invite requests for redemptions of holdings from unitholders</w:t>
            </w:r>
          </w:p>
        </w:tc>
        <w:tc>
          <w:tcPr>
            <w:tcW w:w="3188" w:type="dxa"/>
            <w:tcBorders>
              <w:top w:val="single" w:sz="4" w:space="0" w:color="auto"/>
            </w:tcBorders>
          </w:tcPr>
          <w:p w14:paraId="14E10B53" w14:textId="77777777" w:rsidR="00C54B3C" w:rsidRPr="001362A6" w:rsidRDefault="00C54B3C" w:rsidP="00E876DF">
            <w:pPr>
              <w:rPr>
                <w:rFonts w:ascii="Lato" w:hAnsi="Lato"/>
                <w:sz w:val="22"/>
                <w:szCs w:val="22"/>
              </w:rPr>
            </w:pPr>
          </w:p>
        </w:tc>
      </w:tr>
      <w:tr w:rsidR="00C54B3C" w:rsidRPr="001362A6" w14:paraId="6671E23B" w14:textId="77777777" w:rsidTr="009844E8">
        <w:trPr>
          <w:trHeight w:val="156"/>
        </w:trPr>
        <w:tc>
          <w:tcPr>
            <w:tcW w:w="1316" w:type="dxa"/>
          </w:tcPr>
          <w:p w14:paraId="70264B2E" w14:textId="77777777" w:rsidR="00C54B3C" w:rsidRPr="001362A6" w:rsidRDefault="00C54B3C" w:rsidP="00D47A86">
            <w:pPr>
              <w:rPr>
                <w:rFonts w:ascii="Lato" w:hAnsi="Lato"/>
                <w:sz w:val="22"/>
                <w:szCs w:val="22"/>
              </w:rPr>
            </w:pPr>
          </w:p>
        </w:tc>
        <w:tc>
          <w:tcPr>
            <w:tcW w:w="5891" w:type="dxa"/>
          </w:tcPr>
          <w:p w14:paraId="081F1468" w14:textId="77777777" w:rsidR="00C54B3C" w:rsidRPr="001362A6" w:rsidRDefault="00C54B3C" w:rsidP="00D47A86">
            <w:pPr>
              <w:pStyle w:val="Heading6"/>
              <w:rPr>
                <w:rFonts w:ascii="Lato" w:hAnsi="Lato"/>
                <w:color w:val="auto"/>
                <w:szCs w:val="22"/>
                <w:u w:val="none"/>
              </w:rPr>
            </w:pPr>
          </w:p>
        </w:tc>
        <w:tc>
          <w:tcPr>
            <w:tcW w:w="3188" w:type="dxa"/>
            <w:tcBorders>
              <w:bottom w:val="single" w:sz="4" w:space="0" w:color="auto"/>
            </w:tcBorders>
          </w:tcPr>
          <w:p w14:paraId="2B5E9474" w14:textId="77777777" w:rsidR="00C54B3C" w:rsidRPr="001362A6" w:rsidRDefault="00C54B3C" w:rsidP="00E876DF">
            <w:pPr>
              <w:rPr>
                <w:rFonts w:ascii="Lato" w:hAnsi="Lato"/>
                <w:sz w:val="22"/>
                <w:szCs w:val="22"/>
              </w:rPr>
            </w:pPr>
          </w:p>
        </w:tc>
      </w:tr>
      <w:tr w:rsidR="00F802F7" w:rsidRPr="001362A6" w14:paraId="5ED64A1F" w14:textId="77777777" w:rsidTr="009844E8">
        <w:trPr>
          <w:trHeight w:val="156"/>
        </w:trPr>
        <w:tc>
          <w:tcPr>
            <w:tcW w:w="1316" w:type="dxa"/>
          </w:tcPr>
          <w:p w14:paraId="3A00E533" w14:textId="77777777" w:rsidR="00F802F7" w:rsidRPr="001362A6" w:rsidRDefault="00F802F7" w:rsidP="00D47A86">
            <w:pPr>
              <w:rPr>
                <w:rFonts w:ascii="Lato" w:hAnsi="Lato"/>
                <w:sz w:val="22"/>
                <w:szCs w:val="22"/>
              </w:rPr>
            </w:pPr>
          </w:p>
        </w:tc>
        <w:tc>
          <w:tcPr>
            <w:tcW w:w="5891" w:type="dxa"/>
          </w:tcPr>
          <w:p w14:paraId="4F65A15B" w14:textId="77777777" w:rsidR="00F802F7" w:rsidRPr="001362A6" w:rsidRDefault="00F802F7" w:rsidP="00D47A86">
            <w:pPr>
              <w:pStyle w:val="Heading6"/>
              <w:rPr>
                <w:rFonts w:ascii="Lato" w:hAnsi="Lato"/>
                <w:color w:val="auto"/>
                <w:szCs w:val="22"/>
                <w:u w:val="none"/>
              </w:rPr>
            </w:pPr>
          </w:p>
        </w:tc>
        <w:tc>
          <w:tcPr>
            <w:tcW w:w="3188" w:type="dxa"/>
            <w:tcBorders>
              <w:bottom w:val="single" w:sz="4" w:space="0" w:color="auto"/>
            </w:tcBorders>
          </w:tcPr>
          <w:p w14:paraId="08EBF302" w14:textId="77777777" w:rsidR="00F802F7" w:rsidRPr="001362A6" w:rsidRDefault="00F802F7" w:rsidP="00E876DF">
            <w:pPr>
              <w:rPr>
                <w:rFonts w:ascii="Lato" w:hAnsi="Lato"/>
                <w:sz w:val="22"/>
                <w:szCs w:val="22"/>
              </w:rPr>
            </w:pPr>
          </w:p>
        </w:tc>
      </w:tr>
      <w:tr w:rsidR="009844E8" w:rsidRPr="001362A6" w14:paraId="26EB2B9E" w14:textId="77777777" w:rsidTr="009844E8">
        <w:trPr>
          <w:trHeight w:val="156"/>
        </w:trPr>
        <w:tc>
          <w:tcPr>
            <w:tcW w:w="1316" w:type="dxa"/>
          </w:tcPr>
          <w:p w14:paraId="5DE68284" w14:textId="77777777" w:rsidR="00F802F7" w:rsidRPr="001362A6" w:rsidRDefault="00BB028B" w:rsidP="00C54B3C">
            <w:pPr>
              <w:rPr>
                <w:rFonts w:ascii="Lato" w:hAnsi="Lato"/>
                <w:sz w:val="22"/>
                <w:szCs w:val="22"/>
              </w:rPr>
            </w:pPr>
            <w:r w:rsidRPr="001362A6">
              <w:rPr>
                <w:rFonts w:ascii="Lato" w:hAnsi="Lato"/>
                <w:sz w:val="22"/>
                <w:szCs w:val="22"/>
              </w:rPr>
              <w:t>(</w:t>
            </w:r>
            <w:r w:rsidR="00C54B3C" w:rsidRPr="001362A6">
              <w:rPr>
                <w:rFonts w:ascii="Lato" w:hAnsi="Lato"/>
                <w:sz w:val="22"/>
                <w:szCs w:val="22"/>
              </w:rPr>
              <w:t>d</w:t>
            </w:r>
            <w:r w:rsidRPr="001362A6">
              <w:rPr>
                <w:rFonts w:ascii="Lato" w:hAnsi="Lato"/>
                <w:sz w:val="22"/>
                <w:szCs w:val="22"/>
              </w:rPr>
              <w:t>)</w:t>
            </w:r>
          </w:p>
        </w:tc>
        <w:tc>
          <w:tcPr>
            <w:tcW w:w="5891" w:type="dxa"/>
            <w:tcBorders>
              <w:right w:val="single" w:sz="4" w:space="0" w:color="auto"/>
            </w:tcBorders>
          </w:tcPr>
          <w:p w14:paraId="6F29FA6F" w14:textId="77777777" w:rsidR="00F802F7" w:rsidRPr="001362A6" w:rsidRDefault="003778F1" w:rsidP="00D95E9D">
            <w:pPr>
              <w:pStyle w:val="Heading6"/>
              <w:rPr>
                <w:rFonts w:ascii="Lato" w:hAnsi="Lato"/>
                <w:color w:val="auto"/>
                <w:szCs w:val="22"/>
                <w:u w:val="none"/>
              </w:rPr>
            </w:pPr>
            <w:r w:rsidRPr="001362A6">
              <w:rPr>
                <w:rFonts w:ascii="Lato" w:hAnsi="Lato"/>
                <w:color w:val="auto"/>
                <w:szCs w:val="22"/>
                <w:u w:val="none"/>
              </w:rPr>
              <w:t xml:space="preserve">Provide a prominent risk warning which draws attention to </w:t>
            </w:r>
          </w:p>
        </w:tc>
        <w:tc>
          <w:tcPr>
            <w:tcW w:w="3188" w:type="dxa"/>
            <w:tcBorders>
              <w:top w:val="single" w:sz="4" w:space="0" w:color="auto"/>
              <w:left w:val="single" w:sz="4" w:space="0" w:color="auto"/>
              <w:bottom w:val="single" w:sz="4" w:space="0" w:color="auto"/>
              <w:right w:val="single" w:sz="4" w:space="0" w:color="auto"/>
            </w:tcBorders>
          </w:tcPr>
          <w:p w14:paraId="38797786" w14:textId="77777777" w:rsidR="00F802F7" w:rsidRPr="001362A6" w:rsidRDefault="00F802F7" w:rsidP="009844E8">
            <w:pPr>
              <w:jc w:val="both"/>
              <w:rPr>
                <w:rFonts w:ascii="Lato" w:hAnsi="Lato"/>
                <w:sz w:val="22"/>
                <w:szCs w:val="22"/>
              </w:rPr>
            </w:pPr>
          </w:p>
        </w:tc>
      </w:tr>
      <w:tr w:rsidR="009844E8" w:rsidRPr="001362A6" w14:paraId="28BD459D" w14:textId="77777777" w:rsidTr="009844E8">
        <w:trPr>
          <w:trHeight w:val="156"/>
        </w:trPr>
        <w:tc>
          <w:tcPr>
            <w:tcW w:w="1316" w:type="dxa"/>
          </w:tcPr>
          <w:p w14:paraId="26F5215E" w14:textId="77777777" w:rsidR="00F802F7" w:rsidRPr="001362A6" w:rsidRDefault="00F802F7" w:rsidP="00D47A86">
            <w:pPr>
              <w:rPr>
                <w:rFonts w:ascii="Lato" w:hAnsi="Lato"/>
                <w:sz w:val="22"/>
                <w:szCs w:val="22"/>
              </w:rPr>
            </w:pPr>
          </w:p>
        </w:tc>
        <w:tc>
          <w:tcPr>
            <w:tcW w:w="5891" w:type="dxa"/>
          </w:tcPr>
          <w:p w14:paraId="250DEC3D" w14:textId="77777777" w:rsidR="00F802F7" w:rsidRPr="001362A6" w:rsidRDefault="00AD0F7D" w:rsidP="00D47A86">
            <w:pPr>
              <w:pStyle w:val="Heading6"/>
              <w:rPr>
                <w:rFonts w:ascii="Lato" w:hAnsi="Lato"/>
                <w:color w:val="auto"/>
                <w:szCs w:val="22"/>
                <w:u w:val="none"/>
              </w:rPr>
            </w:pPr>
            <w:r w:rsidRPr="001362A6">
              <w:rPr>
                <w:rFonts w:ascii="Lato" w:hAnsi="Lato"/>
                <w:color w:val="auto"/>
                <w:szCs w:val="22"/>
                <w:u w:val="none"/>
              </w:rPr>
              <w:t xml:space="preserve">the </w:t>
            </w:r>
            <w:r w:rsidR="003778F1" w:rsidRPr="001362A6">
              <w:rPr>
                <w:rFonts w:ascii="Lato" w:hAnsi="Lato"/>
                <w:color w:val="auto"/>
                <w:szCs w:val="22"/>
                <w:u w:val="none"/>
              </w:rPr>
              <w:t>unique risks which arise from loan origination and how investment in a loan originating investment fund is not guaranteed and is subject to the possibility of investment losses and illiquidity</w:t>
            </w:r>
          </w:p>
        </w:tc>
        <w:tc>
          <w:tcPr>
            <w:tcW w:w="3188" w:type="dxa"/>
            <w:tcBorders>
              <w:top w:val="single" w:sz="4" w:space="0" w:color="auto"/>
            </w:tcBorders>
          </w:tcPr>
          <w:p w14:paraId="222CB8E1" w14:textId="77777777" w:rsidR="00F802F7" w:rsidRPr="001362A6" w:rsidRDefault="00F802F7" w:rsidP="00E876DF">
            <w:pPr>
              <w:rPr>
                <w:rFonts w:ascii="Lato" w:hAnsi="Lato"/>
                <w:sz w:val="22"/>
                <w:szCs w:val="22"/>
              </w:rPr>
            </w:pPr>
          </w:p>
        </w:tc>
      </w:tr>
      <w:tr w:rsidR="009844E8" w:rsidRPr="001362A6" w14:paraId="075E49C8" w14:textId="77777777" w:rsidTr="009844E8">
        <w:trPr>
          <w:trHeight w:val="156"/>
        </w:trPr>
        <w:tc>
          <w:tcPr>
            <w:tcW w:w="1316" w:type="dxa"/>
          </w:tcPr>
          <w:p w14:paraId="00246285" w14:textId="77777777" w:rsidR="00F802F7" w:rsidRPr="001362A6" w:rsidRDefault="00F802F7" w:rsidP="00D47A86">
            <w:pPr>
              <w:rPr>
                <w:rFonts w:ascii="Lato" w:hAnsi="Lato"/>
                <w:sz w:val="22"/>
                <w:szCs w:val="22"/>
              </w:rPr>
            </w:pPr>
          </w:p>
        </w:tc>
        <w:tc>
          <w:tcPr>
            <w:tcW w:w="5891" w:type="dxa"/>
          </w:tcPr>
          <w:p w14:paraId="0EE42A90" w14:textId="77777777" w:rsidR="00F802F7" w:rsidRPr="001362A6" w:rsidRDefault="00F802F7" w:rsidP="00D47A86">
            <w:pPr>
              <w:pStyle w:val="Heading6"/>
              <w:rPr>
                <w:rFonts w:ascii="Lato" w:hAnsi="Lato"/>
                <w:color w:val="auto"/>
                <w:szCs w:val="22"/>
                <w:u w:val="none"/>
              </w:rPr>
            </w:pPr>
          </w:p>
        </w:tc>
        <w:tc>
          <w:tcPr>
            <w:tcW w:w="3188" w:type="dxa"/>
            <w:tcBorders>
              <w:bottom w:val="single" w:sz="4" w:space="0" w:color="auto"/>
            </w:tcBorders>
          </w:tcPr>
          <w:p w14:paraId="62418A2A" w14:textId="77777777" w:rsidR="00F802F7" w:rsidRPr="001362A6" w:rsidRDefault="00F802F7" w:rsidP="00E876DF">
            <w:pPr>
              <w:rPr>
                <w:rFonts w:ascii="Lato" w:hAnsi="Lato"/>
                <w:sz w:val="22"/>
                <w:szCs w:val="22"/>
              </w:rPr>
            </w:pPr>
          </w:p>
        </w:tc>
      </w:tr>
      <w:tr w:rsidR="009844E8" w:rsidRPr="001362A6" w14:paraId="2850909A" w14:textId="77777777" w:rsidTr="009844E8">
        <w:trPr>
          <w:trHeight w:val="156"/>
        </w:trPr>
        <w:tc>
          <w:tcPr>
            <w:tcW w:w="1316" w:type="dxa"/>
          </w:tcPr>
          <w:p w14:paraId="47411F26" w14:textId="77777777" w:rsidR="00F802F7" w:rsidRPr="001362A6" w:rsidRDefault="003778F1" w:rsidP="00C54B3C">
            <w:pPr>
              <w:rPr>
                <w:rFonts w:ascii="Lato" w:hAnsi="Lato"/>
                <w:sz w:val="22"/>
                <w:szCs w:val="22"/>
              </w:rPr>
            </w:pPr>
            <w:r w:rsidRPr="001362A6">
              <w:rPr>
                <w:rFonts w:ascii="Lato" w:hAnsi="Lato"/>
                <w:sz w:val="22"/>
                <w:szCs w:val="22"/>
              </w:rPr>
              <w:t>(</w:t>
            </w:r>
            <w:r w:rsidR="00C54B3C" w:rsidRPr="001362A6">
              <w:rPr>
                <w:rFonts w:ascii="Lato" w:hAnsi="Lato"/>
                <w:sz w:val="22"/>
                <w:szCs w:val="22"/>
              </w:rPr>
              <w:t>e</w:t>
            </w:r>
            <w:r w:rsidRPr="001362A6">
              <w:rPr>
                <w:rFonts w:ascii="Lato" w:hAnsi="Lato"/>
                <w:sz w:val="22"/>
                <w:szCs w:val="22"/>
              </w:rPr>
              <w:t>)</w:t>
            </w:r>
          </w:p>
        </w:tc>
        <w:tc>
          <w:tcPr>
            <w:tcW w:w="5891" w:type="dxa"/>
            <w:tcBorders>
              <w:right w:val="single" w:sz="4" w:space="0" w:color="auto"/>
            </w:tcBorders>
          </w:tcPr>
          <w:p w14:paraId="2854D610" w14:textId="77777777" w:rsidR="00F802F7" w:rsidRPr="001362A6" w:rsidRDefault="003778F1" w:rsidP="00D95E9D">
            <w:pPr>
              <w:pStyle w:val="Heading6"/>
              <w:rPr>
                <w:rFonts w:ascii="Lato" w:hAnsi="Lato"/>
                <w:color w:val="auto"/>
                <w:szCs w:val="22"/>
                <w:u w:val="none"/>
              </w:rPr>
            </w:pPr>
            <w:r w:rsidRPr="001362A6">
              <w:rPr>
                <w:rFonts w:ascii="Lato" w:hAnsi="Lato"/>
                <w:color w:val="auto"/>
                <w:szCs w:val="22"/>
                <w:u w:val="none"/>
              </w:rPr>
              <w:t xml:space="preserve">Provide information on the risk and reward profile of the </w:t>
            </w:r>
          </w:p>
        </w:tc>
        <w:tc>
          <w:tcPr>
            <w:tcW w:w="3188" w:type="dxa"/>
            <w:tcBorders>
              <w:top w:val="single" w:sz="4" w:space="0" w:color="auto"/>
              <w:left w:val="single" w:sz="4" w:space="0" w:color="auto"/>
              <w:bottom w:val="single" w:sz="4" w:space="0" w:color="auto"/>
              <w:right w:val="single" w:sz="4" w:space="0" w:color="auto"/>
            </w:tcBorders>
          </w:tcPr>
          <w:p w14:paraId="59A4F4CF" w14:textId="77777777" w:rsidR="00F802F7" w:rsidRPr="001362A6" w:rsidRDefault="00F802F7" w:rsidP="00E876DF">
            <w:pPr>
              <w:rPr>
                <w:rFonts w:ascii="Lato" w:hAnsi="Lato"/>
                <w:sz w:val="22"/>
                <w:szCs w:val="22"/>
              </w:rPr>
            </w:pPr>
          </w:p>
        </w:tc>
      </w:tr>
      <w:tr w:rsidR="009844E8" w:rsidRPr="001362A6" w14:paraId="74C095A6" w14:textId="77777777" w:rsidTr="009844E8">
        <w:trPr>
          <w:trHeight w:val="156"/>
        </w:trPr>
        <w:tc>
          <w:tcPr>
            <w:tcW w:w="1316" w:type="dxa"/>
          </w:tcPr>
          <w:p w14:paraId="35C830E6" w14:textId="77777777" w:rsidR="003778F1" w:rsidRPr="001362A6" w:rsidRDefault="003778F1" w:rsidP="00D47A86">
            <w:pPr>
              <w:rPr>
                <w:rFonts w:ascii="Lato" w:hAnsi="Lato"/>
                <w:sz w:val="22"/>
                <w:szCs w:val="22"/>
              </w:rPr>
            </w:pPr>
          </w:p>
        </w:tc>
        <w:tc>
          <w:tcPr>
            <w:tcW w:w="5891" w:type="dxa"/>
          </w:tcPr>
          <w:p w14:paraId="5C08AFEF" w14:textId="77777777" w:rsidR="003778F1" w:rsidRPr="001362A6" w:rsidRDefault="00AD0F7D" w:rsidP="003778F1">
            <w:pPr>
              <w:pStyle w:val="Heading6"/>
              <w:rPr>
                <w:rFonts w:ascii="Lato" w:hAnsi="Lato"/>
                <w:color w:val="auto"/>
                <w:szCs w:val="22"/>
                <w:u w:val="none"/>
              </w:rPr>
            </w:pPr>
            <w:r w:rsidRPr="00590C6D">
              <w:rPr>
                <w:rFonts w:ascii="Lato" w:hAnsi="Lato"/>
                <w:color w:val="auto"/>
                <w:szCs w:val="22"/>
                <w:u w:val="none"/>
              </w:rPr>
              <w:t xml:space="preserve">loan </w:t>
            </w:r>
            <w:r w:rsidR="003778F1" w:rsidRPr="001362A6">
              <w:rPr>
                <w:rFonts w:ascii="Lato" w:hAnsi="Lato"/>
                <w:color w:val="auto"/>
                <w:szCs w:val="22"/>
                <w:u w:val="none"/>
              </w:rPr>
              <w:t>originating Qualifying Investor AIF</w:t>
            </w:r>
            <w:r w:rsidR="00801FC1" w:rsidRPr="001362A6">
              <w:rPr>
                <w:rFonts w:ascii="Lato" w:hAnsi="Lato"/>
                <w:color w:val="auto"/>
                <w:szCs w:val="22"/>
                <w:u w:val="none"/>
              </w:rPr>
              <w:t xml:space="preserve"> to enable investors identify the specific risks linked to a loan origination strategy</w:t>
            </w:r>
          </w:p>
        </w:tc>
        <w:tc>
          <w:tcPr>
            <w:tcW w:w="3188" w:type="dxa"/>
            <w:tcBorders>
              <w:top w:val="single" w:sz="4" w:space="0" w:color="auto"/>
            </w:tcBorders>
          </w:tcPr>
          <w:p w14:paraId="54524F7F" w14:textId="77777777" w:rsidR="003778F1" w:rsidRPr="001362A6" w:rsidRDefault="003778F1" w:rsidP="00E876DF">
            <w:pPr>
              <w:rPr>
                <w:rFonts w:ascii="Lato" w:hAnsi="Lato"/>
                <w:sz w:val="22"/>
                <w:szCs w:val="22"/>
              </w:rPr>
            </w:pPr>
          </w:p>
        </w:tc>
      </w:tr>
      <w:tr w:rsidR="009844E8" w:rsidRPr="001362A6" w14:paraId="23AC8103" w14:textId="77777777" w:rsidTr="009844E8">
        <w:trPr>
          <w:trHeight w:val="156"/>
        </w:trPr>
        <w:tc>
          <w:tcPr>
            <w:tcW w:w="1316" w:type="dxa"/>
          </w:tcPr>
          <w:p w14:paraId="1B39EB55" w14:textId="77777777" w:rsidR="00F802F7" w:rsidRPr="001362A6" w:rsidRDefault="00F802F7" w:rsidP="00D47A86">
            <w:pPr>
              <w:rPr>
                <w:rFonts w:ascii="Lato" w:hAnsi="Lato"/>
                <w:sz w:val="22"/>
                <w:szCs w:val="22"/>
              </w:rPr>
            </w:pPr>
          </w:p>
        </w:tc>
        <w:tc>
          <w:tcPr>
            <w:tcW w:w="5891" w:type="dxa"/>
          </w:tcPr>
          <w:p w14:paraId="1805D042" w14:textId="77777777" w:rsidR="00F802F7" w:rsidRPr="001362A6" w:rsidRDefault="00F802F7" w:rsidP="00D47A86">
            <w:pPr>
              <w:pStyle w:val="Heading6"/>
              <w:rPr>
                <w:rFonts w:ascii="Lato" w:hAnsi="Lato"/>
                <w:color w:val="auto"/>
                <w:szCs w:val="22"/>
                <w:u w:val="none"/>
              </w:rPr>
            </w:pPr>
          </w:p>
        </w:tc>
        <w:tc>
          <w:tcPr>
            <w:tcW w:w="3188" w:type="dxa"/>
            <w:tcBorders>
              <w:bottom w:val="single" w:sz="4" w:space="0" w:color="auto"/>
            </w:tcBorders>
          </w:tcPr>
          <w:p w14:paraId="3213262E" w14:textId="77777777" w:rsidR="00F802F7" w:rsidRPr="001362A6" w:rsidRDefault="00F802F7" w:rsidP="00E876DF">
            <w:pPr>
              <w:rPr>
                <w:rFonts w:ascii="Lato" w:hAnsi="Lato"/>
                <w:sz w:val="22"/>
                <w:szCs w:val="22"/>
              </w:rPr>
            </w:pPr>
          </w:p>
        </w:tc>
      </w:tr>
      <w:tr w:rsidR="009844E8" w:rsidRPr="001362A6" w14:paraId="401E39FC" w14:textId="77777777" w:rsidTr="009844E8">
        <w:trPr>
          <w:trHeight w:val="156"/>
        </w:trPr>
        <w:tc>
          <w:tcPr>
            <w:tcW w:w="1316" w:type="dxa"/>
          </w:tcPr>
          <w:p w14:paraId="2BDE22D0" w14:textId="77777777" w:rsidR="00F802F7" w:rsidRPr="001362A6" w:rsidRDefault="003778F1" w:rsidP="00C54B3C">
            <w:pPr>
              <w:rPr>
                <w:rFonts w:ascii="Lato" w:hAnsi="Lato"/>
                <w:sz w:val="22"/>
                <w:szCs w:val="22"/>
              </w:rPr>
            </w:pPr>
            <w:r w:rsidRPr="001362A6">
              <w:rPr>
                <w:rFonts w:ascii="Lato" w:hAnsi="Lato"/>
                <w:sz w:val="22"/>
                <w:szCs w:val="22"/>
              </w:rPr>
              <w:t>(</w:t>
            </w:r>
            <w:r w:rsidR="00C54B3C" w:rsidRPr="001362A6">
              <w:rPr>
                <w:rFonts w:ascii="Lato" w:hAnsi="Lato"/>
                <w:sz w:val="22"/>
                <w:szCs w:val="22"/>
              </w:rPr>
              <w:t>f</w:t>
            </w:r>
            <w:r w:rsidRPr="001362A6">
              <w:rPr>
                <w:rFonts w:ascii="Lato" w:hAnsi="Lato"/>
                <w:sz w:val="22"/>
                <w:szCs w:val="22"/>
              </w:rPr>
              <w:t>)</w:t>
            </w:r>
          </w:p>
        </w:tc>
        <w:tc>
          <w:tcPr>
            <w:tcW w:w="5891" w:type="dxa"/>
            <w:tcBorders>
              <w:right w:val="single" w:sz="4" w:space="0" w:color="auto"/>
            </w:tcBorders>
          </w:tcPr>
          <w:p w14:paraId="03EA4D6C" w14:textId="77777777" w:rsidR="00F802F7" w:rsidRPr="001362A6" w:rsidRDefault="003778F1" w:rsidP="00D95E9D">
            <w:pPr>
              <w:pStyle w:val="Heading6"/>
              <w:rPr>
                <w:rFonts w:ascii="Lato" w:hAnsi="Lato"/>
                <w:color w:val="auto"/>
                <w:szCs w:val="22"/>
                <w:u w:val="none"/>
              </w:rPr>
            </w:pPr>
            <w:r w:rsidRPr="001362A6">
              <w:rPr>
                <w:rFonts w:ascii="Lato" w:hAnsi="Lato"/>
                <w:color w:val="auto"/>
                <w:szCs w:val="22"/>
                <w:u w:val="none"/>
              </w:rPr>
              <w:t xml:space="preserve">Provide information on the extent to which the loan </w:t>
            </w:r>
          </w:p>
        </w:tc>
        <w:tc>
          <w:tcPr>
            <w:tcW w:w="3188" w:type="dxa"/>
            <w:tcBorders>
              <w:top w:val="single" w:sz="4" w:space="0" w:color="auto"/>
              <w:left w:val="single" w:sz="4" w:space="0" w:color="auto"/>
              <w:bottom w:val="single" w:sz="4" w:space="0" w:color="auto"/>
              <w:right w:val="single" w:sz="4" w:space="0" w:color="auto"/>
            </w:tcBorders>
          </w:tcPr>
          <w:p w14:paraId="4EA8E321" w14:textId="77777777" w:rsidR="00F802F7" w:rsidRPr="001362A6" w:rsidRDefault="00F802F7" w:rsidP="00E876DF">
            <w:pPr>
              <w:rPr>
                <w:rFonts w:ascii="Lato" w:hAnsi="Lato"/>
                <w:sz w:val="22"/>
                <w:szCs w:val="22"/>
              </w:rPr>
            </w:pPr>
          </w:p>
        </w:tc>
      </w:tr>
      <w:tr w:rsidR="009844E8" w:rsidRPr="001362A6" w14:paraId="3C48E43C" w14:textId="77777777" w:rsidTr="009844E8">
        <w:trPr>
          <w:trHeight w:val="156"/>
        </w:trPr>
        <w:tc>
          <w:tcPr>
            <w:tcW w:w="1316" w:type="dxa"/>
          </w:tcPr>
          <w:p w14:paraId="62A35FF2" w14:textId="77777777" w:rsidR="00F802F7" w:rsidRPr="001362A6" w:rsidRDefault="00F802F7" w:rsidP="00D47A86">
            <w:pPr>
              <w:rPr>
                <w:rFonts w:ascii="Lato" w:hAnsi="Lato"/>
                <w:sz w:val="22"/>
                <w:szCs w:val="22"/>
              </w:rPr>
            </w:pPr>
          </w:p>
        </w:tc>
        <w:tc>
          <w:tcPr>
            <w:tcW w:w="5891" w:type="dxa"/>
          </w:tcPr>
          <w:p w14:paraId="30A4BA3B" w14:textId="77777777" w:rsidR="00F802F7" w:rsidRPr="001362A6" w:rsidRDefault="00AD0F7D" w:rsidP="00D47A86">
            <w:pPr>
              <w:pStyle w:val="Heading6"/>
              <w:rPr>
                <w:rFonts w:ascii="Lato" w:hAnsi="Lato"/>
                <w:color w:val="auto"/>
                <w:szCs w:val="22"/>
                <w:u w:val="none"/>
              </w:rPr>
            </w:pPr>
            <w:r w:rsidRPr="00590C6D">
              <w:rPr>
                <w:rFonts w:ascii="Lato" w:hAnsi="Lato"/>
                <w:color w:val="auto"/>
                <w:szCs w:val="22"/>
                <w:u w:val="none"/>
              </w:rPr>
              <w:t xml:space="preserve">originating </w:t>
            </w:r>
            <w:r w:rsidR="003778F1" w:rsidRPr="001362A6">
              <w:rPr>
                <w:rFonts w:ascii="Lato" w:hAnsi="Lato"/>
                <w:color w:val="auto"/>
                <w:szCs w:val="22"/>
                <w:u w:val="none"/>
              </w:rPr>
              <w:t>Qualifying Investor AIF intends to be concentrated as regards individual entities, geographical locations and sectors and risk arising from the proposed concentrations</w:t>
            </w:r>
          </w:p>
        </w:tc>
        <w:tc>
          <w:tcPr>
            <w:tcW w:w="3188" w:type="dxa"/>
            <w:tcBorders>
              <w:top w:val="single" w:sz="4" w:space="0" w:color="auto"/>
            </w:tcBorders>
          </w:tcPr>
          <w:p w14:paraId="3A8931D1" w14:textId="77777777" w:rsidR="00F802F7" w:rsidRPr="001362A6" w:rsidRDefault="00F802F7" w:rsidP="00E876DF">
            <w:pPr>
              <w:rPr>
                <w:rFonts w:ascii="Lato" w:hAnsi="Lato"/>
                <w:sz w:val="22"/>
                <w:szCs w:val="22"/>
              </w:rPr>
            </w:pPr>
          </w:p>
        </w:tc>
      </w:tr>
      <w:tr w:rsidR="009844E8" w:rsidRPr="001362A6" w14:paraId="7657BFC1" w14:textId="77777777" w:rsidTr="009844E8">
        <w:trPr>
          <w:trHeight w:val="156"/>
        </w:trPr>
        <w:tc>
          <w:tcPr>
            <w:tcW w:w="1316" w:type="dxa"/>
          </w:tcPr>
          <w:p w14:paraId="5368AC4F" w14:textId="77777777" w:rsidR="00F802F7" w:rsidRPr="001362A6" w:rsidRDefault="00F802F7" w:rsidP="00D47A86">
            <w:pPr>
              <w:rPr>
                <w:rFonts w:ascii="Lato" w:hAnsi="Lato"/>
                <w:sz w:val="22"/>
                <w:szCs w:val="22"/>
              </w:rPr>
            </w:pPr>
          </w:p>
        </w:tc>
        <w:tc>
          <w:tcPr>
            <w:tcW w:w="5891" w:type="dxa"/>
          </w:tcPr>
          <w:p w14:paraId="71A73CB8" w14:textId="77777777" w:rsidR="00F802F7" w:rsidRPr="001362A6" w:rsidRDefault="00F802F7" w:rsidP="00D47A86">
            <w:pPr>
              <w:pStyle w:val="Heading6"/>
              <w:rPr>
                <w:rFonts w:ascii="Lato" w:hAnsi="Lato"/>
                <w:color w:val="auto"/>
                <w:szCs w:val="22"/>
                <w:u w:val="none"/>
              </w:rPr>
            </w:pPr>
          </w:p>
        </w:tc>
        <w:tc>
          <w:tcPr>
            <w:tcW w:w="3188" w:type="dxa"/>
            <w:tcBorders>
              <w:bottom w:val="single" w:sz="4" w:space="0" w:color="auto"/>
            </w:tcBorders>
          </w:tcPr>
          <w:p w14:paraId="37D15FDF" w14:textId="77777777" w:rsidR="00F802F7" w:rsidRPr="001362A6" w:rsidRDefault="00F802F7" w:rsidP="00E876DF">
            <w:pPr>
              <w:rPr>
                <w:rFonts w:ascii="Lato" w:hAnsi="Lato"/>
                <w:sz w:val="22"/>
                <w:szCs w:val="22"/>
              </w:rPr>
            </w:pPr>
          </w:p>
        </w:tc>
      </w:tr>
      <w:tr w:rsidR="009844E8" w:rsidRPr="001362A6" w14:paraId="7859259A" w14:textId="77777777" w:rsidTr="009844E8">
        <w:trPr>
          <w:trHeight w:val="156"/>
        </w:trPr>
        <w:tc>
          <w:tcPr>
            <w:tcW w:w="1316" w:type="dxa"/>
          </w:tcPr>
          <w:p w14:paraId="1F6455D6" w14:textId="77777777" w:rsidR="00F802F7" w:rsidRPr="001362A6" w:rsidRDefault="003778F1" w:rsidP="00C54B3C">
            <w:pPr>
              <w:rPr>
                <w:rFonts w:ascii="Lato" w:hAnsi="Lato"/>
                <w:sz w:val="22"/>
                <w:szCs w:val="22"/>
              </w:rPr>
            </w:pPr>
            <w:r w:rsidRPr="001362A6">
              <w:rPr>
                <w:rFonts w:ascii="Lato" w:hAnsi="Lato"/>
                <w:sz w:val="22"/>
                <w:szCs w:val="22"/>
              </w:rPr>
              <w:t>(</w:t>
            </w:r>
            <w:r w:rsidR="00C54B3C" w:rsidRPr="001362A6">
              <w:rPr>
                <w:rFonts w:ascii="Lato" w:hAnsi="Lato"/>
                <w:sz w:val="22"/>
                <w:szCs w:val="22"/>
              </w:rPr>
              <w:t>g</w:t>
            </w:r>
            <w:r w:rsidRPr="001362A6">
              <w:rPr>
                <w:rFonts w:ascii="Lato" w:hAnsi="Lato"/>
                <w:sz w:val="22"/>
                <w:szCs w:val="22"/>
              </w:rPr>
              <w:t>)</w:t>
            </w:r>
          </w:p>
        </w:tc>
        <w:tc>
          <w:tcPr>
            <w:tcW w:w="5891" w:type="dxa"/>
            <w:tcBorders>
              <w:right w:val="single" w:sz="4" w:space="0" w:color="auto"/>
            </w:tcBorders>
          </w:tcPr>
          <w:p w14:paraId="673DBCFE" w14:textId="77777777" w:rsidR="00F802F7" w:rsidRPr="001362A6" w:rsidRDefault="00801FC1" w:rsidP="00D95E9D">
            <w:pPr>
              <w:pStyle w:val="Heading6"/>
              <w:rPr>
                <w:rFonts w:ascii="Lato" w:hAnsi="Lato"/>
                <w:color w:val="auto"/>
                <w:szCs w:val="22"/>
                <w:u w:val="none"/>
              </w:rPr>
            </w:pPr>
            <w:r w:rsidRPr="001362A6">
              <w:rPr>
                <w:rFonts w:ascii="Lato" w:hAnsi="Lato"/>
                <w:color w:val="auto"/>
                <w:szCs w:val="22"/>
                <w:u w:val="none"/>
              </w:rPr>
              <w:t>Provide</w:t>
            </w:r>
            <w:r w:rsidR="00CD030A" w:rsidRPr="001362A6">
              <w:rPr>
                <w:rFonts w:ascii="Lato" w:hAnsi="Lato"/>
                <w:color w:val="auto"/>
                <w:szCs w:val="22"/>
                <w:u w:val="none"/>
              </w:rPr>
              <w:t xml:space="preserve"> details of the credit assessment and monitoring </w:t>
            </w:r>
          </w:p>
        </w:tc>
        <w:tc>
          <w:tcPr>
            <w:tcW w:w="3188" w:type="dxa"/>
            <w:tcBorders>
              <w:top w:val="single" w:sz="4" w:space="0" w:color="auto"/>
              <w:left w:val="single" w:sz="4" w:space="0" w:color="auto"/>
              <w:bottom w:val="single" w:sz="4" w:space="0" w:color="auto"/>
              <w:right w:val="single" w:sz="4" w:space="0" w:color="auto"/>
            </w:tcBorders>
          </w:tcPr>
          <w:p w14:paraId="46885CB3" w14:textId="77777777" w:rsidR="00F802F7" w:rsidRPr="001362A6" w:rsidRDefault="00F802F7" w:rsidP="00E876DF">
            <w:pPr>
              <w:rPr>
                <w:rFonts w:ascii="Lato" w:hAnsi="Lato"/>
                <w:sz w:val="22"/>
                <w:szCs w:val="22"/>
              </w:rPr>
            </w:pPr>
          </w:p>
        </w:tc>
      </w:tr>
      <w:tr w:rsidR="009844E8" w:rsidRPr="001362A6" w14:paraId="7BA1F2AA" w14:textId="77777777" w:rsidTr="009844E8">
        <w:trPr>
          <w:trHeight w:val="156"/>
        </w:trPr>
        <w:tc>
          <w:tcPr>
            <w:tcW w:w="1316" w:type="dxa"/>
          </w:tcPr>
          <w:p w14:paraId="0F047857" w14:textId="77777777" w:rsidR="00801FC1" w:rsidRPr="001362A6" w:rsidRDefault="00801FC1" w:rsidP="00801FC1">
            <w:pPr>
              <w:rPr>
                <w:rFonts w:ascii="Lato" w:hAnsi="Lato"/>
                <w:sz w:val="22"/>
                <w:szCs w:val="22"/>
              </w:rPr>
            </w:pPr>
          </w:p>
        </w:tc>
        <w:tc>
          <w:tcPr>
            <w:tcW w:w="5891" w:type="dxa"/>
          </w:tcPr>
          <w:p w14:paraId="39894A98" w14:textId="77777777" w:rsidR="00801FC1" w:rsidRPr="001362A6" w:rsidRDefault="00AD0F7D" w:rsidP="00CD030A">
            <w:pPr>
              <w:pStyle w:val="Heading6"/>
              <w:rPr>
                <w:rFonts w:ascii="Lato" w:hAnsi="Lato"/>
                <w:color w:val="auto"/>
                <w:szCs w:val="22"/>
                <w:u w:val="none"/>
              </w:rPr>
            </w:pPr>
            <w:r w:rsidRPr="00590C6D">
              <w:rPr>
                <w:rFonts w:ascii="Lato" w:hAnsi="Lato"/>
                <w:color w:val="auto"/>
                <w:szCs w:val="22"/>
                <w:u w:val="none"/>
              </w:rPr>
              <w:t xml:space="preserve">process set </w:t>
            </w:r>
            <w:r w:rsidR="00801FC1" w:rsidRPr="001362A6">
              <w:rPr>
                <w:rFonts w:ascii="Lato" w:hAnsi="Lato"/>
                <w:color w:val="auto"/>
                <w:szCs w:val="22"/>
                <w:u w:val="none"/>
              </w:rPr>
              <w:t>out in paragraph 5 of Section 4, Part II of Chapter 2 of the AIF Rulebook</w:t>
            </w:r>
          </w:p>
        </w:tc>
        <w:tc>
          <w:tcPr>
            <w:tcW w:w="3188" w:type="dxa"/>
            <w:tcBorders>
              <w:top w:val="single" w:sz="4" w:space="0" w:color="auto"/>
            </w:tcBorders>
          </w:tcPr>
          <w:p w14:paraId="62FF6A68" w14:textId="77777777" w:rsidR="00801FC1" w:rsidRPr="001362A6" w:rsidRDefault="00801FC1" w:rsidP="00E876DF">
            <w:pPr>
              <w:rPr>
                <w:rFonts w:ascii="Lato" w:hAnsi="Lato"/>
                <w:sz w:val="22"/>
                <w:szCs w:val="22"/>
              </w:rPr>
            </w:pPr>
          </w:p>
        </w:tc>
      </w:tr>
      <w:tr w:rsidR="009844E8" w:rsidRPr="001362A6" w14:paraId="7FED51AB" w14:textId="77777777" w:rsidTr="009844E8">
        <w:trPr>
          <w:trHeight w:val="156"/>
        </w:trPr>
        <w:tc>
          <w:tcPr>
            <w:tcW w:w="1316" w:type="dxa"/>
          </w:tcPr>
          <w:p w14:paraId="0EE770A0" w14:textId="77777777" w:rsidR="00F802F7" w:rsidRPr="001362A6" w:rsidRDefault="00F802F7" w:rsidP="00D47A86">
            <w:pPr>
              <w:rPr>
                <w:rFonts w:ascii="Lato" w:hAnsi="Lato"/>
                <w:sz w:val="22"/>
                <w:szCs w:val="22"/>
              </w:rPr>
            </w:pPr>
          </w:p>
        </w:tc>
        <w:tc>
          <w:tcPr>
            <w:tcW w:w="5891" w:type="dxa"/>
          </w:tcPr>
          <w:p w14:paraId="5FD8702E" w14:textId="77777777" w:rsidR="00F802F7" w:rsidRPr="001362A6" w:rsidRDefault="00F802F7" w:rsidP="00D47A86">
            <w:pPr>
              <w:pStyle w:val="Heading6"/>
              <w:rPr>
                <w:rFonts w:ascii="Lato" w:hAnsi="Lato"/>
                <w:color w:val="auto"/>
                <w:szCs w:val="22"/>
                <w:u w:val="none"/>
              </w:rPr>
            </w:pPr>
          </w:p>
        </w:tc>
        <w:tc>
          <w:tcPr>
            <w:tcW w:w="3188" w:type="dxa"/>
            <w:tcBorders>
              <w:bottom w:val="single" w:sz="4" w:space="0" w:color="auto"/>
            </w:tcBorders>
          </w:tcPr>
          <w:p w14:paraId="0D548E8C" w14:textId="77777777" w:rsidR="00F802F7" w:rsidRPr="001362A6" w:rsidRDefault="00F802F7" w:rsidP="00E876DF">
            <w:pPr>
              <w:rPr>
                <w:rFonts w:ascii="Lato" w:hAnsi="Lato"/>
                <w:sz w:val="22"/>
                <w:szCs w:val="22"/>
              </w:rPr>
            </w:pPr>
          </w:p>
        </w:tc>
      </w:tr>
      <w:tr w:rsidR="009844E8" w:rsidRPr="001362A6" w14:paraId="691D7296" w14:textId="77777777" w:rsidTr="009844E8">
        <w:trPr>
          <w:trHeight w:val="156"/>
        </w:trPr>
        <w:tc>
          <w:tcPr>
            <w:tcW w:w="1316" w:type="dxa"/>
          </w:tcPr>
          <w:p w14:paraId="4E6311E5" w14:textId="77777777" w:rsidR="00F802F7" w:rsidRPr="001362A6" w:rsidRDefault="00CD030A" w:rsidP="00C54B3C">
            <w:pPr>
              <w:rPr>
                <w:rFonts w:ascii="Lato" w:hAnsi="Lato"/>
                <w:sz w:val="22"/>
                <w:szCs w:val="22"/>
              </w:rPr>
            </w:pPr>
            <w:r w:rsidRPr="001362A6">
              <w:rPr>
                <w:rFonts w:ascii="Lato" w:hAnsi="Lato"/>
                <w:sz w:val="22"/>
                <w:szCs w:val="22"/>
              </w:rPr>
              <w:t>(</w:t>
            </w:r>
            <w:r w:rsidR="00C54B3C" w:rsidRPr="001362A6">
              <w:rPr>
                <w:rFonts w:ascii="Lato" w:hAnsi="Lato"/>
                <w:sz w:val="22"/>
                <w:szCs w:val="22"/>
              </w:rPr>
              <w:t>h</w:t>
            </w:r>
            <w:r w:rsidRPr="001362A6">
              <w:rPr>
                <w:rFonts w:ascii="Lato" w:hAnsi="Lato"/>
                <w:sz w:val="22"/>
                <w:szCs w:val="22"/>
              </w:rPr>
              <w:t>)</w:t>
            </w:r>
          </w:p>
        </w:tc>
        <w:tc>
          <w:tcPr>
            <w:tcW w:w="5891" w:type="dxa"/>
            <w:tcBorders>
              <w:right w:val="single" w:sz="4" w:space="0" w:color="auto"/>
            </w:tcBorders>
          </w:tcPr>
          <w:p w14:paraId="49B252EF" w14:textId="77777777" w:rsidR="00F802F7" w:rsidRPr="001362A6" w:rsidRDefault="00CD030A" w:rsidP="00D95E9D">
            <w:pPr>
              <w:pStyle w:val="Heading6"/>
              <w:rPr>
                <w:rFonts w:ascii="Lato" w:hAnsi="Lato"/>
                <w:color w:val="auto"/>
                <w:szCs w:val="22"/>
                <w:u w:val="none"/>
              </w:rPr>
            </w:pPr>
            <w:r w:rsidRPr="001362A6">
              <w:rPr>
                <w:rFonts w:ascii="Lato" w:hAnsi="Lato"/>
                <w:color w:val="auto"/>
                <w:szCs w:val="22"/>
                <w:u w:val="none"/>
              </w:rPr>
              <w:t xml:space="preserve">Provide information on whether the AIFM will provide </w:t>
            </w:r>
          </w:p>
        </w:tc>
        <w:tc>
          <w:tcPr>
            <w:tcW w:w="3188" w:type="dxa"/>
            <w:tcBorders>
              <w:top w:val="single" w:sz="4" w:space="0" w:color="auto"/>
              <w:left w:val="single" w:sz="4" w:space="0" w:color="auto"/>
              <w:bottom w:val="single" w:sz="4" w:space="0" w:color="auto"/>
              <w:right w:val="single" w:sz="4" w:space="0" w:color="auto"/>
            </w:tcBorders>
          </w:tcPr>
          <w:p w14:paraId="5924855F" w14:textId="77777777" w:rsidR="00F802F7" w:rsidRPr="001362A6" w:rsidRDefault="00F802F7" w:rsidP="00E876DF">
            <w:pPr>
              <w:rPr>
                <w:rFonts w:ascii="Lato" w:hAnsi="Lato"/>
                <w:sz w:val="22"/>
                <w:szCs w:val="22"/>
              </w:rPr>
            </w:pPr>
          </w:p>
        </w:tc>
      </w:tr>
      <w:tr w:rsidR="009844E8" w:rsidRPr="001362A6" w14:paraId="30691686" w14:textId="77777777" w:rsidTr="009844E8">
        <w:trPr>
          <w:trHeight w:val="156"/>
        </w:trPr>
        <w:tc>
          <w:tcPr>
            <w:tcW w:w="1316" w:type="dxa"/>
          </w:tcPr>
          <w:p w14:paraId="29C1E5F8" w14:textId="77777777" w:rsidR="00F802F7" w:rsidRPr="001362A6" w:rsidRDefault="00F802F7" w:rsidP="00D47A86">
            <w:pPr>
              <w:rPr>
                <w:rFonts w:ascii="Lato" w:hAnsi="Lato"/>
                <w:sz w:val="22"/>
                <w:szCs w:val="22"/>
              </w:rPr>
            </w:pPr>
          </w:p>
        </w:tc>
        <w:tc>
          <w:tcPr>
            <w:tcW w:w="5891" w:type="dxa"/>
          </w:tcPr>
          <w:p w14:paraId="0EA03024" w14:textId="77777777" w:rsidR="00F802F7" w:rsidRPr="001362A6" w:rsidRDefault="00AD0F7D" w:rsidP="00801FC1">
            <w:pPr>
              <w:pStyle w:val="Heading6"/>
              <w:rPr>
                <w:rFonts w:ascii="Lato" w:hAnsi="Lato"/>
                <w:color w:val="auto"/>
                <w:szCs w:val="22"/>
                <w:u w:val="none"/>
              </w:rPr>
            </w:pPr>
            <w:r w:rsidRPr="00590C6D">
              <w:rPr>
                <w:rFonts w:ascii="Lato" w:hAnsi="Lato"/>
                <w:color w:val="auto"/>
                <w:szCs w:val="22"/>
                <w:u w:val="none"/>
              </w:rPr>
              <w:t xml:space="preserve">access to </w:t>
            </w:r>
            <w:r w:rsidR="00CD030A" w:rsidRPr="001362A6">
              <w:rPr>
                <w:rFonts w:ascii="Lato" w:hAnsi="Lato"/>
                <w:color w:val="auto"/>
                <w:szCs w:val="22"/>
                <w:u w:val="none"/>
              </w:rPr>
              <w:t xml:space="preserve">records and staff for the purposes of </w:t>
            </w:r>
            <w:r w:rsidR="00801FC1" w:rsidRPr="001362A6">
              <w:rPr>
                <w:rFonts w:ascii="Lato" w:hAnsi="Lato"/>
                <w:color w:val="auto"/>
                <w:szCs w:val="22"/>
                <w:u w:val="none"/>
              </w:rPr>
              <w:t>a due diligence process together with the terms and conditions under which such access will be made available</w:t>
            </w:r>
          </w:p>
        </w:tc>
        <w:tc>
          <w:tcPr>
            <w:tcW w:w="3188" w:type="dxa"/>
            <w:tcBorders>
              <w:top w:val="single" w:sz="4" w:space="0" w:color="auto"/>
            </w:tcBorders>
          </w:tcPr>
          <w:p w14:paraId="32638EC6" w14:textId="77777777" w:rsidR="00F802F7" w:rsidRPr="001362A6" w:rsidRDefault="00F802F7" w:rsidP="00E876DF">
            <w:pPr>
              <w:rPr>
                <w:rFonts w:ascii="Lato" w:hAnsi="Lato"/>
                <w:sz w:val="22"/>
                <w:szCs w:val="22"/>
              </w:rPr>
            </w:pPr>
          </w:p>
        </w:tc>
      </w:tr>
      <w:tr w:rsidR="009844E8" w:rsidRPr="001362A6" w14:paraId="737559B3" w14:textId="77777777" w:rsidTr="009844E8">
        <w:trPr>
          <w:trHeight w:val="156"/>
        </w:trPr>
        <w:tc>
          <w:tcPr>
            <w:tcW w:w="1316" w:type="dxa"/>
          </w:tcPr>
          <w:p w14:paraId="4A91EF4A" w14:textId="77777777" w:rsidR="00F802F7" w:rsidRPr="001362A6" w:rsidRDefault="00F802F7" w:rsidP="00D47A86">
            <w:pPr>
              <w:rPr>
                <w:rFonts w:ascii="Lato" w:hAnsi="Lato"/>
                <w:sz w:val="22"/>
                <w:szCs w:val="22"/>
              </w:rPr>
            </w:pPr>
          </w:p>
        </w:tc>
        <w:tc>
          <w:tcPr>
            <w:tcW w:w="5891" w:type="dxa"/>
          </w:tcPr>
          <w:p w14:paraId="5B95D734" w14:textId="77777777" w:rsidR="00F802F7" w:rsidRPr="001362A6" w:rsidRDefault="00F802F7" w:rsidP="00D47A86">
            <w:pPr>
              <w:pStyle w:val="Heading6"/>
              <w:rPr>
                <w:rFonts w:ascii="Lato" w:hAnsi="Lato"/>
                <w:color w:val="auto"/>
                <w:szCs w:val="22"/>
                <w:u w:val="none"/>
              </w:rPr>
            </w:pPr>
          </w:p>
        </w:tc>
        <w:tc>
          <w:tcPr>
            <w:tcW w:w="3188" w:type="dxa"/>
            <w:tcBorders>
              <w:bottom w:val="single" w:sz="4" w:space="0" w:color="auto"/>
            </w:tcBorders>
          </w:tcPr>
          <w:p w14:paraId="1E6DC042" w14:textId="77777777" w:rsidR="00F802F7" w:rsidRPr="001362A6" w:rsidRDefault="00F802F7" w:rsidP="00E876DF">
            <w:pPr>
              <w:rPr>
                <w:rFonts w:ascii="Lato" w:hAnsi="Lato"/>
                <w:sz w:val="22"/>
                <w:szCs w:val="22"/>
              </w:rPr>
            </w:pPr>
          </w:p>
        </w:tc>
      </w:tr>
      <w:tr w:rsidR="009844E8" w:rsidRPr="001362A6" w14:paraId="68AC7D57" w14:textId="77777777" w:rsidTr="009844E8">
        <w:trPr>
          <w:trHeight w:val="156"/>
        </w:trPr>
        <w:tc>
          <w:tcPr>
            <w:tcW w:w="1316" w:type="dxa"/>
          </w:tcPr>
          <w:p w14:paraId="77FF0AEE" w14:textId="77777777" w:rsidR="00F802F7" w:rsidRPr="001362A6" w:rsidRDefault="00CD030A" w:rsidP="00C54B3C">
            <w:pPr>
              <w:rPr>
                <w:rFonts w:ascii="Lato" w:hAnsi="Lato"/>
                <w:sz w:val="22"/>
                <w:szCs w:val="22"/>
              </w:rPr>
            </w:pPr>
            <w:r w:rsidRPr="001362A6">
              <w:rPr>
                <w:rFonts w:ascii="Lato" w:hAnsi="Lato"/>
                <w:sz w:val="22"/>
                <w:szCs w:val="22"/>
              </w:rPr>
              <w:t>(</w:t>
            </w:r>
            <w:r w:rsidR="00C54B3C" w:rsidRPr="001362A6">
              <w:rPr>
                <w:rFonts w:ascii="Lato" w:hAnsi="Lato"/>
                <w:sz w:val="22"/>
                <w:szCs w:val="22"/>
              </w:rPr>
              <w:t>i</w:t>
            </w:r>
            <w:r w:rsidRPr="001362A6">
              <w:rPr>
                <w:rFonts w:ascii="Lato" w:hAnsi="Lato"/>
                <w:sz w:val="22"/>
                <w:szCs w:val="22"/>
              </w:rPr>
              <w:t>)</w:t>
            </w:r>
          </w:p>
        </w:tc>
        <w:tc>
          <w:tcPr>
            <w:tcW w:w="5891" w:type="dxa"/>
            <w:tcBorders>
              <w:right w:val="single" w:sz="4" w:space="0" w:color="auto"/>
            </w:tcBorders>
          </w:tcPr>
          <w:p w14:paraId="0E5343AD" w14:textId="77777777" w:rsidR="00F802F7" w:rsidRPr="001362A6" w:rsidRDefault="00CD030A" w:rsidP="00D95E9D">
            <w:pPr>
              <w:pStyle w:val="Heading6"/>
              <w:rPr>
                <w:rFonts w:ascii="Lato" w:hAnsi="Lato"/>
                <w:color w:val="auto"/>
                <w:szCs w:val="22"/>
                <w:u w:val="none"/>
              </w:rPr>
            </w:pPr>
            <w:r w:rsidRPr="001362A6">
              <w:rPr>
                <w:rFonts w:ascii="Lato" w:hAnsi="Lato"/>
                <w:color w:val="auto"/>
                <w:szCs w:val="22"/>
                <w:u w:val="none"/>
              </w:rPr>
              <w:t xml:space="preserve">Include a risk warning drawing attention to the fact that </w:t>
            </w:r>
          </w:p>
        </w:tc>
        <w:tc>
          <w:tcPr>
            <w:tcW w:w="3188" w:type="dxa"/>
            <w:tcBorders>
              <w:top w:val="single" w:sz="4" w:space="0" w:color="auto"/>
              <w:left w:val="single" w:sz="4" w:space="0" w:color="auto"/>
              <w:bottom w:val="single" w:sz="4" w:space="0" w:color="auto"/>
              <w:right w:val="single" w:sz="4" w:space="0" w:color="auto"/>
            </w:tcBorders>
          </w:tcPr>
          <w:p w14:paraId="2B57F706" w14:textId="77777777" w:rsidR="00F802F7" w:rsidRPr="001362A6" w:rsidRDefault="00F802F7" w:rsidP="00E876DF">
            <w:pPr>
              <w:rPr>
                <w:rFonts w:ascii="Lato" w:hAnsi="Lato"/>
                <w:sz w:val="22"/>
                <w:szCs w:val="22"/>
              </w:rPr>
            </w:pPr>
          </w:p>
        </w:tc>
      </w:tr>
      <w:tr w:rsidR="009844E8" w:rsidRPr="001362A6" w14:paraId="233DD539" w14:textId="77777777" w:rsidTr="009844E8">
        <w:trPr>
          <w:trHeight w:val="156"/>
        </w:trPr>
        <w:tc>
          <w:tcPr>
            <w:tcW w:w="1316" w:type="dxa"/>
          </w:tcPr>
          <w:p w14:paraId="3C515C7B" w14:textId="77777777" w:rsidR="00F802F7" w:rsidRPr="001362A6" w:rsidRDefault="00F802F7" w:rsidP="00D47A86">
            <w:pPr>
              <w:rPr>
                <w:rFonts w:ascii="Lato" w:hAnsi="Lato"/>
                <w:sz w:val="22"/>
                <w:szCs w:val="22"/>
              </w:rPr>
            </w:pPr>
          </w:p>
        </w:tc>
        <w:tc>
          <w:tcPr>
            <w:tcW w:w="5891" w:type="dxa"/>
          </w:tcPr>
          <w:p w14:paraId="1855A76A" w14:textId="77777777" w:rsidR="00F802F7" w:rsidRPr="001362A6" w:rsidRDefault="00AD0F7D" w:rsidP="00D47A86">
            <w:pPr>
              <w:pStyle w:val="Heading6"/>
              <w:rPr>
                <w:rFonts w:ascii="Lato" w:hAnsi="Lato"/>
                <w:color w:val="auto"/>
                <w:szCs w:val="22"/>
                <w:u w:val="none"/>
              </w:rPr>
            </w:pPr>
            <w:r w:rsidRPr="00590C6D">
              <w:rPr>
                <w:rFonts w:ascii="Lato" w:hAnsi="Lato"/>
                <w:color w:val="auto"/>
                <w:szCs w:val="22"/>
                <w:u w:val="none"/>
              </w:rPr>
              <w:t xml:space="preserve">leverage </w:t>
            </w:r>
            <w:r w:rsidR="00CD030A" w:rsidRPr="001362A6">
              <w:rPr>
                <w:rFonts w:ascii="Lato" w:hAnsi="Lato"/>
                <w:color w:val="auto"/>
                <w:szCs w:val="22"/>
                <w:u w:val="none"/>
              </w:rPr>
              <w:t>limits and lending standards may be tightened by the Central Bank which may impact on the ability of the loan originating Qualifying Investor AIF to follow the investment strategy</w:t>
            </w:r>
            <w:r w:rsidR="00801FC1" w:rsidRPr="001362A6">
              <w:rPr>
                <w:rFonts w:ascii="Lato" w:hAnsi="Lato"/>
                <w:color w:val="auto"/>
                <w:szCs w:val="22"/>
                <w:u w:val="none"/>
              </w:rPr>
              <w:t xml:space="preserve"> set out in the prospectus</w:t>
            </w:r>
          </w:p>
        </w:tc>
        <w:tc>
          <w:tcPr>
            <w:tcW w:w="3188" w:type="dxa"/>
            <w:tcBorders>
              <w:top w:val="single" w:sz="4" w:space="0" w:color="auto"/>
            </w:tcBorders>
          </w:tcPr>
          <w:p w14:paraId="290440FC" w14:textId="77777777" w:rsidR="00F802F7" w:rsidRPr="001362A6" w:rsidRDefault="00F802F7" w:rsidP="00E876DF">
            <w:pPr>
              <w:rPr>
                <w:rFonts w:ascii="Lato" w:hAnsi="Lato"/>
                <w:sz w:val="22"/>
                <w:szCs w:val="22"/>
              </w:rPr>
            </w:pPr>
          </w:p>
        </w:tc>
      </w:tr>
      <w:tr w:rsidR="009844E8" w:rsidRPr="001362A6" w14:paraId="1D4D2E4E" w14:textId="77777777" w:rsidTr="009844E8">
        <w:trPr>
          <w:trHeight w:val="156"/>
        </w:trPr>
        <w:tc>
          <w:tcPr>
            <w:tcW w:w="1316" w:type="dxa"/>
          </w:tcPr>
          <w:p w14:paraId="16299EBC" w14:textId="77777777" w:rsidR="00F802F7" w:rsidRPr="001362A6" w:rsidRDefault="00F802F7" w:rsidP="00D47A86">
            <w:pPr>
              <w:rPr>
                <w:rFonts w:ascii="Lato" w:hAnsi="Lato"/>
                <w:sz w:val="22"/>
                <w:szCs w:val="22"/>
              </w:rPr>
            </w:pPr>
          </w:p>
        </w:tc>
        <w:tc>
          <w:tcPr>
            <w:tcW w:w="5891" w:type="dxa"/>
          </w:tcPr>
          <w:p w14:paraId="55BB6085" w14:textId="77777777" w:rsidR="00F802F7" w:rsidRPr="001362A6" w:rsidRDefault="00F802F7" w:rsidP="00D47A86">
            <w:pPr>
              <w:pStyle w:val="Heading6"/>
              <w:rPr>
                <w:rFonts w:ascii="Lato" w:hAnsi="Lato"/>
                <w:color w:val="auto"/>
                <w:szCs w:val="22"/>
                <w:u w:val="none"/>
              </w:rPr>
            </w:pPr>
          </w:p>
        </w:tc>
        <w:tc>
          <w:tcPr>
            <w:tcW w:w="3188" w:type="dxa"/>
            <w:tcBorders>
              <w:bottom w:val="single" w:sz="4" w:space="0" w:color="auto"/>
            </w:tcBorders>
          </w:tcPr>
          <w:p w14:paraId="1072C06F" w14:textId="77777777" w:rsidR="00F802F7" w:rsidRPr="001362A6" w:rsidRDefault="00F802F7" w:rsidP="00E876DF">
            <w:pPr>
              <w:rPr>
                <w:rFonts w:ascii="Lato" w:hAnsi="Lato"/>
                <w:sz w:val="22"/>
                <w:szCs w:val="22"/>
              </w:rPr>
            </w:pPr>
          </w:p>
        </w:tc>
      </w:tr>
      <w:tr w:rsidR="009844E8" w:rsidRPr="001362A6" w14:paraId="5F9BAFB9" w14:textId="77777777" w:rsidTr="009844E8">
        <w:trPr>
          <w:trHeight w:val="156"/>
        </w:trPr>
        <w:tc>
          <w:tcPr>
            <w:tcW w:w="1316" w:type="dxa"/>
          </w:tcPr>
          <w:p w14:paraId="34F620DB" w14:textId="77777777" w:rsidR="00F802F7" w:rsidRPr="001362A6" w:rsidRDefault="00CD030A" w:rsidP="00C54B3C">
            <w:pPr>
              <w:rPr>
                <w:rFonts w:ascii="Lato" w:hAnsi="Lato"/>
                <w:sz w:val="22"/>
                <w:szCs w:val="22"/>
              </w:rPr>
            </w:pPr>
            <w:r w:rsidRPr="001362A6">
              <w:rPr>
                <w:rFonts w:ascii="Lato" w:hAnsi="Lato"/>
                <w:sz w:val="22"/>
                <w:szCs w:val="22"/>
              </w:rPr>
              <w:t>(</w:t>
            </w:r>
            <w:r w:rsidR="00C54B3C" w:rsidRPr="001362A6">
              <w:rPr>
                <w:rFonts w:ascii="Lato" w:hAnsi="Lato"/>
                <w:sz w:val="22"/>
                <w:szCs w:val="22"/>
              </w:rPr>
              <w:t>j</w:t>
            </w:r>
            <w:r w:rsidRPr="001362A6">
              <w:rPr>
                <w:rFonts w:ascii="Lato" w:hAnsi="Lato"/>
                <w:sz w:val="22"/>
                <w:szCs w:val="22"/>
              </w:rPr>
              <w:t>)</w:t>
            </w:r>
          </w:p>
        </w:tc>
        <w:tc>
          <w:tcPr>
            <w:tcW w:w="5891" w:type="dxa"/>
            <w:tcBorders>
              <w:right w:val="single" w:sz="4" w:space="0" w:color="auto"/>
            </w:tcBorders>
          </w:tcPr>
          <w:p w14:paraId="61574613" w14:textId="77777777" w:rsidR="00F802F7" w:rsidRPr="001362A6" w:rsidRDefault="00CD030A" w:rsidP="00CD030A">
            <w:pPr>
              <w:pStyle w:val="Heading6"/>
              <w:rPr>
                <w:rFonts w:ascii="Lato" w:hAnsi="Lato"/>
                <w:color w:val="auto"/>
                <w:szCs w:val="22"/>
                <w:u w:val="none"/>
              </w:rPr>
            </w:pPr>
            <w:r w:rsidRPr="001362A6">
              <w:rPr>
                <w:rFonts w:ascii="Lato" w:hAnsi="Lato"/>
                <w:color w:val="auto"/>
                <w:szCs w:val="22"/>
                <w:u w:val="none"/>
              </w:rPr>
              <w:t xml:space="preserve">Include a risk warning drawing attention to the potential </w:t>
            </w:r>
          </w:p>
        </w:tc>
        <w:tc>
          <w:tcPr>
            <w:tcW w:w="3188" w:type="dxa"/>
            <w:tcBorders>
              <w:top w:val="single" w:sz="4" w:space="0" w:color="auto"/>
              <w:left w:val="single" w:sz="4" w:space="0" w:color="auto"/>
              <w:bottom w:val="single" w:sz="4" w:space="0" w:color="auto"/>
              <w:right w:val="single" w:sz="4" w:space="0" w:color="auto"/>
            </w:tcBorders>
          </w:tcPr>
          <w:p w14:paraId="6C2842E8" w14:textId="77777777" w:rsidR="00F802F7" w:rsidRPr="001362A6" w:rsidRDefault="00F802F7" w:rsidP="00E876DF">
            <w:pPr>
              <w:rPr>
                <w:rFonts w:ascii="Lato" w:hAnsi="Lato"/>
                <w:sz w:val="22"/>
                <w:szCs w:val="22"/>
              </w:rPr>
            </w:pPr>
          </w:p>
        </w:tc>
      </w:tr>
      <w:tr w:rsidR="009844E8" w:rsidRPr="001362A6" w14:paraId="72775A62" w14:textId="77777777" w:rsidTr="009844E8">
        <w:trPr>
          <w:trHeight w:val="156"/>
        </w:trPr>
        <w:tc>
          <w:tcPr>
            <w:tcW w:w="1316" w:type="dxa"/>
          </w:tcPr>
          <w:p w14:paraId="72B12658" w14:textId="77777777" w:rsidR="00F802F7" w:rsidRPr="001362A6" w:rsidRDefault="00F802F7" w:rsidP="00D47A86">
            <w:pPr>
              <w:rPr>
                <w:rFonts w:ascii="Lato" w:hAnsi="Lato"/>
                <w:sz w:val="22"/>
                <w:szCs w:val="22"/>
              </w:rPr>
            </w:pPr>
          </w:p>
        </w:tc>
        <w:tc>
          <w:tcPr>
            <w:tcW w:w="5891" w:type="dxa"/>
          </w:tcPr>
          <w:p w14:paraId="1118EB84" w14:textId="77777777" w:rsidR="00F802F7" w:rsidRPr="001362A6" w:rsidRDefault="00CD030A" w:rsidP="00D47A86">
            <w:pPr>
              <w:pStyle w:val="Heading6"/>
              <w:rPr>
                <w:rFonts w:ascii="Lato" w:hAnsi="Lato"/>
                <w:color w:val="auto"/>
                <w:szCs w:val="22"/>
                <w:u w:val="none"/>
              </w:rPr>
            </w:pPr>
            <w:r w:rsidRPr="001362A6">
              <w:rPr>
                <w:rFonts w:ascii="Lato" w:hAnsi="Lato"/>
                <w:color w:val="auto"/>
                <w:szCs w:val="22"/>
                <w:u w:val="none"/>
              </w:rPr>
              <w:t>implications arising from the application of the Central Bank’s Code of Conduct for Business Lending to Small and Medium Enterprises where loans are issued to SMEs operating within the State</w:t>
            </w:r>
          </w:p>
        </w:tc>
        <w:tc>
          <w:tcPr>
            <w:tcW w:w="3188" w:type="dxa"/>
            <w:tcBorders>
              <w:top w:val="single" w:sz="4" w:space="0" w:color="auto"/>
            </w:tcBorders>
          </w:tcPr>
          <w:p w14:paraId="040FF003" w14:textId="77777777" w:rsidR="00F802F7" w:rsidRPr="001362A6" w:rsidRDefault="00F802F7" w:rsidP="00E876DF">
            <w:pPr>
              <w:rPr>
                <w:rFonts w:ascii="Lato" w:hAnsi="Lato"/>
                <w:sz w:val="22"/>
                <w:szCs w:val="22"/>
              </w:rPr>
            </w:pPr>
          </w:p>
        </w:tc>
      </w:tr>
      <w:tr w:rsidR="00F802F7" w:rsidRPr="001362A6" w14:paraId="0A87A3CA" w14:textId="77777777" w:rsidTr="00990D73">
        <w:trPr>
          <w:trHeight w:val="156"/>
        </w:trPr>
        <w:tc>
          <w:tcPr>
            <w:tcW w:w="1316" w:type="dxa"/>
          </w:tcPr>
          <w:p w14:paraId="67D363C0" w14:textId="77777777" w:rsidR="00F802F7" w:rsidRPr="001362A6" w:rsidRDefault="00F802F7" w:rsidP="00D47A86">
            <w:pPr>
              <w:rPr>
                <w:rFonts w:ascii="Lato" w:hAnsi="Lato"/>
                <w:sz w:val="22"/>
                <w:szCs w:val="22"/>
              </w:rPr>
            </w:pPr>
          </w:p>
        </w:tc>
        <w:tc>
          <w:tcPr>
            <w:tcW w:w="5891" w:type="dxa"/>
          </w:tcPr>
          <w:p w14:paraId="33A6AA39" w14:textId="77777777" w:rsidR="00F802F7" w:rsidRPr="001362A6" w:rsidRDefault="00F802F7" w:rsidP="00D47A86">
            <w:pPr>
              <w:pStyle w:val="Heading6"/>
              <w:rPr>
                <w:rFonts w:ascii="Lato" w:hAnsi="Lato"/>
                <w:color w:val="auto"/>
                <w:szCs w:val="22"/>
                <w:u w:val="none"/>
              </w:rPr>
            </w:pPr>
          </w:p>
        </w:tc>
        <w:tc>
          <w:tcPr>
            <w:tcW w:w="3188" w:type="dxa"/>
          </w:tcPr>
          <w:p w14:paraId="1BDD0EA5" w14:textId="77777777" w:rsidR="00F802F7" w:rsidRPr="001362A6" w:rsidRDefault="00F802F7" w:rsidP="00E876DF">
            <w:pPr>
              <w:rPr>
                <w:rFonts w:ascii="Lato" w:hAnsi="Lato"/>
                <w:sz w:val="22"/>
                <w:szCs w:val="22"/>
              </w:rPr>
            </w:pPr>
          </w:p>
        </w:tc>
      </w:tr>
      <w:tr w:rsidR="00AC48D2" w:rsidRPr="001362A6" w14:paraId="19221576" w14:textId="77777777" w:rsidTr="00990D73">
        <w:trPr>
          <w:trHeight w:val="156"/>
        </w:trPr>
        <w:tc>
          <w:tcPr>
            <w:tcW w:w="1316" w:type="dxa"/>
          </w:tcPr>
          <w:p w14:paraId="10A339AD" w14:textId="77777777" w:rsidR="00AC48D2" w:rsidRPr="001362A6" w:rsidRDefault="00AC48D2" w:rsidP="00E876DF">
            <w:pPr>
              <w:rPr>
                <w:rFonts w:ascii="Lato" w:hAnsi="Lato"/>
                <w:sz w:val="22"/>
                <w:szCs w:val="22"/>
              </w:rPr>
            </w:pPr>
            <w:r w:rsidRPr="001362A6">
              <w:rPr>
                <w:rFonts w:ascii="Lato" w:hAnsi="Lato"/>
                <w:sz w:val="22"/>
                <w:szCs w:val="22"/>
              </w:rPr>
              <w:t>2.2.</w:t>
            </w:r>
            <w:r w:rsidR="00E876DF" w:rsidRPr="001362A6">
              <w:rPr>
                <w:rFonts w:ascii="Lato" w:hAnsi="Lato"/>
                <w:sz w:val="22"/>
                <w:szCs w:val="22"/>
              </w:rPr>
              <w:t>7</w:t>
            </w:r>
          </w:p>
        </w:tc>
        <w:tc>
          <w:tcPr>
            <w:tcW w:w="5891" w:type="dxa"/>
          </w:tcPr>
          <w:p w14:paraId="60E86BA6" w14:textId="77777777" w:rsidR="00AC48D2" w:rsidRPr="001362A6" w:rsidRDefault="00AC48D2">
            <w:pPr>
              <w:rPr>
                <w:rFonts w:ascii="Lato" w:hAnsi="Lato"/>
                <w:b/>
                <w:sz w:val="22"/>
                <w:szCs w:val="22"/>
              </w:rPr>
            </w:pPr>
            <w:r w:rsidRPr="001362A6">
              <w:rPr>
                <w:rFonts w:ascii="Lato" w:hAnsi="Lato"/>
                <w:b/>
                <w:sz w:val="22"/>
                <w:szCs w:val="22"/>
              </w:rPr>
              <w:t>Short Term Money Market Funds</w:t>
            </w:r>
          </w:p>
        </w:tc>
        <w:tc>
          <w:tcPr>
            <w:tcW w:w="3188" w:type="dxa"/>
            <w:tcBorders>
              <w:bottom w:val="single" w:sz="4" w:space="0" w:color="auto"/>
            </w:tcBorders>
          </w:tcPr>
          <w:p w14:paraId="4F76BC49" w14:textId="77777777" w:rsidR="00AC48D2" w:rsidRPr="001362A6" w:rsidRDefault="00AC48D2">
            <w:pPr>
              <w:rPr>
                <w:rFonts w:ascii="Lato" w:hAnsi="Lato"/>
                <w:b/>
                <w:bCs/>
                <w:sz w:val="22"/>
                <w:szCs w:val="22"/>
                <w:u w:val="single"/>
              </w:rPr>
            </w:pPr>
          </w:p>
        </w:tc>
      </w:tr>
      <w:tr w:rsidR="00AC48D2" w:rsidRPr="001362A6" w14:paraId="261D7B62" w14:textId="77777777" w:rsidTr="00990D73">
        <w:trPr>
          <w:trHeight w:val="156"/>
        </w:trPr>
        <w:tc>
          <w:tcPr>
            <w:tcW w:w="1316" w:type="dxa"/>
          </w:tcPr>
          <w:p w14:paraId="4B9E1AA5" w14:textId="77777777" w:rsidR="00AC48D2" w:rsidRPr="001362A6" w:rsidRDefault="00AC48D2" w:rsidP="007606BD">
            <w:pPr>
              <w:rPr>
                <w:rFonts w:ascii="Lato" w:hAnsi="Lato"/>
                <w:sz w:val="22"/>
                <w:szCs w:val="22"/>
              </w:rPr>
            </w:pPr>
          </w:p>
        </w:tc>
        <w:tc>
          <w:tcPr>
            <w:tcW w:w="5891" w:type="dxa"/>
            <w:tcBorders>
              <w:right w:val="single" w:sz="4" w:space="0" w:color="auto"/>
            </w:tcBorders>
          </w:tcPr>
          <w:p w14:paraId="0B71106C" w14:textId="77777777" w:rsidR="00AC48D2" w:rsidRPr="001362A6" w:rsidRDefault="00AC48D2" w:rsidP="007606BD">
            <w:pPr>
              <w:jc w:val="both"/>
              <w:rPr>
                <w:rFonts w:ascii="Lato" w:hAnsi="Lato"/>
                <w:position w:val="8"/>
                <w:sz w:val="22"/>
                <w:szCs w:val="22"/>
              </w:rPr>
            </w:pPr>
            <w:r w:rsidRPr="001362A6">
              <w:rPr>
                <w:rFonts w:ascii="Lato" w:hAnsi="Lato"/>
                <w:sz w:val="22"/>
                <w:szCs w:val="22"/>
              </w:rPr>
              <w:t>State that the fund is a Short-Term Money Market Fund</w:t>
            </w:r>
          </w:p>
        </w:tc>
        <w:tc>
          <w:tcPr>
            <w:tcW w:w="3188" w:type="dxa"/>
            <w:tcBorders>
              <w:top w:val="single" w:sz="4" w:space="0" w:color="auto"/>
              <w:left w:val="single" w:sz="4" w:space="0" w:color="auto"/>
              <w:bottom w:val="single" w:sz="4" w:space="0" w:color="auto"/>
              <w:right w:val="single" w:sz="4" w:space="0" w:color="auto"/>
            </w:tcBorders>
          </w:tcPr>
          <w:p w14:paraId="0B8FC8F8" w14:textId="77777777" w:rsidR="00AC48D2" w:rsidRPr="001362A6" w:rsidRDefault="00AC48D2">
            <w:pPr>
              <w:rPr>
                <w:rFonts w:ascii="Lato" w:hAnsi="Lato"/>
                <w:b/>
                <w:bCs/>
                <w:sz w:val="22"/>
                <w:szCs w:val="22"/>
                <w:u w:val="single"/>
              </w:rPr>
            </w:pPr>
          </w:p>
        </w:tc>
      </w:tr>
      <w:tr w:rsidR="00AC48D2" w:rsidRPr="001362A6" w14:paraId="44F9AEB6" w14:textId="77777777" w:rsidTr="00990D73">
        <w:trPr>
          <w:trHeight w:val="156"/>
        </w:trPr>
        <w:tc>
          <w:tcPr>
            <w:tcW w:w="1316" w:type="dxa"/>
          </w:tcPr>
          <w:p w14:paraId="5413154C" w14:textId="77777777" w:rsidR="00AC48D2" w:rsidRPr="001362A6" w:rsidRDefault="00AC48D2" w:rsidP="00A75241">
            <w:pPr>
              <w:rPr>
                <w:rFonts w:ascii="Lato" w:hAnsi="Lato"/>
                <w:sz w:val="22"/>
                <w:szCs w:val="22"/>
              </w:rPr>
            </w:pPr>
          </w:p>
        </w:tc>
        <w:tc>
          <w:tcPr>
            <w:tcW w:w="5891" w:type="dxa"/>
          </w:tcPr>
          <w:p w14:paraId="7B24F560" w14:textId="77777777" w:rsidR="00AC48D2" w:rsidRPr="001362A6" w:rsidRDefault="00AC48D2">
            <w:pPr>
              <w:rPr>
                <w:rFonts w:ascii="Lato" w:hAnsi="Lato"/>
                <w:b/>
                <w:sz w:val="22"/>
                <w:szCs w:val="22"/>
              </w:rPr>
            </w:pPr>
          </w:p>
        </w:tc>
        <w:tc>
          <w:tcPr>
            <w:tcW w:w="3188" w:type="dxa"/>
            <w:tcBorders>
              <w:top w:val="single" w:sz="4" w:space="0" w:color="auto"/>
              <w:bottom w:val="single" w:sz="4" w:space="0" w:color="auto"/>
            </w:tcBorders>
          </w:tcPr>
          <w:p w14:paraId="53E64BE0" w14:textId="77777777" w:rsidR="00AC48D2" w:rsidRPr="001362A6" w:rsidRDefault="00AC48D2">
            <w:pPr>
              <w:rPr>
                <w:rFonts w:ascii="Lato" w:hAnsi="Lato"/>
                <w:b/>
                <w:bCs/>
                <w:sz w:val="22"/>
                <w:szCs w:val="22"/>
                <w:u w:val="single"/>
              </w:rPr>
            </w:pPr>
          </w:p>
        </w:tc>
      </w:tr>
      <w:tr w:rsidR="00AC48D2" w:rsidRPr="001362A6" w14:paraId="7BB6E0BD" w14:textId="77777777" w:rsidTr="00990D73">
        <w:trPr>
          <w:trHeight w:val="156"/>
        </w:trPr>
        <w:tc>
          <w:tcPr>
            <w:tcW w:w="1316" w:type="dxa"/>
          </w:tcPr>
          <w:p w14:paraId="39B049E5" w14:textId="77777777" w:rsidR="00AC48D2" w:rsidRPr="001362A6" w:rsidRDefault="00AC48D2" w:rsidP="00B16A68">
            <w:pPr>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3B0F9E7F" w14:textId="77777777" w:rsidR="00AC48D2" w:rsidRPr="001362A6" w:rsidRDefault="00AC48D2" w:rsidP="00EF12D7">
            <w:pPr>
              <w:jc w:val="both"/>
              <w:rPr>
                <w:rFonts w:ascii="Lato" w:hAnsi="Lato"/>
                <w:position w:val="8"/>
                <w:sz w:val="22"/>
                <w:szCs w:val="22"/>
              </w:rPr>
            </w:pPr>
            <w:r w:rsidRPr="001362A6">
              <w:rPr>
                <w:rFonts w:ascii="Lato" w:hAnsi="Lato"/>
                <w:sz w:val="22"/>
                <w:szCs w:val="22"/>
              </w:rPr>
              <w:t>Include a risk warning drawing attention to the difference</w:t>
            </w:r>
          </w:p>
        </w:tc>
        <w:tc>
          <w:tcPr>
            <w:tcW w:w="3188" w:type="dxa"/>
            <w:tcBorders>
              <w:top w:val="single" w:sz="4" w:space="0" w:color="auto"/>
              <w:left w:val="single" w:sz="4" w:space="0" w:color="auto"/>
              <w:bottom w:val="single" w:sz="4" w:space="0" w:color="auto"/>
              <w:right w:val="single" w:sz="4" w:space="0" w:color="auto"/>
            </w:tcBorders>
          </w:tcPr>
          <w:p w14:paraId="614052D7" w14:textId="77777777" w:rsidR="00AC48D2" w:rsidRPr="001362A6" w:rsidRDefault="00AC48D2" w:rsidP="00EF12D7">
            <w:pPr>
              <w:rPr>
                <w:rFonts w:ascii="Lato" w:hAnsi="Lato"/>
                <w:sz w:val="22"/>
                <w:szCs w:val="22"/>
              </w:rPr>
            </w:pPr>
          </w:p>
        </w:tc>
      </w:tr>
      <w:tr w:rsidR="00AC48D2" w:rsidRPr="001362A6" w14:paraId="5F1EE8AA" w14:textId="77777777" w:rsidTr="00990D73">
        <w:trPr>
          <w:trHeight w:val="156"/>
        </w:trPr>
        <w:tc>
          <w:tcPr>
            <w:tcW w:w="1316" w:type="dxa"/>
          </w:tcPr>
          <w:p w14:paraId="31D89C4F" w14:textId="77777777" w:rsidR="00AC48D2" w:rsidRPr="001362A6" w:rsidRDefault="00AC48D2" w:rsidP="00EF12D7">
            <w:pPr>
              <w:rPr>
                <w:rFonts w:ascii="Lato" w:hAnsi="Lato"/>
                <w:sz w:val="22"/>
                <w:szCs w:val="22"/>
              </w:rPr>
            </w:pPr>
          </w:p>
        </w:tc>
        <w:tc>
          <w:tcPr>
            <w:tcW w:w="5891" w:type="dxa"/>
          </w:tcPr>
          <w:p w14:paraId="5DF16108" w14:textId="77777777" w:rsidR="00AC48D2" w:rsidRPr="001362A6" w:rsidRDefault="00AC48D2" w:rsidP="00EF12D7">
            <w:pPr>
              <w:jc w:val="both"/>
              <w:rPr>
                <w:rFonts w:ascii="Lato" w:hAnsi="Lato"/>
                <w:position w:val="8"/>
                <w:sz w:val="22"/>
                <w:szCs w:val="22"/>
              </w:rPr>
            </w:pPr>
            <w:r w:rsidRPr="001362A6">
              <w:rPr>
                <w:rFonts w:ascii="Lato" w:hAnsi="Lato"/>
                <w:sz w:val="22"/>
                <w:szCs w:val="22"/>
              </w:rPr>
              <w:t>between the nature of a deposit and the nature of an investment in a money market fund with particular reference to the risk that the principal invested in a money market fund is capable of fluctuation</w:t>
            </w:r>
          </w:p>
        </w:tc>
        <w:tc>
          <w:tcPr>
            <w:tcW w:w="3188" w:type="dxa"/>
            <w:tcBorders>
              <w:top w:val="single" w:sz="4" w:space="0" w:color="auto"/>
            </w:tcBorders>
          </w:tcPr>
          <w:p w14:paraId="1024640C" w14:textId="77777777" w:rsidR="00AC48D2" w:rsidRPr="001362A6" w:rsidRDefault="00AC48D2" w:rsidP="00EF12D7">
            <w:pPr>
              <w:rPr>
                <w:rFonts w:ascii="Lato" w:hAnsi="Lato"/>
                <w:sz w:val="22"/>
                <w:szCs w:val="22"/>
              </w:rPr>
            </w:pPr>
          </w:p>
        </w:tc>
      </w:tr>
      <w:tr w:rsidR="00AC48D2" w:rsidRPr="001362A6" w14:paraId="58243AFD" w14:textId="77777777" w:rsidTr="00990D73">
        <w:trPr>
          <w:trHeight w:val="156"/>
        </w:trPr>
        <w:tc>
          <w:tcPr>
            <w:tcW w:w="1316" w:type="dxa"/>
          </w:tcPr>
          <w:p w14:paraId="3FD0A676" w14:textId="77777777" w:rsidR="00AC48D2" w:rsidRPr="001362A6" w:rsidRDefault="00AC48D2" w:rsidP="00EF12D7">
            <w:pPr>
              <w:rPr>
                <w:rFonts w:ascii="Lato" w:hAnsi="Lato"/>
                <w:sz w:val="22"/>
                <w:szCs w:val="22"/>
              </w:rPr>
            </w:pPr>
          </w:p>
        </w:tc>
        <w:tc>
          <w:tcPr>
            <w:tcW w:w="5891" w:type="dxa"/>
          </w:tcPr>
          <w:p w14:paraId="428EDB80" w14:textId="77777777" w:rsidR="00AC48D2" w:rsidRPr="001362A6" w:rsidRDefault="00AC48D2" w:rsidP="00EF12D7">
            <w:pPr>
              <w:jc w:val="both"/>
              <w:rPr>
                <w:rFonts w:ascii="Lato" w:hAnsi="Lato"/>
                <w:position w:val="8"/>
                <w:sz w:val="22"/>
                <w:szCs w:val="22"/>
              </w:rPr>
            </w:pPr>
          </w:p>
        </w:tc>
        <w:tc>
          <w:tcPr>
            <w:tcW w:w="3188" w:type="dxa"/>
            <w:tcBorders>
              <w:bottom w:val="single" w:sz="4" w:space="0" w:color="auto"/>
            </w:tcBorders>
          </w:tcPr>
          <w:p w14:paraId="7D87A725" w14:textId="77777777" w:rsidR="00AC48D2" w:rsidRPr="001362A6" w:rsidRDefault="00AC48D2" w:rsidP="00EF12D7">
            <w:pPr>
              <w:rPr>
                <w:rFonts w:ascii="Lato" w:hAnsi="Lato"/>
                <w:sz w:val="22"/>
                <w:szCs w:val="22"/>
              </w:rPr>
            </w:pPr>
          </w:p>
        </w:tc>
      </w:tr>
      <w:tr w:rsidR="00AC48D2" w:rsidRPr="001362A6" w14:paraId="4ABE7579" w14:textId="77777777" w:rsidTr="00990D73">
        <w:trPr>
          <w:trHeight w:val="156"/>
        </w:trPr>
        <w:tc>
          <w:tcPr>
            <w:tcW w:w="1316" w:type="dxa"/>
          </w:tcPr>
          <w:p w14:paraId="00F7E231" w14:textId="77777777" w:rsidR="00AC48D2" w:rsidRPr="001362A6" w:rsidRDefault="00AC48D2" w:rsidP="00EF12D7">
            <w:pPr>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40AD22F4" w14:textId="77777777" w:rsidR="00AC48D2" w:rsidRPr="001362A6" w:rsidRDefault="00AC48D2" w:rsidP="00EF12D7">
            <w:pPr>
              <w:jc w:val="both"/>
              <w:rPr>
                <w:rFonts w:ascii="Lato" w:hAnsi="Lato"/>
                <w:position w:val="8"/>
                <w:sz w:val="22"/>
                <w:szCs w:val="22"/>
              </w:rPr>
            </w:pPr>
            <w:r w:rsidRPr="001362A6">
              <w:rPr>
                <w:rFonts w:ascii="Lato" w:hAnsi="Lato"/>
                <w:sz w:val="22"/>
                <w:szCs w:val="22"/>
              </w:rPr>
              <w:t>The fund  must have a primary objective of maintaining the</w:t>
            </w:r>
          </w:p>
        </w:tc>
        <w:tc>
          <w:tcPr>
            <w:tcW w:w="3188" w:type="dxa"/>
            <w:tcBorders>
              <w:top w:val="single" w:sz="4" w:space="0" w:color="auto"/>
              <w:left w:val="single" w:sz="4" w:space="0" w:color="auto"/>
              <w:bottom w:val="single" w:sz="4" w:space="0" w:color="auto"/>
              <w:right w:val="single" w:sz="4" w:space="0" w:color="auto"/>
            </w:tcBorders>
          </w:tcPr>
          <w:p w14:paraId="4D22CA79" w14:textId="77777777" w:rsidR="00AC48D2" w:rsidRPr="001362A6" w:rsidRDefault="00AC48D2" w:rsidP="00EF12D7">
            <w:pPr>
              <w:rPr>
                <w:rFonts w:ascii="Lato" w:hAnsi="Lato"/>
                <w:sz w:val="22"/>
                <w:szCs w:val="22"/>
              </w:rPr>
            </w:pPr>
          </w:p>
        </w:tc>
      </w:tr>
      <w:tr w:rsidR="00AC48D2" w:rsidRPr="001362A6" w14:paraId="2B85CED9" w14:textId="77777777" w:rsidTr="00990D73">
        <w:trPr>
          <w:trHeight w:val="156"/>
        </w:trPr>
        <w:tc>
          <w:tcPr>
            <w:tcW w:w="1316" w:type="dxa"/>
          </w:tcPr>
          <w:p w14:paraId="07AD83EB" w14:textId="77777777" w:rsidR="00AC48D2" w:rsidRPr="001362A6" w:rsidRDefault="00AC48D2" w:rsidP="00EF12D7">
            <w:pPr>
              <w:rPr>
                <w:rFonts w:ascii="Lato" w:hAnsi="Lato"/>
                <w:sz w:val="22"/>
                <w:szCs w:val="22"/>
              </w:rPr>
            </w:pPr>
          </w:p>
        </w:tc>
        <w:tc>
          <w:tcPr>
            <w:tcW w:w="5891" w:type="dxa"/>
          </w:tcPr>
          <w:p w14:paraId="26AA837F" w14:textId="77777777" w:rsidR="00AC48D2" w:rsidRPr="001362A6" w:rsidRDefault="00AC48D2" w:rsidP="00EF12D7">
            <w:pPr>
              <w:jc w:val="both"/>
              <w:rPr>
                <w:rFonts w:ascii="Lato" w:hAnsi="Lato"/>
                <w:position w:val="8"/>
                <w:sz w:val="22"/>
                <w:szCs w:val="22"/>
              </w:rPr>
            </w:pPr>
            <w:r w:rsidRPr="001362A6">
              <w:rPr>
                <w:rFonts w:ascii="Lato" w:hAnsi="Lato"/>
                <w:sz w:val="22"/>
                <w:szCs w:val="22"/>
              </w:rPr>
              <w:t xml:space="preserve"> principal of the fund and aim to provide a return in line with money market rates</w:t>
            </w:r>
          </w:p>
        </w:tc>
        <w:tc>
          <w:tcPr>
            <w:tcW w:w="3188" w:type="dxa"/>
            <w:tcBorders>
              <w:top w:val="single" w:sz="4" w:space="0" w:color="auto"/>
            </w:tcBorders>
          </w:tcPr>
          <w:p w14:paraId="768370A8" w14:textId="77777777" w:rsidR="00AC48D2" w:rsidRPr="001362A6" w:rsidRDefault="00AC48D2" w:rsidP="00EF12D7">
            <w:pPr>
              <w:rPr>
                <w:rFonts w:ascii="Lato" w:hAnsi="Lato"/>
                <w:sz w:val="22"/>
                <w:szCs w:val="22"/>
              </w:rPr>
            </w:pPr>
          </w:p>
        </w:tc>
      </w:tr>
      <w:tr w:rsidR="00AC48D2" w:rsidRPr="001362A6" w14:paraId="74CBDA09" w14:textId="77777777" w:rsidTr="00990D73">
        <w:trPr>
          <w:trHeight w:val="156"/>
        </w:trPr>
        <w:tc>
          <w:tcPr>
            <w:tcW w:w="1316" w:type="dxa"/>
          </w:tcPr>
          <w:p w14:paraId="475D3160" w14:textId="77777777" w:rsidR="00AC48D2" w:rsidRPr="001362A6" w:rsidRDefault="00AC48D2" w:rsidP="00EF12D7">
            <w:pPr>
              <w:rPr>
                <w:rFonts w:ascii="Lato" w:hAnsi="Lato"/>
                <w:sz w:val="22"/>
                <w:szCs w:val="22"/>
              </w:rPr>
            </w:pPr>
          </w:p>
        </w:tc>
        <w:tc>
          <w:tcPr>
            <w:tcW w:w="5891" w:type="dxa"/>
          </w:tcPr>
          <w:p w14:paraId="5D3C01D8" w14:textId="77777777" w:rsidR="00AC48D2" w:rsidRPr="001362A6" w:rsidRDefault="00AC48D2" w:rsidP="00EF12D7">
            <w:pPr>
              <w:jc w:val="both"/>
              <w:rPr>
                <w:rFonts w:ascii="Lato" w:hAnsi="Lato"/>
                <w:position w:val="8"/>
                <w:sz w:val="22"/>
                <w:szCs w:val="22"/>
              </w:rPr>
            </w:pPr>
          </w:p>
        </w:tc>
        <w:tc>
          <w:tcPr>
            <w:tcW w:w="3188" w:type="dxa"/>
            <w:tcBorders>
              <w:bottom w:val="single" w:sz="4" w:space="0" w:color="auto"/>
            </w:tcBorders>
          </w:tcPr>
          <w:p w14:paraId="621FB0BB" w14:textId="77777777" w:rsidR="00AC48D2" w:rsidRPr="001362A6" w:rsidRDefault="00AC48D2" w:rsidP="00EF12D7">
            <w:pPr>
              <w:rPr>
                <w:rFonts w:ascii="Lato" w:hAnsi="Lato"/>
                <w:sz w:val="22"/>
                <w:szCs w:val="22"/>
              </w:rPr>
            </w:pPr>
          </w:p>
        </w:tc>
      </w:tr>
      <w:tr w:rsidR="00AC48D2" w:rsidRPr="001362A6" w14:paraId="616B44CA" w14:textId="77777777" w:rsidTr="00990D73">
        <w:trPr>
          <w:trHeight w:val="156"/>
        </w:trPr>
        <w:tc>
          <w:tcPr>
            <w:tcW w:w="1316" w:type="dxa"/>
          </w:tcPr>
          <w:p w14:paraId="4B787EE2" w14:textId="77777777" w:rsidR="00AC48D2" w:rsidRPr="001362A6" w:rsidRDefault="00AC48D2" w:rsidP="00EF12D7">
            <w:pPr>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68A8886E" w14:textId="77777777" w:rsidR="00AC48D2" w:rsidRPr="001362A6" w:rsidRDefault="00AC48D2" w:rsidP="00EF12D7">
            <w:pPr>
              <w:jc w:val="both"/>
              <w:rPr>
                <w:rFonts w:ascii="Lato" w:hAnsi="Lato"/>
                <w:position w:val="8"/>
                <w:sz w:val="22"/>
                <w:szCs w:val="22"/>
              </w:rPr>
            </w:pPr>
            <w:r w:rsidRPr="001362A6">
              <w:rPr>
                <w:rFonts w:ascii="Lato" w:hAnsi="Lato"/>
                <w:sz w:val="22"/>
                <w:szCs w:val="22"/>
              </w:rPr>
              <w:t>If investment is permitted by a Short-Term Money Market</w:t>
            </w:r>
          </w:p>
        </w:tc>
        <w:tc>
          <w:tcPr>
            <w:tcW w:w="3188" w:type="dxa"/>
            <w:tcBorders>
              <w:top w:val="single" w:sz="4" w:space="0" w:color="auto"/>
              <w:left w:val="single" w:sz="4" w:space="0" w:color="auto"/>
              <w:bottom w:val="single" w:sz="4" w:space="0" w:color="auto"/>
              <w:right w:val="single" w:sz="4" w:space="0" w:color="auto"/>
            </w:tcBorders>
          </w:tcPr>
          <w:p w14:paraId="2486C61E" w14:textId="77777777" w:rsidR="00AC48D2" w:rsidRPr="001362A6" w:rsidRDefault="00AC48D2" w:rsidP="00EF12D7">
            <w:pPr>
              <w:rPr>
                <w:rFonts w:ascii="Lato" w:hAnsi="Lato"/>
                <w:sz w:val="22"/>
                <w:szCs w:val="22"/>
              </w:rPr>
            </w:pPr>
          </w:p>
        </w:tc>
      </w:tr>
      <w:tr w:rsidR="00AC48D2" w:rsidRPr="001362A6" w14:paraId="142C1A47" w14:textId="77777777" w:rsidTr="00990D73">
        <w:trPr>
          <w:trHeight w:val="156"/>
        </w:trPr>
        <w:tc>
          <w:tcPr>
            <w:tcW w:w="1316" w:type="dxa"/>
          </w:tcPr>
          <w:p w14:paraId="6B3AD5B1" w14:textId="77777777" w:rsidR="00AC48D2" w:rsidRPr="001362A6" w:rsidRDefault="00AC48D2" w:rsidP="00EF12D7">
            <w:pPr>
              <w:rPr>
                <w:rFonts w:ascii="Lato" w:hAnsi="Lato"/>
                <w:sz w:val="22"/>
                <w:szCs w:val="22"/>
              </w:rPr>
            </w:pPr>
          </w:p>
        </w:tc>
        <w:tc>
          <w:tcPr>
            <w:tcW w:w="5891" w:type="dxa"/>
          </w:tcPr>
          <w:p w14:paraId="4B24DF1C" w14:textId="77777777" w:rsidR="00AC48D2" w:rsidRPr="001362A6" w:rsidRDefault="00AC48D2" w:rsidP="00EF12D7">
            <w:pPr>
              <w:jc w:val="both"/>
              <w:rPr>
                <w:rFonts w:ascii="Lato" w:hAnsi="Lato"/>
                <w:position w:val="8"/>
                <w:sz w:val="22"/>
                <w:szCs w:val="22"/>
              </w:rPr>
            </w:pPr>
            <w:r w:rsidRPr="001362A6">
              <w:rPr>
                <w:rFonts w:ascii="Lato" w:hAnsi="Lato"/>
                <w:sz w:val="22"/>
                <w:szCs w:val="22"/>
              </w:rPr>
              <w:t>Fund in other investment funds provide that those investment funds are also Short-Term Money Market Funds</w:t>
            </w:r>
          </w:p>
        </w:tc>
        <w:tc>
          <w:tcPr>
            <w:tcW w:w="3188" w:type="dxa"/>
            <w:tcBorders>
              <w:top w:val="single" w:sz="4" w:space="0" w:color="auto"/>
            </w:tcBorders>
          </w:tcPr>
          <w:p w14:paraId="60902018" w14:textId="77777777" w:rsidR="00AC48D2" w:rsidRPr="001362A6" w:rsidRDefault="00AC48D2" w:rsidP="00EF12D7">
            <w:pPr>
              <w:rPr>
                <w:rFonts w:ascii="Lato" w:hAnsi="Lato"/>
                <w:sz w:val="22"/>
                <w:szCs w:val="22"/>
              </w:rPr>
            </w:pPr>
          </w:p>
        </w:tc>
      </w:tr>
      <w:tr w:rsidR="00AC48D2" w:rsidRPr="001362A6" w14:paraId="7FDDA572" w14:textId="77777777" w:rsidTr="00990D73">
        <w:trPr>
          <w:trHeight w:val="156"/>
        </w:trPr>
        <w:tc>
          <w:tcPr>
            <w:tcW w:w="1316" w:type="dxa"/>
          </w:tcPr>
          <w:p w14:paraId="7AF8DC4C" w14:textId="77777777" w:rsidR="00AC48D2" w:rsidRPr="001362A6" w:rsidRDefault="00AC48D2" w:rsidP="00EF12D7">
            <w:pPr>
              <w:rPr>
                <w:rFonts w:ascii="Lato" w:hAnsi="Lato"/>
                <w:sz w:val="22"/>
                <w:szCs w:val="22"/>
              </w:rPr>
            </w:pPr>
          </w:p>
        </w:tc>
        <w:tc>
          <w:tcPr>
            <w:tcW w:w="5891" w:type="dxa"/>
          </w:tcPr>
          <w:p w14:paraId="38284CE4" w14:textId="77777777" w:rsidR="00AC48D2" w:rsidRPr="001362A6" w:rsidRDefault="00AC48D2" w:rsidP="00EF12D7">
            <w:pPr>
              <w:jc w:val="both"/>
              <w:rPr>
                <w:rFonts w:ascii="Lato" w:hAnsi="Lato"/>
                <w:position w:val="8"/>
                <w:sz w:val="22"/>
                <w:szCs w:val="22"/>
              </w:rPr>
            </w:pPr>
          </w:p>
        </w:tc>
        <w:tc>
          <w:tcPr>
            <w:tcW w:w="3188" w:type="dxa"/>
            <w:tcBorders>
              <w:bottom w:val="single" w:sz="4" w:space="0" w:color="auto"/>
            </w:tcBorders>
          </w:tcPr>
          <w:p w14:paraId="7D1A9546" w14:textId="77777777" w:rsidR="00AC48D2" w:rsidRPr="001362A6" w:rsidRDefault="00AC48D2" w:rsidP="00EF12D7">
            <w:pPr>
              <w:rPr>
                <w:rFonts w:ascii="Lato" w:hAnsi="Lato"/>
                <w:sz w:val="22"/>
                <w:szCs w:val="22"/>
              </w:rPr>
            </w:pPr>
          </w:p>
        </w:tc>
      </w:tr>
      <w:tr w:rsidR="00AC48D2" w:rsidRPr="001362A6" w14:paraId="546477B3" w14:textId="77777777" w:rsidTr="00990D73">
        <w:trPr>
          <w:trHeight w:val="156"/>
        </w:trPr>
        <w:tc>
          <w:tcPr>
            <w:tcW w:w="1316" w:type="dxa"/>
          </w:tcPr>
          <w:p w14:paraId="752112E7" w14:textId="77777777" w:rsidR="00AC48D2" w:rsidRPr="001362A6" w:rsidRDefault="00AC48D2" w:rsidP="00EF12D7">
            <w:pPr>
              <w:rPr>
                <w:rFonts w:ascii="Lato" w:hAnsi="Lato"/>
                <w:sz w:val="22"/>
                <w:szCs w:val="22"/>
              </w:rPr>
            </w:pPr>
            <w:r w:rsidRPr="001362A6">
              <w:rPr>
                <w:rFonts w:ascii="Lato" w:hAnsi="Lato"/>
                <w:sz w:val="22"/>
                <w:szCs w:val="22"/>
              </w:rPr>
              <w:t>d)</w:t>
            </w:r>
          </w:p>
        </w:tc>
        <w:tc>
          <w:tcPr>
            <w:tcW w:w="5891" w:type="dxa"/>
            <w:tcBorders>
              <w:right w:val="single" w:sz="4" w:space="0" w:color="auto"/>
            </w:tcBorders>
          </w:tcPr>
          <w:p w14:paraId="10DF17F0" w14:textId="77777777" w:rsidR="00AC48D2" w:rsidRPr="001362A6" w:rsidRDefault="00AC48D2" w:rsidP="00D95E9D">
            <w:pPr>
              <w:jc w:val="both"/>
              <w:rPr>
                <w:rFonts w:ascii="Lato" w:hAnsi="Lato"/>
                <w:position w:val="8"/>
                <w:sz w:val="22"/>
                <w:szCs w:val="22"/>
              </w:rPr>
            </w:pPr>
            <w:r w:rsidRPr="001362A6">
              <w:rPr>
                <w:rFonts w:ascii="Lato" w:hAnsi="Lato"/>
                <w:sz w:val="22"/>
                <w:szCs w:val="22"/>
              </w:rPr>
              <w:t xml:space="preserve">Provide appropriate information to investors on the risk </w:t>
            </w:r>
          </w:p>
        </w:tc>
        <w:tc>
          <w:tcPr>
            <w:tcW w:w="3188" w:type="dxa"/>
            <w:tcBorders>
              <w:top w:val="single" w:sz="4" w:space="0" w:color="auto"/>
              <w:left w:val="single" w:sz="4" w:space="0" w:color="auto"/>
              <w:bottom w:val="single" w:sz="4" w:space="0" w:color="auto"/>
              <w:right w:val="single" w:sz="4" w:space="0" w:color="auto"/>
            </w:tcBorders>
          </w:tcPr>
          <w:p w14:paraId="59A61AF1" w14:textId="77777777" w:rsidR="00AC48D2" w:rsidRPr="001362A6" w:rsidRDefault="00AC48D2" w:rsidP="00EF12D7">
            <w:pPr>
              <w:rPr>
                <w:rFonts w:ascii="Lato" w:hAnsi="Lato"/>
                <w:sz w:val="22"/>
                <w:szCs w:val="22"/>
              </w:rPr>
            </w:pPr>
          </w:p>
        </w:tc>
      </w:tr>
      <w:tr w:rsidR="00AC48D2" w:rsidRPr="001362A6" w14:paraId="1D3644D2" w14:textId="77777777" w:rsidTr="00990D73">
        <w:trPr>
          <w:trHeight w:val="156"/>
        </w:trPr>
        <w:tc>
          <w:tcPr>
            <w:tcW w:w="1316" w:type="dxa"/>
          </w:tcPr>
          <w:p w14:paraId="2D50FA4D" w14:textId="77777777" w:rsidR="00AC48D2" w:rsidRPr="001362A6" w:rsidRDefault="00AC48D2" w:rsidP="00EF12D7">
            <w:pPr>
              <w:rPr>
                <w:rFonts w:ascii="Lato" w:hAnsi="Lato"/>
                <w:sz w:val="22"/>
                <w:szCs w:val="22"/>
              </w:rPr>
            </w:pPr>
          </w:p>
        </w:tc>
        <w:tc>
          <w:tcPr>
            <w:tcW w:w="5891" w:type="dxa"/>
          </w:tcPr>
          <w:p w14:paraId="169F2182" w14:textId="77777777" w:rsidR="00AC48D2" w:rsidRPr="001362A6" w:rsidRDefault="00AD0F7D" w:rsidP="00EF12D7">
            <w:pPr>
              <w:pStyle w:val="Heading6"/>
              <w:rPr>
                <w:rFonts w:ascii="Lato" w:hAnsi="Lato"/>
                <w:color w:val="auto"/>
                <w:position w:val="8"/>
                <w:szCs w:val="22"/>
              </w:rPr>
            </w:pPr>
            <w:r w:rsidRPr="001362A6">
              <w:rPr>
                <w:rFonts w:ascii="Lato" w:hAnsi="Lato"/>
                <w:color w:val="auto"/>
                <w:szCs w:val="22"/>
                <w:u w:val="none"/>
              </w:rPr>
              <w:t xml:space="preserve">and </w:t>
            </w:r>
            <w:r w:rsidR="00AC48D2" w:rsidRPr="001362A6">
              <w:rPr>
                <w:rFonts w:ascii="Lato" w:hAnsi="Lato"/>
                <w:color w:val="auto"/>
                <w:szCs w:val="22"/>
                <w:u w:val="none"/>
              </w:rPr>
              <w:t>reward profile of the fund so as to enable investors identify any specific risks linked to the investment strategy of the money market fund.</w:t>
            </w:r>
            <w:r w:rsidR="00AC48D2" w:rsidRPr="001362A6">
              <w:rPr>
                <w:rFonts w:ascii="Lato" w:hAnsi="Lato"/>
                <w:color w:val="auto"/>
                <w:szCs w:val="22"/>
              </w:rPr>
              <w:t xml:space="preserve">  </w:t>
            </w:r>
          </w:p>
        </w:tc>
        <w:tc>
          <w:tcPr>
            <w:tcW w:w="3188" w:type="dxa"/>
            <w:tcBorders>
              <w:top w:val="single" w:sz="4" w:space="0" w:color="auto"/>
            </w:tcBorders>
          </w:tcPr>
          <w:p w14:paraId="71D54147" w14:textId="77777777" w:rsidR="00AC48D2" w:rsidRPr="001362A6" w:rsidRDefault="00AC48D2" w:rsidP="00EF12D7">
            <w:pPr>
              <w:rPr>
                <w:rFonts w:ascii="Lato" w:hAnsi="Lato"/>
                <w:sz w:val="22"/>
                <w:szCs w:val="22"/>
              </w:rPr>
            </w:pPr>
          </w:p>
        </w:tc>
      </w:tr>
      <w:tr w:rsidR="00AC48D2" w:rsidRPr="001362A6" w14:paraId="2DC9801B" w14:textId="77777777" w:rsidTr="00990D73">
        <w:trPr>
          <w:trHeight w:val="156"/>
        </w:trPr>
        <w:tc>
          <w:tcPr>
            <w:tcW w:w="1316" w:type="dxa"/>
          </w:tcPr>
          <w:p w14:paraId="45FAE1DD" w14:textId="77777777" w:rsidR="00AC48D2" w:rsidRPr="001362A6" w:rsidRDefault="00AC48D2" w:rsidP="00EF12D7">
            <w:pPr>
              <w:rPr>
                <w:rFonts w:ascii="Lato" w:hAnsi="Lato"/>
                <w:sz w:val="22"/>
                <w:szCs w:val="22"/>
              </w:rPr>
            </w:pPr>
          </w:p>
        </w:tc>
        <w:tc>
          <w:tcPr>
            <w:tcW w:w="5891" w:type="dxa"/>
          </w:tcPr>
          <w:p w14:paraId="44B7B041" w14:textId="77777777" w:rsidR="00AC48D2" w:rsidRPr="001362A6" w:rsidRDefault="00AC48D2" w:rsidP="00D95E9D">
            <w:pPr>
              <w:jc w:val="both"/>
              <w:rPr>
                <w:rFonts w:ascii="Lato" w:hAnsi="Lato"/>
                <w:position w:val="8"/>
                <w:sz w:val="22"/>
                <w:szCs w:val="22"/>
              </w:rPr>
            </w:pPr>
            <w:r w:rsidRPr="001362A6">
              <w:rPr>
                <w:rFonts w:ascii="Lato" w:hAnsi="Lato"/>
                <w:sz w:val="22"/>
                <w:szCs w:val="22"/>
              </w:rPr>
              <w:t xml:space="preserve">This must take account, where relevant, of investment in </w:t>
            </w:r>
          </w:p>
        </w:tc>
        <w:tc>
          <w:tcPr>
            <w:tcW w:w="3188" w:type="dxa"/>
          </w:tcPr>
          <w:p w14:paraId="55F186B4" w14:textId="77777777" w:rsidR="00AC48D2" w:rsidRPr="001362A6" w:rsidRDefault="00AC48D2" w:rsidP="00EF12D7">
            <w:pPr>
              <w:rPr>
                <w:rFonts w:ascii="Lato" w:hAnsi="Lato"/>
                <w:sz w:val="22"/>
                <w:szCs w:val="22"/>
              </w:rPr>
            </w:pPr>
          </w:p>
        </w:tc>
      </w:tr>
      <w:tr w:rsidR="00AC48D2" w:rsidRPr="001362A6" w14:paraId="7E48EE54" w14:textId="77777777" w:rsidTr="00990D73">
        <w:trPr>
          <w:trHeight w:val="156"/>
        </w:trPr>
        <w:tc>
          <w:tcPr>
            <w:tcW w:w="1316" w:type="dxa"/>
          </w:tcPr>
          <w:p w14:paraId="2644680C" w14:textId="77777777" w:rsidR="00AC48D2" w:rsidRPr="001362A6" w:rsidRDefault="00AC48D2" w:rsidP="00EF12D7">
            <w:pPr>
              <w:rPr>
                <w:rFonts w:ascii="Lato" w:hAnsi="Lato"/>
                <w:sz w:val="22"/>
                <w:szCs w:val="22"/>
              </w:rPr>
            </w:pPr>
          </w:p>
        </w:tc>
        <w:tc>
          <w:tcPr>
            <w:tcW w:w="5891" w:type="dxa"/>
          </w:tcPr>
          <w:p w14:paraId="29585ED7" w14:textId="77777777" w:rsidR="00AC48D2" w:rsidRPr="001362A6" w:rsidRDefault="001579E3" w:rsidP="00EF12D7">
            <w:pPr>
              <w:jc w:val="both"/>
              <w:rPr>
                <w:rFonts w:ascii="Lato" w:hAnsi="Lato"/>
                <w:position w:val="8"/>
                <w:sz w:val="22"/>
                <w:szCs w:val="22"/>
              </w:rPr>
            </w:pPr>
            <w:r w:rsidRPr="00590C6D">
              <w:rPr>
                <w:rFonts w:ascii="Lato" w:hAnsi="Lato"/>
                <w:sz w:val="22"/>
                <w:szCs w:val="22"/>
              </w:rPr>
              <w:t xml:space="preserve">new </w:t>
            </w:r>
            <w:r w:rsidR="00AC48D2" w:rsidRPr="001362A6">
              <w:rPr>
                <w:rFonts w:ascii="Lato" w:hAnsi="Lato"/>
                <w:sz w:val="22"/>
                <w:szCs w:val="22"/>
              </w:rPr>
              <w:t>asset classes, financial instruments or investment strategies with unusual risk and reward profiles</w:t>
            </w:r>
          </w:p>
        </w:tc>
        <w:tc>
          <w:tcPr>
            <w:tcW w:w="3188" w:type="dxa"/>
          </w:tcPr>
          <w:p w14:paraId="3E3B26B6" w14:textId="77777777" w:rsidR="00AC48D2" w:rsidRPr="001362A6" w:rsidRDefault="00AC48D2" w:rsidP="00EF12D7">
            <w:pPr>
              <w:rPr>
                <w:rFonts w:ascii="Lato" w:hAnsi="Lato"/>
                <w:sz w:val="22"/>
                <w:szCs w:val="22"/>
              </w:rPr>
            </w:pPr>
          </w:p>
        </w:tc>
      </w:tr>
      <w:tr w:rsidR="00AC48D2" w:rsidRPr="001362A6" w14:paraId="5226C574" w14:textId="77777777" w:rsidTr="00990D73">
        <w:trPr>
          <w:trHeight w:val="156"/>
        </w:trPr>
        <w:tc>
          <w:tcPr>
            <w:tcW w:w="1316" w:type="dxa"/>
          </w:tcPr>
          <w:p w14:paraId="4EEC0107" w14:textId="77777777" w:rsidR="00AC48D2" w:rsidRPr="001362A6" w:rsidRDefault="00AC48D2" w:rsidP="00EF12D7">
            <w:pPr>
              <w:rPr>
                <w:rFonts w:ascii="Lato" w:hAnsi="Lato"/>
                <w:sz w:val="22"/>
                <w:szCs w:val="22"/>
              </w:rPr>
            </w:pPr>
          </w:p>
        </w:tc>
        <w:tc>
          <w:tcPr>
            <w:tcW w:w="5891" w:type="dxa"/>
          </w:tcPr>
          <w:p w14:paraId="4EF054C4" w14:textId="77777777" w:rsidR="00AC48D2" w:rsidRPr="001362A6" w:rsidRDefault="00AC48D2" w:rsidP="00EF12D7">
            <w:pPr>
              <w:jc w:val="both"/>
              <w:rPr>
                <w:rFonts w:ascii="Lato" w:hAnsi="Lato"/>
                <w:sz w:val="22"/>
                <w:szCs w:val="22"/>
              </w:rPr>
            </w:pPr>
          </w:p>
        </w:tc>
        <w:tc>
          <w:tcPr>
            <w:tcW w:w="3188" w:type="dxa"/>
          </w:tcPr>
          <w:p w14:paraId="74F0BA44" w14:textId="77777777" w:rsidR="00AC48D2" w:rsidRPr="001362A6" w:rsidRDefault="00AC48D2" w:rsidP="00EF12D7">
            <w:pPr>
              <w:rPr>
                <w:rFonts w:ascii="Lato" w:hAnsi="Lato"/>
                <w:sz w:val="22"/>
                <w:szCs w:val="22"/>
              </w:rPr>
            </w:pPr>
          </w:p>
        </w:tc>
      </w:tr>
      <w:tr w:rsidR="00AC48D2" w:rsidRPr="001362A6" w14:paraId="400DB0DA" w14:textId="77777777" w:rsidTr="00990D73">
        <w:trPr>
          <w:trHeight w:val="156"/>
        </w:trPr>
        <w:tc>
          <w:tcPr>
            <w:tcW w:w="1316" w:type="dxa"/>
          </w:tcPr>
          <w:p w14:paraId="3471CBA2" w14:textId="77777777" w:rsidR="00AC48D2" w:rsidRPr="001362A6" w:rsidRDefault="00AC48D2" w:rsidP="00E876DF">
            <w:pPr>
              <w:rPr>
                <w:rFonts w:ascii="Lato" w:hAnsi="Lato"/>
                <w:sz w:val="22"/>
                <w:szCs w:val="22"/>
              </w:rPr>
            </w:pPr>
            <w:r w:rsidRPr="001362A6">
              <w:rPr>
                <w:rFonts w:ascii="Lato" w:hAnsi="Lato"/>
                <w:sz w:val="22"/>
                <w:szCs w:val="22"/>
              </w:rPr>
              <w:t>2.2.</w:t>
            </w:r>
            <w:r w:rsidR="00E876DF" w:rsidRPr="001362A6">
              <w:rPr>
                <w:rFonts w:ascii="Lato" w:hAnsi="Lato"/>
                <w:sz w:val="22"/>
                <w:szCs w:val="22"/>
              </w:rPr>
              <w:t>8</w:t>
            </w:r>
          </w:p>
        </w:tc>
        <w:tc>
          <w:tcPr>
            <w:tcW w:w="5891" w:type="dxa"/>
          </w:tcPr>
          <w:p w14:paraId="0C9DCD30" w14:textId="77777777" w:rsidR="00AC48D2" w:rsidRPr="001362A6" w:rsidRDefault="00AC48D2">
            <w:pPr>
              <w:rPr>
                <w:rFonts w:ascii="Lato" w:hAnsi="Lato"/>
                <w:b/>
                <w:sz w:val="22"/>
                <w:szCs w:val="22"/>
              </w:rPr>
            </w:pPr>
            <w:r w:rsidRPr="001362A6">
              <w:rPr>
                <w:rFonts w:ascii="Lato" w:hAnsi="Lato"/>
                <w:b/>
                <w:sz w:val="22"/>
                <w:szCs w:val="22"/>
              </w:rPr>
              <w:t>Money Market Funds</w:t>
            </w:r>
          </w:p>
        </w:tc>
        <w:tc>
          <w:tcPr>
            <w:tcW w:w="3188" w:type="dxa"/>
            <w:tcBorders>
              <w:bottom w:val="single" w:sz="4" w:space="0" w:color="auto"/>
            </w:tcBorders>
          </w:tcPr>
          <w:p w14:paraId="1CD55AEB" w14:textId="77777777" w:rsidR="00AC48D2" w:rsidRPr="001362A6" w:rsidRDefault="00AC48D2">
            <w:pPr>
              <w:rPr>
                <w:rFonts w:ascii="Lato" w:hAnsi="Lato"/>
                <w:b/>
                <w:bCs/>
                <w:sz w:val="22"/>
                <w:szCs w:val="22"/>
                <w:u w:val="single"/>
              </w:rPr>
            </w:pPr>
          </w:p>
        </w:tc>
      </w:tr>
      <w:tr w:rsidR="00AC48D2" w:rsidRPr="001362A6" w14:paraId="2EED4A75" w14:textId="77777777" w:rsidTr="00990D73">
        <w:trPr>
          <w:trHeight w:val="156"/>
        </w:trPr>
        <w:tc>
          <w:tcPr>
            <w:tcW w:w="1316" w:type="dxa"/>
          </w:tcPr>
          <w:p w14:paraId="68467FF9" w14:textId="77777777" w:rsidR="00AC48D2" w:rsidRPr="001362A6" w:rsidRDefault="00AC48D2" w:rsidP="00A75241">
            <w:pPr>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73A8590F" w14:textId="77777777" w:rsidR="00AC48D2" w:rsidRPr="001362A6" w:rsidRDefault="00AC48D2" w:rsidP="00912CB8">
            <w:pPr>
              <w:jc w:val="both"/>
              <w:rPr>
                <w:rFonts w:ascii="Lato" w:hAnsi="Lato"/>
                <w:position w:val="8"/>
                <w:sz w:val="22"/>
                <w:szCs w:val="22"/>
              </w:rPr>
            </w:pPr>
            <w:r w:rsidRPr="001362A6">
              <w:rPr>
                <w:rFonts w:ascii="Lato" w:hAnsi="Lato"/>
                <w:sz w:val="22"/>
                <w:szCs w:val="22"/>
              </w:rPr>
              <w:t xml:space="preserve">State that the fund is a Money Market Fund </w:t>
            </w:r>
          </w:p>
        </w:tc>
        <w:tc>
          <w:tcPr>
            <w:tcW w:w="3188" w:type="dxa"/>
            <w:tcBorders>
              <w:top w:val="single" w:sz="4" w:space="0" w:color="auto"/>
              <w:left w:val="single" w:sz="4" w:space="0" w:color="auto"/>
              <w:bottom w:val="single" w:sz="4" w:space="0" w:color="auto"/>
              <w:right w:val="single" w:sz="4" w:space="0" w:color="auto"/>
            </w:tcBorders>
          </w:tcPr>
          <w:p w14:paraId="1C6D79FB" w14:textId="77777777" w:rsidR="00AC48D2" w:rsidRPr="001362A6" w:rsidRDefault="00AC48D2">
            <w:pPr>
              <w:rPr>
                <w:rFonts w:ascii="Lato" w:hAnsi="Lato"/>
                <w:b/>
                <w:bCs/>
                <w:sz w:val="22"/>
                <w:szCs w:val="22"/>
                <w:u w:val="single"/>
              </w:rPr>
            </w:pPr>
          </w:p>
        </w:tc>
      </w:tr>
      <w:tr w:rsidR="00AC48D2" w:rsidRPr="001362A6" w14:paraId="70E70449" w14:textId="77777777" w:rsidTr="00990D73">
        <w:trPr>
          <w:trHeight w:val="156"/>
        </w:trPr>
        <w:tc>
          <w:tcPr>
            <w:tcW w:w="1316" w:type="dxa"/>
          </w:tcPr>
          <w:p w14:paraId="604E2DCA" w14:textId="77777777" w:rsidR="00AC48D2" w:rsidRPr="001362A6" w:rsidRDefault="00AC48D2" w:rsidP="00A75241">
            <w:pPr>
              <w:rPr>
                <w:rFonts w:ascii="Lato" w:hAnsi="Lato"/>
                <w:b/>
                <w:sz w:val="22"/>
                <w:szCs w:val="22"/>
              </w:rPr>
            </w:pPr>
          </w:p>
        </w:tc>
        <w:tc>
          <w:tcPr>
            <w:tcW w:w="5891" w:type="dxa"/>
          </w:tcPr>
          <w:p w14:paraId="323F7C92" w14:textId="77777777" w:rsidR="00AC48D2" w:rsidRPr="001362A6" w:rsidRDefault="00AC48D2">
            <w:pPr>
              <w:rPr>
                <w:rFonts w:ascii="Lato" w:hAnsi="Lato"/>
                <w:b/>
                <w:sz w:val="22"/>
                <w:szCs w:val="22"/>
              </w:rPr>
            </w:pPr>
          </w:p>
        </w:tc>
        <w:tc>
          <w:tcPr>
            <w:tcW w:w="3188" w:type="dxa"/>
            <w:tcBorders>
              <w:top w:val="single" w:sz="4" w:space="0" w:color="auto"/>
              <w:bottom w:val="single" w:sz="4" w:space="0" w:color="auto"/>
            </w:tcBorders>
          </w:tcPr>
          <w:p w14:paraId="489AACE1" w14:textId="77777777" w:rsidR="00AC48D2" w:rsidRPr="001362A6" w:rsidRDefault="00AC48D2">
            <w:pPr>
              <w:rPr>
                <w:rFonts w:ascii="Lato" w:hAnsi="Lato"/>
                <w:b/>
                <w:bCs/>
                <w:sz w:val="22"/>
                <w:szCs w:val="22"/>
                <w:u w:val="single"/>
              </w:rPr>
            </w:pPr>
          </w:p>
        </w:tc>
      </w:tr>
      <w:tr w:rsidR="00AC48D2" w:rsidRPr="001362A6" w14:paraId="4691728D" w14:textId="77777777" w:rsidTr="00990D73">
        <w:trPr>
          <w:trHeight w:val="156"/>
        </w:trPr>
        <w:tc>
          <w:tcPr>
            <w:tcW w:w="1316" w:type="dxa"/>
          </w:tcPr>
          <w:p w14:paraId="699C4879" w14:textId="77777777" w:rsidR="00AC48D2" w:rsidRPr="001362A6" w:rsidRDefault="00AC48D2" w:rsidP="00A75241">
            <w:pPr>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2B952FC9" w14:textId="77777777" w:rsidR="00AC48D2" w:rsidRPr="001362A6" w:rsidRDefault="00AC48D2">
            <w:pPr>
              <w:rPr>
                <w:rFonts w:ascii="Lato" w:hAnsi="Lato"/>
                <w:b/>
                <w:sz w:val="22"/>
                <w:szCs w:val="22"/>
              </w:rPr>
            </w:pPr>
            <w:r w:rsidRPr="001362A6">
              <w:rPr>
                <w:rFonts w:ascii="Lato" w:hAnsi="Lato"/>
                <w:sz w:val="22"/>
                <w:szCs w:val="22"/>
              </w:rPr>
              <w:t>Include a risk warning drawing attention to the difference</w:t>
            </w:r>
          </w:p>
        </w:tc>
        <w:tc>
          <w:tcPr>
            <w:tcW w:w="3188" w:type="dxa"/>
            <w:tcBorders>
              <w:top w:val="single" w:sz="4" w:space="0" w:color="auto"/>
              <w:left w:val="single" w:sz="4" w:space="0" w:color="auto"/>
              <w:bottom w:val="single" w:sz="4" w:space="0" w:color="auto"/>
              <w:right w:val="single" w:sz="4" w:space="0" w:color="auto"/>
            </w:tcBorders>
          </w:tcPr>
          <w:p w14:paraId="15570618" w14:textId="77777777" w:rsidR="00AC48D2" w:rsidRPr="001362A6" w:rsidRDefault="00AC48D2">
            <w:pPr>
              <w:rPr>
                <w:rFonts w:ascii="Lato" w:hAnsi="Lato"/>
                <w:b/>
                <w:bCs/>
                <w:sz w:val="22"/>
                <w:szCs w:val="22"/>
                <w:u w:val="single"/>
              </w:rPr>
            </w:pPr>
          </w:p>
        </w:tc>
      </w:tr>
      <w:tr w:rsidR="00AC48D2" w:rsidRPr="001362A6" w14:paraId="306D5FE2" w14:textId="77777777" w:rsidTr="00990D73">
        <w:trPr>
          <w:trHeight w:val="156"/>
        </w:trPr>
        <w:tc>
          <w:tcPr>
            <w:tcW w:w="1316" w:type="dxa"/>
          </w:tcPr>
          <w:p w14:paraId="54E46F07" w14:textId="77777777" w:rsidR="00AC48D2" w:rsidRPr="001362A6" w:rsidRDefault="00AC48D2" w:rsidP="00A75241">
            <w:pPr>
              <w:rPr>
                <w:rFonts w:ascii="Lato" w:hAnsi="Lato"/>
                <w:b/>
                <w:sz w:val="22"/>
                <w:szCs w:val="22"/>
              </w:rPr>
            </w:pPr>
          </w:p>
        </w:tc>
        <w:tc>
          <w:tcPr>
            <w:tcW w:w="5891" w:type="dxa"/>
          </w:tcPr>
          <w:p w14:paraId="5A843748" w14:textId="77777777" w:rsidR="00AC48D2" w:rsidRPr="001362A6" w:rsidRDefault="00AC48D2" w:rsidP="00D95E9D">
            <w:pPr>
              <w:rPr>
                <w:rFonts w:ascii="Lato" w:hAnsi="Lato"/>
                <w:sz w:val="22"/>
                <w:szCs w:val="22"/>
              </w:rPr>
            </w:pPr>
            <w:r w:rsidRPr="001362A6">
              <w:rPr>
                <w:rFonts w:ascii="Lato" w:hAnsi="Lato"/>
                <w:sz w:val="22"/>
                <w:szCs w:val="22"/>
              </w:rPr>
              <w:t xml:space="preserve">between the nature of a deposit and the nature of an </w:t>
            </w:r>
          </w:p>
        </w:tc>
        <w:tc>
          <w:tcPr>
            <w:tcW w:w="3188" w:type="dxa"/>
            <w:tcBorders>
              <w:top w:val="single" w:sz="4" w:space="0" w:color="auto"/>
            </w:tcBorders>
          </w:tcPr>
          <w:p w14:paraId="1D49B9E6" w14:textId="77777777" w:rsidR="00AC48D2" w:rsidRPr="001362A6" w:rsidRDefault="00AC48D2">
            <w:pPr>
              <w:rPr>
                <w:rFonts w:ascii="Lato" w:hAnsi="Lato"/>
                <w:b/>
                <w:bCs/>
                <w:sz w:val="22"/>
                <w:szCs w:val="22"/>
                <w:u w:val="single"/>
              </w:rPr>
            </w:pPr>
          </w:p>
        </w:tc>
      </w:tr>
      <w:tr w:rsidR="00AC48D2" w:rsidRPr="001362A6" w14:paraId="63041E5C" w14:textId="77777777" w:rsidTr="00990D73">
        <w:trPr>
          <w:trHeight w:val="156"/>
        </w:trPr>
        <w:tc>
          <w:tcPr>
            <w:tcW w:w="1316" w:type="dxa"/>
          </w:tcPr>
          <w:p w14:paraId="6F0424D6" w14:textId="77777777" w:rsidR="00AC48D2" w:rsidRPr="001362A6" w:rsidRDefault="00AC48D2" w:rsidP="00A75241">
            <w:pPr>
              <w:rPr>
                <w:rFonts w:ascii="Lato" w:hAnsi="Lato"/>
                <w:b/>
                <w:sz w:val="22"/>
                <w:szCs w:val="22"/>
              </w:rPr>
            </w:pPr>
          </w:p>
        </w:tc>
        <w:tc>
          <w:tcPr>
            <w:tcW w:w="5891" w:type="dxa"/>
          </w:tcPr>
          <w:p w14:paraId="0D060761" w14:textId="77777777" w:rsidR="00AC48D2" w:rsidRPr="001362A6" w:rsidRDefault="001579E3" w:rsidP="00D95E9D">
            <w:pPr>
              <w:rPr>
                <w:rFonts w:ascii="Lato" w:hAnsi="Lato"/>
                <w:sz w:val="22"/>
                <w:szCs w:val="22"/>
              </w:rPr>
            </w:pPr>
            <w:r w:rsidRPr="00590C6D">
              <w:rPr>
                <w:rFonts w:ascii="Lato" w:hAnsi="Lato"/>
                <w:sz w:val="22"/>
                <w:szCs w:val="22"/>
              </w:rPr>
              <w:t>investment</w:t>
            </w:r>
            <w:r w:rsidRPr="00D95E9D">
              <w:rPr>
                <w:rFonts w:ascii="Lato" w:hAnsi="Lato"/>
                <w:sz w:val="22"/>
                <w:szCs w:val="22"/>
              </w:rPr>
              <w:t xml:space="preserve"> </w:t>
            </w:r>
            <w:r w:rsidR="00AC48D2" w:rsidRPr="001362A6">
              <w:rPr>
                <w:rFonts w:ascii="Lato" w:hAnsi="Lato"/>
                <w:sz w:val="22"/>
                <w:szCs w:val="22"/>
              </w:rPr>
              <w:t xml:space="preserve">in a money market fund with particular </w:t>
            </w:r>
          </w:p>
        </w:tc>
        <w:tc>
          <w:tcPr>
            <w:tcW w:w="3188" w:type="dxa"/>
          </w:tcPr>
          <w:p w14:paraId="3B55BB6D" w14:textId="77777777" w:rsidR="00AC48D2" w:rsidRPr="001362A6" w:rsidRDefault="00AC48D2">
            <w:pPr>
              <w:rPr>
                <w:rFonts w:ascii="Lato" w:hAnsi="Lato"/>
                <w:b/>
                <w:bCs/>
                <w:sz w:val="22"/>
                <w:szCs w:val="22"/>
                <w:u w:val="single"/>
              </w:rPr>
            </w:pPr>
          </w:p>
        </w:tc>
      </w:tr>
      <w:tr w:rsidR="00AC48D2" w:rsidRPr="001362A6" w14:paraId="1E4F60C5" w14:textId="77777777" w:rsidTr="00990D73">
        <w:trPr>
          <w:trHeight w:val="156"/>
        </w:trPr>
        <w:tc>
          <w:tcPr>
            <w:tcW w:w="1316" w:type="dxa"/>
          </w:tcPr>
          <w:p w14:paraId="300DA07D" w14:textId="77777777" w:rsidR="00AC48D2" w:rsidRPr="001362A6" w:rsidRDefault="00AC48D2" w:rsidP="00A75241">
            <w:pPr>
              <w:rPr>
                <w:rFonts w:ascii="Lato" w:hAnsi="Lato"/>
                <w:b/>
                <w:sz w:val="22"/>
                <w:szCs w:val="22"/>
              </w:rPr>
            </w:pPr>
          </w:p>
        </w:tc>
        <w:tc>
          <w:tcPr>
            <w:tcW w:w="5891" w:type="dxa"/>
          </w:tcPr>
          <w:p w14:paraId="15D2B8EC" w14:textId="77777777" w:rsidR="00AC48D2" w:rsidRPr="001362A6" w:rsidRDefault="001579E3" w:rsidP="00D95E9D">
            <w:pPr>
              <w:rPr>
                <w:rFonts w:ascii="Lato" w:hAnsi="Lato"/>
                <w:sz w:val="22"/>
                <w:szCs w:val="22"/>
              </w:rPr>
            </w:pPr>
            <w:r w:rsidRPr="00590C6D">
              <w:rPr>
                <w:rFonts w:ascii="Lato" w:hAnsi="Lato"/>
                <w:sz w:val="22"/>
                <w:szCs w:val="22"/>
              </w:rPr>
              <w:t xml:space="preserve">reference to the risk that </w:t>
            </w:r>
            <w:r w:rsidR="00AC48D2" w:rsidRPr="001362A6">
              <w:rPr>
                <w:rFonts w:ascii="Lato" w:hAnsi="Lato"/>
                <w:sz w:val="22"/>
                <w:szCs w:val="22"/>
              </w:rPr>
              <w:t xml:space="preserve">the principal invested in a money </w:t>
            </w:r>
          </w:p>
        </w:tc>
        <w:tc>
          <w:tcPr>
            <w:tcW w:w="3188" w:type="dxa"/>
          </w:tcPr>
          <w:p w14:paraId="500D0396" w14:textId="77777777" w:rsidR="00AC48D2" w:rsidRPr="001362A6" w:rsidRDefault="00AC48D2">
            <w:pPr>
              <w:rPr>
                <w:rFonts w:ascii="Lato" w:hAnsi="Lato"/>
                <w:b/>
                <w:bCs/>
                <w:sz w:val="22"/>
                <w:szCs w:val="22"/>
                <w:u w:val="single"/>
              </w:rPr>
            </w:pPr>
          </w:p>
        </w:tc>
      </w:tr>
      <w:tr w:rsidR="00AC48D2" w:rsidRPr="001362A6" w14:paraId="39E38311" w14:textId="77777777" w:rsidTr="00990D73">
        <w:trPr>
          <w:trHeight w:val="156"/>
        </w:trPr>
        <w:tc>
          <w:tcPr>
            <w:tcW w:w="1316" w:type="dxa"/>
          </w:tcPr>
          <w:p w14:paraId="66401FC9" w14:textId="77777777" w:rsidR="00AC48D2" w:rsidRPr="001362A6" w:rsidRDefault="00AC48D2" w:rsidP="00A75241">
            <w:pPr>
              <w:rPr>
                <w:rFonts w:ascii="Lato" w:hAnsi="Lato"/>
                <w:b/>
                <w:sz w:val="22"/>
                <w:szCs w:val="22"/>
              </w:rPr>
            </w:pPr>
          </w:p>
        </w:tc>
        <w:tc>
          <w:tcPr>
            <w:tcW w:w="5891" w:type="dxa"/>
          </w:tcPr>
          <w:p w14:paraId="45104107" w14:textId="77777777" w:rsidR="00AC48D2" w:rsidRPr="001362A6" w:rsidRDefault="001579E3">
            <w:pPr>
              <w:rPr>
                <w:rFonts w:ascii="Lato" w:hAnsi="Lato"/>
                <w:sz w:val="22"/>
                <w:szCs w:val="22"/>
              </w:rPr>
            </w:pPr>
            <w:r w:rsidRPr="00590C6D">
              <w:rPr>
                <w:rFonts w:ascii="Lato" w:hAnsi="Lato"/>
                <w:sz w:val="22"/>
                <w:szCs w:val="22"/>
              </w:rPr>
              <w:t xml:space="preserve">market fund is capable of </w:t>
            </w:r>
            <w:r w:rsidR="00AC48D2" w:rsidRPr="001362A6">
              <w:rPr>
                <w:rFonts w:ascii="Lato" w:hAnsi="Lato"/>
                <w:sz w:val="22"/>
                <w:szCs w:val="22"/>
              </w:rPr>
              <w:t>fluctuation</w:t>
            </w:r>
          </w:p>
        </w:tc>
        <w:tc>
          <w:tcPr>
            <w:tcW w:w="3188" w:type="dxa"/>
          </w:tcPr>
          <w:p w14:paraId="1B9B8FAC" w14:textId="77777777" w:rsidR="00AC48D2" w:rsidRPr="001362A6" w:rsidRDefault="00AC48D2">
            <w:pPr>
              <w:rPr>
                <w:rFonts w:ascii="Lato" w:hAnsi="Lato"/>
                <w:b/>
                <w:bCs/>
                <w:sz w:val="22"/>
                <w:szCs w:val="22"/>
                <w:u w:val="single"/>
              </w:rPr>
            </w:pPr>
          </w:p>
        </w:tc>
      </w:tr>
      <w:tr w:rsidR="00AC48D2" w:rsidRPr="001362A6" w14:paraId="30EF6B64" w14:textId="77777777" w:rsidTr="00990D73">
        <w:trPr>
          <w:trHeight w:val="156"/>
        </w:trPr>
        <w:tc>
          <w:tcPr>
            <w:tcW w:w="1316" w:type="dxa"/>
          </w:tcPr>
          <w:p w14:paraId="6827E4E3" w14:textId="77777777" w:rsidR="00AC48D2" w:rsidRPr="001362A6" w:rsidRDefault="00AC48D2" w:rsidP="00A75241">
            <w:pPr>
              <w:rPr>
                <w:rFonts w:ascii="Lato" w:hAnsi="Lato"/>
                <w:b/>
                <w:sz w:val="22"/>
                <w:szCs w:val="22"/>
              </w:rPr>
            </w:pPr>
          </w:p>
        </w:tc>
        <w:tc>
          <w:tcPr>
            <w:tcW w:w="5891" w:type="dxa"/>
          </w:tcPr>
          <w:p w14:paraId="5D84BDC4" w14:textId="77777777" w:rsidR="00AC48D2" w:rsidRPr="001362A6" w:rsidRDefault="00AC48D2">
            <w:pPr>
              <w:rPr>
                <w:rFonts w:ascii="Lato" w:hAnsi="Lato"/>
                <w:b/>
                <w:sz w:val="22"/>
                <w:szCs w:val="22"/>
              </w:rPr>
            </w:pPr>
          </w:p>
        </w:tc>
        <w:tc>
          <w:tcPr>
            <w:tcW w:w="3188" w:type="dxa"/>
            <w:tcBorders>
              <w:bottom w:val="single" w:sz="4" w:space="0" w:color="auto"/>
            </w:tcBorders>
          </w:tcPr>
          <w:p w14:paraId="4870F839" w14:textId="77777777" w:rsidR="00AC48D2" w:rsidRPr="001362A6" w:rsidRDefault="00AC48D2">
            <w:pPr>
              <w:rPr>
                <w:rFonts w:ascii="Lato" w:hAnsi="Lato"/>
                <w:b/>
                <w:bCs/>
                <w:sz w:val="22"/>
                <w:szCs w:val="22"/>
                <w:u w:val="single"/>
              </w:rPr>
            </w:pPr>
          </w:p>
        </w:tc>
      </w:tr>
      <w:tr w:rsidR="00AC48D2" w:rsidRPr="001362A6" w14:paraId="7894A97E" w14:textId="77777777" w:rsidTr="00990D73">
        <w:trPr>
          <w:trHeight w:val="156"/>
        </w:trPr>
        <w:tc>
          <w:tcPr>
            <w:tcW w:w="1316" w:type="dxa"/>
          </w:tcPr>
          <w:p w14:paraId="6BF79625" w14:textId="77777777" w:rsidR="00AC48D2" w:rsidRPr="001362A6" w:rsidRDefault="00AC48D2" w:rsidP="00A75241">
            <w:pPr>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1447F9D6" w14:textId="77777777" w:rsidR="00AC48D2" w:rsidRPr="001362A6" w:rsidRDefault="00AC48D2">
            <w:pPr>
              <w:rPr>
                <w:rFonts w:ascii="Lato" w:hAnsi="Lato"/>
                <w:b/>
                <w:sz w:val="22"/>
                <w:szCs w:val="22"/>
              </w:rPr>
            </w:pPr>
            <w:r w:rsidRPr="001362A6">
              <w:rPr>
                <w:rFonts w:ascii="Lato" w:hAnsi="Lato"/>
                <w:sz w:val="22"/>
                <w:szCs w:val="22"/>
              </w:rPr>
              <w:t xml:space="preserve">The fund must have a primary objective of maintaining the   </w:t>
            </w:r>
          </w:p>
        </w:tc>
        <w:tc>
          <w:tcPr>
            <w:tcW w:w="3188" w:type="dxa"/>
            <w:tcBorders>
              <w:top w:val="single" w:sz="4" w:space="0" w:color="auto"/>
              <w:left w:val="single" w:sz="4" w:space="0" w:color="auto"/>
              <w:bottom w:val="single" w:sz="4" w:space="0" w:color="auto"/>
              <w:right w:val="single" w:sz="4" w:space="0" w:color="auto"/>
            </w:tcBorders>
          </w:tcPr>
          <w:p w14:paraId="28484BE7" w14:textId="77777777" w:rsidR="00AC48D2" w:rsidRPr="001362A6" w:rsidRDefault="00AC48D2">
            <w:pPr>
              <w:rPr>
                <w:rFonts w:ascii="Lato" w:hAnsi="Lato"/>
                <w:b/>
                <w:bCs/>
                <w:sz w:val="22"/>
                <w:szCs w:val="22"/>
                <w:u w:val="single"/>
              </w:rPr>
            </w:pPr>
          </w:p>
        </w:tc>
      </w:tr>
      <w:tr w:rsidR="00AC48D2" w:rsidRPr="001362A6" w14:paraId="2999F288" w14:textId="77777777" w:rsidTr="00990D73">
        <w:trPr>
          <w:trHeight w:val="156"/>
        </w:trPr>
        <w:tc>
          <w:tcPr>
            <w:tcW w:w="1316" w:type="dxa"/>
          </w:tcPr>
          <w:p w14:paraId="7A373909" w14:textId="77777777" w:rsidR="00AC48D2" w:rsidRPr="001362A6" w:rsidRDefault="00AC48D2" w:rsidP="00A75241">
            <w:pPr>
              <w:rPr>
                <w:rFonts w:ascii="Lato" w:hAnsi="Lato"/>
                <w:b/>
                <w:sz w:val="22"/>
                <w:szCs w:val="22"/>
              </w:rPr>
            </w:pPr>
          </w:p>
        </w:tc>
        <w:tc>
          <w:tcPr>
            <w:tcW w:w="5891" w:type="dxa"/>
          </w:tcPr>
          <w:p w14:paraId="33940E9F" w14:textId="77777777" w:rsidR="00AC48D2" w:rsidRPr="001362A6" w:rsidRDefault="00AC48D2" w:rsidP="00246424">
            <w:pPr>
              <w:rPr>
                <w:rFonts w:ascii="Lato" w:hAnsi="Lato"/>
                <w:b/>
                <w:sz w:val="22"/>
                <w:szCs w:val="22"/>
              </w:rPr>
            </w:pPr>
            <w:r w:rsidRPr="001362A6">
              <w:rPr>
                <w:rFonts w:ascii="Lato" w:hAnsi="Lato"/>
                <w:sz w:val="22"/>
                <w:szCs w:val="22"/>
              </w:rPr>
              <w:t xml:space="preserve">principal of the fund and aim to provide a return in line with </w:t>
            </w:r>
          </w:p>
        </w:tc>
        <w:tc>
          <w:tcPr>
            <w:tcW w:w="3188" w:type="dxa"/>
            <w:tcBorders>
              <w:top w:val="single" w:sz="4" w:space="0" w:color="auto"/>
            </w:tcBorders>
          </w:tcPr>
          <w:p w14:paraId="5201C972" w14:textId="77777777" w:rsidR="00AC48D2" w:rsidRPr="001362A6" w:rsidRDefault="00AC48D2">
            <w:pPr>
              <w:rPr>
                <w:rFonts w:ascii="Lato" w:hAnsi="Lato"/>
                <w:b/>
                <w:bCs/>
                <w:sz w:val="22"/>
                <w:szCs w:val="22"/>
                <w:u w:val="single"/>
              </w:rPr>
            </w:pPr>
          </w:p>
        </w:tc>
      </w:tr>
      <w:tr w:rsidR="00AC48D2" w:rsidRPr="001362A6" w14:paraId="30778547" w14:textId="77777777" w:rsidTr="00990D73">
        <w:trPr>
          <w:trHeight w:val="156"/>
        </w:trPr>
        <w:tc>
          <w:tcPr>
            <w:tcW w:w="1316" w:type="dxa"/>
          </w:tcPr>
          <w:p w14:paraId="11FA1643" w14:textId="77777777" w:rsidR="00AC48D2" w:rsidRPr="001362A6" w:rsidRDefault="00AC48D2" w:rsidP="00A75241">
            <w:pPr>
              <w:rPr>
                <w:rFonts w:ascii="Lato" w:hAnsi="Lato"/>
                <w:b/>
                <w:sz w:val="22"/>
                <w:szCs w:val="22"/>
              </w:rPr>
            </w:pPr>
          </w:p>
        </w:tc>
        <w:tc>
          <w:tcPr>
            <w:tcW w:w="5891" w:type="dxa"/>
          </w:tcPr>
          <w:p w14:paraId="4234CD6D" w14:textId="77777777" w:rsidR="00AC48D2" w:rsidRPr="001362A6" w:rsidRDefault="00AC48D2">
            <w:pPr>
              <w:rPr>
                <w:rFonts w:ascii="Lato" w:hAnsi="Lato"/>
                <w:b/>
                <w:sz w:val="22"/>
                <w:szCs w:val="22"/>
              </w:rPr>
            </w:pPr>
            <w:r w:rsidRPr="001362A6">
              <w:rPr>
                <w:rFonts w:ascii="Lato" w:hAnsi="Lato"/>
                <w:sz w:val="22"/>
                <w:szCs w:val="22"/>
              </w:rPr>
              <w:t>money market rates</w:t>
            </w:r>
          </w:p>
        </w:tc>
        <w:tc>
          <w:tcPr>
            <w:tcW w:w="3188" w:type="dxa"/>
          </w:tcPr>
          <w:p w14:paraId="7EB99434" w14:textId="77777777" w:rsidR="00AC48D2" w:rsidRPr="001362A6" w:rsidRDefault="00AC48D2">
            <w:pPr>
              <w:rPr>
                <w:rFonts w:ascii="Lato" w:hAnsi="Lato"/>
                <w:b/>
                <w:bCs/>
                <w:sz w:val="22"/>
                <w:szCs w:val="22"/>
                <w:u w:val="single"/>
              </w:rPr>
            </w:pPr>
          </w:p>
        </w:tc>
      </w:tr>
      <w:tr w:rsidR="00AC48D2" w:rsidRPr="001362A6" w14:paraId="173A53C6" w14:textId="77777777" w:rsidTr="00990D73">
        <w:trPr>
          <w:trHeight w:val="156"/>
        </w:trPr>
        <w:tc>
          <w:tcPr>
            <w:tcW w:w="1316" w:type="dxa"/>
          </w:tcPr>
          <w:p w14:paraId="7440CE54" w14:textId="77777777" w:rsidR="00AC48D2" w:rsidRPr="001362A6" w:rsidRDefault="00AC48D2" w:rsidP="00A75241">
            <w:pPr>
              <w:rPr>
                <w:rFonts w:ascii="Lato" w:hAnsi="Lato"/>
                <w:b/>
                <w:sz w:val="22"/>
                <w:szCs w:val="22"/>
              </w:rPr>
            </w:pPr>
          </w:p>
        </w:tc>
        <w:tc>
          <w:tcPr>
            <w:tcW w:w="5891" w:type="dxa"/>
          </w:tcPr>
          <w:p w14:paraId="75386F0A" w14:textId="77777777" w:rsidR="00AC48D2" w:rsidRPr="001362A6" w:rsidRDefault="00AC48D2">
            <w:pPr>
              <w:rPr>
                <w:rFonts w:ascii="Lato" w:hAnsi="Lato"/>
                <w:b/>
                <w:sz w:val="22"/>
                <w:szCs w:val="22"/>
              </w:rPr>
            </w:pPr>
          </w:p>
        </w:tc>
        <w:tc>
          <w:tcPr>
            <w:tcW w:w="3188" w:type="dxa"/>
            <w:tcBorders>
              <w:bottom w:val="single" w:sz="4" w:space="0" w:color="auto"/>
            </w:tcBorders>
          </w:tcPr>
          <w:p w14:paraId="1108BCA9" w14:textId="77777777" w:rsidR="00AC48D2" w:rsidRPr="001362A6" w:rsidRDefault="00AC48D2">
            <w:pPr>
              <w:rPr>
                <w:rFonts w:ascii="Lato" w:hAnsi="Lato"/>
                <w:b/>
                <w:bCs/>
                <w:sz w:val="22"/>
                <w:szCs w:val="22"/>
                <w:u w:val="single"/>
              </w:rPr>
            </w:pPr>
          </w:p>
        </w:tc>
      </w:tr>
      <w:tr w:rsidR="00AC48D2" w:rsidRPr="001362A6" w14:paraId="1133C830" w14:textId="77777777" w:rsidTr="00990D73">
        <w:trPr>
          <w:trHeight w:val="156"/>
        </w:trPr>
        <w:tc>
          <w:tcPr>
            <w:tcW w:w="1316" w:type="dxa"/>
          </w:tcPr>
          <w:p w14:paraId="33AC8522" w14:textId="77777777" w:rsidR="00AC48D2" w:rsidRPr="001362A6" w:rsidRDefault="00AC48D2" w:rsidP="00A75241">
            <w:pPr>
              <w:rPr>
                <w:rFonts w:ascii="Lato" w:hAnsi="Lato"/>
                <w:sz w:val="22"/>
                <w:szCs w:val="22"/>
              </w:rPr>
            </w:pPr>
            <w:r w:rsidRPr="001362A6">
              <w:rPr>
                <w:rFonts w:ascii="Lato" w:hAnsi="Lato"/>
                <w:sz w:val="22"/>
                <w:szCs w:val="22"/>
              </w:rPr>
              <w:t>d)</w:t>
            </w:r>
          </w:p>
        </w:tc>
        <w:tc>
          <w:tcPr>
            <w:tcW w:w="5891" w:type="dxa"/>
            <w:tcBorders>
              <w:right w:val="single" w:sz="4" w:space="0" w:color="auto"/>
            </w:tcBorders>
          </w:tcPr>
          <w:p w14:paraId="7C7C37A6" w14:textId="77777777" w:rsidR="00AC48D2" w:rsidRPr="001362A6" w:rsidRDefault="00AC48D2" w:rsidP="001858A6">
            <w:pPr>
              <w:rPr>
                <w:rFonts w:ascii="Lato" w:hAnsi="Lato"/>
                <w:b/>
                <w:sz w:val="22"/>
                <w:szCs w:val="22"/>
              </w:rPr>
            </w:pPr>
            <w:r w:rsidRPr="001362A6">
              <w:rPr>
                <w:rFonts w:ascii="Lato" w:hAnsi="Lato"/>
                <w:sz w:val="22"/>
                <w:szCs w:val="22"/>
              </w:rPr>
              <w:t xml:space="preserve">If investment in other investment </w:t>
            </w:r>
            <w:r w:rsidR="001858A6" w:rsidRPr="001362A6">
              <w:rPr>
                <w:rFonts w:ascii="Lato" w:hAnsi="Lato"/>
                <w:sz w:val="22"/>
                <w:szCs w:val="22"/>
              </w:rPr>
              <w:t>funds</w:t>
            </w:r>
            <w:r w:rsidRPr="001362A6">
              <w:rPr>
                <w:rFonts w:ascii="Lato" w:hAnsi="Lato"/>
                <w:sz w:val="22"/>
                <w:szCs w:val="22"/>
              </w:rPr>
              <w:t xml:space="preserve"> by the</w:t>
            </w:r>
          </w:p>
        </w:tc>
        <w:tc>
          <w:tcPr>
            <w:tcW w:w="3188" w:type="dxa"/>
            <w:tcBorders>
              <w:top w:val="single" w:sz="4" w:space="0" w:color="auto"/>
              <w:left w:val="single" w:sz="4" w:space="0" w:color="auto"/>
              <w:bottom w:val="single" w:sz="4" w:space="0" w:color="auto"/>
              <w:right w:val="single" w:sz="4" w:space="0" w:color="auto"/>
            </w:tcBorders>
          </w:tcPr>
          <w:p w14:paraId="446FD464" w14:textId="77777777" w:rsidR="00AC48D2" w:rsidRPr="001362A6" w:rsidRDefault="00AC48D2">
            <w:pPr>
              <w:rPr>
                <w:rFonts w:ascii="Lato" w:hAnsi="Lato"/>
                <w:b/>
                <w:bCs/>
                <w:sz w:val="22"/>
                <w:szCs w:val="22"/>
                <w:u w:val="single"/>
              </w:rPr>
            </w:pPr>
          </w:p>
        </w:tc>
      </w:tr>
      <w:tr w:rsidR="00AC48D2" w:rsidRPr="001362A6" w14:paraId="3486D03F" w14:textId="77777777" w:rsidTr="00990D73">
        <w:trPr>
          <w:trHeight w:val="156"/>
        </w:trPr>
        <w:tc>
          <w:tcPr>
            <w:tcW w:w="1316" w:type="dxa"/>
          </w:tcPr>
          <w:p w14:paraId="0A939456" w14:textId="77777777" w:rsidR="00AC48D2" w:rsidRPr="001362A6" w:rsidRDefault="00AC48D2" w:rsidP="00A75241">
            <w:pPr>
              <w:rPr>
                <w:rFonts w:ascii="Lato" w:hAnsi="Lato"/>
                <w:sz w:val="22"/>
                <w:szCs w:val="22"/>
              </w:rPr>
            </w:pPr>
          </w:p>
        </w:tc>
        <w:tc>
          <w:tcPr>
            <w:tcW w:w="5891" w:type="dxa"/>
          </w:tcPr>
          <w:p w14:paraId="5AAE51E0" w14:textId="77777777" w:rsidR="00AC48D2" w:rsidRPr="001362A6" w:rsidRDefault="00AC48D2" w:rsidP="00D95E9D">
            <w:pPr>
              <w:rPr>
                <w:rFonts w:ascii="Lato" w:hAnsi="Lato"/>
                <w:b/>
                <w:sz w:val="22"/>
                <w:szCs w:val="22"/>
              </w:rPr>
            </w:pPr>
            <w:r w:rsidRPr="001362A6">
              <w:rPr>
                <w:rFonts w:ascii="Lato" w:hAnsi="Lato"/>
                <w:sz w:val="22"/>
                <w:szCs w:val="22"/>
              </w:rPr>
              <w:t xml:space="preserve">Money Market Fund is permitted provide that these are </w:t>
            </w:r>
          </w:p>
        </w:tc>
        <w:tc>
          <w:tcPr>
            <w:tcW w:w="3188" w:type="dxa"/>
            <w:tcBorders>
              <w:top w:val="single" w:sz="4" w:space="0" w:color="auto"/>
            </w:tcBorders>
          </w:tcPr>
          <w:p w14:paraId="6C87E5C6" w14:textId="77777777" w:rsidR="00AC48D2" w:rsidRPr="001362A6" w:rsidRDefault="00AC48D2">
            <w:pPr>
              <w:rPr>
                <w:rFonts w:ascii="Lato" w:hAnsi="Lato"/>
                <w:b/>
                <w:bCs/>
                <w:sz w:val="22"/>
                <w:szCs w:val="22"/>
                <w:u w:val="single"/>
              </w:rPr>
            </w:pPr>
          </w:p>
        </w:tc>
      </w:tr>
      <w:tr w:rsidR="00AC48D2" w:rsidRPr="001362A6" w14:paraId="39E32231" w14:textId="77777777" w:rsidTr="00990D73">
        <w:trPr>
          <w:trHeight w:val="156"/>
        </w:trPr>
        <w:tc>
          <w:tcPr>
            <w:tcW w:w="1316" w:type="dxa"/>
          </w:tcPr>
          <w:p w14:paraId="32EFC958" w14:textId="77777777" w:rsidR="00AC48D2" w:rsidRPr="001362A6" w:rsidRDefault="00AC48D2" w:rsidP="00A75241">
            <w:pPr>
              <w:rPr>
                <w:rFonts w:ascii="Lato" w:hAnsi="Lato"/>
                <w:sz w:val="22"/>
                <w:szCs w:val="22"/>
              </w:rPr>
            </w:pPr>
          </w:p>
        </w:tc>
        <w:tc>
          <w:tcPr>
            <w:tcW w:w="5891" w:type="dxa"/>
          </w:tcPr>
          <w:p w14:paraId="340C013F" w14:textId="77777777" w:rsidR="00AC48D2" w:rsidRPr="001362A6" w:rsidRDefault="001579E3">
            <w:pPr>
              <w:rPr>
                <w:rFonts w:ascii="Lato" w:hAnsi="Lato"/>
                <w:b/>
                <w:sz w:val="22"/>
                <w:szCs w:val="22"/>
              </w:rPr>
            </w:pPr>
            <w:r w:rsidRPr="00590C6D">
              <w:rPr>
                <w:rFonts w:ascii="Lato" w:hAnsi="Lato"/>
                <w:sz w:val="22"/>
                <w:szCs w:val="22"/>
              </w:rPr>
              <w:t>Short-</w:t>
            </w:r>
            <w:r w:rsidR="00AC48D2" w:rsidRPr="001362A6">
              <w:rPr>
                <w:rFonts w:ascii="Lato" w:hAnsi="Lato"/>
                <w:sz w:val="22"/>
                <w:szCs w:val="22"/>
              </w:rPr>
              <w:t>Term Money Market Funds or Money Market Funds</w:t>
            </w:r>
          </w:p>
        </w:tc>
        <w:tc>
          <w:tcPr>
            <w:tcW w:w="3188" w:type="dxa"/>
          </w:tcPr>
          <w:p w14:paraId="4B98A447" w14:textId="77777777" w:rsidR="00AC48D2" w:rsidRPr="001362A6" w:rsidRDefault="00AC48D2">
            <w:pPr>
              <w:rPr>
                <w:rFonts w:ascii="Lato" w:hAnsi="Lato"/>
                <w:b/>
                <w:bCs/>
                <w:sz w:val="22"/>
                <w:szCs w:val="22"/>
                <w:u w:val="single"/>
              </w:rPr>
            </w:pPr>
          </w:p>
        </w:tc>
      </w:tr>
      <w:tr w:rsidR="00AC48D2" w:rsidRPr="001362A6" w14:paraId="2CE7CE95" w14:textId="77777777" w:rsidTr="00990D73">
        <w:trPr>
          <w:trHeight w:val="156"/>
        </w:trPr>
        <w:tc>
          <w:tcPr>
            <w:tcW w:w="1316" w:type="dxa"/>
          </w:tcPr>
          <w:p w14:paraId="59A388F1" w14:textId="77777777" w:rsidR="00AC48D2" w:rsidRPr="001362A6" w:rsidRDefault="00AC48D2" w:rsidP="00A75241">
            <w:pPr>
              <w:rPr>
                <w:rFonts w:ascii="Lato" w:hAnsi="Lato"/>
                <w:sz w:val="22"/>
                <w:szCs w:val="22"/>
              </w:rPr>
            </w:pPr>
          </w:p>
        </w:tc>
        <w:tc>
          <w:tcPr>
            <w:tcW w:w="5891" w:type="dxa"/>
          </w:tcPr>
          <w:p w14:paraId="71C968E7" w14:textId="77777777" w:rsidR="00AC48D2" w:rsidRPr="001362A6" w:rsidRDefault="00AC48D2">
            <w:pPr>
              <w:rPr>
                <w:rFonts w:ascii="Lato" w:hAnsi="Lato"/>
                <w:b/>
                <w:sz w:val="22"/>
                <w:szCs w:val="22"/>
              </w:rPr>
            </w:pPr>
          </w:p>
        </w:tc>
        <w:tc>
          <w:tcPr>
            <w:tcW w:w="3188" w:type="dxa"/>
            <w:tcBorders>
              <w:bottom w:val="single" w:sz="4" w:space="0" w:color="auto"/>
            </w:tcBorders>
          </w:tcPr>
          <w:p w14:paraId="56CA6093" w14:textId="77777777" w:rsidR="00AC48D2" w:rsidRPr="001362A6" w:rsidRDefault="00AC48D2">
            <w:pPr>
              <w:rPr>
                <w:rFonts w:ascii="Lato" w:hAnsi="Lato"/>
                <w:b/>
                <w:bCs/>
                <w:sz w:val="22"/>
                <w:szCs w:val="22"/>
                <w:u w:val="single"/>
              </w:rPr>
            </w:pPr>
          </w:p>
        </w:tc>
      </w:tr>
      <w:tr w:rsidR="00AC48D2" w:rsidRPr="001362A6" w14:paraId="3ADEC3FF" w14:textId="77777777" w:rsidTr="00990D73">
        <w:trPr>
          <w:trHeight w:val="156"/>
        </w:trPr>
        <w:tc>
          <w:tcPr>
            <w:tcW w:w="1316" w:type="dxa"/>
          </w:tcPr>
          <w:p w14:paraId="53ECE22D" w14:textId="77777777" w:rsidR="00AC48D2" w:rsidRPr="001362A6" w:rsidRDefault="00AC48D2" w:rsidP="00A75241">
            <w:pPr>
              <w:rPr>
                <w:rFonts w:ascii="Lato" w:hAnsi="Lato"/>
                <w:sz w:val="22"/>
                <w:szCs w:val="22"/>
              </w:rPr>
            </w:pPr>
            <w:r w:rsidRPr="001362A6">
              <w:rPr>
                <w:rFonts w:ascii="Lato" w:hAnsi="Lato"/>
                <w:sz w:val="22"/>
                <w:szCs w:val="22"/>
              </w:rPr>
              <w:t>e)</w:t>
            </w:r>
          </w:p>
        </w:tc>
        <w:tc>
          <w:tcPr>
            <w:tcW w:w="5891" w:type="dxa"/>
            <w:tcBorders>
              <w:right w:val="single" w:sz="4" w:space="0" w:color="auto"/>
            </w:tcBorders>
          </w:tcPr>
          <w:p w14:paraId="41ADAD17" w14:textId="77777777" w:rsidR="00AC48D2" w:rsidRPr="001362A6" w:rsidRDefault="00AC48D2" w:rsidP="00D95E9D">
            <w:pPr>
              <w:rPr>
                <w:rFonts w:ascii="Lato" w:hAnsi="Lato"/>
                <w:b/>
                <w:sz w:val="22"/>
                <w:szCs w:val="22"/>
              </w:rPr>
            </w:pPr>
            <w:r w:rsidRPr="001362A6">
              <w:rPr>
                <w:rFonts w:ascii="Lato" w:hAnsi="Lato"/>
                <w:sz w:val="22"/>
                <w:szCs w:val="22"/>
              </w:rPr>
              <w:t xml:space="preserve">Provide appropriate information to investors on the risk </w:t>
            </w:r>
          </w:p>
        </w:tc>
        <w:tc>
          <w:tcPr>
            <w:tcW w:w="3188" w:type="dxa"/>
            <w:tcBorders>
              <w:top w:val="single" w:sz="4" w:space="0" w:color="auto"/>
              <w:left w:val="single" w:sz="4" w:space="0" w:color="auto"/>
              <w:bottom w:val="single" w:sz="4" w:space="0" w:color="auto"/>
              <w:right w:val="single" w:sz="4" w:space="0" w:color="auto"/>
            </w:tcBorders>
          </w:tcPr>
          <w:p w14:paraId="3ED635E7" w14:textId="77777777" w:rsidR="00AC48D2" w:rsidRPr="001362A6" w:rsidRDefault="00AC48D2">
            <w:pPr>
              <w:rPr>
                <w:rFonts w:ascii="Lato" w:hAnsi="Lato"/>
                <w:b/>
                <w:bCs/>
                <w:sz w:val="22"/>
                <w:szCs w:val="22"/>
                <w:u w:val="single"/>
              </w:rPr>
            </w:pPr>
          </w:p>
        </w:tc>
      </w:tr>
      <w:tr w:rsidR="00AC48D2" w:rsidRPr="001362A6" w14:paraId="57FD646E" w14:textId="77777777" w:rsidTr="00990D73">
        <w:trPr>
          <w:trHeight w:val="156"/>
        </w:trPr>
        <w:tc>
          <w:tcPr>
            <w:tcW w:w="1316" w:type="dxa"/>
          </w:tcPr>
          <w:p w14:paraId="0F11E8C1" w14:textId="77777777" w:rsidR="00AC48D2" w:rsidRPr="001362A6" w:rsidRDefault="00AC48D2" w:rsidP="00A75241">
            <w:pPr>
              <w:rPr>
                <w:rFonts w:ascii="Lato" w:hAnsi="Lato"/>
                <w:sz w:val="22"/>
                <w:szCs w:val="22"/>
              </w:rPr>
            </w:pPr>
          </w:p>
        </w:tc>
        <w:tc>
          <w:tcPr>
            <w:tcW w:w="5891" w:type="dxa"/>
          </w:tcPr>
          <w:p w14:paraId="3D1AE2CB" w14:textId="77777777" w:rsidR="00AC48D2" w:rsidRPr="001362A6" w:rsidRDefault="001579E3" w:rsidP="00D95E9D">
            <w:pPr>
              <w:rPr>
                <w:rFonts w:ascii="Lato" w:hAnsi="Lato"/>
                <w:b/>
                <w:sz w:val="22"/>
                <w:szCs w:val="22"/>
              </w:rPr>
            </w:pPr>
            <w:r w:rsidRPr="00590C6D">
              <w:rPr>
                <w:rFonts w:ascii="Lato" w:hAnsi="Lato"/>
                <w:sz w:val="22"/>
                <w:szCs w:val="22"/>
              </w:rPr>
              <w:t>and</w:t>
            </w:r>
            <w:r w:rsidRPr="00D95E9D">
              <w:rPr>
                <w:rFonts w:ascii="Lato" w:hAnsi="Lato"/>
                <w:sz w:val="22"/>
                <w:szCs w:val="22"/>
              </w:rPr>
              <w:t xml:space="preserve"> </w:t>
            </w:r>
            <w:r w:rsidR="00AC48D2" w:rsidRPr="001362A6">
              <w:rPr>
                <w:rFonts w:ascii="Lato" w:hAnsi="Lato"/>
                <w:sz w:val="22"/>
                <w:szCs w:val="22"/>
              </w:rPr>
              <w:t xml:space="preserve">reward profile of the fund so as to enable investors </w:t>
            </w:r>
          </w:p>
        </w:tc>
        <w:tc>
          <w:tcPr>
            <w:tcW w:w="3188" w:type="dxa"/>
            <w:tcBorders>
              <w:top w:val="single" w:sz="4" w:space="0" w:color="auto"/>
            </w:tcBorders>
          </w:tcPr>
          <w:p w14:paraId="4B7B65CE" w14:textId="77777777" w:rsidR="00AC48D2" w:rsidRPr="001362A6" w:rsidRDefault="00AC48D2">
            <w:pPr>
              <w:rPr>
                <w:rFonts w:ascii="Lato" w:hAnsi="Lato"/>
                <w:b/>
                <w:bCs/>
                <w:sz w:val="22"/>
                <w:szCs w:val="22"/>
                <w:u w:val="single"/>
              </w:rPr>
            </w:pPr>
          </w:p>
        </w:tc>
      </w:tr>
      <w:tr w:rsidR="00AC48D2" w:rsidRPr="001362A6" w14:paraId="5FE14C1B" w14:textId="77777777" w:rsidTr="00990D73">
        <w:trPr>
          <w:trHeight w:val="156"/>
        </w:trPr>
        <w:tc>
          <w:tcPr>
            <w:tcW w:w="1316" w:type="dxa"/>
          </w:tcPr>
          <w:p w14:paraId="2F02AC93" w14:textId="77777777" w:rsidR="00AC48D2" w:rsidRPr="001362A6" w:rsidRDefault="00AC48D2" w:rsidP="00A75241">
            <w:pPr>
              <w:rPr>
                <w:rFonts w:ascii="Lato" w:hAnsi="Lato"/>
                <w:sz w:val="22"/>
                <w:szCs w:val="22"/>
              </w:rPr>
            </w:pPr>
          </w:p>
        </w:tc>
        <w:tc>
          <w:tcPr>
            <w:tcW w:w="5891" w:type="dxa"/>
          </w:tcPr>
          <w:p w14:paraId="14A34A5D" w14:textId="77777777" w:rsidR="00AC48D2" w:rsidRPr="001362A6" w:rsidRDefault="001579E3" w:rsidP="00D95E9D">
            <w:pPr>
              <w:rPr>
                <w:rFonts w:ascii="Lato" w:hAnsi="Lato"/>
                <w:b/>
                <w:sz w:val="22"/>
                <w:szCs w:val="22"/>
              </w:rPr>
            </w:pPr>
            <w:r w:rsidRPr="00590C6D">
              <w:rPr>
                <w:rFonts w:ascii="Lato" w:hAnsi="Lato"/>
                <w:sz w:val="22"/>
                <w:szCs w:val="22"/>
              </w:rPr>
              <w:t>identify any</w:t>
            </w:r>
            <w:r w:rsidRPr="00D95E9D">
              <w:rPr>
                <w:rFonts w:ascii="Lato" w:hAnsi="Lato"/>
                <w:sz w:val="22"/>
                <w:szCs w:val="22"/>
              </w:rPr>
              <w:t xml:space="preserve"> </w:t>
            </w:r>
            <w:r w:rsidR="00AC48D2" w:rsidRPr="001362A6">
              <w:rPr>
                <w:rFonts w:ascii="Lato" w:hAnsi="Lato"/>
                <w:sz w:val="22"/>
                <w:szCs w:val="22"/>
              </w:rPr>
              <w:t xml:space="preserve">specific risks linked to the investment strategy </w:t>
            </w:r>
          </w:p>
        </w:tc>
        <w:tc>
          <w:tcPr>
            <w:tcW w:w="3188" w:type="dxa"/>
          </w:tcPr>
          <w:p w14:paraId="576885C9" w14:textId="77777777" w:rsidR="00AC48D2" w:rsidRPr="001362A6" w:rsidRDefault="00AC48D2">
            <w:pPr>
              <w:rPr>
                <w:rFonts w:ascii="Lato" w:hAnsi="Lato"/>
                <w:b/>
                <w:bCs/>
                <w:sz w:val="22"/>
                <w:szCs w:val="22"/>
                <w:u w:val="single"/>
              </w:rPr>
            </w:pPr>
          </w:p>
        </w:tc>
      </w:tr>
      <w:tr w:rsidR="00AC48D2" w:rsidRPr="001362A6" w14:paraId="1C525C61" w14:textId="77777777" w:rsidTr="00990D73">
        <w:trPr>
          <w:trHeight w:val="156"/>
        </w:trPr>
        <w:tc>
          <w:tcPr>
            <w:tcW w:w="1316" w:type="dxa"/>
          </w:tcPr>
          <w:p w14:paraId="61318AB6" w14:textId="77777777" w:rsidR="00AC48D2" w:rsidRPr="001362A6" w:rsidRDefault="00AC48D2" w:rsidP="00A75241">
            <w:pPr>
              <w:rPr>
                <w:rFonts w:ascii="Lato" w:hAnsi="Lato"/>
                <w:sz w:val="22"/>
                <w:szCs w:val="22"/>
              </w:rPr>
            </w:pPr>
          </w:p>
        </w:tc>
        <w:tc>
          <w:tcPr>
            <w:tcW w:w="5891" w:type="dxa"/>
          </w:tcPr>
          <w:p w14:paraId="44A35F54" w14:textId="77777777" w:rsidR="00AC48D2" w:rsidRPr="001362A6" w:rsidRDefault="001579E3">
            <w:pPr>
              <w:rPr>
                <w:rFonts w:ascii="Lato" w:hAnsi="Lato"/>
                <w:b/>
                <w:sz w:val="22"/>
                <w:szCs w:val="22"/>
              </w:rPr>
            </w:pPr>
            <w:r w:rsidRPr="00590C6D">
              <w:rPr>
                <w:rFonts w:ascii="Lato" w:hAnsi="Lato"/>
                <w:sz w:val="22"/>
                <w:szCs w:val="22"/>
              </w:rPr>
              <w:t>of the money</w:t>
            </w:r>
            <w:r w:rsidRPr="00D95E9D">
              <w:rPr>
                <w:rFonts w:ascii="Lato" w:hAnsi="Lato"/>
                <w:sz w:val="22"/>
                <w:szCs w:val="22"/>
              </w:rPr>
              <w:t xml:space="preserve"> </w:t>
            </w:r>
            <w:r w:rsidR="00AC48D2" w:rsidRPr="001362A6">
              <w:rPr>
                <w:rFonts w:ascii="Lato" w:hAnsi="Lato"/>
                <w:sz w:val="22"/>
                <w:szCs w:val="22"/>
              </w:rPr>
              <w:t>market fund</w:t>
            </w:r>
          </w:p>
        </w:tc>
        <w:tc>
          <w:tcPr>
            <w:tcW w:w="3188" w:type="dxa"/>
          </w:tcPr>
          <w:p w14:paraId="4A8CF2FB" w14:textId="77777777" w:rsidR="00AC48D2" w:rsidRPr="001362A6" w:rsidRDefault="00AC48D2">
            <w:pPr>
              <w:rPr>
                <w:rFonts w:ascii="Lato" w:hAnsi="Lato"/>
                <w:b/>
                <w:bCs/>
                <w:sz w:val="22"/>
                <w:szCs w:val="22"/>
                <w:u w:val="single"/>
              </w:rPr>
            </w:pPr>
          </w:p>
        </w:tc>
      </w:tr>
      <w:tr w:rsidR="00AC48D2" w:rsidRPr="001362A6" w14:paraId="7D6AC5B7" w14:textId="77777777" w:rsidTr="00990D73">
        <w:trPr>
          <w:trHeight w:val="156"/>
        </w:trPr>
        <w:tc>
          <w:tcPr>
            <w:tcW w:w="1316" w:type="dxa"/>
          </w:tcPr>
          <w:p w14:paraId="1EAEBCDF" w14:textId="77777777" w:rsidR="00AC48D2" w:rsidRPr="001362A6" w:rsidRDefault="00AC48D2" w:rsidP="00A75241">
            <w:pPr>
              <w:rPr>
                <w:rFonts w:ascii="Lato" w:hAnsi="Lato"/>
                <w:sz w:val="22"/>
                <w:szCs w:val="22"/>
              </w:rPr>
            </w:pPr>
          </w:p>
        </w:tc>
        <w:tc>
          <w:tcPr>
            <w:tcW w:w="5891" w:type="dxa"/>
          </w:tcPr>
          <w:p w14:paraId="3090835D" w14:textId="77777777" w:rsidR="00AC48D2" w:rsidRPr="001362A6" w:rsidRDefault="00AC48D2">
            <w:pPr>
              <w:rPr>
                <w:rFonts w:ascii="Lato" w:hAnsi="Lato"/>
                <w:b/>
                <w:sz w:val="22"/>
                <w:szCs w:val="22"/>
              </w:rPr>
            </w:pPr>
            <w:r w:rsidRPr="001362A6">
              <w:rPr>
                <w:rFonts w:ascii="Lato" w:hAnsi="Lato"/>
                <w:sz w:val="22"/>
                <w:szCs w:val="22"/>
              </w:rPr>
              <w:t>This must take account of the longer WAM and WAL</w:t>
            </w:r>
          </w:p>
        </w:tc>
        <w:tc>
          <w:tcPr>
            <w:tcW w:w="3188" w:type="dxa"/>
          </w:tcPr>
          <w:p w14:paraId="330C6426" w14:textId="77777777" w:rsidR="00AC48D2" w:rsidRPr="001362A6" w:rsidRDefault="00AC48D2">
            <w:pPr>
              <w:rPr>
                <w:rFonts w:ascii="Lato" w:hAnsi="Lato"/>
                <w:b/>
                <w:bCs/>
                <w:sz w:val="22"/>
                <w:szCs w:val="22"/>
                <w:u w:val="single"/>
              </w:rPr>
            </w:pPr>
          </w:p>
        </w:tc>
      </w:tr>
      <w:tr w:rsidR="00AC48D2" w:rsidRPr="001362A6" w14:paraId="4E4D31BB" w14:textId="77777777" w:rsidTr="00990D73">
        <w:trPr>
          <w:trHeight w:val="156"/>
        </w:trPr>
        <w:tc>
          <w:tcPr>
            <w:tcW w:w="1316" w:type="dxa"/>
          </w:tcPr>
          <w:p w14:paraId="042FFB5D" w14:textId="77777777" w:rsidR="00AC48D2" w:rsidRPr="001362A6" w:rsidRDefault="00AC48D2" w:rsidP="00A75241">
            <w:pPr>
              <w:rPr>
                <w:rFonts w:ascii="Lato" w:hAnsi="Lato"/>
                <w:sz w:val="22"/>
                <w:szCs w:val="22"/>
              </w:rPr>
            </w:pPr>
          </w:p>
        </w:tc>
        <w:tc>
          <w:tcPr>
            <w:tcW w:w="5891" w:type="dxa"/>
          </w:tcPr>
          <w:p w14:paraId="3FCAD841" w14:textId="77777777" w:rsidR="00AC48D2" w:rsidRPr="001362A6" w:rsidRDefault="00AC48D2" w:rsidP="00D95E9D">
            <w:pPr>
              <w:rPr>
                <w:rFonts w:ascii="Lato" w:hAnsi="Lato"/>
                <w:b/>
                <w:sz w:val="22"/>
                <w:szCs w:val="22"/>
              </w:rPr>
            </w:pPr>
            <w:r w:rsidRPr="001362A6">
              <w:rPr>
                <w:rFonts w:ascii="Lato" w:hAnsi="Lato"/>
                <w:sz w:val="22"/>
                <w:szCs w:val="22"/>
              </w:rPr>
              <w:t xml:space="preserve">This must also take into account, where relevant, of </w:t>
            </w:r>
          </w:p>
        </w:tc>
        <w:tc>
          <w:tcPr>
            <w:tcW w:w="3188" w:type="dxa"/>
          </w:tcPr>
          <w:p w14:paraId="63D71BAA" w14:textId="77777777" w:rsidR="00AC48D2" w:rsidRPr="001362A6" w:rsidRDefault="00AC48D2">
            <w:pPr>
              <w:rPr>
                <w:rFonts w:ascii="Lato" w:hAnsi="Lato"/>
                <w:b/>
                <w:bCs/>
                <w:sz w:val="22"/>
                <w:szCs w:val="22"/>
                <w:u w:val="single"/>
              </w:rPr>
            </w:pPr>
          </w:p>
        </w:tc>
      </w:tr>
      <w:tr w:rsidR="00AC48D2" w:rsidRPr="001362A6" w14:paraId="48C32426" w14:textId="77777777" w:rsidTr="00990D73">
        <w:trPr>
          <w:trHeight w:val="156"/>
        </w:trPr>
        <w:tc>
          <w:tcPr>
            <w:tcW w:w="1316" w:type="dxa"/>
          </w:tcPr>
          <w:p w14:paraId="0279BF22" w14:textId="77777777" w:rsidR="00AC48D2" w:rsidRPr="001362A6" w:rsidRDefault="00AC48D2" w:rsidP="00A75241">
            <w:pPr>
              <w:rPr>
                <w:rFonts w:ascii="Lato" w:hAnsi="Lato"/>
                <w:sz w:val="22"/>
                <w:szCs w:val="22"/>
              </w:rPr>
            </w:pPr>
          </w:p>
        </w:tc>
        <w:tc>
          <w:tcPr>
            <w:tcW w:w="5891" w:type="dxa"/>
          </w:tcPr>
          <w:p w14:paraId="13A639EB" w14:textId="77777777" w:rsidR="00AC48D2" w:rsidRPr="001362A6" w:rsidRDefault="001579E3" w:rsidP="00D95E9D">
            <w:pPr>
              <w:rPr>
                <w:rFonts w:ascii="Lato" w:hAnsi="Lato"/>
                <w:b/>
                <w:sz w:val="22"/>
                <w:szCs w:val="22"/>
              </w:rPr>
            </w:pPr>
            <w:r w:rsidRPr="00590C6D">
              <w:rPr>
                <w:rFonts w:ascii="Lato" w:hAnsi="Lato"/>
                <w:sz w:val="22"/>
                <w:szCs w:val="22"/>
              </w:rPr>
              <w:t>investment</w:t>
            </w:r>
            <w:r w:rsidRPr="00D95E9D">
              <w:rPr>
                <w:rFonts w:ascii="Lato" w:hAnsi="Lato"/>
                <w:sz w:val="22"/>
                <w:szCs w:val="22"/>
              </w:rPr>
              <w:t xml:space="preserve"> </w:t>
            </w:r>
            <w:r w:rsidR="00AC48D2" w:rsidRPr="001362A6">
              <w:rPr>
                <w:rFonts w:ascii="Lato" w:hAnsi="Lato"/>
                <w:sz w:val="22"/>
                <w:szCs w:val="22"/>
              </w:rPr>
              <w:t xml:space="preserve">in new asset classes, financial instruments or </w:t>
            </w:r>
          </w:p>
        </w:tc>
        <w:tc>
          <w:tcPr>
            <w:tcW w:w="3188" w:type="dxa"/>
          </w:tcPr>
          <w:p w14:paraId="6B08B98C" w14:textId="77777777" w:rsidR="00AC48D2" w:rsidRPr="001362A6" w:rsidRDefault="00AC48D2">
            <w:pPr>
              <w:rPr>
                <w:rFonts w:ascii="Lato" w:hAnsi="Lato"/>
                <w:b/>
                <w:bCs/>
                <w:sz w:val="22"/>
                <w:szCs w:val="22"/>
                <w:u w:val="single"/>
              </w:rPr>
            </w:pPr>
          </w:p>
        </w:tc>
      </w:tr>
      <w:tr w:rsidR="00AC48D2" w:rsidRPr="001362A6" w14:paraId="7C1F438D" w14:textId="77777777" w:rsidTr="0042571B">
        <w:trPr>
          <w:trHeight w:val="156"/>
        </w:trPr>
        <w:tc>
          <w:tcPr>
            <w:tcW w:w="1316" w:type="dxa"/>
          </w:tcPr>
          <w:p w14:paraId="014E9C0D" w14:textId="77777777" w:rsidR="00AC48D2" w:rsidRPr="001362A6" w:rsidRDefault="00AC48D2" w:rsidP="00A75241">
            <w:pPr>
              <w:rPr>
                <w:rFonts w:ascii="Lato" w:hAnsi="Lato"/>
                <w:sz w:val="22"/>
                <w:szCs w:val="22"/>
              </w:rPr>
            </w:pPr>
          </w:p>
        </w:tc>
        <w:tc>
          <w:tcPr>
            <w:tcW w:w="5891" w:type="dxa"/>
          </w:tcPr>
          <w:p w14:paraId="3FC554D2" w14:textId="77777777" w:rsidR="00AC48D2" w:rsidRPr="001362A6" w:rsidRDefault="001579E3" w:rsidP="00EF12D7">
            <w:pPr>
              <w:jc w:val="both"/>
              <w:rPr>
                <w:rFonts w:ascii="Lato" w:hAnsi="Lato"/>
                <w:position w:val="8"/>
                <w:sz w:val="22"/>
                <w:szCs w:val="22"/>
              </w:rPr>
            </w:pPr>
            <w:r w:rsidRPr="00590C6D">
              <w:rPr>
                <w:rFonts w:ascii="Lato" w:hAnsi="Lato"/>
                <w:sz w:val="22"/>
                <w:szCs w:val="22"/>
              </w:rPr>
              <w:t>investment</w:t>
            </w:r>
            <w:r w:rsidRPr="00D95E9D">
              <w:rPr>
                <w:rFonts w:ascii="Lato" w:hAnsi="Lato"/>
                <w:sz w:val="22"/>
                <w:szCs w:val="22"/>
              </w:rPr>
              <w:t xml:space="preserve"> </w:t>
            </w:r>
            <w:r w:rsidR="00AC48D2" w:rsidRPr="001362A6">
              <w:rPr>
                <w:rFonts w:ascii="Lato" w:hAnsi="Lato"/>
                <w:sz w:val="22"/>
                <w:szCs w:val="22"/>
              </w:rPr>
              <w:t>strategies with unusual risk and reward profiles</w:t>
            </w:r>
          </w:p>
        </w:tc>
        <w:tc>
          <w:tcPr>
            <w:tcW w:w="3188" w:type="dxa"/>
          </w:tcPr>
          <w:p w14:paraId="1053DBAD" w14:textId="77777777" w:rsidR="00AC48D2" w:rsidRPr="001362A6" w:rsidRDefault="00AC48D2">
            <w:pPr>
              <w:rPr>
                <w:rFonts w:ascii="Lato" w:hAnsi="Lato"/>
                <w:b/>
                <w:bCs/>
                <w:sz w:val="22"/>
                <w:szCs w:val="22"/>
                <w:u w:val="single"/>
              </w:rPr>
            </w:pPr>
          </w:p>
        </w:tc>
      </w:tr>
      <w:tr w:rsidR="00AC48D2" w:rsidRPr="001362A6" w14:paraId="5B577C16" w14:textId="77777777" w:rsidTr="0042571B">
        <w:trPr>
          <w:trHeight w:val="156"/>
        </w:trPr>
        <w:tc>
          <w:tcPr>
            <w:tcW w:w="1316" w:type="dxa"/>
          </w:tcPr>
          <w:p w14:paraId="566F71E8" w14:textId="77777777" w:rsidR="00AC48D2" w:rsidRPr="001362A6" w:rsidRDefault="00AC48D2" w:rsidP="00A75241">
            <w:pPr>
              <w:rPr>
                <w:rFonts w:ascii="Lato" w:hAnsi="Lato"/>
                <w:sz w:val="22"/>
                <w:szCs w:val="22"/>
              </w:rPr>
            </w:pPr>
          </w:p>
        </w:tc>
        <w:tc>
          <w:tcPr>
            <w:tcW w:w="5891" w:type="dxa"/>
          </w:tcPr>
          <w:p w14:paraId="0C71AA86" w14:textId="77777777" w:rsidR="00AC48D2" w:rsidRPr="001362A6" w:rsidRDefault="00AC48D2" w:rsidP="00EF12D7">
            <w:pPr>
              <w:jc w:val="both"/>
              <w:rPr>
                <w:rFonts w:ascii="Lato" w:hAnsi="Lato"/>
                <w:position w:val="8"/>
                <w:sz w:val="22"/>
                <w:szCs w:val="22"/>
              </w:rPr>
            </w:pPr>
          </w:p>
        </w:tc>
        <w:tc>
          <w:tcPr>
            <w:tcW w:w="3188" w:type="dxa"/>
          </w:tcPr>
          <w:p w14:paraId="7FA796F7" w14:textId="77777777" w:rsidR="00AC48D2" w:rsidRPr="001362A6" w:rsidRDefault="00AC48D2">
            <w:pPr>
              <w:rPr>
                <w:rFonts w:ascii="Lato" w:hAnsi="Lato"/>
                <w:b/>
                <w:bCs/>
                <w:sz w:val="22"/>
                <w:szCs w:val="22"/>
                <w:u w:val="single"/>
              </w:rPr>
            </w:pPr>
          </w:p>
        </w:tc>
      </w:tr>
      <w:tr w:rsidR="00AC48D2" w:rsidRPr="001362A6" w14:paraId="03B73D3E" w14:textId="77777777" w:rsidTr="0042571B">
        <w:trPr>
          <w:trHeight w:val="156"/>
        </w:trPr>
        <w:tc>
          <w:tcPr>
            <w:tcW w:w="1316" w:type="dxa"/>
          </w:tcPr>
          <w:p w14:paraId="464049A9" w14:textId="77777777" w:rsidR="00AC48D2" w:rsidRPr="001362A6" w:rsidRDefault="00AC48D2" w:rsidP="00E876DF">
            <w:pPr>
              <w:rPr>
                <w:rFonts w:ascii="Lato" w:hAnsi="Lato"/>
                <w:b/>
                <w:sz w:val="22"/>
                <w:szCs w:val="22"/>
              </w:rPr>
            </w:pPr>
            <w:r w:rsidRPr="001362A6">
              <w:rPr>
                <w:rFonts w:ascii="Lato" w:hAnsi="Lato"/>
                <w:b/>
                <w:sz w:val="22"/>
                <w:szCs w:val="22"/>
              </w:rPr>
              <w:t>2.2.</w:t>
            </w:r>
            <w:r w:rsidR="00E876DF" w:rsidRPr="001362A6">
              <w:rPr>
                <w:rFonts w:ascii="Lato" w:hAnsi="Lato"/>
                <w:b/>
                <w:sz w:val="22"/>
                <w:szCs w:val="22"/>
              </w:rPr>
              <w:t>9</w:t>
            </w:r>
          </w:p>
        </w:tc>
        <w:tc>
          <w:tcPr>
            <w:tcW w:w="5891" w:type="dxa"/>
          </w:tcPr>
          <w:p w14:paraId="2B56A0ED" w14:textId="77777777" w:rsidR="00AC48D2" w:rsidRPr="001362A6" w:rsidRDefault="00AC48D2">
            <w:pPr>
              <w:rPr>
                <w:rFonts w:ascii="Lato" w:hAnsi="Lato"/>
                <w:b/>
                <w:sz w:val="22"/>
                <w:szCs w:val="22"/>
              </w:rPr>
            </w:pPr>
            <w:r w:rsidRPr="001362A6">
              <w:rPr>
                <w:rFonts w:ascii="Lato" w:hAnsi="Lato"/>
                <w:b/>
                <w:sz w:val="22"/>
                <w:szCs w:val="22"/>
              </w:rPr>
              <w:t>Warehousing</w:t>
            </w:r>
          </w:p>
        </w:tc>
        <w:tc>
          <w:tcPr>
            <w:tcW w:w="3188" w:type="dxa"/>
          </w:tcPr>
          <w:p w14:paraId="35687758" w14:textId="77777777" w:rsidR="00AC48D2" w:rsidRPr="001362A6" w:rsidRDefault="00AC48D2">
            <w:pPr>
              <w:rPr>
                <w:rFonts w:ascii="Lato" w:hAnsi="Lato"/>
                <w:b/>
                <w:bCs/>
                <w:sz w:val="22"/>
                <w:szCs w:val="22"/>
                <w:u w:val="single"/>
              </w:rPr>
            </w:pPr>
          </w:p>
        </w:tc>
      </w:tr>
      <w:tr w:rsidR="00AC48D2" w:rsidRPr="001362A6" w14:paraId="318DCC80" w14:textId="77777777" w:rsidTr="00990D73">
        <w:trPr>
          <w:trHeight w:val="156"/>
        </w:trPr>
        <w:tc>
          <w:tcPr>
            <w:tcW w:w="1316" w:type="dxa"/>
          </w:tcPr>
          <w:p w14:paraId="27B537EF" w14:textId="77777777" w:rsidR="00AC48D2" w:rsidRPr="001362A6" w:rsidRDefault="00AC48D2">
            <w:pPr>
              <w:rPr>
                <w:rFonts w:ascii="Lato" w:hAnsi="Lato"/>
                <w:sz w:val="22"/>
                <w:szCs w:val="22"/>
              </w:rPr>
            </w:pPr>
          </w:p>
        </w:tc>
        <w:tc>
          <w:tcPr>
            <w:tcW w:w="5891" w:type="dxa"/>
          </w:tcPr>
          <w:p w14:paraId="6E2F9F71" w14:textId="77777777" w:rsidR="00AC48D2" w:rsidRPr="001362A6" w:rsidRDefault="00AC48D2">
            <w:pPr>
              <w:rPr>
                <w:rFonts w:ascii="Lato" w:hAnsi="Lato"/>
                <w:sz w:val="22"/>
                <w:szCs w:val="22"/>
              </w:rPr>
            </w:pPr>
            <w:r w:rsidRPr="001362A6">
              <w:rPr>
                <w:rFonts w:ascii="Lato" w:hAnsi="Lato"/>
                <w:sz w:val="22"/>
                <w:szCs w:val="22"/>
              </w:rPr>
              <w:t>Disclose:</w:t>
            </w:r>
          </w:p>
        </w:tc>
        <w:tc>
          <w:tcPr>
            <w:tcW w:w="3188" w:type="dxa"/>
            <w:tcBorders>
              <w:bottom w:val="single" w:sz="4" w:space="0" w:color="auto"/>
            </w:tcBorders>
          </w:tcPr>
          <w:p w14:paraId="3404A72A" w14:textId="77777777" w:rsidR="00AC48D2" w:rsidRPr="001362A6" w:rsidRDefault="00AC48D2">
            <w:pPr>
              <w:rPr>
                <w:rFonts w:ascii="Lato" w:hAnsi="Lato"/>
                <w:b/>
                <w:bCs/>
                <w:sz w:val="22"/>
                <w:szCs w:val="22"/>
                <w:u w:val="single"/>
              </w:rPr>
            </w:pPr>
          </w:p>
        </w:tc>
      </w:tr>
      <w:tr w:rsidR="00AC48D2" w:rsidRPr="001362A6" w14:paraId="4D4CE066" w14:textId="77777777" w:rsidTr="00990D73">
        <w:trPr>
          <w:trHeight w:val="156"/>
        </w:trPr>
        <w:tc>
          <w:tcPr>
            <w:tcW w:w="1316" w:type="dxa"/>
          </w:tcPr>
          <w:p w14:paraId="27EB26F7" w14:textId="77777777" w:rsidR="00AC48D2" w:rsidRPr="001362A6" w:rsidRDefault="00AC48D2">
            <w:pPr>
              <w:rPr>
                <w:rFonts w:ascii="Lato" w:hAnsi="Lato"/>
                <w:sz w:val="22"/>
                <w:szCs w:val="22"/>
              </w:rPr>
            </w:pPr>
          </w:p>
        </w:tc>
        <w:tc>
          <w:tcPr>
            <w:tcW w:w="5891" w:type="dxa"/>
            <w:tcBorders>
              <w:right w:val="single" w:sz="4" w:space="0" w:color="auto"/>
            </w:tcBorders>
          </w:tcPr>
          <w:p w14:paraId="03428AC1" w14:textId="77777777" w:rsidR="00AC48D2" w:rsidRPr="001362A6" w:rsidRDefault="00AC48D2" w:rsidP="0042571B">
            <w:pPr>
              <w:rPr>
                <w:rFonts w:ascii="Lato" w:hAnsi="Lato"/>
                <w:sz w:val="22"/>
                <w:szCs w:val="22"/>
              </w:rPr>
            </w:pPr>
            <w:r w:rsidRPr="001362A6">
              <w:rPr>
                <w:rFonts w:ascii="Lato" w:hAnsi="Lato"/>
                <w:sz w:val="22"/>
                <w:szCs w:val="22"/>
              </w:rPr>
              <w:t xml:space="preserve">a) </w:t>
            </w:r>
            <w:r w:rsidR="00187F1D" w:rsidRPr="001362A6">
              <w:rPr>
                <w:rFonts w:ascii="Lato" w:hAnsi="Lato"/>
                <w:sz w:val="22"/>
                <w:szCs w:val="22"/>
              </w:rPr>
              <w:t>that the Qualifying Investor AIF shall only</w:t>
            </w:r>
            <w:r w:rsidRPr="001362A6">
              <w:rPr>
                <w:rFonts w:ascii="Lato" w:hAnsi="Lato"/>
                <w:sz w:val="22"/>
                <w:szCs w:val="22"/>
              </w:rPr>
              <w:t xml:space="preserve"> acquire assets </w:t>
            </w:r>
          </w:p>
        </w:tc>
        <w:tc>
          <w:tcPr>
            <w:tcW w:w="3188" w:type="dxa"/>
            <w:tcBorders>
              <w:top w:val="single" w:sz="4" w:space="0" w:color="auto"/>
              <w:left w:val="single" w:sz="4" w:space="0" w:color="auto"/>
              <w:bottom w:val="single" w:sz="4" w:space="0" w:color="auto"/>
              <w:right w:val="single" w:sz="4" w:space="0" w:color="auto"/>
            </w:tcBorders>
          </w:tcPr>
          <w:p w14:paraId="2AD1CA5B" w14:textId="77777777" w:rsidR="00AC48D2" w:rsidRPr="001362A6" w:rsidRDefault="00AC48D2">
            <w:pPr>
              <w:rPr>
                <w:rFonts w:ascii="Lato" w:hAnsi="Lato"/>
                <w:b/>
                <w:bCs/>
                <w:sz w:val="22"/>
                <w:szCs w:val="22"/>
                <w:u w:val="single"/>
              </w:rPr>
            </w:pPr>
          </w:p>
        </w:tc>
      </w:tr>
      <w:tr w:rsidR="00AC48D2" w:rsidRPr="001362A6" w14:paraId="0299D41B" w14:textId="77777777" w:rsidTr="0042571B">
        <w:trPr>
          <w:trHeight w:val="156"/>
        </w:trPr>
        <w:tc>
          <w:tcPr>
            <w:tcW w:w="1316" w:type="dxa"/>
          </w:tcPr>
          <w:p w14:paraId="194983A5" w14:textId="77777777" w:rsidR="00AC48D2" w:rsidRPr="001362A6" w:rsidRDefault="00AC48D2">
            <w:pPr>
              <w:rPr>
                <w:rFonts w:ascii="Lato" w:hAnsi="Lato"/>
                <w:sz w:val="22"/>
                <w:szCs w:val="22"/>
              </w:rPr>
            </w:pPr>
          </w:p>
        </w:tc>
        <w:tc>
          <w:tcPr>
            <w:tcW w:w="5891" w:type="dxa"/>
          </w:tcPr>
          <w:p w14:paraId="344C1B92" w14:textId="77777777" w:rsidR="00187F1D" w:rsidRPr="001362A6" w:rsidRDefault="0042571B" w:rsidP="0042571B">
            <w:pPr>
              <w:rPr>
                <w:rFonts w:ascii="Lato" w:hAnsi="Lato"/>
                <w:sz w:val="22"/>
                <w:szCs w:val="22"/>
              </w:rPr>
            </w:pPr>
            <w:r w:rsidRPr="001362A6">
              <w:rPr>
                <w:rFonts w:ascii="Lato" w:hAnsi="Lato"/>
                <w:sz w:val="22"/>
                <w:szCs w:val="22"/>
              </w:rPr>
              <w:t>pursuant to a warehousing a</w:t>
            </w:r>
            <w:r w:rsidR="00AC48D2" w:rsidRPr="001362A6">
              <w:rPr>
                <w:rFonts w:ascii="Lato" w:hAnsi="Lato"/>
                <w:sz w:val="22"/>
                <w:szCs w:val="22"/>
              </w:rPr>
              <w:t>rrangement</w:t>
            </w:r>
          </w:p>
        </w:tc>
        <w:tc>
          <w:tcPr>
            <w:tcW w:w="3188" w:type="dxa"/>
            <w:tcBorders>
              <w:top w:val="single" w:sz="4" w:space="0" w:color="auto"/>
              <w:bottom w:val="single" w:sz="4" w:space="0" w:color="auto"/>
            </w:tcBorders>
          </w:tcPr>
          <w:p w14:paraId="66CA8694" w14:textId="77777777" w:rsidR="00AC48D2" w:rsidRPr="001362A6" w:rsidRDefault="00AC48D2">
            <w:pPr>
              <w:rPr>
                <w:rFonts w:ascii="Lato" w:hAnsi="Lato"/>
                <w:b/>
                <w:bCs/>
                <w:sz w:val="22"/>
                <w:szCs w:val="22"/>
                <w:u w:val="single"/>
              </w:rPr>
            </w:pPr>
          </w:p>
        </w:tc>
      </w:tr>
      <w:tr w:rsidR="0042571B" w:rsidRPr="001362A6" w14:paraId="2DEBCEB8" w14:textId="77777777" w:rsidTr="0042571B">
        <w:trPr>
          <w:trHeight w:val="156"/>
        </w:trPr>
        <w:tc>
          <w:tcPr>
            <w:tcW w:w="1316" w:type="dxa"/>
          </w:tcPr>
          <w:p w14:paraId="626AB858" w14:textId="77777777" w:rsidR="0042571B" w:rsidRPr="001362A6" w:rsidRDefault="0042571B">
            <w:pPr>
              <w:rPr>
                <w:rFonts w:ascii="Lato" w:hAnsi="Lato"/>
                <w:sz w:val="22"/>
                <w:szCs w:val="22"/>
              </w:rPr>
            </w:pPr>
          </w:p>
        </w:tc>
        <w:tc>
          <w:tcPr>
            <w:tcW w:w="5891" w:type="dxa"/>
            <w:tcBorders>
              <w:right w:val="single" w:sz="4" w:space="0" w:color="auto"/>
            </w:tcBorders>
          </w:tcPr>
          <w:p w14:paraId="332EEC14" w14:textId="77777777" w:rsidR="0042571B" w:rsidRPr="001362A6" w:rsidRDefault="0042571B">
            <w:pPr>
              <w:rPr>
                <w:rFonts w:ascii="Lato" w:hAnsi="Lato"/>
                <w:sz w:val="22"/>
                <w:szCs w:val="22"/>
              </w:rPr>
            </w:pPr>
            <w:r w:rsidRPr="001362A6">
              <w:rPr>
                <w:rFonts w:ascii="Lato" w:hAnsi="Lato"/>
                <w:sz w:val="22"/>
                <w:szCs w:val="22"/>
              </w:rPr>
              <w:t>b) the use of such arrangements</w:t>
            </w:r>
          </w:p>
        </w:tc>
        <w:tc>
          <w:tcPr>
            <w:tcW w:w="3188" w:type="dxa"/>
            <w:tcBorders>
              <w:top w:val="single" w:sz="4" w:space="0" w:color="auto"/>
              <w:left w:val="single" w:sz="4" w:space="0" w:color="auto"/>
              <w:bottom w:val="single" w:sz="4" w:space="0" w:color="auto"/>
              <w:right w:val="single" w:sz="4" w:space="0" w:color="auto"/>
            </w:tcBorders>
          </w:tcPr>
          <w:p w14:paraId="2A237928" w14:textId="77777777" w:rsidR="0042571B" w:rsidRPr="001362A6" w:rsidRDefault="0042571B">
            <w:pPr>
              <w:rPr>
                <w:rFonts w:ascii="Lato" w:hAnsi="Lato"/>
                <w:b/>
                <w:bCs/>
                <w:sz w:val="22"/>
                <w:szCs w:val="22"/>
                <w:u w:val="single"/>
              </w:rPr>
            </w:pPr>
          </w:p>
        </w:tc>
      </w:tr>
      <w:tr w:rsidR="00AC48D2" w:rsidRPr="001362A6" w14:paraId="382756E6" w14:textId="77777777" w:rsidTr="00990D73">
        <w:trPr>
          <w:trHeight w:val="156"/>
        </w:trPr>
        <w:tc>
          <w:tcPr>
            <w:tcW w:w="1316" w:type="dxa"/>
          </w:tcPr>
          <w:p w14:paraId="4A6644DB" w14:textId="77777777" w:rsidR="00AC48D2" w:rsidRPr="001362A6" w:rsidRDefault="00AC48D2">
            <w:pPr>
              <w:rPr>
                <w:rFonts w:ascii="Lato" w:hAnsi="Lato"/>
                <w:sz w:val="22"/>
                <w:szCs w:val="22"/>
              </w:rPr>
            </w:pPr>
          </w:p>
        </w:tc>
        <w:tc>
          <w:tcPr>
            <w:tcW w:w="5891" w:type="dxa"/>
            <w:tcBorders>
              <w:right w:val="single" w:sz="4" w:space="0" w:color="auto"/>
            </w:tcBorders>
          </w:tcPr>
          <w:p w14:paraId="506C617F" w14:textId="77777777" w:rsidR="00AC48D2" w:rsidRPr="001362A6" w:rsidRDefault="00430598" w:rsidP="00E0264B">
            <w:pPr>
              <w:rPr>
                <w:rFonts w:ascii="Lato" w:hAnsi="Lato"/>
                <w:sz w:val="22"/>
                <w:szCs w:val="22"/>
              </w:rPr>
            </w:pPr>
            <w:r w:rsidRPr="001362A6">
              <w:rPr>
                <w:rFonts w:ascii="Lato" w:hAnsi="Lato"/>
                <w:sz w:val="22"/>
                <w:szCs w:val="22"/>
              </w:rPr>
              <w:t>c</w:t>
            </w:r>
            <w:r w:rsidR="00AC48D2" w:rsidRPr="001362A6">
              <w:rPr>
                <w:rFonts w:ascii="Lato" w:hAnsi="Lato"/>
                <w:sz w:val="22"/>
                <w:szCs w:val="22"/>
              </w:rPr>
              <w:t>) details of any fee payable in relation to such arrangements</w:t>
            </w:r>
          </w:p>
        </w:tc>
        <w:tc>
          <w:tcPr>
            <w:tcW w:w="3188" w:type="dxa"/>
            <w:tcBorders>
              <w:top w:val="single" w:sz="4" w:space="0" w:color="auto"/>
              <w:left w:val="single" w:sz="4" w:space="0" w:color="auto"/>
              <w:bottom w:val="single" w:sz="4" w:space="0" w:color="auto"/>
              <w:right w:val="single" w:sz="4" w:space="0" w:color="auto"/>
            </w:tcBorders>
          </w:tcPr>
          <w:p w14:paraId="68E51A1A" w14:textId="77777777" w:rsidR="00AC48D2" w:rsidRPr="001362A6" w:rsidRDefault="00AC48D2">
            <w:pPr>
              <w:rPr>
                <w:rFonts w:ascii="Lato" w:hAnsi="Lato"/>
                <w:b/>
                <w:bCs/>
                <w:sz w:val="22"/>
                <w:szCs w:val="22"/>
                <w:u w:val="single"/>
              </w:rPr>
            </w:pPr>
          </w:p>
        </w:tc>
      </w:tr>
      <w:tr w:rsidR="00AC48D2" w:rsidRPr="001362A6" w14:paraId="622E3D88" w14:textId="77777777" w:rsidTr="00990D73">
        <w:trPr>
          <w:trHeight w:val="156"/>
        </w:trPr>
        <w:tc>
          <w:tcPr>
            <w:tcW w:w="1316" w:type="dxa"/>
          </w:tcPr>
          <w:p w14:paraId="583D8E45" w14:textId="77777777" w:rsidR="00AC48D2" w:rsidRPr="001362A6" w:rsidRDefault="00AC48D2">
            <w:pPr>
              <w:rPr>
                <w:rFonts w:ascii="Lato" w:hAnsi="Lato"/>
                <w:sz w:val="22"/>
                <w:szCs w:val="22"/>
              </w:rPr>
            </w:pPr>
          </w:p>
        </w:tc>
        <w:tc>
          <w:tcPr>
            <w:tcW w:w="5891" w:type="dxa"/>
            <w:tcBorders>
              <w:right w:val="single" w:sz="4" w:space="0" w:color="auto"/>
            </w:tcBorders>
          </w:tcPr>
          <w:p w14:paraId="4C87C94D" w14:textId="77777777" w:rsidR="00AC48D2" w:rsidRPr="001362A6" w:rsidRDefault="00430598" w:rsidP="00EE60A2">
            <w:pPr>
              <w:rPr>
                <w:rFonts w:ascii="Lato" w:hAnsi="Lato"/>
                <w:sz w:val="22"/>
                <w:szCs w:val="22"/>
              </w:rPr>
            </w:pPr>
            <w:r w:rsidRPr="001362A6">
              <w:rPr>
                <w:rFonts w:ascii="Lato" w:hAnsi="Lato"/>
                <w:sz w:val="22"/>
                <w:szCs w:val="22"/>
              </w:rPr>
              <w:t>d</w:t>
            </w:r>
            <w:r w:rsidR="00AC48D2" w:rsidRPr="001362A6">
              <w:rPr>
                <w:rFonts w:ascii="Lato" w:hAnsi="Lato"/>
                <w:sz w:val="22"/>
                <w:szCs w:val="22"/>
              </w:rPr>
              <w:t xml:space="preserve">) that the Qualifying Investor AIF will pay no more than </w:t>
            </w:r>
          </w:p>
        </w:tc>
        <w:tc>
          <w:tcPr>
            <w:tcW w:w="3188" w:type="dxa"/>
            <w:tcBorders>
              <w:top w:val="single" w:sz="4" w:space="0" w:color="auto"/>
              <w:left w:val="single" w:sz="4" w:space="0" w:color="auto"/>
              <w:bottom w:val="single" w:sz="4" w:space="0" w:color="auto"/>
              <w:right w:val="single" w:sz="4" w:space="0" w:color="auto"/>
            </w:tcBorders>
          </w:tcPr>
          <w:p w14:paraId="10427FD1" w14:textId="77777777" w:rsidR="00AC48D2" w:rsidRPr="001362A6" w:rsidRDefault="00AC48D2">
            <w:pPr>
              <w:rPr>
                <w:rFonts w:ascii="Lato" w:hAnsi="Lato"/>
                <w:b/>
                <w:bCs/>
                <w:sz w:val="22"/>
                <w:szCs w:val="22"/>
                <w:u w:val="single"/>
              </w:rPr>
            </w:pPr>
          </w:p>
        </w:tc>
      </w:tr>
      <w:tr w:rsidR="00AC48D2" w:rsidRPr="001362A6" w14:paraId="0FD1F9D9" w14:textId="77777777" w:rsidTr="00990D73">
        <w:trPr>
          <w:trHeight w:val="156"/>
        </w:trPr>
        <w:tc>
          <w:tcPr>
            <w:tcW w:w="1316" w:type="dxa"/>
          </w:tcPr>
          <w:p w14:paraId="22FB649F" w14:textId="77777777" w:rsidR="00AC48D2" w:rsidRPr="001362A6" w:rsidRDefault="00AC48D2">
            <w:pPr>
              <w:rPr>
                <w:rFonts w:ascii="Lato" w:hAnsi="Lato"/>
                <w:sz w:val="22"/>
                <w:szCs w:val="22"/>
              </w:rPr>
            </w:pPr>
          </w:p>
        </w:tc>
        <w:tc>
          <w:tcPr>
            <w:tcW w:w="5891" w:type="dxa"/>
          </w:tcPr>
          <w:p w14:paraId="214FF5EA" w14:textId="77777777" w:rsidR="00AC48D2" w:rsidRPr="001362A6" w:rsidRDefault="00EE60A2" w:rsidP="00EC7CDC">
            <w:pPr>
              <w:rPr>
                <w:rFonts w:ascii="Lato" w:hAnsi="Lato"/>
                <w:sz w:val="22"/>
                <w:szCs w:val="22"/>
              </w:rPr>
            </w:pPr>
            <w:r w:rsidRPr="001362A6">
              <w:rPr>
                <w:rFonts w:ascii="Lato" w:hAnsi="Lato"/>
                <w:sz w:val="22"/>
                <w:szCs w:val="22"/>
              </w:rPr>
              <w:t xml:space="preserve">current </w:t>
            </w:r>
            <w:r w:rsidR="00AC48D2" w:rsidRPr="001362A6">
              <w:rPr>
                <w:rFonts w:ascii="Lato" w:hAnsi="Lato"/>
                <w:sz w:val="22"/>
                <w:szCs w:val="22"/>
              </w:rPr>
              <w:t>market value for these assets</w:t>
            </w:r>
          </w:p>
        </w:tc>
        <w:tc>
          <w:tcPr>
            <w:tcW w:w="3188" w:type="dxa"/>
            <w:tcBorders>
              <w:top w:val="single" w:sz="4" w:space="0" w:color="auto"/>
            </w:tcBorders>
          </w:tcPr>
          <w:p w14:paraId="1399D6CC" w14:textId="77777777" w:rsidR="00AC48D2" w:rsidRPr="001362A6" w:rsidRDefault="00AC48D2">
            <w:pPr>
              <w:rPr>
                <w:rFonts w:ascii="Lato" w:hAnsi="Lato"/>
                <w:b/>
                <w:bCs/>
                <w:sz w:val="22"/>
                <w:szCs w:val="22"/>
                <w:u w:val="single"/>
              </w:rPr>
            </w:pPr>
          </w:p>
        </w:tc>
      </w:tr>
      <w:tr w:rsidR="00AC48D2" w:rsidRPr="001362A6" w14:paraId="7A4D3830" w14:textId="77777777" w:rsidTr="00990D73">
        <w:trPr>
          <w:trHeight w:val="156"/>
        </w:trPr>
        <w:tc>
          <w:tcPr>
            <w:tcW w:w="1316" w:type="dxa"/>
          </w:tcPr>
          <w:p w14:paraId="056AB3FB" w14:textId="77777777" w:rsidR="00AC48D2" w:rsidRPr="001362A6" w:rsidRDefault="00AC48D2">
            <w:pPr>
              <w:rPr>
                <w:rFonts w:ascii="Lato" w:hAnsi="Lato"/>
                <w:sz w:val="22"/>
                <w:szCs w:val="22"/>
              </w:rPr>
            </w:pPr>
          </w:p>
        </w:tc>
        <w:tc>
          <w:tcPr>
            <w:tcW w:w="5891" w:type="dxa"/>
          </w:tcPr>
          <w:p w14:paraId="698755DC" w14:textId="77777777" w:rsidR="00AC48D2" w:rsidRPr="001362A6" w:rsidRDefault="00AC48D2">
            <w:pPr>
              <w:rPr>
                <w:rFonts w:ascii="Lato" w:hAnsi="Lato"/>
                <w:sz w:val="22"/>
                <w:szCs w:val="22"/>
              </w:rPr>
            </w:pPr>
          </w:p>
        </w:tc>
        <w:tc>
          <w:tcPr>
            <w:tcW w:w="3188" w:type="dxa"/>
          </w:tcPr>
          <w:p w14:paraId="07F5C32D" w14:textId="77777777" w:rsidR="00AC48D2" w:rsidRPr="001362A6" w:rsidRDefault="00AC48D2">
            <w:pPr>
              <w:rPr>
                <w:rFonts w:ascii="Lato" w:hAnsi="Lato"/>
                <w:b/>
                <w:bCs/>
                <w:sz w:val="22"/>
                <w:szCs w:val="22"/>
                <w:u w:val="single"/>
              </w:rPr>
            </w:pPr>
          </w:p>
        </w:tc>
      </w:tr>
      <w:tr w:rsidR="00AC48D2" w:rsidRPr="001362A6" w14:paraId="1E21C3EA" w14:textId="77777777" w:rsidTr="00990D73">
        <w:trPr>
          <w:trHeight w:val="156"/>
        </w:trPr>
        <w:tc>
          <w:tcPr>
            <w:tcW w:w="1316" w:type="dxa"/>
          </w:tcPr>
          <w:p w14:paraId="7F717508" w14:textId="77777777" w:rsidR="00AC48D2" w:rsidRPr="001362A6" w:rsidRDefault="00AC48D2" w:rsidP="00E876DF">
            <w:pPr>
              <w:rPr>
                <w:rFonts w:ascii="Lato" w:hAnsi="Lato"/>
                <w:b/>
                <w:sz w:val="22"/>
                <w:szCs w:val="22"/>
              </w:rPr>
            </w:pPr>
            <w:r w:rsidRPr="001362A6">
              <w:rPr>
                <w:rFonts w:ascii="Lato" w:hAnsi="Lato"/>
                <w:b/>
                <w:sz w:val="22"/>
                <w:szCs w:val="22"/>
              </w:rPr>
              <w:t>2.2.</w:t>
            </w:r>
            <w:r w:rsidR="00E876DF" w:rsidRPr="001362A6">
              <w:rPr>
                <w:rFonts w:ascii="Lato" w:hAnsi="Lato"/>
                <w:b/>
                <w:sz w:val="22"/>
                <w:szCs w:val="22"/>
              </w:rPr>
              <w:t>10</w:t>
            </w:r>
          </w:p>
        </w:tc>
        <w:tc>
          <w:tcPr>
            <w:tcW w:w="5891" w:type="dxa"/>
          </w:tcPr>
          <w:p w14:paraId="3EA3ADD1" w14:textId="77777777" w:rsidR="00AC48D2" w:rsidRPr="001362A6" w:rsidRDefault="00AC48D2" w:rsidP="00441529">
            <w:pPr>
              <w:rPr>
                <w:rFonts w:ascii="Lato" w:hAnsi="Lato"/>
                <w:sz w:val="22"/>
                <w:szCs w:val="22"/>
              </w:rPr>
            </w:pPr>
            <w:r w:rsidRPr="001362A6">
              <w:rPr>
                <w:rFonts w:ascii="Lato" w:hAnsi="Lato"/>
                <w:b/>
                <w:sz w:val="22"/>
                <w:szCs w:val="22"/>
              </w:rPr>
              <w:t>Investment through subsidiaries</w:t>
            </w:r>
          </w:p>
        </w:tc>
        <w:tc>
          <w:tcPr>
            <w:tcW w:w="3188" w:type="dxa"/>
          </w:tcPr>
          <w:p w14:paraId="284FF2C9" w14:textId="77777777" w:rsidR="00AC48D2" w:rsidRPr="001362A6" w:rsidRDefault="00AC48D2">
            <w:pPr>
              <w:rPr>
                <w:rFonts w:ascii="Lato" w:hAnsi="Lato"/>
                <w:b/>
                <w:bCs/>
                <w:sz w:val="22"/>
                <w:szCs w:val="22"/>
                <w:u w:val="single"/>
              </w:rPr>
            </w:pPr>
          </w:p>
        </w:tc>
      </w:tr>
      <w:tr w:rsidR="00AC48D2" w:rsidRPr="001362A6" w14:paraId="144994EA" w14:textId="77777777" w:rsidTr="00990D73">
        <w:trPr>
          <w:trHeight w:val="156"/>
        </w:trPr>
        <w:tc>
          <w:tcPr>
            <w:tcW w:w="1316" w:type="dxa"/>
          </w:tcPr>
          <w:p w14:paraId="1065B902" w14:textId="77777777" w:rsidR="00AC48D2" w:rsidRPr="001362A6" w:rsidRDefault="00AC48D2">
            <w:pPr>
              <w:rPr>
                <w:rFonts w:ascii="Lato" w:hAnsi="Lato"/>
                <w:sz w:val="22"/>
                <w:szCs w:val="22"/>
              </w:rPr>
            </w:pPr>
          </w:p>
        </w:tc>
        <w:tc>
          <w:tcPr>
            <w:tcW w:w="5891" w:type="dxa"/>
          </w:tcPr>
          <w:p w14:paraId="297742C4" w14:textId="77777777" w:rsidR="00AC48D2" w:rsidRPr="001362A6" w:rsidRDefault="00187F1D" w:rsidP="00441529">
            <w:pPr>
              <w:rPr>
                <w:rFonts w:ascii="Lato" w:hAnsi="Lato"/>
                <w:sz w:val="22"/>
                <w:szCs w:val="22"/>
              </w:rPr>
            </w:pPr>
            <w:r w:rsidRPr="001362A6">
              <w:rPr>
                <w:rFonts w:ascii="Lato" w:hAnsi="Lato"/>
                <w:sz w:val="22"/>
                <w:szCs w:val="22"/>
              </w:rPr>
              <w:t>Disclose</w:t>
            </w:r>
          </w:p>
        </w:tc>
        <w:tc>
          <w:tcPr>
            <w:tcW w:w="3188" w:type="dxa"/>
            <w:tcBorders>
              <w:bottom w:val="single" w:sz="4" w:space="0" w:color="auto"/>
            </w:tcBorders>
          </w:tcPr>
          <w:p w14:paraId="5F492627" w14:textId="77777777" w:rsidR="00AC48D2" w:rsidRPr="001362A6" w:rsidRDefault="00AC48D2">
            <w:pPr>
              <w:rPr>
                <w:rFonts w:ascii="Lato" w:hAnsi="Lato"/>
                <w:b/>
                <w:bCs/>
                <w:sz w:val="22"/>
                <w:szCs w:val="22"/>
                <w:u w:val="single"/>
              </w:rPr>
            </w:pPr>
          </w:p>
        </w:tc>
      </w:tr>
      <w:tr w:rsidR="00AC48D2" w:rsidRPr="001362A6" w14:paraId="2D615648" w14:textId="77777777" w:rsidTr="00990D73">
        <w:trPr>
          <w:trHeight w:val="156"/>
        </w:trPr>
        <w:tc>
          <w:tcPr>
            <w:tcW w:w="1316" w:type="dxa"/>
          </w:tcPr>
          <w:p w14:paraId="65E29A51" w14:textId="77777777" w:rsidR="00AC48D2" w:rsidRPr="001362A6" w:rsidRDefault="00AC48D2">
            <w:pPr>
              <w:rPr>
                <w:rFonts w:ascii="Lato" w:hAnsi="Lato"/>
                <w:sz w:val="22"/>
                <w:szCs w:val="22"/>
              </w:rPr>
            </w:pPr>
          </w:p>
        </w:tc>
        <w:tc>
          <w:tcPr>
            <w:tcW w:w="5891" w:type="dxa"/>
            <w:tcBorders>
              <w:right w:val="single" w:sz="4" w:space="0" w:color="auto"/>
            </w:tcBorders>
          </w:tcPr>
          <w:p w14:paraId="4146EFF0" w14:textId="77777777" w:rsidR="00AC48D2" w:rsidRPr="001362A6" w:rsidRDefault="00AC48D2" w:rsidP="00187F1D">
            <w:pPr>
              <w:rPr>
                <w:rFonts w:ascii="Lato" w:hAnsi="Lato"/>
                <w:sz w:val="22"/>
                <w:szCs w:val="22"/>
              </w:rPr>
            </w:pPr>
            <w:r w:rsidRPr="001362A6">
              <w:rPr>
                <w:rFonts w:ascii="Lato" w:hAnsi="Lato"/>
                <w:sz w:val="22"/>
                <w:szCs w:val="22"/>
              </w:rPr>
              <w:t xml:space="preserve">(a) </w:t>
            </w:r>
            <w:r w:rsidR="00187F1D" w:rsidRPr="001362A6">
              <w:rPr>
                <w:rFonts w:ascii="Lato" w:hAnsi="Lato"/>
                <w:sz w:val="22"/>
                <w:szCs w:val="22"/>
              </w:rPr>
              <w:t>the</w:t>
            </w:r>
            <w:r w:rsidRPr="001362A6">
              <w:rPr>
                <w:rFonts w:ascii="Lato" w:hAnsi="Lato"/>
                <w:sz w:val="22"/>
                <w:szCs w:val="22"/>
              </w:rPr>
              <w:t xml:space="preserve"> ability to establish wholly-owned subsidiary </w:t>
            </w:r>
          </w:p>
        </w:tc>
        <w:tc>
          <w:tcPr>
            <w:tcW w:w="3188" w:type="dxa"/>
            <w:tcBorders>
              <w:top w:val="single" w:sz="4" w:space="0" w:color="auto"/>
              <w:left w:val="single" w:sz="4" w:space="0" w:color="auto"/>
              <w:bottom w:val="single" w:sz="4" w:space="0" w:color="auto"/>
              <w:right w:val="single" w:sz="4" w:space="0" w:color="auto"/>
            </w:tcBorders>
          </w:tcPr>
          <w:p w14:paraId="596FB436" w14:textId="77777777" w:rsidR="00AC48D2" w:rsidRPr="001362A6" w:rsidRDefault="00AC48D2">
            <w:pPr>
              <w:rPr>
                <w:rFonts w:ascii="Lato" w:hAnsi="Lato"/>
                <w:b/>
                <w:bCs/>
                <w:sz w:val="22"/>
                <w:szCs w:val="22"/>
                <w:u w:val="single"/>
              </w:rPr>
            </w:pPr>
          </w:p>
        </w:tc>
      </w:tr>
      <w:tr w:rsidR="00AC48D2" w:rsidRPr="001362A6" w14:paraId="00366748" w14:textId="77777777" w:rsidTr="00990D73">
        <w:trPr>
          <w:trHeight w:val="156"/>
        </w:trPr>
        <w:tc>
          <w:tcPr>
            <w:tcW w:w="1316" w:type="dxa"/>
          </w:tcPr>
          <w:p w14:paraId="0A37D9C2" w14:textId="77777777" w:rsidR="00AC48D2" w:rsidRPr="001362A6" w:rsidRDefault="00AC48D2">
            <w:pPr>
              <w:rPr>
                <w:rFonts w:ascii="Lato" w:hAnsi="Lato"/>
                <w:sz w:val="22"/>
                <w:szCs w:val="22"/>
              </w:rPr>
            </w:pPr>
          </w:p>
        </w:tc>
        <w:tc>
          <w:tcPr>
            <w:tcW w:w="5891" w:type="dxa"/>
          </w:tcPr>
          <w:p w14:paraId="1BA99389" w14:textId="77777777" w:rsidR="00AC48D2" w:rsidRPr="001362A6" w:rsidRDefault="00AC48D2">
            <w:pPr>
              <w:rPr>
                <w:rFonts w:ascii="Lato" w:hAnsi="Lato"/>
                <w:sz w:val="22"/>
                <w:szCs w:val="22"/>
              </w:rPr>
            </w:pPr>
            <w:r w:rsidRPr="001362A6">
              <w:rPr>
                <w:rFonts w:ascii="Lato" w:hAnsi="Lato"/>
                <w:sz w:val="22"/>
                <w:szCs w:val="22"/>
              </w:rPr>
              <w:t>in accordance with the requirements of the Central Bank; and</w:t>
            </w:r>
          </w:p>
        </w:tc>
        <w:tc>
          <w:tcPr>
            <w:tcW w:w="3188" w:type="dxa"/>
            <w:tcBorders>
              <w:top w:val="single" w:sz="4" w:space="0" w:color="auto"/>
              <w:bottom w:val="single" w:sz="4" w:space="0" w:color="auto"/>
            </w:tcBorders>
          </w:tcPr>
          <w:p w14:paraId="538DC11D" w14:textId="77777777" w:rsidR="00AC48D2" w:rsidRPr="001362A6" w:rsidRDefault="00AC48D2">
            <w:pPr>
              <w:rPr>
                <w:rFonts w:ascii="Lato" w:hAnsi="Lato"/>
                <w:b/>
                <w:bCs/>
                <w:sz w:val="22"/>
                <w:szCs w:val="22"/>
                <w:u w:val="single"/>
              </w:rPr>
            </w:pPr>
          </w:p>
        </w:tc>
      </w:tr>
      <w:tr w:rsidR="00AC48D2" w:rsidRPr="001362A6" w14:paraId="072F01F5" w14:textId="77777777" w:rsidTr="00990D73">
        <w:trPr>
          <w:trHeight w:val="156"/>
        </w:trPr>
        <w:tc>
          <w:tcPr>
            <w:tcW w:w="1316" w:type="dxa"/>
          </w:tcPr>
          <w:p w14:paraId="4224DE4B" w14:textId="77777777" w:rsidR="00AC48D2" w:rsidRPr="001362A6" w:rsidRDefault="00AC48D2">
            <w:pPr>
              <w:rPr>
                <w:rFonts w:ascii="Lato" w:hAnsi="Lato"/>
                <w:sz w:val="22"/>
                <w:szCs w:val="22"/>
              </w:rPr>
            </w:pPr>
          </w:p>
        </w:tc>
        <w:tc>
          <w:tcPr>
            <w:tcW w:w="5891" w:type="dxa"/>
            <w:tcBorders>
              <w:right w:val="single" w:sz="4" w:space="0" w:color="auto"/>
            </w:tcBorders>
          </w:tcPr>
          <w:p w14:paraId="1B70B260" w14:textId="77777777" w:rsidR="00AC48D2" w:rsidRPr="001362A6" w:rsidRDefault="00AC48D2" w:rsidP="00187F1D">
            <w:pPr>
              <w:rPr>
                <w:rFonts w:ascii="Lato" w:hAnsi="Lato"/>
                <w:sz w:val="22"/>
                <w:szCs w:val="22"/>
              </w:rPr>
            </w:pPr>
            <w:r w:rsidRPr="001362A6">
              <w:rPr>
                <w:rFonts w:ascii="Lato" w:hAnsi="Lato"/>
                <w:sz w:val="22"/>
                <w:szCs w:val="22"/>
              </w:rPr>
              <w:t xml:space="preserve">(b) that the names of any subsidiaries will be disclosed </w:t>
            </w:r>
          </w:p>
        </w:tc>
        <w:tc>
          <w:tcPr>
            <w:tcW w:w="3188" w:type="dxa"/>
            <w:tcBorders>
              <w:top w:val="single" w:sz="4" w:space="0" w:color="auto"/>
              <w:left w:val="single" w:sz="4" w:space="0" w:color="auto"/>
              <w:bottom w:val="single" w:sz="4" w:space="0" w:color="auto"/>
              <w:right w:val="single" w:sz="4" w:space="0" w:color="auto"/>
            </w:tcBorders>
          </w:tcPr>
          <w:p w14:paraId="4D77C78B" w14:textId="77777777" w:rsidR="00AC48D2" w:rsidRPr="001362A6" w:rsidRDefault="00AC48D2">
            <w:pPr>
              <w:rPr>
                <w:rFonts w:ascii="Lato" w:hAnsi="Lato"/>
                <w:b/>
                <w:bCs/>
                <w:sz w:val="22"/>
                <w:szCs w:val="22"/>
                <w:u w:val="single"/>
              </w:rPr>
            </w:pPr>
          </w:p>
        </w:tc>
      </w:tr>
      <w:tr w:rsidR="00AC48D2" w:rsidRPr="001362A6" w14:paraId="44003758" w14:textId="77777777" w:rsidTr="00990D73">
        <w:trPr>
          <w:trHeight w:val="156"/>
        </w:trPr>
        <w:tc>
          <w:tcPr>
            <w:tcW w:w="1316" w:type="dxa"/>
          </w:tcPr>
          <w:p w14:paraId="316ABB0B" w14:textId="77777777" w:rsidR="00AC48D2" w:rsidRPr="001362A6" w:rsidRDefault="00AC48D2">
            <w:pPr>
              <w:rPr>
                <w:rFonts w:ascii="Lato" w:hAnsi="Lato"/>
                <w:sz w:val="22"/>
                <w:szCs w:val="22"/>
              </w:rPr>
            </w:pPr>
          </w:p>
        </w:tc>
        <w:tc>
          <w:tcPr>
            <w:tcW w:w="5891" w:type="dxa"/>
          </w:tcPr>
          <w:p w14:paraId="669660D2" w14:textId="77777777" w:rsidR="00AC48D2" w:rsidRPr="001362A6" w:rsidRDefault="00AC48D2">
            <w:pPr>
              <w:rPr>
                <w:rFonts w:ascii="Lato" w:hAnsi="Lato"/>
                <w:sz w:val="22"/>
                <w:szCs w:val="22"/>
              </w:rPr>
            </w:pPr>
            <w:r w:rsidRPr="001362A6">
              <w:rPr>
                <w:rFonts w:ascii="Lato" w:hAnsi="Lato"/>
                <w:sz w:val="22"/>
                <w:szCs w:val="22"/>
              </w:rPr>
              <w:t>in the annual report</w:t>
            </w:r>
          </w:p>
        </w:tc>
        <w:tc>
          <w:tcPr>
            <w:tcW w:w="3188" w:type="dxa"/>
            <w:tcBorders>
              <w:top w:val="single" w:sz="4" w:space="0" w:color="auto"/>
            </w:tcBorders>
          </w:tcPr>
          <w:p w14:paraId="320D5199" w14:textId="77777777" w:rsidR="00AC48D2" w:rsidRPr="001362A6" w:rsidRDefault="00AC48D2">
            <w:pPr>
              <w:rPr>
                <w:rFonts w:ascii="Lato" w:hAnsi="Lato"/>
                <w:b/>
                <w:bCs/>
                <w:sz w:val="22"/>
                <w:szCs w:val="22"/>
                <w:u w:val="single"/>
              </w:rPr>
            </w:pPr>
          </w:p>
        </w:tc>
      </w:tr>
      <w:tr w:rsidR="00AC48D2" w:rsidRPr="001362A6" w14:paraId="1F975E43" w14:textId="77777777" w:rsidTr="00990D73">
        <w:trPr>
          <w:trHeight w:val="156"/>
        </w:trPr>
        <w:tc>
          <w:tcPr>
            <w:tcW w:w="1316" w:type="dxa"/>
          </w:tcPr>
          <w:p w14:paraId="5757FFDD" w14:textId="77777777" w:rsidR="00AC48D2" w:rsidRPr="001362A6" w:rsidRDefault="00AC48D2">
            <w:pPr>
              <w:rPr>
                <w:rFonts w:ascii="Lato" w:hAnsi="Lato"/>
                <w:sz w:val="22"/>
                <w:szCs w:val="22"/>
              </w:rPr>
            </w:pPr>
          </w:p>
        </w:tc>
        <w:tc>
          <w:tcPr>
            <w:tcW w:w="5891" w:type="dxa"/>
          </w:tcPr>
          <w:p w14:paraId="65FF9368" w14:textId="77777777" w:rsidR="00AC48D2" w:rsidRPr="001362A6" w:rsidRDefault="00AC48D2">
            <w:pPr>
              <w:rPr>
                <w:rFonts w:ascii="Lato" w:hAnsi="Lato"/>
                <w:sz w:val="22"/>
                <w:szCs w:val="22"/>
              </w:rPr>
            </w:pPr>
          </w:p>
        </w:tc>
        <w:tc>
          <w:tcPr>
            <w:tcW w:w="3188" w:type="dxa"/>
          </w:tcPr>
          <w:p w14:paraId="18C6D99F" w14:textId="77777777" w:rsidR="00AC48D2" w:rsidRPr="001362A6" w:rsidRDefault="00AC48D2">
            <w:pPr>
              <w:rPr>
                <w:rFonts w:ascii="Lato" w:hAnsi="Lato"/>
                <w:b/>
                <w:bCs/>
                <w:sz w:val="22"/>
                <w:szCs w:val="22"/>
                <w:u w:val="single"/>
              </w:rPr>
            </w:pPr>
          </w:p>
        </w:tc>
      </w:tr>
      <w:tr w:rsidR="00AC48D2" w:rsidRPr="001362A6" w14:paraId="6219DE76" w14:textId="77777777" w:rsidTr="00990D73">
        <w:tc>
          <w:tcPr>
            <w:tcW w:w="1316" w:type="dxa"/>
          </w:tcPr>
          <w:p w14:paraId="0D07FE58" w14:textId="77777777" w:rsidR="00AC48D2" w:rsidRPr="001362A6" w:rsidRDefault="00AC48D2">
            <w:pPr>
              <w:rPr>
                <w:rFonts w:ascii="Lato" w:hAnsi="Lato"/>
                <w:sz w:val="22"/>
                <w:szCs w:val="22"/>
              </w:rPr>
            </w:pPr>
          </w:p>
        </w:tc>
        <w:tc>
          <w:tcPr>
            <w:tcW w:w="5891" w:type="dxa"/>
          </w:tcPr>
          <w:p w14:paraId="06B52CD2" w14:textId="77777777" w:rsidR="00AC48D2" w:rsidRPr="001362A6" w:rsidRDefault="00AC48D2">
            <w:pPr>
              <w:rPr>
                <w:rFonts w:ascii="Lato" w:hAnsi="Lato"/>
                <w:b/>
                <w:sz w:val="22"/>
                <w:szCs w:val="22"/>
                <w:u w:val="single"/>
              </w:rPr>
            </w:pPr>
            <w:r w:rsidRPr="001362A6">
              <w:rPr>
                <w:rFonts w:ascii="Lato" w:hAnsi="Lato"/>
                <w:b/>
                <w:sz w:val="22"/>
                <w:szCs w:val="22"/>
                <w:u w:val="single"/>
              </w:rPr>
              <w:t>Risks</w:t>
            </w:r>
          </w:p>
        </w:tc>
        <w:tc>
          <w:tcPr>
            <w:tcW w:w="3188" w:type="dxa"/>
            <w:tcBorders>
              <w:bottom w:val="single" w:sz="4" w:space="0" w:color="auto"/>
            </w:tcBorders>
          </w:tcPr>
          <w:p w14:paraId="6F852643" w14:textId="77777777" w:rsidR="00AC48D2" w:rsidRPr="001362A6" w:rsidRDefault="00AC48D2">
            <w:pPr>
              <w:rPr>
                <w:rFonts w:ascii="Lato" w:hAnsi="Lato"/>
                <w:sz w:val="22"/>
                <w:szCs w:val="22"/>
                <w:u w:val="single"/>
              </w:rPr>
            </w:pPr>
          </w:p>
        </w:tc>
      </w:tr>
      <w:tr w:rsidR="00AC48D2" w:rsidRPr="001362A6" w14:paraId="0EA91BBD" w14:textId="77777777" w:rsidTr="00990D73">
        <w:trPr>
          <w:cantSplit/>
        </w:trPr>
        <w:tc>
          <w:tcPr>
            <w:tcW w:w="1316" w:type="dxa"/>
          </w:tcPr>
          <w:p w14:paraId="1578341B" w14:textId="77777777" w:rsidR="00AC48D2" w:rsidRPr="001362A6" w:rsidRDefault="00AC48D2" w:rsidP="00E876DF">
            <w:pPr>
              <w:rPr>
                <w:rFonts w:ascii="Lato" w:hAnsi="Lato"/>
                <w:b/>
                <w:sz w:val="22"/>
                <w:szCs w:val="22"/>
              </w:rPr>
            </w:pPr>
            <w:r w:rsidRPr="001362A6">
              <w:rPr>
                <w:rFonts w:ascii="Lato" w:hAnsi="Lato"/>
                <w:b/>
                <w:sz w:val="22"/>
                <w:szCs w:val="22"/>
              </w:rPr>
              <w:t>2.2.</w:t>
            </w:r>
            <w:r w:rsidR="00E876DF" w:rsidRPr="001362A6">
              <w:rPr>
                <w:rFonts w:ascii="Lato" w:hAnsi="Lato"/>
                <w:b/>
                <w:sz w:val="22"/>
                <w:szCs w:val="22"/>
              </w:rPr>
              <w:t>11</w:t>
            </w:r>
          </w:p>
        </w:tc>
        <w:tc>
          <w:tcPr>
            <w:tcW w:w="5891" w:type="dxa"/>
            <w:vMerge w:val="restart"/>
            <w:tcBorders>
              <w:right w:val="single" w:sz="4" w:space="0" w:color="auto"/>
            </w:tcBorders>
          </w:tcPr>
          <w:p w14:paraId="3F739E1D" w14:textId="77777777" w:rsidR="00AC48D2" w:rsidRPr="001362A6" w:rsidRDefault="00F04944" w:rsidP="00F04944">
            <w:pPr>
              <w:jc w:val="both"/>
              <w:rPr>
                <w:rFonts w:ascii="Lato" w:hAnsi="Lato"/>
                <w:sz w:val="22"/>
                <w:szCs w:val="22"/>
              </w:rPr>
            </w:pPr>
            <w:r w:rsidRPr="001362A6">
              <w:rPr>
                <w:rFonts w:ascii="Lato" w:hAnsi="Lato"/>
                <w:sz w:val="22"/>
                <w:szCs w:val="22"/>
              </w:rPr>
              <w:t>Disclose a</w:t>
            </w:r>
            <w:r w:rsidR="00AC48D2" w:rsidRPr="001362A6">
              <w:rPr>
                <w:rFonts w:ascii="Lato" w:hAnsi="Lato"/>
                <w:sz w:val="22"/>
                <w:szCs w:val="22"/>
              </w:rPr>
              <w:t xml:space="preserve"> comprehensive description of the risks attached to the investment policy of the Qualifying Investor AIF</w:t>
            </w:r>
          </w:p>
        </w:tc>
        <w:tc>
          <w:tcPr>
            <w:tcW w:w="3188" w:type="dxa"/>
            <w:tcBorders>
              <w:top w:val="single" w:sz="4" w:space="0" w:color="auto"/>
              <w:left w:val="single" w:sz="4" w:space="0" w:color="auto"/>
              <w:bottom w:val="single" w:sz="4" w:space="0" w:color="auto"/>
              <w:right w:val="single" w:sz="4" w:space="0" w:color="auto"/>
            </w:tcBorders>
          </w:tcPr>
          <w:p w14:paraId="5185A21D" w14:textId="77777777" w:rsidR="00AC48D2" w:rsidRPr="001362A6" w:rsidRDefault="00AC48D2">
            <w:pPr>
              <w:rPr>
                <w:rFonts w:ascii="Lato" w:hAnsi="Lato"/>
                <w:sz w:val="22"/>
                <w:szCs w:val="22"/>
              </w:rPr>
            </w:pPr>
          </w:p>
        </w:tc>
      </w:tr>
      <w:tr w:rsidR="00AC48D2" w:rsidRPr="001362A6" w14:paraId="271E7FB8" w14:textId="77777777" w:rsidTr="00990D73">
        <w:trPr>
          <w:cantSplit/>
        </w:trPr>
        <w:tc>
          <w:tcPr>
            <w:tcW w:w="1316" w:type="dxa"/>
          </w:tcPr>
          <w:p w14:paraId="0899D60A" w14:textId="77777777" w:rsidR="00AC48D2" w:rsidRPr="001362A6" w:rsidRDefault="00AC48D2">
            <w:pPr>
              <w:rPr>
                <w:rFonts w:ascii="Lato" w:hAnsi="Lato"/>
                <w:sz w:val="22"/>
                <w:szCs w:val="22"/>
              </w:rPr>
            </w:pPr>
          </w:p>
        </w:tc>
        <w:tc>
          <w:tcPr>
            <w:tcW w:w="5891" w:type="dxa"/>
            <w:vMerge/>
          </w:tcPr>
          <w:p w14:paraId="10B4EFD7" w14:textId="77777777" w:rsidR="00AC48D2" w:rsidRPr="001362A6" w:rsidRDefault="00AC48D2">
            <w:pPr>
              <w:pStyle w:val="Heading3"/>
              <w:spacing w:before="0" w:after="0" w:line="240" w:lineRule="auto"/>
              <w:rPr>
                <w:rFonts w:ascii="Lato" w:hAnsi="Lato"/>
                <w:b w:val="0"/>
                <w:bCs/>
                <w:color w:val="auto"/>
                <w:sz w:val="22"/>
                <w:szCs w:val="22"/>
                <w:u w:val="single"/>
              </w:rPr>
            </w:pPr>
          </w:p>
        </w:tc>
        <w:tc>
          <w:tcPr>
            <w:tcW w:w="3188" w:type="dxa"/>
            <w:tcBorders>
              <w:top w:val="single" w:sz="4" w:space="0" w:color="auto"/>
            </w:tcBorders>
          </w:tcPr>
          <w:p w14:paraId="0861B30C" w14:textId="77777777" w:rsidR="00AC48D2" w:rsidRPr="001362A6" w:rsidRDefault="00AC48D2">
            <w:pPr>
              <w:pStyle w:val="Heading3"/>
              <w:spacing w:before="0" w:after="0" w:line="240" w:lineRule="auto"/>
              <w:rPr>
                <w:rFonts w:ascii="Lato" w:hAnsi="Lato"/>
                <w:b w:val="0"/>
                <w:bCs/>
                <w:color w:val="auto"/>
                <w:sz w:val="22"/>
                <w:szCs w:val="22"/>
                <w:u w:val="single"/>
              </w:rPr>
            </w:pPr>
          </w:p>
        </w:tc>
      </w:tr>
      <w:tr w:rsidR="00AC48D2" w:rsidRPr="001362A6" w14:paraId="3890916E" w14:textId="77777777" w:rsidTr="00990D73">
        <w:trPr>
          <w:cantSplit/>
        </w:trPr>
        <w:tc>
          <w:tcPr>
            <w:tcW w:w="1316" w:type="dxa"/>
          </w:tcPr>
          <w:p w14:paraId="58167DB3" w14:textId="77777777" w:rsidR="00AC48D2" w:rsidRPr="001362A6" w:rsidRDefault="00AC48D2">
            <w:pPr>
              <w:rPr>
                <w:rFonts w:ascii="Lato" w:hAnsi="Lato"/>
                <w:sz w:val="22"/>
                <w:szCs w:val="22"/>
              </w:rPr>
            </w:pPr>
          </w:p>
        </w:tc>
        <w:tc>
          <w:tcPr>
            <w:tcW w:w="5891" w:type="dxa"/>
          </w:tcPr>
          <w:p w14:paraId="71E11D48" w14:textId="77777777" w:rsidR="00AC48D2" w:rsidRPr="001362A6" w:rsidRDefault="00AC48D2">
            <w:pPr>
              <w:pStyle w:val="Heading3"/>
              <w:spacing w:before="0" w:after="0" w:line="240" w:lineRule="auto"/>
              <w:rPr>
                <w:rFonts w:ascii="Lato" w:hAnsi="Lato"/>
                <w:b w:val="0"/>
                <w:bCs/>
                <w:color w:val="auto"/>
                <w:sz w:val="22"/>
                <w:szCs w:val="22"/>
                <w:u w:val="single"/>
              </w:rPr>
            </w:pPr>
          </w:p>
        </w:tc>
        <w:tc>
          <w:tcPr>
            <w:tcW w:w="3188" w:type="dxa"/>
            <w:tcBorders>
              <w:bottom w:val="single" w:sz="4" w:space="0" w:color="auto"/>
            </w:tcBorders>
          </w:tcPr>
          <w:p w14:paraId="642D4A84" w14:textId="77777777" w:rsidR="00AC48D2" w:rsidRPr="001362A6" w:rsidRDefault="00AC48D2">
            <w:pPr>
              <w:pStyle w:val="Heading3"/>
              <w:spacing w:before="0" w:after="0" w:line="240" w:lineRule="auto"/>
              <w:rPr>
                <w:rFonts w:ascii="Lato" w:hAnsi="Lato"/>
                <w:b w:val="0"/>
                <w:bCs/>
                <w:color w:val="auto"/>
                <w:sz w:val="22"/>
                <w:szCs w:val="22"/>
                <w:u w:val="single"/>
              </w:rPr>
            </w:pPr>
          </w:p>
        </w:tc>
      </w:tr>
      <w:tr w:rsidR="00AC48D2" w:rsidRPr="001362A6" w14:paraId="108FB197" w14:textId="77777777" w:rsidTr="00990D73">
        <w:trPr>
          <w:cantSplit/>
        </w:trPr>
        <w:tc>
          <w:tcPr>
            <w:tcW w:w="1316" w:type="dxa"/>
          </w:tcPr>
          <w:p w14:paraId="1D27FCE2" w14:textId="77777777" w:rsidR="00AC48D2" w:rsidRPr="001362A6" w:rsidRDefault="00AC48D2" w:rsidP="00E876DF">
            <w:pPr>
              <w:rPr>
                <w:rFonts w:ascii="Lato" w:hAnsi="Lato"/>
                <w:b/>
                <w:sz w:val="22"/>
                <w:szCs w:val="22"/>
              </w:rPr>
            </w:pPr>
            <w:r w:rsidRPr="001362A6">
              <w:rPr>
                <w:rFonts w:ascii="Lato" w:hAnsi="Lato"/>
                <w:b/>
                <w:sz w:val="22"/>
                <w:szCs w:val="22"/>
              </w:rPr>
              <w:t>2.2.</w:t>
            </w:r>
            <w:r w:rsidR="00E876DF" w:rsidRPr="001362A6">
              <w:rPr>
                <w:rFonts w:ascii="Lato" w:hAnsi="Lato"/>
                <w:b/>
                <w:sz w:val="22"/>
                <w:szCs w:val="22"/>
              </w:rPr>
              <w:t>12</w:t>
            </w:r>
          </w:p>
        </w:tc>
        <w:tc>
          <w:tcPr>
            <w:tcW w:w="5891" w:type="dxa"/>
            <w:tcBorders>
              <w:right w:val="single" w:sz="4" w:space="0" w:color="auto"/>
            </w:tcBorders>
          </w:tcPr>
          <w:p w14:paraId="221D2E5D" w14:textId="77777777" w:rsidR="00AC48D2" w:rsidRPr="001362A6" w:rsidRDefault="00AC48D2" w:rsidP="00D95E9D">
            <w:pPr>
              <w:pStyle w:val="Heading3"/>
              <w:spacing w:before="0" w:after="0" w:line="240" w:lineRule="auto"/>
              <w:rPr>
                <w:rFonts w:ascii="Lato" w:hAnsi="Lato"/>
                <w:b w:val="0"/>
                <w:bCs/>
                <w:color w:val="auto"/>
                <w:sz w:val="22"/>
                <w:szCs w:val="22"/>
              </w:rPr>
            </w:pPr>
            <w:r w:rsidRPr="001362A6">
              <w:rPr>
                <w:rFonts w:ascii="Lato" w:hAnsi="Lato"/>
                <w:b w:val="0"/>
                <w:bCs/>
                <w:color w:val="auto"/>
                <w:sz w:val="22"/>
                <w:szCs w:val="22"/>
              </w:rPr>
              <w:t>Include that the Q</w:t>
            </w:r>
            <w:r w:rsidR="0086642B" w:rsidRPr="001362A6">
              <w:rPr>
                <w:rFonts w:ascii="Lato" w:hAnsi="Lato"/>
                <w:b w:val="0"/>
                <w:bCs/>
                <w:color w:val="auto"/>
                <w:sz w:val="22"/>
                <w:szCs w:val="22"/>
              </w:rPr>
              <w:t xml:space="preserve">ualifying </w:t>
            </w:r>
            <w:r w:rsidRPr="001362A6">
              <w:rPr>
                <w:rFonts w:ascii="Lato" w:hAnsi="Lato"/>
                <w:b w:val="0"/>
                <w:bCs/>
                <w:color w:val="auto"/>
                <w:sz w:val="22"/>
                <w:szCs w:val="22"/>
              </w:rPr>
              <w:t>I</w:t>
            </w:r>
            <w:r w:rsidR="0086642B" w:rsidRPr="001362A6">
              <w:rPr>
                <w:rFonts w:ascii="Lato" w:hAnsi="Lato"/>
                <w:b w:val="0"/>
                <w:bCs/>
                <w:color w:val="auto"/>
                <w:sz w:val="22"/>
                <w:szCs w:val="22"/>
              </w:rPr>
              <w:t xml:space="preserve">nvestor </w:t>
            </w:r>
            <w:r w:rsidRPr="001362A6">
              <w:rPr>
                <w:rFonts w:ascii="Lato" w:hAnsi="Lato"/>
                <w:b w:val="0"/>
                <w:bCs/>
                <w:color w:val="auto"/>
                <w:sz w:val="22"/>
                <w:szCs w:val="22"/>
              </w:rPr>
              <w:t xml:space="preserve">AIF may have a </w:t>
            </w:r>
          </w:p>
        </w:tc>
        <w:tc>
          <w:tcPr>
            <w:tcW w:w="3188" w:type="dxa"/>
            <w:tcBorders>
              <w:top w:val="single" w:sz="4" w:space="0" w:color="auto"/>
              <w:left w:val="single" w:sz="4" w:space="0" w:color="auto"/>
              <w:bottom w:val="single" w:sz="4" w:space="0" w:color="auto"/>
              <w:right w:val="single" w:sz="4" w:space="0" w:color="auto"/>
            </w:tcBorders>
          </w:tcPr>
          <w:p w14:paraId="54886B78" w14:textId="77777777" w:rsidR="00AC48D2" w:rsidRPr="001362A6" w:rsidRDefault="00AC48D2">
            <w:pPr>
              <w:pStyle w:val="Heading3"/>
              <w:spacing w:before="0" w:after="0" w:line="240" w:lineRule="auto"/>
              <w:rPr>
                <w:rFonts w:ascii="Lato" w:hAnsi="Lato"/>
                <w:b w:val="0"/>
                <w:bCs/>
                <w:color w:val="auto"/>
                <w:sz w:val="22"/>
                <w:szCs w:val="22"/>
                <w:u w:val="single"/>
              </w:rPr>
            </w:pPr>
          </w:p>
        </w:tc>
      </w:tr>
      <w:tr w:rsidR="00AC48D2" w:rsidRPr="001362A6" w14:paraId="28C22E2B" w14:textId="77777777" w:rsidTr="00990D73">
        <w:trPr>
          <w:cantSplit/>
        </w:trPr>
        <w:tc>
          <w:tcPr>
            <w:tcW w:w="1316" w:type="dxa"/>
          </w:tcPr>
          <w:p w14:paraId="739C9CE8" w14:textId="77777777" w:rsidR="00AC48D2" w:rsidRPr="001362A6" w:rsidRDefault="00AC48D2">
            <w:pPr>
              <w:rPr>
                <w:rFonts w:ascii="Lato" w:hAnsi="Lato"/>
                <w:sz w:val="22"/>
                <w:szCs w:val="22"/>
              </w:rPr>
            </w:pPr>
          </w:p>
        </w:tc>
        <w:tc>
          <w:tcPr>
            <w:tcW w:w="5891" w:type="dxa"/>
          </w:tcPr>
          <w:p w14:paraId="5A3C732E" w14:textId="77777777" w:rsidR="00AC48D2" w:rsidRPr="001362A6" w:rsidRDefault="001579E3" w:rsidP="00D95E9D">
            <w:pPr>
              <w:pStyle w:val="Heading3"/>
              <w:spacing w:before="0" w:after="0" w:line="240" w:lineRule="auto"/>
              <w:rPr>
                <w:rFonts w:ascii="Lato" w:hAnsi="Lato"/>
                <w:b w:val="0"/>
                <w:bCs/>
                <w:color w:val="auto"/>
                <w:sz w:val="22"/>
                <w:szCs w:val="22"/>
              </w:rPr>
            </w:pPr>
            <w:r w:rsidRPr="00590C6D">
              <w:rPr>
                <w:rFonts w:ascii="Lato" w:hAnsi="Lato"/>
                <w:b w:val="0"/>
                <w:bCs/>
                <w:color w:val="auto"/>
                <w:sz w:val="22"/>
                <w:szCs w:val="22"/>
              </w:rPr>
              <w:t>significant</w:t>
            </w:r>
            <w:r w:rsidRPr="00D95E9D">
              <w:rPr>
                <w:rFonts w:ascii="Lato" w:hAnsi="Lato"/>
                <w:b w:val="0"/>
                <w:bCs/>
                <w:color w:val="auto"/>
                <w:sz w:val="22"/>
                <w:szCs w:val="22"/>
              </w:rPr>
              <w:t xml:space="preserve"> </w:t>
            </w:r>
            <w:r w:rsidR="0086642B" w:rsidRPr="001362A6">
              <w:rPr>
                <w:rFonts w:ascii="Lato" w:hAnsi="Lato"/>
                <w:b w:val="0"/>
                <w:bCs/>
                <w:color w:val="auto"/>
                <w:sz w:val="22"/>
                <w:szCs w:val="22"/>
              </w:rPr>
              <w:t xml:space="preserve">exposure to a </w:t>
            </w:r>
            <w:r w:rsidR="00AC48D2" w:rsidRPr="001362A6">
              <w:rPr>
                <w:rFonts w:ascii="Lato" w:hAnsi="Lato"/>
                <w:b w:val="0"/>
                <w:bCs/>
                <w:color w:val="auto"/>
                <w:sz w:val="22"/>
                <w:szCs w:val="22"/>
              </w:rPr>
              <w:t xml:space="preserve">single issuer/ counterparty/asset, </w:t>
            </w:r>
          </w:p>
        </w:tc>
        <w:tc>
          <w:tcPr>
            <w:tcW w:w="3188" w:type="dxa"/>
            <w:tcBorders>
              <w:top w:val="single" w:sz="4" w:space="0" w:color="auto"/>
            </w:tcBorders>
          </w:tcPr>
          <w:p w14:paraId="5C1B9223" w14:textId="77777777" w:rsidR="00AC48D2" w:rsidRPr="001362A6" w:rsidRDefault="00AC48D2">
            <w:pPr>
              <w:pStyle w:val="Heading3"/>
              <w:spacing w:before="0" w:after="0" w:line="240" w:lineRule="auto"/>
              <w:rPr>
                <w:rFonts w:ascii="Lato" w:hAnsi="Lato"/>
                <w:b w:val="0"/>
                <w:bCs/>
                <w:color w:val="auto"/>
                <w:sz w:val="22"/>
                <w:szCs w:val="22"/>
                <w:u w:val="single"/>
              </w:rPr>
            </w:pPr>
          </w:p>
        </w:tc>
      </w:tr>
      <w:tr w:rsidR="0086642B" w:rsidRPr="001362A6" w14:paraId="6EDC0CE5" w14:textId="77777777" w:rsidTr="00990D73">
        <w:trPr>
          <w:cantSplit/>
        </w:trPr>
        <w:tc>
          <w:tcPr>
            <w:tcW w:w="1316" w:type="dxa"/>
          </w:tcPr>
          <w:p w14:paraId="3C71FF36" w14:textId="77777777" w:rsidR="0086642B" w:rsidRPr="001362A6" w:rsidRDefault="0086642B">
            <w:pPr>
              <w:rPr>
                <w:rFonts w:ascii="Lato" w:hAnsi="Lato"/>
                <w:sz w:val="22"/>
                <w:szCs w:val="22"/>
              </w:rPr>
            </w:pPr>
          </w:p>
        </w:tc>
        <w:tc>
          <w:tcPr>
            <w:tcW w:w="5891" w:type="dxa"/>
          </w:tcPr>
          <w:p w14:paraId="7C58A16A" w14:textId="77777777" w:rsidR="0086642B" w:rsidRPr="001362A6" w:rsidRDefault="001579E3" w:rsidP="0086642B">
            <w:pPr>
              <w:pStyle w:val="Heading3"/>
              <w:spacing w:before="0" w:after="0" w:line="240" w:lineRule="auto"/>
              <w:rPr>
                <w:rFonts w:ascii="Lato" w:hAnsi="Lato"/>
                <w:b w:val="0"/>
                <w:bCs/>
                <w:color w:val="auto"/>
                <w:sz w:val="22"/>
                <w:szCs w:val="22"/>
              </w:rPr>
            </w:pPr>
            <w:r w:rsidRPr="00590C6D">
              <w:rPr>
                <w:rFonts w:ascii="Lato" w:hAnsi="Lato"/>
                <w:b w:val="0"/>
                <w:bCs/>
                <w:color w:val="auto"/>
                <w:sz w:val="22"/>
                <w:szCs w:val="22"/>
              </w:rPr>
              <w:t xml:space="preserve">where this is the </w:t>
            </w:r>
            <w:r w:rsidR="0086642B" w:rsidRPr="001362A6">
              <w:rPr>
                <w:rFonts w:ascii="Lato" w:hAnsi="Lato"/>
                <w:b w:val="0"/>
                <w:bCs/>
                <w:color w:val="auto"/>
                <w:sz w:val="22"/>
                <w:szCs w:val="22"/>
              </w:rPr>
              <w:t>case</w:t>
            </w:r>
          </w:p>
        </w:tc>
        <w:tc>
          <w:tcPr>
            <w:tcW w:w="3188" w:type="dxa"/>
          </w:tcPr>
          <w:p w14:paraId="6F3567CD" w14:textId="77777777" w:rsidR="0086642B" w:rsidRPr="001362A6" w:rsidRDefault="0086642B">
            <w:pPr>
              <w:pStyle w:val="Heading3"/>
              <w:spacing w:before="0" w:after="0" w:line="240" w:lineRule="auto"/>
              <w:rPr>
                <w:rFonts w:ascii="Lato" w:hAnsi="Lato"/>
                <w:b w:val="0"/>
                <w:bCs/>
                <w:color w:val="auto"/>
                <w:sz w:val="22"/>
                <w:szCs w:val="22"/>
                <w:u w:val="single"/>
              </w:rPr>
            </w:pPr>
          </w:p>
        </w:tc>
      </w:tr>
      <w:tr w:rsidR="005B507F" w:rsidRPr="001362A6" w14:paraId="4B1B0401" w14:textId="77777777" w:rsidTr="00990D73">
        <w:trPr>
          <w:cantSplit/>
        </w:trPr>
        <w:tc>
          <w:tcPr>
            <w:tcW w:w="1316" w:type="dxa"/>
          </w:tcPr>
          <w:p w14:paraId="0AE79CEA" w14:textId="77777777" w:rsidR="005B507F" w:rsidRPr="001362A6" w:rsidRDefault="005B507F">
            <w:pPr>
              <w:rPr>
                <w:rFonts w:ascii="Lato" w:hAnsi="Lato"/>
                <w:sz w:val="22"/>
                <w:szCs w:val="22"/>
              </w:rPr>
            </w:pPr>
          </w:p>
        </w:tc>
        <w:tc>
          <w:tcPr>
            <w:tcW w:w="5891" w:type="dxa"/>
          </w:tcPr>
          <w:p w14:paraId="727B69E3" w14:textId="77777777" w:rsidR="005B507F" w:rsidRPr="001362A6" w:rsidRDefault="005B507F" w:rsidP="0086642B">
            <w:pPr>
              <w:pStyle w:val="Heading3"/>
              <w:spacing w:before="0" w:after="0" w:line="240" w:lineRule="auto"/>
              <w:rPr>
                <w:rFonts w:ascii="Lato" w:hAnsi="Lato"/>
                <w:b w:val="0"/>
                <w:bCs/>
                <w:color w:val="auto"/>
                <w:sz w:val="22"/>
                <w:szCs w:val="22"/>
              </w:rPr>
            </w:pPr>
          </w:p>
        </w:tc>
        <w:tc>
          <w:tcPr>
            <w:tcW w:w="3188" w:type="dxa"/>
          </w:tcPr>
          <w:p w14:paraId="039A221A"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23D16581" w14:textId="77777777" w:rsidTr="00990D73">
        <w:trPr>
          <w:cantSplit/>
        </w:trPr>
        <w:tc>
          <w:tcPr>
            <w:tcW w:w="1316" w:type="dxa"/>
          </w:tcPr>
          <w:p w14:paraId="66757BEB" w14:textId="77777777" w:rsidR="005B507F" w:rsidRPr="001362A6" w:rsidRDefault="005B507F">
            <w:pPr>
              <w:rPr>
                <w:rFonts w:ascii="Lato" w:hAnsi="Lato"/>
                <w:sz w:val="22"/>
                <w:szCs w:val="22"/>
              </w:rPr>
            </w:pPr>
            <w:r w:rsidRPr="001362A6">
              <w:rPr>
                <w:rFonts w:ascii="Lato" w:hAnsi="Lato"/>
                <w:b/>
                <w:sz w:val="22"/>
                <w:szCs w:val="22"/>
              </w:rPr>
              <w:t>2.2.13</w:t>
            </w:r>
          </w:p>
        </w:tc>
        <w:tc>
          <w:tcPr>
            <w:tcW w:w="5891" w:type="dxa"/>
          </w:tcPr>
          <w:p w14:paraId="441FD33E" w14:textId="77777777" w:rsidR="005B507F" w:rsidRPr="001362A6" w:rsidRDefault="005B507F" w:rsidP="0086642B">
            <w:pPr>
              <w:pStyle w:val="Heading3"/>
              <w:spacing w:before="0" w:after="0" w:line="240" w:lineRule="auto"/>
              <w:rPr>
                <w:rFonts w:ascii="Lato" w:hAnsi="Lato"/>
                <w:b w:val="0"/>
                <w:bCs/>
                <w:color w:val="auto"/>
                <w:sz w:val="22"/>
                <w:szCs w:val="22"/>
              </w:rPr>
            </w:pPr>
            <w:r w:rsidRPr="001362A6">
              <w:rPr>
                <w:rFonts w:ascii="Lato" w:hAnsi="Lato"/>
                <w:color w:val="auto"/>
                <w:sz w:val="22"/>
                <w:szCs w:val="22"/>
                <w:u w:val="single"/>
              </w:rPr>
              <w:t>Securities Financing Transactions (“SFTs”) as defined in Regulation (EU) 2015/2365</w:t>
            </w:r>
          </w:p>
        </w:tc>
        <w:tc>
          <w:tcPr>
            <w:tcW w:w="3188" w:type="dxa"/>
          </w:tcPr>
          <w:p w14:paraId="13F7C871"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21BD54C1" w14:textId="77777777" w:rsidTr="00A13DB5">
        <w:trPr>
          <w:cantSplit/>
        </w:trPr>
        <w:tc>
          <w:tcPr>
            <w:tcW w:w="1316" w:type="dxa"/>
          </w:tcPr>
          <w:p w14:paraId="332FC029" w14:textId="77777777" w:rsidR="005B507F" w:rsidRPr="001362A6" w:rsidRDefault="005B507F">
            <w:pPr>
              <w:rPr>
                <w:rFonts w:ascii="Lato" w:hAnsi="Lato"/>
                <w:sz w:val="22"/>
                <w:szCs w:val="22"/>
              </w:rPr>
            </w:pPr>
          </w:p>
        </w:tc>
        <w:tc>
          <w:tcPr>
            <w:tcW w:w="5891" w:type="dxa"/>
          </w:tcPr>
          <w:p w14:paraId="49EBA482" w14:textId="77777777" w:rsidR="005B507F" w:rsidRPr="001362A6" w:rsidRDefault="005B507F" w:rsidP="0086642B">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7012F13B"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1370C27E" w14:textId="77777777" w:rsidTr="00A13DB5">
        <w:trPr>
          <w:cantSplit/>
        </w:trPr>
        <w:tc>
          <w:tcPr>
            <w:tcW w:w="1316" w:type="dxa"/>
          </w:tcPr>
          <w:p w14:paraId="77692E60" w14:textId="77777777" w:rsidR="005B507F" w:rsidRPr="001362A6" w:rsidRDefault="005B507F">
            <w:pPr>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192516E8" w14:textId="77777777" w:rsidR="005B507F" w:rsidRPr="001362A6" w:rsidRDefault="005B507F" w:rsidP="00D95E9D">
            <w:pPr>
              <w:pStyle w:val="Heading3"/>
              <w:spacing w:before="0" w:after="0" w:line="240" w:lineRule="auto"/>
              <w:rPr>
                <w:rFonts w:ascii="Lato" w:hAnsi="Lato"/>
                <w:b w:val="0"/>
                <w:bCs/>
                <w:color w:val="auto"/>
                <w:sz w:val="22"/>
                <w:szCs w:val="22"/>
              </w:rPr>
            </w:pPr>
            <w:r w:rsidRPr="001362A6">
              <w:rPr>
                <w:rFonts w:ascii="Lato" w:hAnsi="Lato"/>
                <w:b w:val="0"/>
                <w:color w:val="auto"/>
                <w:sz w:val="22"/>
                <w:szCs w:val="22"/>
              </w:rPr>
              <w:t xml:space="preserve">Provide a general description of the SFTs and total return </w:t>
            </w:r>
          </w:p>
        </w:tc>
        <w:tc>
          <w:tcPr>
            <w:tcW w:w="3188" w:type="dxa"/>
            <w:tcBorders>
              <w:top w:val="single" w:sz="4" w:space="0" w:color="auto"/>
              <w:left w:val="single" w:sz="4" w:space="0" w:color="auto"/>
              <w:bottom w:val="single" w:sz="4" w:space="0" w:color="auto"/>
              <w:right w:val="single" w:sz="4" w:space="0" w:color="auto"/>
            </w:tcBorders>
          </w:tcPr>
          <w:p w14:paraId="3EEC89D7"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5BA97C88" w14:textId="77777777" w:rsidTr="00A13DB5">
        <w:trPr>
          <w:cantSplit/>
        </w:trPr>
        <w:tc>
          <w:tcPr>
            <w:tcW w:w="1316" w:type="dxa"/>
          </w:tcPr>
          <w:p w14:paraId="67E216E4" w14:textId="77777777" w:rsidR="005B507F" w:rsidRPr="001362A6" w:rsidRDefault="005B507F">
            <w:pPr>
              <w:rPr>
                <w:rFonts w:ascii="Lato" w:hAnsi="Lato"/>
                <w:sz w:val="22"/>
                <w:szCs w:val="22"/>
              </w:rPr>
            </w:pPr>
          </w:p>
        </w:tc>
        <w:tc>
          <w:tcPr>
            <w:tcW w:w="5891" w:type="dxa"/>
          </w:tcPr>
          <w:p w14:paraId="67950EBA" w14:textId="77777777" w:rsidR="005B507F" w:rsidRPr="001362A6" w:rsidRDefault="001579E3" w:rsidP="0086642B">
            <w:pPr>
              <w:pStyle w:val="Heading3"/>
              <w:spacing w:before="0" w:after="0" w:line="240" w:lineRule="auto"/>
              <w:rPr>
                <w:rFonts w:ascii="Lato" w:hAnsi="Lato"/>
                <w:b w:val="0"/>
                <w:bCs/>
                <w:color w:val="auto"/>
                <w:sz w:val="22"/>
                <w:szCs w:val="22"/>
              </w:rPr>
            </w:pPr>
            <w:r w:rsidRPr="00590C6D">
              <w:rPr>
                <w:rFonts w:ascii="Lato" w:hAnsi="Lato"/>
                <w:b w:val="0"/>
                <w:color w:val="auto"/>
                <w:sz w:val="22"/>
                <w:szCs w:val="22"/>
              </w:rPr>
              <w:t>swaps</w:t>
            </w:r>
            <w:r w:rsidRPr="00D95E9D">
              <w:rPr>
                <w:rFonts w:ascii="Lato" w:hAnsi="Lato"/>
                <w:b w:val="0"/>
                <w:color w:val="auto"/>
                <w:sz w:val="22"/>
                <w:szCs w:val="22"/>
              </w:rPr>
              <w:t xml:space="preserve"> </w:t>
            </w:r>
            <w:r w:rsidR="005B507F" w:rsidRPr="001362A6">
              <w:rPr>
                <w:rFonts w:ascii="Lato" w:hAnsi="Lato"/>
                <w:b w:val="0"/>
                <w:color w:val="auto"/>
                <w:sz w:val="22"/>
                <w:szCs w:val="22"/>
              </w:rPr>
              <w:t>used by the collective investment undertaking and the rationale for their use</w:t>
            </w:r>
          </w:p>
        </w:tc>
        <w:tc>
          <w:tcPr>
            <w:tcW w:w="3188" w:type="dxa"/>
            <w:tcBorders>
              <w:top w:val="single" w:sz="4" w:space="0" w:color="auto"/>
            </w:tcBorders>
          </w:tcPr>
          <w:p w14:paraId="5C62F6F8"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6A6F13D0" w14:textId="77777777" w:rsidTr="00A13DB5">
        <w:trPr>
          <w:cantSplit/>
        </w:trPr>
        <w:tc>
          <w:tcPr>
            <w:tcW w:w="1316" w:type="dxa"/>
          </w:tcPr>
          <w:p w14:paraId="101B5197" w14:textId="77777777" w:rsidR="005B507F" w:rsidRPr="001362A6" w:rsidRDefault="005B507F">
            <w:pPr>
              <w:rPr>
                <w:rFonts w:ascii="Lato" w:hAnsi="Lato"/>
                <w:sz w:val="22"/>
                <w:szCs w:val="22"/>
              </w:rPr>
            </w:pPr>
          </w:p>
        </w:tc>
        <w:tc>
          <w:tcPr>
            <w:tcW w:w="5891" w:type="dxa"/>
          </w:tcPr>
          <w:p w14:paraId="0315BBB7" w14:textId="77777777" w:rsidR="005B507F" w:rsidRPr="001362A6" w:rsidRDefault="005B507F" w:rsidP="0086642B">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73CF153F"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3BED2C6A" w14:textId="77777777" w:rsidTr="00A13DB5">
        <w:trPr>
          <w:cantSplit/>
        </w:trPr>
        <w:tc>
          <w:tcPr>
            <w:tcW w:w="1316" w:type="dxa"/>
          </w:tcPr>
          <w:p w14:paraId="42580222" w14:textId="77777777" w:rsidR="005B507F" w:rsidRPr="001362A6" w:rsidRDefault="005B507F">
            <w:pPr>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45569796" w14:textId="77777777" w:rsidR="005B507F" w:rsidRPr="001362A6" w:rsidRDefault="005B507F" w:rsidP="0086642B">
            <w:pPr>
              <w:pStyle w:val="Heading3"/>
              <w:spacing w:before="0" w:after="0" w:line="240" w:lineRule="auto"/>
              <w:rPr>
                <w:rFonts w:ascii="Lato" w:hAnsi="Lato"/>
                <w:b w:val="0"/>
                <w:bCs/>
                <w:color w:val="auto"/>
                <w:sz w:val="22"/>
                <w:szCs w:val="22"/>
              </w:rPr>
            </w:pPr>
            <w:r w:rsidRPr="001362A6">
              <w:rPr>
                <w:rFonts w:ascii="Lato" w:hAnsi="Lato"/>
                <w:b w:val="0"/>
                <w:color w:val="auto"/>
                <w:sz w:val="22"/>
                <w:szCs w:val="22"/>
              </w:rPr>
              <w:t>Disclose the overall data for each type of SFT</w:t>
            </w:r>
          </w:p>
        </w:tc>
        <w:tc>
          <w:tcPr>
            <w:tcW w:w="3188" w:type="dxa"/>
            <w:tcBorders>
              <w:top w:val="single" w:sz="4" w:space="0" w:color="auto"/>
              <w:left w:val="single" w:sz="4" w:space="0" w:color="auto"/>
              <w:bottom w:val="single" w:sz="4" w:space="0" w:color="auto"/>
              <w:right w:val="single" w:sz="4" w:space="0" w:color="auto"/>
            </w:tcBorders>
          </w:tcPr>
          <w:p w14:paraId="2602290A"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275C3E8F" w14:textId="77777777" w:rsidTr="00A13DB5">
        <w:trPr>
          <w:cantSplit/>
        </w:trPr>
        <w:tc>
          <w:tcPr>
            <w:tcW w:w="1316" w:type="dxa"/>
          </w:tcPr>
          <w:p w14:paraId="14CDB8CD" w14:textId="77777777" w:rsidR="005B507F" w:rsidRPr="001362A6" w:rsidRDefault="005B507F">
            <w:pPr>
              <w:rPr>
                <w:rFonts w:ascii="Lato" w:hAnsi="Lato"/>
                <w:sz w:val="22"/>
                <w:szCs w:val="22"/>
              </w:rPr>
            </w:pPr>
          </w:p>
        </w:tc>
        <w:tc>
          <w:tcPr>
            <w:tcW w:w="5891" w:type="dxa"/>
          </w:tcPr>
          <w:p w14:paraId="33373F3B" w14:textId="77777777" w:rsidR="005B507F" w:rsidRPr="001362A6" w:rsidRDefault="005B507F" w:rsidP="0086642B">
            <w:pPr>
              <w:pStyle w:val="Heading3"/>
              <w:spacing w:before="0" w:after="0" w:line="240" w:lineRule="auto"/>
              <w:rPr>
                <w:rFonts w:ascii="Lato" w:hAnsi="Lato"/>
                <w:b w:val="0"/>
                <w:bCs/>
                <w:color w:val="auto"/>
                <w:sz w:val="22"/>
                <w:szCs w:val="22"/>
              </w:rPr>
            </w:pPr>
            <w:r w:rsidRPr="001362A6">
              <w:rPr>
                <w:rFonts w:ascii="Lato" w:hAnsi="Lato"/>
                <w:b w:val="0"/>
                <w:color w:val="auto"/>
                <w:sz w:val="22"/>
                <w:szCs w:val="22"/>
              </w:rPr>
              <w:t>and total return swap including:</w:t>
            </w:r>
          </w:p>
        </w:tc>
        <w:tc>
          <w:tcPr>
            <w:tcW w:w="3188" w:type="dxa"/>
            <w:tcBorders>
              <w:top w:val="single" w:sz="4" w:space="0" w:color="auto"/>
            </w:tcBorders>
          </w:tcPr>
          <w:p w14:paraId="69817B18"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3A91D13F" w14:textId="77777777" w:rsidTr="00A13DB5">
        <w:trPr>
          <w:cantSplit/>
        </w:trPr>
        <w:tc>
          <w:tcPr>
            <w:tcW w:w="1316" w:type="dxa"/>
          </w:tcPr>
          <w:p w14:paraId="18D8AA93" w14:textId="77777777" w:rsidR="005B507F" w:rsidRPr="001362A6" w:rsidRDefault="005B507F">
            <w:pPr>
              <w:rPr>
                <w:rFonts w:ascii="Lato" w:hAnsi="Lato"/>
                <w:sz w:val="22"/>
                <w:szCs w:val="22"/>
              </w:rPr>
            </w:pPr>
          </w:p>
        </w:tc>
        <w:tc>
          <w:tcPr>
            <w:tcW w:w="5891" w:type="dxa"/>
          </w:tcPr>
          <w:p w14:paraId="4B148CD6" w14:textId="77777777" w:rsidR="005B507F" w:rsidRPr="001362A6" w:rsidRDefault="005B507F" w:rsidP="0086642B">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6E6BD9DC"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420B8B86" w14:textId="77777777" w:rsidTr="00A13DB5">
        <w:trPr>
          <w:cantSplit/>
        </w:trPr>
        <w:tc>
          <w:tcPr>
            <w:tcW w:w="1316" w:type="dxa"/>
          </w:tcPr>
          <w:p w14:paraId="07152F56" w14:textId="77777777" w:rsidR="005B507F" w:rsidRPr="001362A6" w:rsidRDefault="005B507F">
            <w:pPr>
              <w:rPr>
                <w:rFonts w:ascii="Lato" w:hAnsi="Lato"/>
                <w:sz w:val="22"/>
                <w:szCs w:val="22"/>
              </w:rPr>
            </w:pPr>
            <w:r w:rsidRPr="001362A6">
              <w:rPr>
                <w:rFonts w:ascii="Lato" w:hAnsi="Lato"/>
                <w:sz w:val="22"/>
                <w:szCs w:val="22"/>
              </w:rPr>
              <w:t>(i)</w:t>
            </w:r>
          </w:p>
        </w:tc>
        <w:tc>
          <w:tcPr>
            <w:tcW w:w="5891" w:type="dxa"/>
            <w:tcBorders>
              <w:right w:val="single" w:sz="4" w:space="0" w:color="auto"/>
            </w:tcBorders>
          </w:tcPr>
          <w:p w14:paraId="52C5BABA" w14:textId="77777777" w:rsidR="005B507F" w:rsidRPr="001362A6" w:rsidRDefault="005B507F" w:rsidP="0086642B">
            <w:pPr>
              <w:pStyle w:val="Heading3"/>
              <w:spacing w:before="0" w:after="0" w:line="240" w:lineRule="auto"/>
              <w:rPr>
                <w:rFonts w:ascii="Lato" w:hAnsi="Lato"/>
                <w:b w:val="0"/>
                <w:bCs/>
                <w:color w:val="auto"/>
                <w:sz w:val="22"/>
                <w:szCs w:val="22"/>
              </w:rPr>
            </w:pPr>
            <w:r w:rsidRPr="001362A6">
              <w:rPr>
                <w:rFonts w:ascii="Lato" w:hAnsi="Lato"/>
                <w:b w:val="0"/>
                <w:color w:val="auto"/>
                <w:sz w:val="22"/>
                <w:szCs w:val="22"/>
              </w:rPr>
              <w:t>Types of assets that can be subject to them</w:t>
            </w:r>
          </w:p>
        </w:tc>
        <w:tc>
          <w:tcPr>
            <w:tcW w:w="3188" w:type="dxa"/>
            <w:tcBorders>
              <w:top w:val="single" w:sz="4" w:space="0" w:color="auto"/>
              <w:left w:val="single" w:sz="4" w:space="0" w:color="auto"/>
              <w:bottom w:val="single" w:sz="4" w:space="0" w:color="auto"/>
              <w:right w:val="single" w:sz="4" w:space="0" w:color="auto"/>
            </w:tcBorders>
          </w:tcPr>
          <w:p w14:paraId="06994C2A"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4B047E5A" w14:textId="77777777" w:rsidTr="00A13DB5">
        <w:trPr>
          <w:cantSplit/>
        </w:trPr>
        <w:tc>
          <w:tcPr>
            <w:tcW w:w="1316" w:type="dxa"/>
          </w:tcPr>
          <w:p w14:paraId="4FF46A39" w14:textId="77777777" w:rsidR="005B507F" w:rsidRPr="001362A6" w:rsidRDefault="005B507F">
            <w:pPr>
              <w:rPr>
                <w:rFonts w:ascii="Lato" w:hAnsi="Lato"/>
                <w:sz w:val="22"/>
                <w:szCs w:val="22"/>
              </w:rPr>
            </w:pPr>
          </w:p>
        </w:tc>
        <w:tc>
          <w:tcPr>
            <w:tcW w:w="5891" w:type="dxa"/>
          </w:tcPr>
          <w:p w14:paraId="6E9BDEAD" w14:textId="77777777" w:rsidR="005B507F" w:rsidRPr="001362A6" w:rsidRDefault="005B507F" w:rsidP="0086642B">
            <w:pPr>
              <w:pStyle w:val="Heading3"/>
              <w:spacing w:before="0" w:after="0" w:line="240" w:lineRule="auto"/>
              <w:rPr>
                <w:rFonts w:ascii="Lato" w:hAnsi="Lato"/>
                <w:b w:val="0"/>
                <w:bCs/>
                <w:color w:val="auto"/>
                <w:sz w:val="22"/>
                <w:szCs w:val="22"/>
              </w:rPr>
            </w:pPr>
          </w:p>
        </w:tc>
        <w:tc>
          <w:tcPr>
            <w:tcW w:w="3188" w:type="dxa"/>
            <w:tcBorders>
              <w:top w:val="single" w:sz="4" w:space="0" w:color="auto"/>
              <w:bottom w:val="single" w:sz="4" w:space="0" w:color="auto"/>
            </w:tcBorders>
          </w:tcPr>
          <w:p w14:paraId="6CBA881C"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0984A346" w14:textId="77777777" w:rsidTr="00A13DB5">
        <w:trPr>
          <w:cantSplit/>
        </w:trPr>
        <w:tc>
          <w:tcPr>
            <w:tcW w:w="1316" w:type="dxa"/>
          </w:tcPr>
          <w:p w14:paraId="067016FE" w14:textId="77777777" w:rsidR="005B507F" w:rsidRPr="001362A6" w:rsidRDefault="005B507F">
            <w:pPr>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152ECF04" w14:textId="77777777" w:rsidR="005B507F" w:rsidRPr="001362A6" w:rsidRDefault="005B507F" w:rsidP="0086642B">
            <w:pPr>
              <w:pStyle w:val="Heading3"/>
              <w:spacing w:before="0" w:after="0" w:line="240" w:lineRule="auto"/>
              <w:rPr>
                <w:rFonts w:ascii="Lato" w:hAnsi="Lato"/>
                <w:b w:val="0"/>
                <w:bCs/>
                <w:color w:val="auto"/>
                <w:sz w:val="22"/>
                <w:szCs w:val="22"/>
              </w:rPr>
            </w:pPr>
            <w:r w:rsidRPr="001362A6">
              <w:rPr>
                <w:rFonts w:ascii="Lato" w:hAnsi="Lato"/>
                <w:b w:val="0"/>
                <w:color w:val="auto"/>
                <w:sz w:val="22"/>
                <w:szCs w:val="22"/>
              </w:rPr>
              <w:t>Maximum proportion of AUM that can be subject to them</w:t>
            </w:r>
          </w:p>
        </w:tc>
        <w:tc>
          <w:tcPr>
            <w:tcW w:w="3188" w:type="dxa"/>
            <w:tcBorders>
              <w:top w:val="single" w:sz="4" w:space="0" w:color="auto"/>
              <w:left w:val="single" w:sz="4" w:space="0" w:color="auto"/>
              <w:bottom w:val="single" w:sz="4" w:space="0" w:color="auto"/>
              <w:right w:val="single" w:sz="4" w:space="0" w:color="auto"/>
            </w:tcBorders>
          </w:tcPr>
          <w:p w14:paraId="3FC87D88"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7CE8CF55" w14:textId="77777777" w:rsidTr="00A13DB5">
        <w:trPr>
          <w:cantSplit/>
        </w:trPr>
        <w:tc>
          <w:tcPr>
            <w:tcW w:w="1316" w:type="dxa"/>
          </w:tcPr>
          <w:p w14:paraId="4078783D" w14:textId="77777777" w:rsidR="005B507F" w:rsidRPr="001362A6" w:rsidRDefault="005B507F">
            <w:pPr>
              <w:rPr>
                <w:rFonts w:ascii="Lato" w:hAnsi="Lato"/>
                <w:sz w:val="22"/>
                <w:szCs w:val="22"/>
              </w:rPr>
            </w:pPr>
          </w:p>
        </w:tc>
        <w:tc>
          <w:tcPr>
            <w:tcW w:w="5891" w:type="dxa"/>
          </w:tcPr>
          <w:p w14:paraId="68A9A4C2" w14:textId="77777777" w:rsidR="005B507F" w:rsidRPr="001362A6" w:rsidRDefault="005B507F" w:rsidP="0086642B">
            <w:pPr>
              <w:pStyle w:val="Heading3"/>
              <w:spacing w:before="0" w:after="0" w:line="240" w:lineRule="auto"/>
              <w:rPr>
                <w:rFonts w:ascii="Lato" w:hAnsi="Lato"/>
                <w:b w:val="0"/>
                <w:bCs/>
                <w:color w:val="auto"/>
                <w:sz w:val="22"/>
                <w:szCs w:val="22"/>
              </w:rPr>
            </w:pPr>
          </w:p>
        </w:tc>
        <w:tc>
          <w:tcPr>
            <w:tcW w:w="3188" w:type="dxa"/>
            <w:tcBorders>
              <w:top w:val="single" w:sz="4" w:space="0" w:color="auto"/>
              <w:bottom w:val="single" w:sz="4" w:space="0" w:color="auto"/>
            </w:tcBorders>
          </w:tcPr>
          <w:p w14:paraId="4F229632"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4180F691" w14:textId="77777777" w:rsidTr="00A13DB5">
        <w:trPr>
          <w:cantSplit/>
        </w:trPr>
        <w:tc>
          <w:tcPr>
            <w:tcW w:w="1316" w:type="dxa"/>
          </w:tcPr>
          <w:p w14:paraId="0A66E18C" w14:textId="77777777" w:rsidR="005B507F" w:rsidRPr="001362A6" w:rsidRDefault="005B507F">
            <w:pPr>
              <w:rPr>
                <w:rFonts w:ascii="Lato" w:hAnsi="Lato"/>
                <w:sz w:val="22"/>
                <w:szCs w:val="22"/>
              </w:rPr>
            </w:pPr>
            <w:r w:rsidRPr="001362A6">
              <w:rPr>
                <w:rFonts w:ascii="Lato" w:hAnsi="Lato"/>
                <w:sz w:val="22"/>
                <w:szCs w:val="22"/>
              </w:rPr>
              <w:t>(iii)</w:t>
            </w:r>
          </w:p>
        </w:tc>
        <w:tc>
          <w:tcPr>
            <w:tcW w:w="5891" w:type="dxa"/>
            <w:tcBorders>
              <w:right w:val="single" w:sz="4" w:space="0" w:color="auto"/>
            </w:tcBorders>
          </w:tcPr>
          <w:p w14:paraId="27E78077" w14:textId="77777777" w:rsidR="005B507F" w:rsidRPr="001362A6" w:rsidRDefault="005B507F" w:rsidP="0086642B">
            <w:pPr>
              <w:pStyle w:val="Heading3"/>
              <w:spacing w:before="0" w:after="0" w:line="240" w:lineRule="auto"/>
              <w:rPr>
                <w:rFonts w:ascii="Lato" w:hAnsi="Lato"/>
                <w:b w:val="0"/>
                <w:bCs/>
                <w:color w:val="auto"/>
                <w:sz w:val="22"/>
                <w:szCs w:val="22"/>
              </w:rPr>
            </w:pPr>
            <w:r w:rsidRPr="001362A6">
              <w:rPr>
                <w:rFonts w:ascii="Lato" w:hAnsi="Lato"/>
                <w:b w:val="0"/>
                <w:color w:val="auto"/>
                <w:sz w:val="22"/>
                <w:szCs w:val="22"/>
              </w:rPr>
              <w:t>Expected proportion of AUM that will be subject to each</w:t>
            </w:r>
          </w:p>
        </w:tc>
        <w:tc>
          <w:tcPr>
            <w:tcW w:w="3188" w:type="dxa"/>
            <w:tcBorders>
              <w:top w:val="single" w:sz="4" w:space="0" w:color="auto"/>
              <w:left w:val="single" w:sz="4" w:space="0" w:color="auto"/>
              <w:bottom w:val="single" w:sz="4" w:space="0" w:color="auto"/>
              <w:right w:val="single" w:sz="4" w:space="0" w:color="auto"/>
            </w:tcBorders>
          </w:tcPr>
          <w:p w14:paraId="77382F71"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7C785F66" w14:textId="77777777" w:rsidTr="00A13DB5">
        <w:trPr>
          <w:cantSplit/>
        </w:trPr>
        <w:tc>
          <w:tcPr>
            <w:tcW w:w="1316" w:type="dxa"/>
          </w:tcPr>
          <w:p w14:paraId="0B7FDD8A" w14:textId="77777777" w:rsidR="005B507F" w:rsidRPr="001362A6" w:rsidRDefault="005B507F">
            <w:pPr>
              <w:rPr>
                <w:rFonts w:ascii="Lato" w:hAnsi="Lato"/>
                <w:sz w:val="22"/>
                <w:szCs w:val="22"/>
              </w:rPr>
            </w:pPr>
          </w:p>
        </w:tc>
        <w:tc>
          <w:tcPr>
            <w:tcW w:w="5891" w:type="dxa"/>
          </w:tcPr>
          <w:p w14:paraId="4362A7D6" w14:textId="77777777" w:rsidR="005B507F" w:rsidRPr="001362A6" w:rsidRDefault="005B507F" w:rsidP="0086642B">
            <w:pPr>
              <w:pStyle w:val="Heading3"/>
              <w:spacing w:before="0" w:after="0" w:line="240" w:lineRule="auto"/>
              <w:rPr>
                <w:rFonts w:ascii="Lato" w:hAnsi="Lato"/>
                <w:b w:val="0"/>
                <w:bCs/>
                <w:color w:val="auto"/>
                <w:sz w:val="22"/>
                <w:szCs w:val="22"/>
              </w:rPr>
            </w:pPr>
            <w:r w:rsidRPr="001362A6">
              <w:rPr>
                <w:rFonts w:ascii="Lato" w:hAnsi="Lato"/>
                <w:b w:val="0"/>
                <w:color w:val="auto"/>
                <w:sz w:val="22"/>
                <w:szCs w:val="22"/>
              </w:rPr>
              <w:t>of them</w:t>
            </w:r>
          </w:p>
        </w:tc>
        <w:tc>
          <w:tcPr>
            <w:tcW w:w="3188" w:type="dxa"/>
            <w:tcBorders>
              <w:top w:val="single" w:sz="4" w:space="0" w:color="auto"/>
            </w:tcBorders>
          </w:tcPr>
          <w:p w14:paraId="3ACD9921"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026715A9" w14:textId="77777777" w:rsidTr="00A13DB5">
        <w:trPr>
          <w:cantSplit/>
        </w:trPr>
        <w:tc>
          <w:tcPr>
            <w:tcW w:w="1316" w:type="dxa"/>
          </w:tcPr>
          <w:p w14:paraId="30F0D925" w14:textId="77777777" w:rsidR="005B507F" w:rsidRPr="001362A6" w:rsidRDefault="005B507F">
            <w:pPr>
              <w:rPr>
                <w:rFonts w:ascii="Lato" w:hAnsi="Lato"/>
                <w:sz w:val="22"/>
                <w:szCs w:val="22"/>
              </w:rPr>
            </w:pPr>
          </w:p>
        </w:tc>
        <w:tc>
          <w:tcPr>
            <w:tcW w:w="5891" w:type="dxa"/>
          </w:tcPr>
          <w:p w14:paraId="22C73B7B" w14:textId="77777777" w:rsidR="005B507F" w:rsidRPr="001362A6" w:rsidRDefault="005B507F" w:rsidP="0086642B">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5041ABC2"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4CC8B40B" w14:textId="77777777" w:rsidTr="00A13DB5">
        <w:trPr>
          <w:cantSplit/>
        </w:trPr>
        <w:tc>
          <w:tcPr>
            <w:tcW w:w="1316" w:type="dxa"/>
          </w:tcPr>
          <w:p w14:paraId="47B6A240" w14:textId="77777777" w:rsidR="005B507F" w:rsidRPr="001362A6" w:rsidRDefault="005B507F">
            <w:pPr>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447B5163" w14:textId="77777777" w:rsidR="005B507F" w:rsidRPr="001362A6" w:rsidRDefault="005B507F" w:rsidP="00D95E9D">
            <w:pPr>
              <w:pStyle w:val="Heading3"/>
              <w:spacing w:before="0" w:after="0" w:line="240" w:lineRule="auto"/>
              <w:rPr>
                <w:rFonts w:ascii="Lato" w:hAnsi="Lato"/>
                <w:b w:val="0"/>
                <w:bCs/>
                <w:color w:val="auto"/>
                <w:sz w:val="22"/>
                <w:szCs w:val="22"/>
              </w:rPr>
            </w:pPr>
            <w:r w:rsidRPr="001362A6">
              <w:rPr>
                <w:rFonts w:ascii="Lato" w:hAnsi="Lato"/>
                <w:b w:val="0"/>
                <w:color w:val="auto"/>
                <w:sz w:val="22"/>
                <w:szCs w:val="22"/>
              </w:rPr>
              <w:t xml:space="preserve">Disclose the criteria used to select counterparties </w:t>
            </w:r>
          </w:p>
        </w:tc>
        <w:tc>
          <w:tcPr>
            <w:tcW w:w="3188" w:type="dxa"/>
            <w:tcBorders>
              <w:top w:val="single" w:sz="4" w:space="0" w:color="auto"/>
              <w:left w:val="single" w:sz="4" w:space="0" w:color="auto"/>
              <w:bottom w:val="single" w:sz="4" w:space="0" w:color="auto"/>
              <w:right w:val="single" w:sz="4" w:space="0" w:color="auto"/>
            </w:tcBorders>
          </w:tcPr>
          <w:p w14:paraId="49EE0F2B"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154456BF" w14:textId="77777777" w:rsidTr="00A13DB5">
        <w:trPr>
          <w:cantSplit/>
        </w:trPr>
        <w:tc>
          <w:tcPr>
            <w:tcW w:w="1316" w:type="dxa"/>
          </w:tcPr>
          <w:p w14:paraId="4AAFF884" w14:textId="77777777" w:rsidR="005B507F" w:rsidRPr="001362A6" w:rsidRDefault="005B507F">
            <w:pPr>
              <w:rPr>
                <w:rFonts w:ascii="Lato" w:hAnsi="Lato"/>
                <w:sz w:val="22"/>
                <w:szCs w:val="22"/>
              </w:rPr>
            </w:pPr>
          </w:p>
        </w:tc>
        <w:tc>
          <w:tcPr>
            <w:tcW w:w="5891" w:type="dxa"/>
          </w:tcPr>
          <w:p w14:paraId="5BDDB6B8" w14:textId="77777777" w:rsidR="005B507F" w:rsidRPr="001362A6" w:rsidRDefault="001579E3" w:rsidP="0086642B">
            <w:pPr>
              <w:pStyle w:val="Heading3"/>
              <w:spacing w:before="0" w:after="0" w:line="240" w:lineRule="auto"/>
              <w:rPr>
                <w:rFonts w:ascii="Lato" w:hAnsi="Lato"/>
                <w:b w:val="0"/>
                <w:bCs/>
                <w:color w:val="auto"/>
                <w:sz w:val="22"/>
                <w:szCs w:val="22"/>
              </w:rPr>
            </w:pPr>
            <w:r w:rsidRPr="00590C6D">
              <w:rPr>
                <w:rFonts w:ascii="Lato" w:hAnsi="Lato"/>
                <w:b w:val="0"/>
                <w:color w:val="auto"/>
                <w:sz w:val="22"/>
                <w:szCs w:val="22"/>
              </w:rPr>
              <w:t>(including</w:t>
            </w:r>
            <w:r w:rsidRPr="00D95E9D">
              <w:rPr>
                <w:rFonts w:ascii="Lato" w:hAnsi="Lato"/>
                <w:b w:val="0"/>
                <w:color w:val="auto"/>
                <w:sz w:val="22"/>
                <w:szCs w:val="22"/>
              </w:rPr>
              <w:t xml:space="preserve"> </w:t>
            </w:r>
            <w:r w:rsidR="005B507F" w:rsidRPr="001362A6">
              <w:rPr>
                <w:rFonts w:ascii="Lato" w:hAnsi="Lato"/>
                <w:b w:val="0"/>
                <w:color w:val="auto"/>
                <w:sz w:val="22"/>
                <w:szCs w:val="22"/>
              </w:rPr>
              <w:t>legal status, country of origin, minimum credit rating)</w:t>
            </w:r>
          </w:p>
        </w:tc>
        <w:tc>
          <w:tcPr>
            <w:tcW w:w="3188" w:type="dxa"/>
            <w:tcBorders>
              <w:top w:val="single" w:sz="4" w:space="0" w:color="auto"/>
            </w:tcBorders>
          </w:tcPr>
          <w:p w14:paraId="63B797B8"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5F99168D" w14:textId="77777777" w:rsidTr="00A13DB5">
        <w:trPr>
          <w:cantSplit/>
        </w:trPr>
        <w:tc>
          <w:tcPr>
            <w:tcW w:w="1316" w:type="dxa"/>
          </w:tcPr>
          <w:p w14:paraId="79C09C40" w14:textId="77777777" w:rsidR="005B507F" w:rsidRPr="001362A6" w:rsidRDefault="005B507F">
            <w:pPr>
              <w:rPr>
                <w:rFonts w:ascii="Lato" w:hAnsi="Lato"/>
                <w:sz w:val="22"/>
                <w:szCs w:val="22"/>
              </w:rPr>
            </w:pPr>
          </w:p>
        </w:tc>
        <w:tc>
          <w:tcPr>
            <w:tcW w:w="5891" w:type="dxa"/>
          </w:tcPr>
          <w:p w14:paraId="6D372C4C" w14:textId="77777777" w:rsidR="005B507F" w:rsidRPr="001362A6" w:rsidRDefault="005B507F" w:rsidP="0086642B">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78AB52EC"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42F89C3B" w14:textId="77777777" w:rsidTr="00A13DB5">
        <w:trPr>
          <w:cantSplit/>
        </w:trPr>
        <w:tc>
          <w:tcPr>
            <w:tcW w:w="1316" w:type="dxa"/>
          </w:tcPr>
          <w:p w14:paraId="0F0311F1" w14:textId="77777777" w:rsidR="005B507F" w:rsidRPr="001362A6" w:rsidRDefault="005B507F">
            <w:pPr>
              <w:rPr>
                <w:rFonts w:ascii="Lato" w:hAnsi="Lato"/>
                <w:sz w:val="22"/>
                <w:szCs w:val="22"/>
              </w:rPr>
            </w:pPr>
            <w:r w:rsidRPr="001362A6">
              <w:rPr>
                <w:rFonts w:ascii="Lato" w:hAnsi="Lato"/>
                <w:sz w:val="22"/>
                <w:szCs w:val="22"/>
              </w:rPr>
              <w:t>(d)</w:t>
            </w:r>
          </w:p>
        </w:tc>
        <w:tc>
          <w:tcPr>
            <w:tcW w:w="5891" w:type="dxa"/>
            <w:tcBorders>
              <w:right w:val="single" w:sz="4" w:space="0" w:color="auto"/>
            </w:tcBorders>
          </w:tcPr>
          <w:p w14:paraId="03D4018D" w14:textId="77777777" w:rsidR="005B507F" w:rsidRPr="001362A6" w:rsidRDefault="005B507F" w:rsidP="00D95E9D">
            <w:pPr>
              <w:pStyle w:val="Heading3"/>
              <w:spacing w:before="0" w:after="0" w:line="240" w:lineRule="auto"/>
              <w:rPr>
                <w:rFonts w:ascii="Lato" w:hAnsi="Lato"/>
                <w:b w:val="0"/>
                <w:bCs/>
                <w:color w:val="auto"/>
                <w:sz w:val="22"/>
                <w:szCs w:val="22"/>
              </w:rPr>
            </w:pPr>
            <w:r w:rsidRPr="001362A6">
              <w:rPr>
                <w:rFonts w:ascii="Lato" w:hAnsi="Lato"/>
                <w:b w:val="0"/>
                <w:color w:val="auto"/>
                <w:sz w:val="22"/>
                <w:szCs w:val="22"/>
              </w:rPr>
              <w:t xml:space="preserve">Provide a description of acceptable collateral with regard </w:t>
            </w:r>
          </w:p>
        </w:tc>
        <w:tc>
          <w:tcPr>
            <w:tcW w:w="3188" w:type="dxa"/>
            <w:tcBorders>
              <w:top w:val="single" w:sz="4" w:space="0" w:color="auto"/>
              <w:left w:val="single" w:sz="4" w:space="0" w:color="auto"/>
              <w:bottom w:val="single" w:sz="4" w:space="0" w:color="auto"/>
              <w:right w:val="single" w:sz="4" w:space="0" w:color="auto"/>
            </w:tcBorders>
          </w:tcPr>
          <w:p w14:paraId="774C3E22"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705ECE30" w14:textId="77777777" w:rsidTr="00A13DB5">
        <w:trPr>
          <w:cantSplit/>
        </w:trPr>
        <w:tc>
          <w:tcPr>
            <w:tcW w:w="1316" w:type="dxa"/>
          </w:tcPr>
          <w:p w14:paraId="568E6344" w14:textId="77777777" w:rsidR="005B507F" w:rsidRPr="001362A6" w:rsidRDefault="005B507F">
            <w:pPr>
              <w:rPr>
                <w:rFonts w:ascii="Lato" w:hAnsi="Lato"/>
                <w:sz w:val="22"/>
                <w:szCs w:val="22"/>
              </w:rPr>
            </w:pPr>
          </w:p>
        </w:tc>
        <w:tc>
          <w:tcPr>
            <w:tcW w:w="5891" w:type="dxa"/>
          </w:tcPr>
          <w:p w14:paraId="2F830DC2" w14:textId="77777777" w:rsidR="005B507F" w:rsidRPr="001362A6" w:rsidRDefault="001579E3" w:rsidP="0086642B">
            <w:pPr>
              <w:pStyle w:val="Heading3"/>
              <w:spacing w:before="0" w:after="0" w:line="240" w:lineRule="auto"/>
              <w:rPr>
                <w:rFonts w:ascii="Lato" w:hAnsi="Lato"/>
                <w:b w:val="0"/>
                <w:bCs/>
                <w:color w:val="auto"/>
                <w:sz w:val="22"/>
                <w:szCs w:val="22"/>
              </w:rPr>
            </w:pPr>
            <w:r w:rsidRPr="00590C6D">
              <w:rPr>
                <w:rFonts w:ascii="Lato" w:hAnsi="Lato"/>
                <w:b w:val="0"/>
                <w:color w:val="auto"/>
                <w:sz w:val="22"/>
                <w:szCs w:val="22"/>
              </w:rPr>
              <w:t>to</w:t>
            </w:r>
            <w:r w:rsidRPr="00D95E9D">
              <w:rPr>
                <w:rFonts w:ascii="Lato" w:hAnsi="Lato"/>
                <w:b w:val="0"/>
                <w:color w:val="auto"/>
                <w:sz w:val="22"/>
                <w:szCs w:val="22"/>
              </w:rPr>
              <w:t xml:space="preserve"> </w:t>
            </w:r>
            <w:r w:rsidR="005B507F" w:rsidRPr="001362A6">
              <w:rPr>
                <w:rFonts w:ascii="Lato" w:hAnsi="Lato"/>
                <w:b w:val="0"/>
                <w:color w:val="auto"/>
                <w:sz w:val="22"/>
                <w:szCs w:val="22"/>
              </w:rPr>
              <w:t>asset types, issuer, maturity, liquidity as well as the collateral diversification and correlation policies</w:t>
            </w:r>
          </w:p>
        </w:tc>
        <w:tc>
          <w:tcPr>
            <w:tcW w:w="3188" w:type="dxa"/>
            <w:tcBorders>
              <w:top w:val="single" w:sz="4" w:space="0" w:color="auto"/>
            </w:tcBorders>
          </w:tcPr>
          <w:p w14:paraId="51B38E16"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1E92EF87" w14:textId="77777777" w:rsidTr="00A13DB5">
        <w:trPr>
          <w:cantSplit/>
        </w:trPr>
        <w:tc>
          <w:tcPr>
            <w:tcW w:w="1316" w:type="dxa"/>
          </w:tcPr>
          <w:p w14:paraId="0018EC5F" w14:textId="77777777" w:rsidR="005B507F" w:rsidRPr="001362A6" w:rsidRDefault="005B507F">
            <w:pPr>
              <w:rPr>
                <w:rFonts w:ascii="Lato" w:hAnsi="Lato"/>
                <w:sz w:val="22"/>
                <w:szCs w:val="22"/>
              </w:rPr>
            </w:pPr>
          </w:p>
        </w:tc>
        <w:tc>
          <w:tcPr>
            <w:tcW w:w="5891" w:type="dxa"/>
          </w:tcPr>
          <w:p w14:paraId="57309F66" w14:textId="77777777" w:rsidR="005B507F" w:rsidRPr="001362A6" w:rsidRDefault="005B507F" w:rsidP="0086642B">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7F5FF04E"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25C9B75E" w14:textId="77777777" w:rsidTr="00A13DB5">
        <w:trPr>
          <w:cantSplit/>
        </w:trPr>
        <w:tc>
          <w:tcPr>
            <w:tcW w:w="1316" w:type="dxa"/>
          </w:tcPr>
          <w:p w14:paraId="05FBC605" w14:textId="77777777" w:rsidR="005B507F" w:rsidRPr="001362A6" w:rsidRDefault="005B507F">
            <w:pPr>
              <w:rPr>
                <w:rFonts w:ascii="Lato" w:hAnsi="Lato"/>
                <w:sz w:val="22"/>
                <w:szCs w:val="22"/>
              </w:rPr>
            </w:pPr>
            <w:r w:rsidRPr="001362A6">
              <w:rPr>
                <w:rFonts w:ascii="Lato" w:hAnsi="Lato"/>
                <w:sz w:val="22"/>
                <w:szCs w:val="22"/>
              </w:rPr>
              <w:t>(e)</w:t>
            </w:r>
          </w:p>
        </w:tc>
        <w:tc>
          <w:tcPr>
            <w:tcW w:w="5891" w:type="dxa"/>
            <w:tcBorders>
              <w:right w:val="single" w:sz="4" w:space="0" w:color="auto"/>
            </w:tcBorders>
          </w:tcPr>
          <w:p w14:paraId="26E8553B" w14:textId="77777777" w:rsidR="005B507F" w:rsidRPr="001362A6" w:rsidRDefault="005B507F" w:rsidP="00D95E9D">
            <w:pPr>
              <w:pStyle w:val="Heading3"/>
              <w:spacing w:before="0" w:after="0" w:line="240" w:lineRule="auto"/>
              <w:rPr>
                <w:rFonts w:ascii="Lato" w:hAnsi="Lato"/>
                <w:b w:val="0"/>
                <w:bCs/>
                <w:color w:val="auto"/>
                <w:sz w:val="22"/>
                <w:szCs w:val="22"/>
              </w:rPr>
            </w:pPr>
            <w:r w:rsidRPr="001362A6">
              <w:rPr>
                <w:rFonts w:ascii="Lato" w:hAnsi="Lato"/>
                <w:b w:val="0"/>
                <w:color w:val="auto"/>
                <w:sz w:val="22"/>
                <w:szCs w:val="22"/>
              </w:rPr>
              <w:t xml:space="preserve">Provide a description of the collateral valuation </w:t>
            </w:r>
          </w:p>
        </w:tc>
        <w:tc>
          <w:tcPr>
            <w:tcW w:w="3188" w:type="dxa"/>
            <w:tcBorders>
              <w:top w:val="single" w:sz="4" w:space="0" w:color="auto"/>
              <w:left w:val="single" w:sz="4" w:space="0" w:color="auto"/>
              <w:bottom w:val="single" w:sz="4" w:space="0" w:color="auto"/>
              <w:right w:val="single" w:sz="4" w:space="0" w:color="auto"/>
            </w:tcBorders>
          </w:tcPr>
          <w:p w14:paraId="3A1A80BD"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2F7B9FB4" w14:textId="77777777" w:rsidTr="00A13DB5">
        <w:trPr>
          <w:cantSplit/>
        </w:trPr>
        <w:tc>
          <w:tcPr>
            <w:tcW w:w="1316" w:type="dxa"/>
          </w:tcPr>
          <w:p w14:paraId="468C496B" w14:textId="77777777" w:rsidR="005B507F" w:rsidRPr="001362A6" w:rsidRDefault="005B507F">
            <w:pPr>
              <w:rPr>
                <w:rFonts w:ascii="Lato" w:hAnsi="Lato"/>
                <w:sz w:val="22"/>
                <w:szCs w:val="22"/>
              </w:rPr>
            </w:pPr>
          </w:p>
        </w:tc>
        <w:tc>
          <w:tcPr>
            <w:tcW w:w="5891" w:type="dxa"/>
          </w:tcPr>
          <w:p w14:paraId="0EE97786" w14:textId="77777777" w:rsidR="005B507F" w:rsidRPr="001362A6" w:rsidRDefault="001579E3" w:rsidP="0086642B">
            <w:pPr>
              <w:pStyle w:val="Heading3"/>
              <w:spacing w:before="0" w:after="0" w:line="240" w:lineRule="auto"/>
              <w:rPr>
                <w:rFonts w:ascii="Lato" w:hAnsi="Lato"/>
                <w:b w:val="0"/>
                <w:bCs/>
                <w:color w:val="auto"/>
                <w:sz w:val="22"/>
                <w:szCs w:val="22"/>
              </w:rPr>
            </w:pPr>
            <w:r w:rsidRPr="00590C6D">
              <w:rPr>
                <w:rFonts w:ascii="Lato" w:hAnsi="Lato"/>
                <w:b w:val="0"/>
                <w:color w:val="auto"/>
                <w:sz w:val="22"/>
                <w:szCs w:val="22"/>
              </w:rPr>
              <w:t>methodology</w:t>
            </w:r>
            <w:r w:rsidRPr="00D95E9D">
              <w:rPr>
                <w:rFonts w:ascii="Lato" w:hAnsi="Lato"/>
                <w:b w:val="0"/>
                <w:color w:val="auto"/>
                <w:sz w:val="22"/>
                <w:szCs w:val="22"/>
              </w:rPr>
              <w:t xml:space="preserve"> </w:t>
            </w:r>
            <w:r w:rsidR="005B507F" w:rsidRPr="001362A6">
              <w:rPr>
                <w:rFonts w:ascii="Lato" w:hAnsi="Lato"/>
                <w:b w:val="0"/>
                <w:color w:val="auto"/>
                <w:sz w:val="22"/>
                <w:szCs w:val="22"/>
              </w:rPr>
              <w:t>used and its rationale, and whether daily mark-to-market and daily variation margins are used.</w:t>
            </w:r>
          </w:p>
        </w:tc>
        <w:tc>
          <w:tcPr>
            <w:tcW w:w="3188" w:type="dxa"/>
            <w:tcBorders>
              <w:top w:val="single" w:sz="4" w:space="0" w:color="auto"/>
            </w:tcBorders>
          </w:tcPr>
          <w:p w14:paraId="2D9B0781"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208A699D" w14:textId="77777777" w:rsidTr="00A13DB5">
        <w:trPr>
          <w:cantSplit/>
        </w:trPr>
        <w:tc>
          <w:tcPr>
            <w:tcW w:w="1316" w:type="dxa"/>
          </w:tcPr>
          <w:p w14:paraId="34AA8CF1" w14:textId="77777777" w:rsidR="005B507F" w:rsidRPr="001362A6" w:rsidRDefault="005B507F">
            <w:pPr>
              <w:rPr>
                <w:rFonts w:ascii="Lato" w:hAnsi="Lato"/>
                <w:sz w:val="22"/>
                <w:szCs w:val="22"/>
              </w:rPr>
            </w:pPr>
          </w:p>
        </w:tc>
        <w:tc>
          <w:tcPr>
            <w:tcW w:w="5891" w:type="dxa"/>
          </w:tcPr>
          <w:p w14:paraId="0DEDB725" w14:textId="77777777" w:rsidR="005B507F" w:rsidRPr="001362A6" w:rsidRDefault="005B507F" w:rsidP="0086642B">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7397C5C1"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0538B29A" w14:textId="77777777" w:rsidTr="00A13DB5">
        <w:trPr>
          <w:cantSplit/>
        </w:trPr>
        <w:tc>
          <w:tcPr>
            <w:tcW w:w="1316" w:type="dxa"/>
          </w:tcPr>
          <w:p w14:paraId="7902601B" w14:textId="77777777" w:rsidR="005B507F" w:rsidRPr="001362A6" w:rsidRDefault="005B507F">
            <w:pPr>
              <w:rPr>
                <w:rFonts w:ascii="Lato" w:hAnsi="Lato"/>
                <w:sz w:val="22"/>
                <w:szCs w:val="22"/>
              </w:rPr>
            </w:pPr>
            <w:r w:rsidRPr="001362A6">
              <w:rPr>
                <w:rFonts w:ascii="Lato" w:hAnsi="Lato"/>
                <w:sz w:val="22"/>
                <w:szCs w:val="22"/>
              </w:rPr>
              <w:t>(f)</w:t>
            </w:r>
          </w:p>
        </w:tc>
        <w:tc>
          <w:tcPr>
            <w:tcW w:w="5891" w:type="dxa"/>
            <w:tcBorders>
              <w:right w:val="single" w:sz="4" w:space="0" w:color="auto"/>
            </w:tcBorders>
          </w:tcPr>
          <w:p w14:paraId="6B2DF53A" w14:textId="77777777" w:rsidR="005B507F" w:rsidRPr="001362A6" w:rsidRDefault="005B507F" w:rsidP="0086642B">
            <w:pPr>
              <w:pStyle w:val="Heading3"/>
              <w:spacing w:before="0" w:after="0" w:line="240" w:lineRule="auto"/>
              <w:rPr>
                <w:rFonts w:ascii="Lato" w:hAnsi="Lato"/>
                <w:b w:val="0"/>
                <w:bCs/>
                <w:color w:val="auto"/>
                <w:sz w:val="22"/>
                <w:szCs w:val="22"/>
              </w:rPr>
            </w:pPr>
            <w:r w:rsidRPr="001362A6">
              <w:rPr>
                <w:rFonts w:ascii="Lato" w:hAnsi="Lato"/>
                <w:b w:val="0"/>
                <w:color w:val="auto"/>
                <w:sz w:val="22"/>
                <w:szCs w:val="22"/>
              </w:rPr>
              <w:t>Provide a description of the risks linked to SFTs and total</w:t>
            </w:r>
          </w:p>
        </w:tc>
        <w:tc>
          <w:tcPr>
            <w:tcW w:w="3188" w:type="dxa"/>
            <w:tcBorders>
              <w:top w:val="single" w:sz="4" w:space="0" w:color="auto"/>
              <w:left w:val="single" w:sz="4" w:space="0" w:color="auto"/>
              <w:bottom w:val="single" w:sz="4" w:space="0" w:color="auto"/>
              <w:right w:val="single" w:sz="4" w:space="0" w:color="auto"/>
            </w:tcBorders>
          </w:tcPr>
          <w:p w14:paraId="5D259101"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2F091497" w14:textId="77777777" w:rsidTr="00A13DB5">
        <w:trPr>
          <w:cantSplit/>
        </w:trPr>
        <w:tc>
          <w:tcPr>
            <w:tcW w:w="1316" w:type="dxa"/>
          </w:tcPr>
          <w:p w14:paraId="6B286C40" w14:textId="77777777" w:rsidR="005B507F" w:rsidRPr="001362A6" w:rsidRDefault="005B507F">
            <w:pPr>
              <w:rPr>
                <w:rFonts w:ascii="Lato" w:hAnsi="Lato"/>
                <w:sz w:val="22"/>
                <w:szCs w:val="22"/>
              </w:rPr>
            </w:pPr>
          </w:p>
        </w:tc>
        <w:tc>
          <w:tcPr>
            <w:tcW w:w="5891" w:type="dxa"/>
          </w:tcPr>
          <w:p w14:paraId="08CDB6D5" w14:textId="77777777" w:rsidR="005B507F" w:rsidRPr="001362A6" w:rsidRDefault="005B507F" w:rsidP="0086642B">
            <w:pPr>
              <w:pStyle w:val="Heading3"/>
              <w:spacing w:before="0" w:after="0" w:line="240" w:lineRule="auto"/>
              <w:rPr>
                <w:rFonts w:ascii="Lato" w:hAnsi="Lato"/>
                <w:b w:val="0"/>
                <w:bCs/>
                <w:color w:val="auto"/>
                <w:sz w:val="22"/>
                <w:szCs w:val="22"/>
              </w:rPr>
            </w:pPr>
            <w:r w:rsidRPr="001362A6">
              <w:rPr>
                <w:rFonts w:ascii="Lato" w:hAnsi="Lato"/>
                <w:b w:val="0"/>
                <w:color w:val="auto"/>
                <w:sz w:val="22"/>
                <w:szCs w:val="22"/>
              </w:rPr>
              <w:t>return swaps as well as risks linked to collateral management, such as operational, liquidity, counterparty, custody and legal risks and, where applicable, the risks arising from its reuse.</w:t>
            </w:r>
          </w:p>
        </w:tc>
        <w:tc>
          <w:tcPr>
            <w:tcW w:w="3188" w:type="dxa"/>
            <w:tcBorders>
              <w:top w:val="single" w:sz="4" w:space="0" w:color="auto"/>
            </w:tcBorders>
          </w:tcPr>
          <w:p w14:paraId="56EBCC4A"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2E6E767B" w14:textId="77777777" w:rsidTr="00A13DB5">
        <w:trPr>
          <w:cantSplit/>
        </w:trPr>
        <w:tc>
          <w:tcPr>
            <w:tcW w:w="1316" w:type="dxa"/>
          </w:tcPr>
          <w:p w14:paraId="0A67B94E" w14:textId="77777777" w:rsidR="005B507F" w:rsidRPr="001362A6" w:rsidRDefault="005B507F">
            <w:pPr>
              <w:rPr>
                <w:rFonts w:ascii="Lato" w:hAnsi="Lato"/>
                <w:sz w:val="22"/>
                <w:szCs w:val="22"/>
              </w:rPr>
            </w:pPr>
          </w:p>
        </w:tc>
        <w:tc>
          <w:tcPr>
            <w:tcW w:w="5891" w:type="dxa"/>
          </w:tcPr>
          <w:p w14:paraId="483C8DA6" w14:textId="77777777" w:rsidR="005B507F" w:rsidRPr="001362A6" w:rsidRDefault="005B507F" w:rsidP="0086642B">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5612E881"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76E31D8A" w14:textId="77777777" w:rsidTr="00A13DB5">
        <w:trPr>
          <w:cantSplit/>
        </w:trPr>
        <w:tc>
          <w:tcPr>
            <w:tcW w:w="1316" w:type="dxa"/>
          </w:tcPr>
          <w:p w14:paraId="5EC40973" w14:textId="77777777" w:rsidR="005B507F" w:rsidRPr="001362A6" w:rsidRDefault="005B507F">
            <w:pPr>
              <w:rPr>
                <w:rFonts w:ascii="Lato" w:hAnsi="Lato"/>
                <w:sz w:val="22"/>
                <w:szCs w:val="22"/>
              </w:rPr>
            </w:pPr>
            <w:r w:rsidRPr="001362A6">
              <w:rPr>
                <w:rFonts w:ascii="Lato" w:hAnsi="Lato"/>
                <w:sz w:val="22"/>
                <w:szCs w:val="22"/>
              </w:rPr>
              <w:t>(g)</w:t>
            </w:r>
          </w:p>
        </w:tc>
        <w:tc>
          <w:tcPr>
            <w:tcW w:w="5891" w:type="dxa"/>
            <w:tcBorders>
              <w:right w:val="single" w:sz="4" w:space="0" w:color="auto"/>
            </w:tcBorders>
          </w:tcPr>
          <w:p w14:paraId="21AB6688" w14:textId="77777777" w:rsidR="005B507F" w:rsidRPr="001362A6" w:rsidRDefault="005B507F" w:rsidP="00D95E9D">
            <w:pPr>
              <w:pStyle w:val="Heading3"/>
              <w:spacing w:before="0" w:after="0" w:line="240" w:lineRule="auto"/>
              <w:rPr>
                <w:rFonts w:ascii="Lato" w:hAnsi="Lato"/>
                <w:b w:val="0"/>
                <w:bCs/>
                <w:color w:val="auto"/>
                <w:sz w:val="22"/>
                <w:szCs w:val="22"/>
              </w:rPr>
            </w:pPr>
            <w:r w:rsidRPr="001362A6">
              <w:rPr>
                <w:rFonts w:ascii="Lato" w:hAnsi="Lato"/>
                <w:b w:val="0"/>
                <w:color w:val="auto"/>
                <w:sz w:val="22"/>
                <w:szCs w:val="22"/>
              </w:rPr>
              <w:t xml:space="preserve">Specify how assets subject to SFTs and total return swaps </w:t>
            </w:r>
          </w:p>
        </w:tc>
        <w:tc>
          <w:tcPr>
            <w:tcW w:w="3188" w:type="dxa"/>
            <w:tcBorders>
              <w:top w:val="single" w:sz="4" w:space="0" w:color="auto"/>
              <w:left w:val="single" w:sz="4" w:space="0" w:color="auto"/>
              <w:bottom w:val="single" w:sz="4" w:space="0" w:color="auto"/>
              <w:right w:val="single" w:sz="4" w:space="0" w:color="auto"/>
            </w:tcBorders>
          </w:tcPr>
          <w:p w14:paraId="47893C82"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0B6F1B22" w14:textId="77777777" w:rsidTr="00A13DB5">
        <w:trPr>
          <w:cantSplit/>
        </w:trPr>
        <w:tc>
          <w:tcPr>
            <w:tcW w:w="1316" w:type="dxa"/>
          </w:tcPr>
          <w:p w14:paraId="01F140EE" w14:textId="77777777" w:rsidR="005B507F" w:rsidRPr="001362A6" w:rsidRDefault="005B507F">
            <w:pPr>
              <w:rPr>
                <w:rFonts w:ascii="Lato" w:hAnsi="Lato"/>
                <w:sz w:val="22"/>
                <w:szCs w:val="22"/>
              </w:rPr>
            </w:pPr>
          </w:p>
        </w:tc>
        <w:tc>
          <w:tcPr>
            <w:tcW w:w="5891" w:type="dxa"/>
          </w:tcPr>
          <w:p w14:paraId="1F549F70" w14:textId="77777777" w:rsidR="005B507F" w:rsidRPr="001362A6" w:rsidRDefault="001579E3" w:rsidP="0086642B">
            <w:pPr>
              <w:pStyle w:val="Heading3"/>
              <w:spacing w:before="0" w:after="0" w:line="240" w:lineRule="auto"/>
              <w:rPr>
                <w:rFonts w:ascii="Lato" w:hAnsi="Lato"/>
                <w:b w:val="0"/>
                <w:bCs/>
                <w:color w:val="auto"/>
                <w:sz w:val="22"/>
                <w:szCs w:val="22"/>
              </w:rPr>
            </w:pPr>
            <w:r w:rsidRPr="00590C6D">
              <w:rPr>
                <w:rFonts w:ascii="Lato" w:hAnsi="Lato"/>
                <w:b w:val="0"/>
                <w:color w:val="auto"/>
                <w:sz w:val="22"/>
                <w:szCs w:val="22"/>
              </w:rPr>
              <w:t>and</w:t>
            </w:r>
            <w:r w:rsidRPr="00D95E9D">
              <w:rPr>
                <w:rFonts w:ascii="Lato" w:hAnsi="Lato"/>
                <w:b w:val="0"/>
                <w:color w:val="auto"/>
                <w:sz w:val="22"/>
                <w:szCs w:val="22"/>
              </w:rPr>
              <w:t xml:space="preserve"> </w:t>
            </w:r>
            <w:r w:rsidR="005B507F" w:rsidRPr="001362A6">
              <w:rPr>
                <w:rFonts w:ascii="Lato" w:hAnsi="Lato"/>
                <w:b w:val="0"/>
                <w:color w:val="auto"/>
                <w:sz w:val="22"/>
                <w:szCs w:val="22"/>
              </w:rPr>
              <w:t>collateral received are safe-kept (e.g. with fund depositary.)</w:t>
            </w:r>
          </w:p>
        </w:tc>
        <w:tc>
          <w:tcPr>
            <w:tcW w:w="3188" w:type="dxa"/>
            <w:tcBorders>
              <w:top w:val="single" w:sz="4" w:space="0" w:color="auto"/>
            </w:tcBorders>
          </w:tcPr>
          <w:p w14:paraId="0C754F47"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599ABE0D" w14:textId="77777777" w:rsidTr="00A13DB5">
        <w:trPr>
          <w:cantSplit/>
        </w:trPr>
        <w:tc>
          <w:tcPr>
            <w:tcW w:w="1316" w:type="dxa"/>
          </w:tcPr>
          <w:p w14:paraId="40708DA4" w14:textId="77777777" w:rsidR="005B507F" w:rsidRPr="001362A6" w:rsidRDefault="005B507F">
            <w:pPr>
              <w:rPr>
                <w:rFonts w:ascii="Lato" w:hAnsi="Lato"/>
                <w:sz w:val="22"/>
                <w:szCs w:val="22"/>
              </w:rPr>
            </w:pPr>
          </w:p>
        </w:tc>
        <w:tc>
          <w:tcPr>
            <w:tcW w:w="5891" w:type="dxa"/>
          </w:tcPr>
          <w:p w14:paraId="38F69F73" w14:textId="77777777" w:rsidR="005B507F" w:rsidRPr="001362A6" w:rsidRDefault="005B507F" w:rsidP="0086642B">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684FD491"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262D6A55" w14:textId="77777777" w:rsidTr="00A13DB5">
        <w:trPr>
          <w:cantSplit/>
        </w:trPr>
        <w:tc>
          <w:tcPr>
            <w:tcW w:w="1316" w:type="dxa"/>
          </w:tcPr>
          <w:p w14:paraId="2079F0D6" w14:textId="77777777" w:rsidR="005B507F" w:rsidRPr="001362A6" w:rsidRDefault="005B507F">
            <w:pPr>
              <w:rPr>
                <w:rFonts w:ascii="Lato" w:hAnsi="Lato"/>
                <w:sz w:val="22"/>
                <w:szCs w:val="22"/>
              </w:rPr>
            </w:pPr>
            <w:r w:rsidRPr="001362A6">
              <w:rPr>
                <w:rFonts w:ascii="Lato" w:hAnsi="Lato"/>
                <w:sz w:val="22"/>
                <w:szCs w:val="22"/>
              </w:rPr>
              <w:t>(h)</w:t>
            </w:r>
          </w:p>
        </w:tc>
        <w:tc>
          <w:tcPr>
            <w:tcW w:w="5891" w:type="dxa"/>
            <w:tcBorders>
              <w:right w:val="single" w:sz="4" w:space="0" w:color="auto"/>
            </w:tcBorders>
          </w:tcPr>
          <w:p w14:paraId="0118FBBE" w14:textId="77777777" w:rsidR="005B507F" w:rsidRPr="001362A6" w:rsidRDefault="005B507F" w:rsidP="00D95E9D">
            <w:pPr>
              <w:pStyle w:val="Heading3"/>
              <w:spacing w:before="0" w:after="0" w:line="240" w:lineRule="auto"/>
              <w:rPr>
                <w:rFonts w:ascii="Lato" w:hAnsi="Lato"/>
                <w:b w:val="0"/>
                <w:bCs/>
                <w:color w:val="auto"/>
                <w:sz w:val="22"/>
                <w:szCs w:val="22"/>
              </w:rPr>
            </w:pPr>
            <w:r w:rsidRPr="001362A6">
              <w:rPr>
                <w:rFonts w:ascii="Lato" w:hAnsi="Lato"/>
                <w:b w:val="0"/>
                <w:color w:val="auto"/>
                <w:sz w:val="22"/>
                <w:szCs w:val="22"/>
              </w:rPr>
              <w:t xml:space="preserve">Specify any restrictions (regulatory or self-imposed) on </w:t>
            </w:r>
          </w:p>
        </w:tc>
        <w:tc>
          <w:tcPr>
            <w:tcW w:w="3188" w:type="dxa"/>
            <w:tcBorders>
              <w:top w:val="single" w:sz="4" w:space="0" w:color="auto"/>
              <w:left w:val="single" w:sz="4" w:space="0" w:color="auto"/>
              <w:bottom w:val="single" w:sz="4" w:space="0" w:color="auto"/>
              <w:right w:val="single" w:sz="4" w:space="0" w:color="auto"/>
            </w:tcBorders>
          </w:tcPr>
          <w:p w14:paraId="367E4BC4"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6141B72C" w14:textId="77777777" w:rsidTr="00A13DB5">
        <w:trPr>
          <w:cantSplit/>
        </w:trPr>
        <w:tc>
          <w:tcPr>
            <w:tcW w:w="1316" w:type="dxa"/>
          </w:tcPr>
          <w:p w14:paraId="375512CD" w14:textId="77777777" w:rsidR="005B507F" w:rsidRPr="001362A6" w:rsidRDefault="005B507F">
            <w:pPr>
              <w:rPr>
                <w:rFonts w:ascii="Lato" w:hAnsi="Lato"/>
                <w:sz w:val="22"/>
                <w:szCs w:val="22"/>
              </w:rPr>
            </w:pPr>
          </w:p>
        </w:tc>
        <w:tc>
          <w:tcPr>
            <w:tcW w:w="5891" w:type="dxa"/>
          </w:tcPr>
          <w:p w14:paraId="55BF06BB" w14:textId="77777777" w:rsidR="005B507F" w:rsidRPr="001362A6" w:rsidRDefault="001579E3" w:rsidP="0086642B">
            <w:pPr>
              <w:pStyle w:val="Heading3"/>
              <w:spacing w:before="0" w:after="0" w:line="240" w:lineRule="auto"/>
              <w:rPr>
                <w:rFonts w:ascii="Lato" w:hAnsi="Lato"/>
                <w:b w:val="0"/>
                <w:bCs/>
                <w:color w:val="auto"/>
                <w:sz w:val="22"/>
                <w:szCs w:val="22"/>
              </w:rPr>
            </w:pPr>
            <w:r w:rsidRPr="00590C6D">
              <w:rPr>
                <w:rFonts w:ascii="Lato" w:hAnsi="Lato"/>
                <w:b w:val="0"/>
                <w:color w:val="auto"/>
                <w:sz w:val="22"/>
                <w:szCs w:val="22"/>
              </w:rPr>
              <w:t>reuse</w:t>
            </w:r>
            <w:r w:rsidRPr="00D95E9D">
              <w:rPr>
                <w:rFonts w:ascii="Lato" w:hAnsi="Lato"/>
                <w:b w:val="0"/>
                <w:color w:val="auto"/>
                <w:sz w:val="22"/>
                <w:szCs w:val="22"/>
              </w:rPr>
              <w:t xml:space="preserve"> </w:t>
            </w:r>
            <w:r w:rsidR="005B507F" w:rsidRPr="001362A6">
              <w:rPr>
                <w:rFonts w:ascii="Lato" w:hAnsi="Lato"/>
                <w:b w:val="0"/>
                <w:color w:val="auto"/>
                <w:sz w:val="22"/>
                <w:szCs w:val="22"/>
              </w:rPr>
              <w:t>of collateral</w:t>
            </w:r>
          </w:p>
        </w:tc>
        <w:tc>
          <w:tcPr>
            <w:tcW w:w="3188" w:type="dxa"/>
            <w:tcBorders>
              <w:top w:val="single" w:sz="4" w:space="0" w:color="auto"/>
            </w:tcBorders>
          </w:tcPr>
          <w:p w14:paraId="1C721FFC"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50B59F93" w14:textId="77777777" w:rsidTr="00A13DB5">
        <w:trPr>
          <w:cantSplit/>
        </w:trPr>
        <w:tc>
          <w:tcPr>
            <w:tcW w:w="1316" w:type="dxa"/>
          </w:tcPr>
          <w:p w14:paraId="311D0EC4" w14:textId="77777777" w:rsidR="005B507F" w:rsidRPr="001362A6" w:rsidRDefault="005B507F">
            <w:pPr>
              <w:rPr>
                <w:rFonts w:ascii="Lato" w:hAnsi="Lato"/>
                <w:sz w:val="22"/>
                <w:szCs w:val="22"/>
              </w:rPr>
            </w:pPr>
          </w:p>
        </w:tc>
        <w:tc>
          <w:tcPr>
            <w:tcW w:w="5891" w:type="dxa"/>
          </w:tcPr>
          <w:p w14:paraId="42CC51BD" w14:textId="77777777" w:rsidR="005B507F" w:rsidRPr="001362A6" w:rsidRDefault="005B507F" w:rsidP="0086642B">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3368A603"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55A1B5E1" w14:textId="77777777" w:rsidTr="00A13DB5">
        <w:trPr>
          <w:cantSplit/>
        </w:trPr>
        <w:tc>
          <w:tcPr>
            <w:tcW w:w="1316" w:type="dxa"/>
          </w:tcPr>
          <w:p w14:paraId="62B7A61D" w14:textId="77777777" w:rsidR="005B507F" w:rsidRPr="001362A6" w:rsidRDefault="005B507F">
            <w:pPr>
              <w:rPr>
                <w:rFonts w:ascii="Lato" w:hAnsi="Lato"/>
                <w:sz w:val="22"/>
                <w:szCs w:val="22"/>
              </w:rPr>
            </w:pPr>
            <w:r w:rsidRPr="001362A6">
              <w:rPr>
                <w:rFonts w:ascii="Lato" w:hAnsi="Lato"/>
                <w:sz w:val="22"/>
                <w:szCs w:val="22"/>
              </w:rPr>
              <w:t>(i)</w:t>
            </w:r>
          </w:p>
        </w:tc>
        <w:tc>
          <w:tcPr>
            <w:tcW w:w="5891" w:type="dxa"/>
            <w:tcBorders>
              <w:right w:val="single" w:sz="4" w:space="0" w:color="auto"/>
            </w:tcBorders>
          </w:tcPr>
          <w:p w14:paraId="3A6C8CF6" w14:textId="77777777" w:rsidR="005B507F" w:rsidRPr="001362A6" w:rsidRDefault="005B507F" w:rsidP="00D95E9D">
            <w:pPr>
              <w:pStyle w:val="Heading3"/>
              <w:spacing w:before="0" w:after="0" w:line="240" w:lineRule="auto"/>
              <w:rPr>
                <w:rFonts w:ascii="Lato" w:hAnsi="Lato"/>
                <w:b w:val="0"/>
                <w:bCs/>
                <w:color w:val="auto"/>
                <w:sz w:val="22"/>
                <w:szCs w:val="22"/>
              </w:rPr>
            </w:pPr>
            <w:r w:rsidRPr="001362A6">
              <w:rPr>
                <w:rFonts w:ascii="Lato" w:hAnsi="Lato"/>
                <w:b w:val="0"/>
                <w:color w:val="auto"/>
                <w:sz w:val="22"/>
                <w:szCs w:val="22"/>
              </w:rPr>
              <w:t xml:space="preserve">Disclose the policy on sharing of return generated by SFTs </w:t>
            </w:r>
          </w:p>
        </w:tc>
        <w:tc>
          <w:tcPr>
            <w:tcW w:w="3188" w:type="dxa"/>
            <w:tcBorders>
              <w:top w:val="single" w:sz="4" w:space="0" w:color="auto"/>
              <w:left w:val="single" w:sz="4" w:space="0" w:color="auto"/>
              <w:bottom w:val="single" w:sz="4" w:space="0" w:color="auto"/>
              <w:right w:val="single" w:sz="4" w:space="0" w:color="auto"/>
            </w:tcBorders>
          </w:tcPr>
          <w:p w14:paraId="71689ED1"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0383FBC7" w14:textId="77777777" w:rsidTr="00A13DB5">
        <w:trPr>
          <w:cantSplit/>
        </w:trPr>
        <w:tc>
          <w:tcPr>
            <w:tcW w:w="1316" w:type="dxa"/>
          </w:tcPr>
          <w:p w14:paraId="37CB5F9E" w14:textId="77777777" w:rsidR="005B507F" w:rsidRPr="001362A6" w:rsidRDefault="005B507F">
            <w:pPr>
              <w:rPr>
                <w:rFonts w:ascii="Lato" w:hAnsi="Lato"/>
                <w:sz w:val="22"/>
                <w:szCs w:val="22"/>
              </w:rPr>
            </w:pPr>
          </w:p>
        </w:tc>
        <w:tc>
          <w:tcPr>
            <w:tcW w:w="5891" w:type="dxa"/>
          </w:tcPr>
          <w:p w14:paraId="101FF2F0" w14:textId="77777777" w:rsidR="005B507F" w:rsidRPr="001362A6" w:rsidRDefault="001579E3" w:rsidP="0086642B">
            <w:pPr>
              <w:pStyle w:val="Heading3"/>
              <w:spacing w:before="0" w:after="0" w:line="240" w:lineRule="auto"/>
              <w:rPr>
                <w:rFonts w:ascii="Lato" w:hAnsi="Lato"/>
                <w:b w:val="0"/>
                <w:bCs/>
                <w:color w:val="auto"/>
                <w:sz w:val="22"/>
                <w:szCs w:val="22"/>
              </w:rPr>
            </w:pPr>
            <w:r w:rsidRPr="00590C6D">
              <w:rPr>
                <w:rFonts w:ascii="Lato" w:hAnsi="Lato"/>
                <w:b w:val="0"/>
                <w:color w:val="auto"/>
                <w:sz w:val="22"/>
                <w:szCs w:val="22"/>
              </w:rPr>
              <w:t>and</w:t>
            </w:r>
            <w:r w:rsidRPr="00D95E9D">
              <w:rPr>
                <w:rFonts w:ascii="Lato" w:hAnsi="Lato"/>
                <w:b w:val="0"/>
                <w:color w:val="auto"/>
                <w:sz w:val="22"/>
                <w:szCs w:val="22"/>
              </w:rPr>
              <w:t xml:space="preserve"> </w:t>
            </w:r>
            <w:r w:rsidR="005B507F" w:rsidRPr="001362A6">
              <w:rPr>
                <w:rFonts w:ascii="Lato" w:hAnsi="Lato"/>
                <w:b w:val="0"/>
                <w:color w:val="auto"/>
                <w:sz w:val="22"/>
                <w:szCs w:val="22"/>
              </w:rPr>
              <w:t>total return swaps: description of the proportions of the revenue generated by SFTs and total return swaps that is returned to the collective investment undertaking, and of the costs and fees assigned to the manager or third parties (e.g. the agent lender). Indicate if these are related parties to the manager.</w:t>
            </w:r>
          </w:p>
        </w:tc>
        <w:tc>
          <w:tcPr>
            <w:tcW w:w="3188" w:type="dxa"/>
            <w:tcBorders>
              <w:top w:val="single" w:sz="4" w:space="0" w:color="auto"/>
            </w:tcBorders>
          </w:tcPr>
          <w:p w14:paraId="34B7A00E"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2EC1282B" w14:textId="77777777" w:rsidTr="00990D73">
        <w:trPr>
          <w:cantSplit/>
        </w:trPr>
        <w:tc>
          <w:tcPr>
            <w:tcW w:w="1316" w:type="dxa"/>
          </w:tcPr>
          <w:p w14:paraId="795EA7BA" w14:textId="77777777" w:rsidR="005B507F" w:rsidRPr="001362A6" w:rsidRDefault="005B507F">
            <w:pPr>
              <w:rPr>
                <w:rFonts w:ascii="Lato" w:hAnsi="Lato"/>
                <w:sz w:val="22"/>
                <w:szCs w:val="22"/>
              </w:rPr>
            </w:pPr>
          </w:p>
        </w:tc>
        <w:tc>
          <w:tcPr>
            <w:tcW w:w="5891" w:type="dxa"/>
          </w:tcPr>
          <w:p w14:paraId="3F5591BE" w14:textId="77777777" w:rsidR="005B507F" w:rsidRPr="001362A6" w:rsidRDefault="005B507F" w:rsidP="00DA56ED">
            <w:pPr>
              <w:pStyle w:val="Heading3"/>
              <w:spacing w:before="0" w:after="0" w:line="240" w:lineRule="auto"/>
              <w:rPr>
                <w:rFonts w:ascii="Lato" w:hAnsi="Lato"/>
                <w:b w:val="0"/>
                <w:bCs/>
                <w:color w:val="auto"/>
                <w:sz w:val="22"/>
                <w:szCs w:val="22"/>
              </w:rPr>
            </w:pPr>
          </w:p>
        </w:tc>
        <w:tc>
          <w:tcPr>
            <w:tcW w:w="3188" w:type="dxa"/>
          </w:tcPr>
          <w:p w14:paraId="50C4F393"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B61F2A" w:rsidRPr="001362A6" w14:paraId="73564405" w14:textId="77777777" w:rsidTr="00990D73">
        <w:trPr>
          <w:cantSplit/>
        </w:trPr>
        <w:tc>
          <w:tcPr>
            <w:tcW w:w="1316" w:type="dxa"/>
          </w:tcPr>
          <w:p w14:paraId="432EC453" w14:textId="77777777" w:rsidR="00B61F2A" w:rsidRPr="00B61F2A" w:rsidRDefault="00B61F2A" w:rsidP="00B61F2A">
            <w:pPr>
              <w:rPr>
                <w:rFonts w:ascii="Lato" w:hAnsi="Lato"/>
                <w:sz w:val="22"/>
                <w:szCs w:val="22"/>
              </w:rPr>
            </w:pPr>
            <w:r w:rsidRPr="00946E34">
              <w:rPr>
                <w:rFonts w:ascii="Lato" w:hAnsi="Lato"/>
                <w:sz w:val="22"/>
                <w:szCs w:val="22"/>
              </w:rPr>
              <w:t>2.2.14</w:t>
            </w:r>
          </w:p>
        </w:tc>
        <w:tc>
          <w:tcPr>
            <w:tcW w:w="5891" w:type="dxa"/>
          </w:tcPr>
          <w:p w14:paraId="742E81A9"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u w:val="single"/>
              </w:rPr>
              <w:t>Sustainable Finance</w:t>
            </w:r>
          </w:p>
        </w:tc>
        <w:tc>
          <w:tcPr>
            <w:tcW w:w="3188" w:type="dxa"/>
          </w:tcPr>
          <w:p w14:paraId="3731249C"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19D828EC" w14:textId="77777777" w:rsidTr="00946E34">
        <w:trPr>
          <w:cantSplit/>
        </w:trPr>
        <w:tc>
          <w:tcPr>
            <w:tcW w:w="1316" w:type="dxa"/>
          </w:tcPr>
          <w:p w14:paraId="4F7C5B5E" w14:textId="77777777" w:rsidR="00B61F2A" w:rsidRPr="00B61F2A" w:rsidRDefault="00B61F2A" w:rsidP="00B61F2A">
            <w:pPr>
              <w:rPr>
                <w:rFonts w:ascii="Lato" w:hAnsi="Lato"/>
                <w:sz w:val="22"/>
                <w:szCs w:val="22"/>
              </w:rPr>
            </w:pPr>
            <w:r w:rsidRPr="00946E34">
              <w:rPr>
                <w:rFonts w:ascii="Lato" w:hAnsi="Lato"/>
                <w:sz w:val="22"/>
                <w:szCs w:val="22"/>
              </w:rPr>
              <w:t>(a)</w:t>
            </w:r>
          </w:p>
        </w:tc>
        <w:tc>
          <w:tcPr>
            <w:tcW w:w="5891" w:type="dxa"/>
          </w:tcPr>
          <w:p w14:paraId="70CA002F"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Include the following:</w:t>
            </w:r>
          </w:p>
        </w:tc>
        <w:tc>
          <w:tcPr>
            <w:tcW w:w="3188" w:type="dxa"/>
            <w:tcBorders>
              <w:bottom w:val="single" w:sz="4" w:space="0" w:color="auto"/>
            </w:tcBorders>
          </w:tcPr>
          <w:p w14:paraId="1075FF84"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22B9302A" w14:textId="77777777" w:rsidTr="00946E34">
        <w:trPr>
          <w:cantSplit/>
        </w:trPr>
        <w:tc>
          <w:tcPr>
            <w:tcW w:w="1316" w:type="dxa"/>
          </w:tcPr>
          <w:p w14:paraId="14A6A188" w14:textId="77777777" w:rsidR="00B61F2A" w:rsidRPr="00B61F2A" w:rsidRDefault="00B61F2A" w:rsidP="00B61F2A">
            <w:pPr>
              <w:rPr>
                <w:rFonts w:ascii="Lato" w:hAnsi="Lato"/>
                <w:sz w:val="22"/>
                <w:szCs w:val="22"/>
              </w:rPr>
            </w:pPr>
            <w:r w:rsidRPr="00946E34">
              <w:rPr>
                <w:rFonts w:ascii="Lato" w:hAnsi="Lato"/>
                <w:sz w:val="22"/>
                <w:szCs w:val="22"/>
              </w:rPr>
              <w:t>(i)</w:t>
            </w:r>
          </w:p>
        </w:tc>
        <w:tc>
          <w:tcPr>
            <w:tcW w:w="5891" w:type="dxa"/>
            <w:tcBorders>
              <w:right w:val="single" w:sz="4" w:space="0" w:color="auto"/>
            </w:tcBorders>
          </w:tcPr>
          <w:p w14:paraId="578F8FEF"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 xml:space="preserve">information on how environmental or social </w:t>
            </w:r>
          </w:p>
        </w:tc>
        <w:tc>
          <w:tcPr>
            <w:tcW w:w="3188" w:type="dxa"/>
            <w:tcBorders>
              <w:top w:val="single" w:sz="4" w:space="0" w:color="auto"/>
              <w:left w:val="single" w:sz="4" w:space="0" w:color="auto"/>
              <w:bottom w:val="single" w:sz="4" w:space="0" w:color="auto"/>
              <w:right w:val="single" w:sz="4" w:space="0" w:color="auto"/>
            </w:tcBorders>
          </w:tcPr>
          <w:p w14:paraId="3991A023"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41AE634D" w14:textId="77777777" w:rsidTr="00946E34">
        <w:trPr>
          <w:cantSplit/>
        </w:trPr>
        <w:tc>
          <w:tcPr>
            <w:tcW w:w="1316" w:type="dxa"/>
          </w:tcPr>
          <w:p w14:paraId="35797FBE" w14:textId="77777777" w:rsidR="00B61F2A" w:rsidRPr="00B61F2A" w:rsidRDefault="00B61F2A" w:rsidP="00B61F2A">
            <w:pPr>
              <w:rPr>
                <w:rFonts w:ascii="Lato" w:hAnsi="Lato"/>
                <w:sz w:val="22"/>
                <w:szCs w:val="22"/>
              </w:rPr>
            </w:pPr>
          </w:p>
        </w:tc>
        <w:tc>
          <w:tcPr>
            <w:tcW w:w="5891" w:type="dxa"/>
          </w:tcPr>
          <w:p w14:paraId="1126769D"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characteristics, or a combination of those characteristics are met</w:t>
            </w:r>
          </w:p>
        </w:tc>
        <w:tc>
          <w:tcPr>
            <w:tcW w:w="3188" w:type="dxa"/>
            <w:tcBorders>
              <w:top w:val="single" w:sz="4" w:space="0" w:color="auto"/>
              <w:bottom w:val="single" w:sz="4" w:space="0" w:color="auto"/>
            </w:tcBorders>
          </w:tcPr>
          <w:p w14:paraId="0BA12FAB"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3EF89C5F" w14:textId="77777777" w:rsidTr="00946E34">
        <w:trPr>
          <w:cantSplit/>
        </w:trPr>
        <w:tc>
          <w:tcPr>
            <w:tcW w:w="1316" w:type="dxa"/>
          </w:tcPr>
          <w:p w14:paraId="5A2452F1" w14:textId="77777777" w:rsidR="00B61F2A" w:rsidRPr="00B61F2A" w:rsidRDefault="00B61F2A" w:rsidP="00B61F2A">
            <w:pPr>
              <w:rPr>
                <w:rFonts w:ascii="Lato" w:hAnsi="Lato"/>
                <w:sz w:val="22"/>
                <w:szCs w:val="22"/>
              </w:rPr>
            </w:pPr>
            <w:r w:rsidRPr="00946E34">
              <w:rPr>
                <w:rFonts w:ascii="Lato" w:hAnsi="Lato"/>
                <w:sz w:val="22"/>
                <w:szCs w:val="22"/>
              </w:rPr>
              <w:t>(ii)</w:t>
            </w:r>
          </w:p>
        </w:tc>
        <w:tc>
          <w:tcPr>
            <w:tcW w:w="5891" w:type="dxa"/>
            <w:tcBorders>
              <w:right w:val="single" w:sz="4" w:space="0" w:color="auto"/>
            </w:tcBorders>
          </w:tcPr>
          <w:p w14:paraId="3E8EDCD0"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 xml:space="preserve">if an index has been designated as a reference </w:t>
            </w:r>
          </w:p>
        </w:tc>
        <w:tc>
          <w:tcPr>
            <w:tcW w:w="3188" w:type="dxa"/>
            <w:tcBorders>
              <w:top w:val="single" w:sz="4" w:space="0" w:color="auto"/>
              <w:left w:val="single" w:sz="4" w:space="0" w:color="auto"/>
              <w:bottom w:val="single" w:sz="4" w:space="0" w:color="auto"/>
              <w:right w:val="single" w:sz="4" w:space="0" w:color="auto"/>
            </w:tcBorders>
          </w:tcPr>
          <w:p w14:paraId="09B9FBAC"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6583E38A" w14:textId="77777777" w:rsidTr="00946E34">
        <w:trPr>
          <w:cantSplit/>
        </w:trPr>
        <w:tc>
          <w:tcPr>
            <w:tcW w:w="1316" w:type="dxa"/>
          </w:tcPr>
          <w:p w14:paraId="6293CCC4" w14:textId="77777777" w:rsidR="00B61F2A" w:rsidRPr="00B61F2A" w:rsidRDefault="00B61F2A" w:rsidP="00B61F2A">
            <w:pPr>
              <w:rPr>
                <w:rFonts w:ascii="Lato" w:hAnsi="Lato"/>
                <w:sz w:val="22"/>
                <w:szCs w:val="22"/>
              </w:rPr>
            </w:pPr>
          </w:p>
        </w:tc>
        <w:tc>
          <w:tcPr>
            <w:tcW w:w="5891" w:type="dxa"/>
          </w:tcPr>
          <w:p w14:paraId="5B235664"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benchmark, information on whether and how this index is consistent with those characteristics</w:t>
            </w:r>
          </w:p>
        </w:tc>
        <w:tc>
          <w:tcPr>
            <w:tcW w:w="3188" w:type="dxa"/>
            <w:tcBorders>
              <w:top w:val="single" w:sz="4" w:space="0" w:color="auto"/>
              <w:bottom w:val="single" w:sz="4" w:space="0" w:color="auto"/>
            </w:tcBorders>
          </w:tcPr>
          <w:p w14:paraId="75B61656"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64D8194D" w14:textId="77777777" w:rsidTr="00946E34">
        <w:trPr>
          <w:cantSplit/>
        </w:trPr>
        <w:tc>
          <w:tcPr>
            <w:tcW w:w="1316" w:type="dxa"/>
          </w:tcPr>
          <w:p w14:paraId="0FBD208B" w14:textId="77777777" w:rsidR="00B61F2A" w:rsidRPr="00B61F2A" w:rsidRDefault="00B61F2A" w:rsidP="00B61F2A">
            <w:pPr>
              <w:rPr>
                <w:rFonts w:ascii="Lato" w:hAnsi="Lato"/>
                <w:sz w:val="22"/>
                <w:szCs w:val="22"/>
              </w:rPr>
            </w:pPr>
            <w:r w:rsidRPr="00946E34">
              <w:rPr>
                <w:rFonts w:ascii="Lato" w:hAnsi="Lato"/>
                <w:sz w:val="22"/>
                <w:szCs w:val="22"/>
              </w:rPr>
              <w:t>(iii)</w:t>
            </w:r>
          </w:p>
        </w:tc>
        <w:tc>
          <w:tcPr>
            <w:tcW w:w="5891" w:type="dxa"/>
            <w:tcBorders>
              <w:right w:val="single" w:sz="4" w:space="0" w:color="auto"/>
            </w:tcBorders>
          </w:tcPr>
          <w:p w14:paraId="65962E30"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 xml:space="preserve">Indicate where the methodology used for the </w:t>
            </w:r>
          </w:p>
        </w:tc>
        <w:tc>
          <w:tcPr>
            <w:tcW w:w="3188" w:type="dxa"/>
            <w:tcBorders>
              <w:top w:val="single" w:sz="4" w:space="0" w:color="auto"/>
              <w:left w:val="single" w:sz="4" w:space="0" w:color="auto"/>
              <w:bottom w:val="single" w:sz="4" w:space="0" w:color="auto"/>
              <w:right w:val="single" w:sz="4" w:space="0" w:color="auto"/>
            </w:tcBorders>
          </w:tcPr>
          <w:p w14:paraId="4D76E265"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300E8C75" w14:textId="77777777" w:rsidTr="00946E34">
        <w:trPr>
          <w:cantSplit/>
        </w:trPr>
        <w:tc>
          <w:tcPr>
            <w:tcW w:w="1316" w:type="dxa"/>
          </w:tcPr>
          <w:p w14:paraId="514F8C4B" w14:textId="77777777" w:rsidR="00B61F2A" w:rsidRPr="00B61F2A" w:rsidRDefault="00B61F2A" w:rsidP="00B61F2A">
            <w:pPr>
              <w:rPr>
                <w:rFonts w:ascii="Lato" w:hAnsi="Lato"/>
                <w:sz w:val="22"/>
                <w:szCs w:val="22"/>
              </w:rPr>
            </w:pPr>
          </w:p>
        </w:tc>
        <w:tc>
          <w:tcPr>
            <w:tcW w:w="5891" w:type="dxa"/>
          </w:tcPr>
          <w:p w14:paraId="73C5F39B"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calculation of the index can be found</w:t>
            </w:r>
          </w:p>
        </w:tc>
        <w:tc>
          <w:tcPr>
            <w:tcW w:w="3188" w:type="dxa"/>
            <w:tcBorders>
              <w:top w:val="single" w:sz="4" w:space="0" w:color="auto"/>
            </w:tcBorders>
          </w:tcPr>
          <w:p w14:paraId="0C1F83C3"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0649BDD9" w14:textId="77777777" w:rsidTr="00990D73">
        <w:trPr>
          <w:cantSplit/>
        </w:trPr>
        <w:tc>
          <w:tcPr>
            <w:tcW w:w="1316" w:type="dxa"/>
          </w:tcPr>
          <w:p w14:paraId="392F3C52" w14:textId="77777777" w:rsidR="00B61F2A" w:rsidRPr="00B61F2A" w:rsidRDefault="00B61F2A" w:rsidP="00B61F2A">
            <w:pPr>
              <w:rPr>
                <w:rFonts w:ascii="Lato" w:hAnsi="Lato"/>
                <w:sz w:val="22"/>
                <w:szCs w:val="22"/>
              </w:rPr>
            </w:pPr>
          </w:p>
        </w:tc>
        <w:tc>
          <w:tcPr>
            <w:tcW w:w="5891" w:type="dxa"/>
          </w:tcPr>
          <w:p w14:paraId="6429EB21" w14:textId="77777777" w:rsidR="00B61F2A" w:rsidRPr="00B61F2A" w:rsidRDefault="00B61F2A" w:rsidP="00B61F2A">
            <w:pPr>
              <w:pStyle w:val="Heading3"/>
              <w:spacing w:before="0" w:after="0" w:line="240" w:lineRule="auto"/>
              <w:rPr>
                <w:rFonts w:ascii="Lato" w:hAnsi="Lato"/>
                <w:b w:val="0"/>
                <w:bCs/>
                <w:color w:val="auto"/>
                <w:sz w:val="22"/>
                <w:szCs w:val="22"/>
              </w:rPr>
            </w:pPr>
          </w:p>
        </w:tc>
        <w:tc>
          <w:tcPr>
            <w:tcW w:w="3188" w:type="dxa"/>
          </w:tcPr>
          <w:p w14:paraId="372E4CEC"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786635B3" w14:textId="77777777" w:rsidTr="00946E34">
        <w:trPr>
          <w:cantSplit/>
        </w:trPr>
        <w:tc>
          <w:tcPr>
            <w:tcW w:w="1316" w:type="dxa"/>
          </w:tcPr>
          <w:p w14:paraId="5604E594" w14:textId="77777777" w:rsidR="00B61F2A" w:rsidRPr="00B61F2A" w:rsidRDefault="00B61F2A" w:rsidP="00B61F2A">
            <w:pPr>
              <w:rPr>
                <w:rFonts w:ascii="Lato" w:hAnsi="Lato"/>
                <w:sz w:val="22"/>
                <w:szCs w:val="22"/>
              </w:rPr>
            </w:pPr>
            <w:r w:rsidRPr="00946E34">
              <w:rPr>
                <w:rFonts w:ascii="Lato" w:hAnsi="Lato"/>
                <w:sz w:val="22"/>
                <w:szCs w:val="22"/>
              </w:rPr>
              <w:t>(b)</w:t>
            </w:r>
          </w:p>
        </w:tc>
        <w:tc>
          <w:tcPr>
            <w:tcW w:w="5891" w:type="dxa"/>
          </w:tcPr>
          <w:p w14:paraId="14E83E01"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Where a fund has sustainable investment as its objective and an index has been designated as a reference benchmark, include:</w:t>
            </w:r>
          </w:p>
        </w:tc>
        <w:tc>
          <w:tcPr>
            <w:tcW w:w="3188" w:type="dxa"/>
            <w:tcBorders>
              <w:bottom w:val="single" w:sz="4" w:space="0" w:color="auto"/>
            </w:tcBorders>
          </w:tcPr>
          <w:p w14:paraId="2C9F5AAC"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6EDB8A80" w14:textId="77777777" w:rsidTr="00946E34">
        <w:trPr>
          <w:cantSplit/>
        </w:trPr>
        <w:tc>
          <w:tcPr>
            <w:tcW w:w="1316" w:type="dxa"/>
          </w:tcPr>
          <w:p w14:paraId="0426FD3B" w14:textId="77777777" w:rsidR="00B61F2A" w:rsidRPr="00B61F2A" w:rsidRDefault="00B61F2A" w:rsidP="00B61F2A">
            <w:pPr>
              <w:rPr>
                <w:rFonts w:ascii="Lato" w:hAnsi="Lato"/>
                <w:sz w:val="22"/>
                <w:szCs w:val="22"/>
              </w:rPr>
            </w:pPr>
            <w:r w:rsidRPr="00946E34">
              <w:rPr>
                <w:rFonts w:ascii="Lato" w:hAnsi="Lato"/>
                <w:sz w:val="22"/>
                <w:szCs w:val="22"/>
              </w:rPr>
              <w:t>(i)</w:t>
            </w:r>
          </w:p>
        </w:tc>
        <w:tc>
          <w:tcPr>
            <w:tcW w:w="5891" w:type="dxa"/>
            <w:tcBorders>
              <w:right w:val="single" w:sz="4" w:space="0" w:color="auto"/>
            </w:tcBorders>
          </w:tcPr>
          <w:p w14:paraId="66CD74CE"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 xml:space="preserve">information on how the designated index is aligned </w:t>
            </w:r>
          </w:p>
        </w:tc>
        <w:tc>
          <w:tcPr>
            <w:tcW w:w="3188" w:type="dxa"/>
            <w:tcBorders>
              <w:top w:val="single" w:sz="4" w:space="0" w:color="auto"/>
              <w:left w:val="single" w:sz="4" w:space="0" w:color="auto"/>
              <w:bottom w:val="single" w:sz="4" w:space="0" w:color="auto"/>
              <w:right w:val="single" w:sz="4" w:space="0" w:color="auto"/>
            </w:tcBorders>
          </w:tcPr>
          <w:p w14:paraId="730701C3"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3EAC45D1" w14:textId="77777777" w:rsidTr="00946E34">
        <w:trPr>
          <w:cantSplit/>
        </w:trPr>
        <w:tc>
          <w:tcPr>
            <w:tcW w:w="1316" w:type="dxa"/>
          </w:tcPr>
          <w:p w14:paraId="775D49A8" w14:textId="77777777" w:rsidR="00B61F2A" w:rsidRPr="00B61F2A" w:rsidRDefault="00B61F2A" w:rsidP="00B61F2A">
            <w:pPr>
              <w:rPr>
                <w:rFonts w:ascii="Lato" w:hAnsi="Lato"/>
                <w:sz w:val="22"/>
                <w:szCs w:val="22"/>
              </w:rPr>
            </w:pPr>
          </w:p>
        </w:tc>
        <w:tc>
          <w:tcPr>
            <w:tcW w:w="5891" w:type="dxa"/>
          </w:tcPr>
          <w:p w14:paraId="50DFA74B"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with the objective</w:t>
            </w:r>
          </w:p>
        </w:tc>
        <w:tc>
          <w:tcPr>
            <w:tcW w:w="3188" w:type="dxa"/>
            <w:tcBorders>
              <w:top w:val="single" w:sz="4" w:space="0" w:color="auto"/>
              <w:bottom w:val="single" w:sz="4" w:space="0" w:color="auto"/>
            </w:tcBorders>
          </w:tcPr>
          <w:p w14:paraId="2F21CC6D"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523E9C34" w14:textId="77777777" w:rsidTr="00946E34">
        <w:trPr>
          <w:cantSplit/>
        </w:trPr>
        <w:tc>
          <w:tcPr>
            <w:tcW w:w="1316" w:type="dxa"/>
          </w:tcPr>
          <w:p w14:paraId="71FF430E" w14:textId="77777777" w:rsidR="00B61F2A" w:rsidRPr="00B61F2A" w:rsidRDefault="00B61F2A" w:rsidP="00B61F2A">
            <w:pPr>
              <w:rPr>
                <w:rFonts w:ascii="Lato" w:hAnsi="Lato"/>
                <w:sz w:val="22"/>
                <w:szCs w:val="22"/>
              </w:rPr>
            </w:pPr>
            <w:r w:rsidRPr="00946E34">
              <w:rPr>
                <w:rFonts w:ascii="Lato" w:hAnsi="Lato"/>
                <w:sz w:val="22"/>
                <w:szCs w:val="22"/>
              </w:rPr>
              <w:t>(ii)</w:t>
            </w:r>
          </w:p>
        </w:tc>
        <w:tc>
          <w:tcPr>
            <w:tcW w:w="5891" w:type="dxa"/>
            <w:tcBorders>
              <w:right w:val="single" w:sz="4" w:space="0" w:color="auto"/>
            </w:tcBorders>
          </w:tcPr>
          <w:p w14:paraId="68BC7202"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 xml:space="preserve">an explanation as to why and how the designated </w:t>
            </w:r>
          </w:p>
        </w:tc>
        <w:tc>
          <w:tcPr>
            <w:tcW w:w="3188" w:type="dxa"/>
            <w:tcBorders>
              <w:top w:val="single" w:sz="4" w:space="0" w:color="auto"/>
              <w:left w:val="single" w:sz="4" w:space="0" w:color="auto"/>
              <w:bottom w:val="single" w:sz="4" w:space="0" w:color="auto"/>
              <w:right w:val="single" w:sz="4" w:space="0" w:color="auto"/>
            </w:tcBorders>
          </w:tcPr>
          <w:p w14:paraId="206EB5BB"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6F91E8D6" w14:textId="77777777" w:rsidTr="00946E34">
        <w:trPr>
          <w:cantSplit/>
        </w:trPr>
        <w:tc>
          <w:tcPr>
            <w:tcW w:w="1316" w:type="dxa"/>
          </w:tcPr>
          <w:p w14:paraId="46FB457E" w14:textId="77777777" w:rsidR="00B61F2A" w:rsidRPr="00B61F2A" w:rsidRDefault="00B61F2A" w:rsidP="00B61F2A">
            <w:pPr>
              <w:rPr>
                <w:rFonts w:ascii="Lato" w:hAnsi="Lato"/>
                <w:sz w:val="22"/>
                <w:szCs w:val="22"/>
              </w:rPr>
            </w:pPr>
          </w:p>
        </w:tc>
        <w:tc>
          <w:tcPr>
            <w:tcW w:w="5891" w:type="dxa"/>
          </w:tcPr>
          <w:p w14:paraId="30A5BB01"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index aligned with that objective differs from a broad market index</w:t>
            </w:r>
          </w:p>
        </w:tc>
        <w:tc>
          <w:tcPr>
            <w:tcW w:w="3188" w:type="dxa"/>
            <w:tcBorders>
              <w:top w:val="single" w:sz="4" w:space="0" w:color="auto"/>
            </w:tcBorders>
          </w:tcPr>
          <w:p w14:paraId="6103F319"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7E0E992B" w14:textId="77777777" w:rsidTr="00946E34">
        <w:trPr>
          <w:cantSplit/>
        </w:trPr>
        <w:tc>
          <w:tcPr>
            <w:tcW w:w="1316" w:type="dxa"/>
          </w:tcPr>
          <w:p w14:paraId="4B9E4304" w14:textId="77777777" w:rsidR="00B61F2A" w:rsidRPr="00B61F2A" w:rsidRDefault="00B61F2A" w:rsidP="00B61F2A">
            <w:pPr>
              <w:rPr>
                <w:rFonts w:ascii="Lato" w:hAnsi="Lato"/>
                <w:sz w:val="22"/>
                <w:szCs w:val="22"/>
              </w:rPr>
            </w:pPr>
          </w:p>
        </w:tc>
        <w:tc>
          <w:tcPr>
            <w:tcW w:w="5891" w:type="dxa"/>
          </w:tcPr>
          <w:p w14:paraId="117DD23D" w14:textId="77777777" w:rsidR="00B61F2A" w:rsidRPr="00B61F2A" w:rsidRDefault="00B61F2A" w:rsidP="00B61F2A">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22F72336"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45941DB9" w14:textId="77777777" w:rsidTr="00946E34">
        <w:trPr>
          <w:cantSplit/>
        </w:trPr>
        <w:tc>
          <w:tcPr>
            <w:tcW w:w="1316" w:type="dxa"/>
          </w:tcPr>
          <w:p w14:paraId="1116FC90" w14:textId="77777777" w:rsidR="00B61F2A" w:rsidRPr="00B61F2A" w:rsidRDefault="00B61F2A" w:rsidP="00B61F2A">
            <w:pPr>
              <w:rPr>
                <w:rFonts w:ascii="Lato" w:hAnsi="Lato"/>
                <w:sz w:val="22"/>
                <w:szCs w:val="22"/>
              </w:rPr>
            </w:pPr>
            <w:r w:rsidRPr="00946E34">
              <w:rPr>
                <w:rFonts w:ascii="Lato" w:hAnsi="Lato"/>
                <w:sz w:val="22"/>
                <w:szCs w:val="22"/>
              </w:rPr>
              <w:t>(c)</w:t>
            </w:r>
          </w:p>
        </w:tc>
        <w:tc>
          <w:tcPr>
            <w:tcW w:w="5891" w:type="dxa"/>
            <w:tcBorders>
              <w:right w:val="single" w:sz="4" w:space="0" w:color="auto"/>
            </w:tcBorders>
          </w:tcPr>
          <w:p w14:paraId="39E3D031"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 xml:space="preserve">Where a fund has sustainable investment as its </w:t>
            </w:r>
          </w:p>
        </w:tc>
        <w:tc>
          <w:tcPr>
            <w:tcW w:w="3188" w:type="dxa"/>
            <w:tcBorders>
              <w:top w:val="single" w:sz="4" w:space="0" w:color="auto"/>
              <w:left w:val="single" w:sz="4" w:space="0" w:color="auto"/>
              <w:bottom w:val="single" w:sz="4" w:space="0" w:color="auto"/>
              <w:right w:val="single" w:sz="4" w:space="0" w:color="auto"/>
            </w:tcBorders>
          </w:tcPr>
          <w:p w14:paraId="73B6C442"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5E811FC2" w14:textId="77777777" w:rsidTr="00946E34">
        <w:trPr>
          <w:cantSplit/>
        </w:trPr>
        <w:tc>
          <w:tcPr>
            <w:tcW w:w="1316" w:type="dxa"/>
          </w:tcPr>
          <w:p w14:paraId="5E4524E3" w14:textId="77777777" w:rsidR="00B61F2A" w:rsidRPr="00B61F2A" w:rsidRDefault="00B61F2A" w:rsidP="00B61F2A">
            <w:pPr>
              <w:rPr>
                <w:rFonts w:ascii="Lato" w:hAnsi="Lato"/>
                <w:sz w:val="22"/>
                <w:szCs w:val="22"/>
              </w:rPr>
            </w:pPr>
          </w:p>
        </w:tc>
        <w:tc>
          <w:tcPr>
            <w:tcW w:w="5891" w:type="dxa"/>
          </w:tcPr>
          <w:p w14:paraId="1DA4FAC6"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objective and no index has been designated as a reference benchmark, include an explanation on how that objective is to be attained.</w:t>
            </w:r>
          </w:p>
        </w:tc>
        <w:tc>
          <w:tcPr>
            <w:tcW w:w="3188" w:type="dxa"/>
            <w:tcBorders>
              <w:top w:val="single" w:sz="4" w:space="0" w:color="auto"/>
            </w:tcBorders>
          </w:tcPr>
          <w:p w14:paraId="5D353D64"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747CE350" w14:textId="77777777" w:rsidTr="00946E34">
        <w:trPr>
          <w:cantSplit/>
        </w:trPr>
        <w:tc>
          <w:tcPr>
            <w:tcW w:w="1316" w:type="dxa"/>
          </w:tcPr>
          <w:p w14:paraId="1AAC4E0A" w14:textId="77777777" w:rsidR="00B61F2A" w:rsidRPr="00B61F2A" w:rsidRDefault="00B61F2A" w:rsidP="00B61F2A">
            <w:pPr>
              <w:rPr>
                <w:rFonts w:ascii="Lato" w:hAnsi="Lato"/>
                <w:sz w:val="22"/>
                <w:szCs w:val="22"/>
              </w:rPr>
            </w:pPr>
          </w:p>
        </w:tc>
        <w:tc>
          <w:tcPr>
            <w:tcW w:w="5891" w:type="dxa"/>
          </w:tcPr>
          <w:p w14:paraId="5F3A9313" w14:textId="77777777" w:rsidR="00B61F2A" w:rsidRPr="00B61F2A" w:rsidRDefault="00B61F2A" w:rsidP="00B61F2A">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652917A4"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738E4A48" w14:textId="77777777" w:rsidTr="00946E34">
        <w:trPr>
          <w:cantSplit/>
        </w:trPr>
        <w:tc>
          <w:tcPr>
            <w:tcW w:w="1316" w:type="dxa"/>
          </w:tcPr>
          <w:p w14:paraId="7629741D" w14:textId="77777777" w:rsidR="00B61F2A" w:rsidRPr="00B61F2A" w:rsidRDefault="00B61F2A" w:rsidP="00B61F2A">
            <w:pPr>
              <w:rPr>
                <w:rFonts w:ascii="Lato" w:hAnsi="Lato"/>
                <w:sz w:val="22"/>
                <w:szCs w:val="22"/>
              </w:rPr>
            </w:pPr>
            <w:r w:rsidRPr="00946E34">
              <w:rPr>
                <w:rFonts w:ascii="Lato" w:hAnsi="Lato"/>
                <w:sz w:val="22"/>
                <w:szCs w:val="22"/>
              </w:rPr>
              <w:t>(d)</w:t>
            </w:r>
          </w:p>
        </w:tc>
        <w:tc>
          <w:tcPr>
            <w:tcW w:w="5891" w:type="dxa"/>
            <w:tcBorders>
              <w:right w:val="single" w:sz="4" w:space="0" w:color="auto"/>
            </w:tcBorders>
          </w:tcPr>
          <w:p w14:paraId="2F5866B6"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 xml:space="preserve">Where a fund has a reduction in carbon emissions as </w:t>
            </w:r>
          </w:p>
        </w:tc>
        <w:tc>
          <w:tcPr>
            <w:tcW w:w="3188" w:type="dxa"/>
            <w:tcBorders>
              <w:top w:val="single" w:sz="4" w:space="0" w:color="auto"/>
              <w:left w:val="single" w:sz="4" w:space="0" w:color="auto"/>
              <w:bottom w:val="single" w:sz="4" w:space="0" w:color="auto"/>
              <w:right w:val="single" w:sz="4" w:space="0" w:color="auto"/>
            </w:tcBorders>
          </w:tcPr>
          <w:p w14:paraId="6D69166D"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77D9C63C" w14:textId="77777777" w:rsidTr="00946E34">
        <w:trPr>
          <w:cantSplit/>
        </w:trPr>
        <w:tc>
          <w:tcPr>
            <w:tcW w:w="1316" w:type="dxa"/>
          </w:tcPr>
          <w:p w14:paraId="34C4A192" w14:textId="77777777" w:rsidR="00B61F2A" w:rsidRPr="00B61F2A" w:rsidRDefault="00B61F2A" w:rsidP="00B61F2A">
            <w:pPr>
              <w:rPr>
                <w:rFonts w:ascii="Lato" w:hAnsi="Lato"/>
                <w:sz w:val="22"/>
                <w:szCs w:val="22"/>
              </w:rPr>
            </w:pPr>
          </w:p>
        </w:tc>
        <w:tc>
          <w:tcPr>
            <w:tcW w:w="5891" w:type="dxa"/>
          </w:tcPr>
          <w:p w14:paraId="767729CA"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its objective, include the objective of low carbon emission exposure in view of achieving the long</w:t>
            </w:r>
            <w:r w:rsidRPr="00946E34">
              <w:rPr>
                <w:rFonts w:ascii="Cambria Math" w:hAnsi="Cambria Math" w:cs="Cambria Math"/>
                <w:b w:val="0"/>
                <w:color w:val="000000"/>
                <w:sz w:val="22"/>
                <w:szCs w:val="22"/>
              </w:rPr>
              <w:t>‐</w:t>
            </w:r>
            <w:r w:rsidRPr="00946E34">
              <w:rPr>
                <w:rFonts w:ascii="Lato" w:hAnsi="Lato"/>
                <w:b w:val="0"/>
                <w:color w:val="000000"/>
                <w:sz w:val="22"/>
                <w:szCs w:val="22"/>
              </w:rPr>
              <w:t>term global warming objectives of the Paris Agreement</w:t>
            </w:r>
          </w:p>
        </w:tc>
        <w:tc>
          <w:tcPr>
            <w:tcW w:w="3188" w:type="dxa"/>
            <w:tcBorders>
              <w:top w:val="single" w:sz="4" w:space="0" w:color="auto"/>
            </w:tcBorders>
          </w:tcPr>
          <w:p w14:paraId="548B1CB9"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75579291" w14:textId="77777777" w:rsidTr="00946E34">
        <w:trPr>
          <w:cantSplit/>
        </w:trPr>
        <w:tc>
          <w:tcPr>
            <w:tcW w:w="1316" w:type="dxa"/>
          </w:tcPr>
          <w:p w14:paraId="7896F49D" w14:textId="77777777" w:rsidR="00B61F2A" w:rsidRPr="00B61F2A" w:rsidRDefault="00B61F2A" w:rsidP="00B61F2A">
            <w:pPr>
              <w:rPr>
                <w:rFonts w:ascii="Lato" w:hAnsi="Lato"/>
                <w:sz w:val="22"/>
                <w:szCs w:val="22"/>
              </w:rPr>
            </w:pPr>
          </w:p>
        </w:tc>
        <w:tc>
          <w:tcPr>
            <w:tcW w:w="5891" w:type="dxa"/>
          </w:tcPr>
          <w:p w14:paraId="52331EF3" w14:textId="77777777" w:rsidR="00B61F2A" w:rsidRPr="00B61F2A" w:rsidRDefault="00B61F2A" w:rsidP="00B61F2A">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0E372A1F"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360664AB" w14:textId="77777777" w:rsidTr="00946E34">
        <w:trPr>
          <w:cantSplit/>
        </w:trPr>
        <w:tc>
          <w:tcPr>
            <w:tcW w:w="1316" w:type="dxa"/>
          </w:tcPr>
          <w:p w14:paraId="3B9EC46E" w14:textId="77777777" w:rsidR="00B61F2A" w:rsidRPr="00B61F2A" w:rsidRDefault="00B61F2A" w:rsidP="00B61F2A">
            <w:pPr>
              <w:rPr>
                <w:rFonts w:ascii="Lato" w:hAnsi="Lato"/>
                <w:sz w:val="22"/>
                <w:szCs w:val="22"/>
              </w:rPr>
            </w:pPr>
            <w:r w:rsidRPr="00946E34">
              <w:rPr>
                <w:rFonts w:ascii="Lato" w:hAnsi="Lato"/>
                <w:sz w:val="22"/>
                <w:szCs w:val="22"/>
              </w:rPr>
              <w:t>(e)</w:t>
            </w:r>
          </w:p>
        </w:tc>
        <w:tc>
          <w:tcPr>
            <w:tcW w:w="5891" w:type="dxa"/>
            <w:tcBorders>
              <w:right w:val="single" w:sz="4" w:space="0" w:color="auto"/>
            </w:tcBorders>
          </w:tcPr>
          <w:p w14:paraId="54E27E43"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 xml:space="preserve">Include a detailed explanation of how the continued </w:t>
            </w:r>
          </w:p>
        </w:tc>
        <w:tc>
          <w:tcPr>
            <w:tcW w:w="3188" w:type="dxa"/>
            <w:tcBorders>
              <w:top w:val="single" w:sz="4" w:space="0" w:color="auto"/>
              <w:left w:val="single" w:sz="4" w:space="0" w:color="auto"/>
              <w:bottom w:val="single" w:sz="4" w:space="0" w:color="auto"/>
              <w:right w:val="single" w:sz="4" w:space="0" w:color="auto"/>
            </w:tcBorders>
          </w:tcPr>
          <w:p w14:paraId="1012A310"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6EEE757A" w14:textId="77777777" w:rsidTr="00946E34">
        <w:trPr>
          <w:cantSplit/>
        </w:trPr>
        <w:tc>
          <w:tcPr>
            <w:tcW w:w="1316" w:type="dxa"/>
          </w:tcPr>
          <w:p w14:paraId="2E50D561" w14:textId="77777777" w:rsidR="00B61F2A" w:rsidRPr="00B61F2A" w:rsidRDefault="00B61F2A" w:rsidP="00B61F2A">
            <w:pPr>
              <w:rPr>
                <w:rFonts w:ascii="Lato" w:hAnsi="Lato"/>
                <w:sz w:val="22"/>
                <w:szCs w:val="22"/>
              </w:rPr>
            </w:pPr>
          </w:p>
        </w:tc>
        <w:tc>
          <w:tcPr>
            <w:tcW w:w="5891" w:type="dxa"/>
          </w:tcPr>
          <w:p w14:paraId="6E16BB3C"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effort of attaining the objective of reducing carbon emissions is ensured in view of achieving the long</w:t>
            </w:r>
            <w:r w:rsidRPr="00946E34">
              <w:rPr>
                <w:rFonts w:ascii="Cambria Math" w:hAnsi="Cambria Math" w:cs="Cambria Math"/>
                <w:b w:val="0"/>
                <w:color w:val="000000"/>
                <w:sz w:val="22"/>
                <w:szCs w:val="22"/>
              </w:rPr>
              <w:t>‐</w:t>
            </w:r>
            <w:r w:rsidRPr="00946E34">
              <w:rPr>
                <w:rFonts w:ascii="Lato" w:hAnsi="Lato"/>
                <w:b w:val="0"/>
                <w:color w:val="000000"/>
                <w:sz w:val="22"/>
                <w:szCs w:val="22"/>
              </w:rPr>
              <w:t>term global warming objectives of the Paris Agreement where the index requirements of (b) above is not available</w:t>
            </w:r>
          </w:p>
        </w:tc>
        <w:tc>
          <w:tcPr>
            <w:tcW w:w="3188" w:type="dxa"/>
            <w:tcBorders>
              <w:top w:val="single" w:sz="4" w:space="0" w:color="auto"/>
            </w:tcBorders>
          </w:tcPr>
          <w:p w14:paraId="7919D432"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6FC29610" w14:textId="77777777" w:rsidTr="00946E34">
        <w:trPr>
          <w:cantSplit/>
        </w:trPr>
        <w:tc>
          <w:tcPr>
            <w:tcW w:w="1316" w:type="dxa"/>
          </w:tcPr>
          <w:p w14:paraId="4D1DB824" w14:textId="77777777" w:rsidR="00B61F2A" w:rsidRPr="00B61F2A" w:rsidRDefault="00B61F2A" w:rsidP="00B61F2A">
            <w:pPr>
              <w:rPr>
                <w:rFonts w:ascii="Lato" w:hAnsi="Lato"/>
                <w:sz w:val="22"/>
                <w:szCs w:val="22"/>
              </w:rPr>
            </w:pPr>
          </w:p>
        </w:tc>
        <w:tc>
          <w:tcPr>
            <w:tcW w:w="5891" w:type="dxa"/>
          </w:tcPr>
          <w:p w14:paraId="082E096F" w14:textId="77777777" w:rsidR="00B61F2A" w:rsidRPr="00B61F2A" w:rsidRDefault="00B61F2A" w:rsidP="00B61F2A">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692C9E52"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0C721965" w14:textId="77777777" w:rsidTr="00946E34">
        <w:trPr>
          <w:cantSplit/>
        </w:trPr>
        <w:tc>
          <w:tcPr>
            <w:tcW w:w="1316" w:type="dxa"/>
          </w:tcPr>
          <w:p w14:paraId="1703E1B2" w14:textId="77777777" w:rsidR="00B61F2A" w:rsidRPr="00B61F2A" w:rsidRDefault="00B61F2A" w:rsidP="00B61F2A">
            <w:pPr>
              <w:rPr>
                <w:rFonts w:ascii="Lato" w:hAnsi="Lato"/>
                <w:sz w:val="22"/>
                <w:szCs w:val="22"/>
              </w:rPr>
            </w:pPr>
            <w:r w:rsidRPr="00946E34">
              <w:rPr>
                <w:rFonts w:ascii="Lato" w:hAnsi="Lato"/>
                <w:sz w:val="22"/>
                <w:szCs w:val="22"/>
              </w:rPr>
              <w:t>(f)</w:t>
            </w:r>
          </w:p>
        </w:tc>
        <w:tc>
          <w:tcPr>
            <w:tcW w:w="5891" w:type="dxa"/>
            <w:tcBorders>
              <w:right w:val="single" w:sz="4" w:space="0" w:color="auto"/>
            </w:tcBorders>
          </w:tcPr>
          <w:p w14:paraId="0AF62323"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 xml:space="preserve">Indicate where the methodology used for the </w:t>
            </w:r>
          </w:p>
        </w:tc>
        <w:tc>
          <w:tcPr>
            <w:tcW w:w="3188" w:type="dxa"/>
            <w:tcBorders>
              <w:top w:val="single" w:sz="4" w:space="0" w:color="auto"/>
              <w:left w:val="single" w:sz="4" w:space="0" w:color="auto"/>
              <w:bottom w:val="single" w:sz="4" w:space="0" w:color="auto"/>
              <w:right w:val="single" w:sz="4" w:space="0" w:color="auto"/>
            </w:tcBorders>
          </w:tcPr>
          <w:p w14:paraId="1FAEB568"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7FB92D1D" w14:textId="77777777" w:rsidTr="00946E34">
        <w:trPr>
          <w:cantSplit/>
        </w:trPr>
        <w:tc>
          <w:tcPr>
            <w:tcW w:w="1316" w:type="dxa"/>
          </w:tcPr>
          <w:p w14:paraId="1044FD87" w14:textId="77777777" w:rsidR="00B61F2A" w:rsidRPr="00B61F2A" w:rsidRDefault="00B61F2A" w:rsidP="00B61F2A">
            <w:pPr>
              <w:rPr>
                <w:rFonts w:ascii="Lato" w:hAnsi="Lato"/>
                <w:sz w:val="22"/>
                <w:szCs w:val="22"/>
              </w:rPr>
            </w:pPr>
          </w:p>
        </w:tc>
        <w:tc>
          <w:tcPr>
            <w:tcW w:w="5891" w:type="dxa"/>
          </w:tcPr>
          <w:p w14:paraId="41BEE29C"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calculation of the index can be found</w:t>
            </w:r>
          </w:p>
        </w:tc>
        <w:tc>
          <w:tcPr>
            <w:tcW w:w="3188" w:type="dxa"/>
            <w:tcBorders>
              <w:top w:val="single" w:sz="4" w:space="0" w:color="auto"/>
            </w:tcBorders>
          </w:tcPr>
          <w:p w14:paraId="530847D9"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42AD1AF7" w14:textId="77777777" w:rsidTr="00990D73">
        <w:trPr>
          <w:cantSplit/>
        </w:trPr>
        <w:tc>
          <w:tcPr>
            <w:tcW w:w="1316" w:type="dxa"/>
          </w:tcPr>
          <w:p w14:paraId="7E04B734" w14:textId="77777777" w:rsidR="00B61F2A" w:rsidRPr="001362A6" w:rsidRDefault="00B61F2A" w:rsidP="00B61F2A">
            <w:pPr>
              <w:rPr>
                <w:rFonts w:ascii="Lato" w:hAnsi="Lato"/>
                <w:sz w:val="22"/>
                <w:szCs w:val="22"/>
              </w:rPr>
            </w:pPr>
          </w:p>
        </w:tc>
        <w:tc>
          <w:tcPr>
            <w:tcW w:w="5891" w:type="dxa"/>
          </w:tcPr>
          <w:p w14:paraId="15F547E5" w14:textId="77777777" w:rsidR="00B61F2A" w:rsidRPr="001362A6" w:rsidRDefault="00B61F2A" w:rsidP="00B61F2A">
            <w:pPr>
              <w:pStyle w:val="Heading3"/>
              <w:spacing w:before="0" w:after="0" w:line="240" w:lineRule="auto"/>
              <w:rPr>
                <w:rFonts w:ascii="Lato" w:hAnsi="Lato"/>
                <w:b w:val="0"/>
                <w:bCs/>
                <w:color w:val="auto"/>
                <w:sz w:val="22"/>
                <w:szCs w:val="22"/>
              </w:rPr>
            </w:pPr>
          </w:p>
        </w:tc>
        <w:tc>
          <w:tcPr>
            <w:tcW w:w="3188" w:type="dxa"/>
          </w:tcPr>
          <w:p w14:paraId="7DD3D55C"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7D2347AE" w14:textId="77777777" w:rsidTr="00990D73">
        <w:trPr>
          <w:cantSplit/>
        </w:trPr>
        <w:tc>
          <w:tcPr>
            <w:tcW w:w="1316" w:type="dxa"/>
          </w:tcPr>
          <w:p w14:paraId="05F048FB" w14:textId="77777777" w:rsidR="00B61F2A" w:rsidRPr="00B61F2A" w:rsidRDefault="00B61F2A" w:rsidP="00B61F2A">
            <w:pPr>
              <w:rPr>
                <w:rFonts w:ascii="Lato" w:hAnsi="Lato"/>
                <w:sz w:val="22"/>
                <w:szCs w:val="22"/>
              </w:rPr>
            </w:pPr>
            <w:r w:rsidRPr="00B61F2A">
              <w:rPr>
                <w:rFonts w:ascii="Lato" w:hAnsi="Lato"/>
                <w:sz w:val="22"/>
                <w:szCs w:val="22"/>
              </w:rPr>
              <w:t>2.2.15</w:t>
            </w:r>
          </w:p>
        </w:tc>
        <w:tc>
          <w:tcPr>
            <w:tcW w:w="5891" w:type="dxa"/>
          </w:tcPr>
          <w:p w14:paraId="6E2C7117" w14:textId="77777777" w:rsidR="00B61F2A" w:rsidRPr="00C40D17" w:rsidRDefault="00B61F2A" w:rsidP="00B61F2A">
            <w:pPr>
              <w:pStyle w:val="Heading3"/>
              <w:spacing w:before="0" w:after="0" w:line="240" w:lineRule="auto"/>
              <w:rPr>
                <w:rFonts w:ascii="Lato" w:hAnsi="Lato"/>
                <w:b w:val="0"/>
                <w:bCs/>
                <w:color w:val="auto"/>
                <w:sz w:val="22"/>
                <w:szCs w:val="22"/>
              </w:rPr>
            </w:pPr>
            <w:r w:rsidRPr="00F77073">
              <w:rPr>
                <w:rFonts w:ascii="Lato" w:hAnsi="Lato"/>
                <w:b w:val="0"/>
                <w:color w:val="auto"/>
                <w:sz w:val="22"/>
                <w:szCs w:val="22"/>
                <w:u w:val="single"/>
              </w:rPr>
              <w:t>Sustainable Finance Risk</w:t>
            </w:r>
          </w:p>
        </w:tc>
        <w:tc>
          <w:tcPr>
            <w:tcW w:w="3188" w:type="dxa"/>
          </w:tcPr>
          <w:p w14:paraId="39FB6A21"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63722884" w14:textId="77777777" w:rsidTr="00946E34">
        <w:trPr>
          <w:cantSplit/>
        </w:trPr>
        <w:tc>
          <w:tcPr>
            <w:tcW w:w="1316" w:type="dxa"/>
          </w:tcPr>
          <w:p w14:paraId="4D81DA4B" w14:textId="77777777" w:rsidR="00B61F2A" w:rsidRPr="00B61F2A" w:rsidRDefault="00B61F2A" w:rsidP="00B61F2A">
            <w:pPr>
              <w:rPr>
                <w:rFonts w:ascii="Lato" w:hAnsi="Lato"/>
                <w:sz w:val="22"/>
                <w:szCs w:val="22"/>
              </w:rPr>
            </w:pPr>
          </w:p>
        </w:tc>
        <w:tc>
          <w:tcPr>
            <w:tcW w:w="5891" w:type="dxa"/>
          </w:tcPr>
          <w:p w14:paraId="09A0414C" w14:textId="77777777" w:rsidR="00B61F2A" w:rsidRPr="00C40D17" w:rsidRDefault="00B61F2A" w:rsidP="00B61F2A">
            <w:pPr>
              <w:pStyle w:val="Heading3"/>
              <w:spacing w:before="0" w:after="0" w:line="240" w:lineRule="auto"/>
              <w:rPr>
                <w:rFonts w:ascii="Lato" w:hAnsi="Lato"/>
                <w:b w:val="0"/>
                <w:bCs/>
                <w:color w:val="auto"/>
                <w:sz w:val="22"/>
                <w:szCs w:val="22"/>
              </w:rPr>
            </w:pPr>
            <w:r w:rsidRPr="00F77073">
              <w:rPr>
                <w:rFonts w:ascii="Lato" w:hAnsi="Lato"/>
                <w:b w:val="0"/>
                <w:color w:val="auto"/>
                <w:sz w:val="22"/>
                <w:szCs w:val="22"/>
              </w:rPr>
              <w:t>Disclose the following:</w:t>
            </w:r>
          </w:p>
        </w:tc>
        <w:tc>
          <w:tcPr>
            <w:tcW w:w="3188" w:type="dxa"/>
            <w:tcBorders>
              <w:bottom w:val="single" w:sz="4" w:space="0" w:color="auto"/>
            </w:tcBorders>
          </w:tcPr>
          <w:p w14:paraId="63F5B01D"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57DBFB54" w14:textId="77777777" w:rsidTr="00946E34">
        <w:trPr>
          <w:cantSplit/>
        </w:trPr>
        <w:tc>
          <w:tcPr>
            <w:tcW w:w="1316" w:type="dxa"/>
          </w:tcPr>
          <w:p w14:paraId="2D8943F2" w14:textId="77777777" w:rsidR="00B61F2A" w:rsidRPr="00B61F2A" w:rsidRDefault="00B61F2A" w:rsidP="00B61F2A">
            <w:pPr>
              <w:rPr>
                <w:rFonts w:ascii="Lato" w:hAnsi="Lato"/>
                <w:sz w:val="22"/>
                <w:szCs w:val="22"/>
              </w:rPr>
            </w:pPr>
            <w:r w:rsidRPr="00946E34">
              <w:rPr>
                <w:rFonts w:ascii="Lato" w:hAnsi="Lato"/>
                <w:sz w:val="22"/>
                <w:szCs w:val="22"/>
              </w:rPr>
              <w:t>(i)</w:t>
            </w:r>
          </w:p>
        </w:tc>
        <w:tc>
          <w:tcPr>
            <w:tcW w:w="5891" w:type="dxa"/>
            <w:tcBorders>
              <w:right w:val="single" w:sz="4" w:space="0" w:color="auto"/>
            </w:tcBorders>
          </w:tcPr>
          <w:p w14:paraId="06005549" w14:textId="77777777" w:rsidR="00B61F2A" w:rsidRPr="00C40D17" w:rsidRDefault="00B61F2A" w:rsidP="00B61F2A">
            <w:pPr>
              <w:pStyle w:val="Heading3"/>
              <w:spacing w:before="0" w:after="0" w:line="240" w:lineRule="auto"/>
              <w:rPr>
                <w:rFonts w:ascii="Lato" w:hAnsi="Lato"/>
                <w:b w:val="0"/>
                <w:bCs/>
                <w:color w:val="auto"/>
                <w:sz w:val="22"/>
                <w:szCs w:val="22"/>
              </w:rPr>
            </w:pPr>
            <w:r w:rsidRPr="00F77073">
              <w:rPr>
                <w:rFonts w:ascii="Lato" w:hAnsi="Lato"/>
                <w:b w:val="0"/>
                <w:color w:val="auto"/>
                <w:sz w:val="22"/>
                <w:szCs w:val="22"/>
              </w:rPr>
              <w:t xml:space="preserve">(a) the manner in which sustainability risks are </w:t>
            </w:r>
          </w:p>
        </w:tc>
        <w:tc>
          <w:tcPr>
            <w:tcW w:w="3188" w:type="dxa"/>
            <w:tcBorders>
              <w:top w:val="single" w:sz="4" w:space="0" w:color="auto"/>
              <w:left w:val="single" w:sz="4" w:space="0" w:color="auto"/>
              <w:bottom w:val="single" w:sz="4" w:space="0" w:color="auto"/>
              <w:right w:val="single" w:sz="4" w:space="0" w:color="auto"/>
            </w:tcBorders>
          </w:tcPr>
          <w:p w14:paraId="55D4981A"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26F4FE39" w14:textId="77777777" w:rsidTr="00946E34">
        <w:trPr>
          <w:cantSplit/>
        </w:trPr>
        <w:tc>
          <w:tcPr>
            <w:tcW w:w="1316" w:type="dxa"/>
          </w:tcPr>
          <w:p w14:paraId="2D45B636" w14:textId="77777777" w:rsidR="00B61F2A" w:rsidRPr="00B61F2A" w:rsidRDefault="00B61F2A" w:rsidP="00B61F2A">
            <w:pPr>
              <w:rPr>
                <w:rFonts w:ascii="Lato" w:hAnsi="Lato"/>
                <w:sz w:val="22"/>
                <w:szCs w:val="22"/>
              </w:rPr>
            </w:pPr>
          </w:p>
        </w:tc>
        <w:tc>
          <w:tcPr>
            <w:tcW w:w="5891" w:type="dxa"/>
          </w:tcPr>
          <w:p w14:paraId="666BF049" w14:textId="77777777" w:rsidR="00B61F2A" w:rsidRPr="00C40D17" w:rsidRDefault="00B61F2A" w:rsidP="00B61F2A">
            <w:pPr>
              <w:pStyle w:val="Heading3"/>
              <w:spacing w:before="0" w:after="0" w:line="240" w:lineRule="auto"/>
              <w:rPr>
                <w:rFonts w:ascii="Lato" w:hAnsi="Lato"/>
                <w:b w:val="0"/>
                <w:bCs/>
                <w:color w:val="auto"/>
                <w:sz w:val="22"/>
                <w:szCs w:val="22"/>
              </w:rPr>
            </w:pPr>
            <w:r w:rsidRPr="00F77073">
              <w:rPr>
                <w:rFonts w:ascii="Lato" w:hAnsi="Lato"/>
                <w:b w:val="0"/>
                <w:color w:val="auto"/>
                <w:sz w:val="22"/>
                <w:szCs w:val="22"/>
              </w:rPr>
              <w:t>integrated into investment decisions; and</w:t>
            </w:r>
          </w:p>
        </w:tc>
        <w:tc>
          <w:tcPr>
            <w:tcW w:w="3188" w:type="dxa"/>
            <w:tcBorders>
              <w:top w:val="single" w:sz="4" w:space="0" w:color="auto"/>
              <w:bottom w:val="single" w:sz="4" w:space="0" w:color="auto"/>
            </w:tcBorders>
          </w:tcPr>
          <w:p w14:paraId="55EE02F9"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3B005A6B" w14:textId="77777777" w:rsidTr="00946E34">
        <w:trPr>
          <w:cantSplit/>
        </w:trPr>
        <w:tc>
          <w:tcPr>
            <w:tcW w:w="1316" w:type="dxa"/>
          </w:tcPr>
          <w:p w14:paraId="1FC99C89" w14:textId="77777777" w:rsidR="00B61F2A" w:rsidRPr="00B61F2A" w:rsidRDefault="00B61F2A" w:rsidP="00B61F2A">
            <w:pPr>
              <w:rPr>
                <w:rFonts w:ascii="Lato" w:hAnsi="Lato"/>
                <w:sz w:val="22"/>
                <w:szCs w:val="22"/>
              </w:rPr>
            </w:pPr>
          </w:p>
        </w:tc>
        <w:tc>
          <w:tcPr>
            <w:tcW w:w="5891" w:type="dxa"/>
            <w:tcBorders>
              <w:right w:val="single" w:sz="4" w:space="0" w:color="auto"/>
            </w:tcBorders>
          </w:tcPr>
          <w:p w14:paraId="148706B8" w14:textId="77777777" w:rsidR="00B61F2A" w:rsidRPr="00C40D17" w:rsidRDefault="00B61F2A" w:rsidP="00B61F2A">
            <w:pPr>
              <w:pStyle w:val="Heading3"/>
              <w:spacing w:before="0" w:after="0" w:line="240" w:lineRule="auto"/>
              <w:rPr>
                <w:rFonts w:ascii="Lato" w:hAnsi="Lato"/>
                <w:b w:val="0"/>
                <w:bCs/>
                <w:color w:val="auto"/>
                <w:sz w:val="22"/>
                <w:szCs w:val="22"/>
              </w:rPr>
            </w:pPr>
            <w:r w:rsidRPr="00F77073">
              <w:rPr>
                <w:rFonts w:ascii="Lato" w:hAnsi="Lato"/>
                <w:b w:val="0"/>
                <w:color w:val="auto"/>
                <w:sz w:val="22"/>
                <w:szCs w:val="22"/>
              </w:rPr>
              <w:t xml:space="preserve">(b) the results of the assessment of the likely </w:t>
            </w:r>
          </w:p>
        </w:tc>
        <w:tc>
          <w:tcPr>
            <w:tcW w:w="3188" w:type="dxa"/>
            <w:tcBorders>
              <w:top w:val="single" w:sz="4" w:space="0" w:color="auto"/>
              <w:left w:val="single" w:sz="4" w:space="0" w:color="auto"/>
              <w:bottom w:val="single" w:sz="4" w:space="0" w:color="auto"/>
              <w:right w:val="single" w:sz="4" w:space="0" w:color="auto"/>
            </w:tcBorders>
          </w:tcPr>
          <w:p w14:paraId="1B19773F"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0EA90E6C" w14:textId="77777777" w:rsidTr="00946E34">
        <w:trPr>
          <w:cantSplit/>
        </w:trPr>
        <w:tc>
          <w:tcPr>
            <w:tcW w:w="1316" w:type="dxa"/>
          </w:tcPr>
          <w:p w14:paraId="17998CFF" w14:textId="77777777" w:rsidR="00B61F2A" w:rsidRPr="00B61F2A" w:rsidRDefault="00B61F2A" w:rsidP="00B61F2A">
            <w:pPr>
              <w:rPr>
                <w:rFonts w:ascii="Lato" w:hAnsi="Lato"/>
                <w:sz w:val="22"/>
                <w:szCs w:val="22"/>
              </w:rPr>
            </w:pPr>
          </w:p>
        </w:tc>
        <w:tc>
          <w:tcPr>
            <w:tcW w:w="5891" w:type="dxa"/>
          </w:tcPr>
          <w:p w14:paraId="78C2C91B" w14:textId="77777777" w:rsidR="00B61F2A" w:rsidRPr="00C40D17" w:rsidRDefault="00B61F2A" w:rsidP="00B61F2A">
            <w:pPr>
              <w:pStyle w:val="Heading3"/>
              <w:spacing w:before="0" w:after="0" w:line="240" w:lineRule="auto"/>
              <w:rPr>
                <w:rFonts w:ascii="Lato" w:hAnsi="Lato"/>
                <w:b w:val="0"/>
                <w:bCs/>
                <w:color w:val="auto"/>
                <w:sz w:val="22"/>
                <w:szCs w:val="22"/>
              </w:rPr>
            </w:pPr>
            <w:r w:rsidRPr="00F77073">
              <w:rPr>
                <w:rFonts w:ascii="Lato" w:hAnsi="Lato"/>
                <w:b w:val="0"/>
                <w:color w:val="auto"/>
                <w:sz w:val="22"/>
                <w:szCs w:val="22"/>
              </w:rPr>
              <w:t>impacts of sustainability risks on the returns of the fund</w:t>
            </w:r>
          </w:p>
        </w:tc>
        <w:tc>
          <w:tcPr>
            <w:tcW w:w="3188" w:type="dxa"/>
            <w:tcBorders>
              <w:top w:val="single" w:sz="4" w:space="0" w:color="auto"/>
              <w:bottom w:val="single" w:sz="4" w:space="0" w:color="auto"/>
            </w:tcBorders>
          </w:tcPr>
          <w:p w14:paraId="63AA1308"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0960A5FF" w14:textId="77777777" w:rsidTr="00946E34">
        <w:trPr>
          <w:cantSplit/>
        </w:trPr>
        <w:tc>
          <w:tcPr>
            <w:tcW w:w="1316" w:type="dxa"/>
          </w:tcPr>
          <w:p w14:paraId="069B0A06" w14:textId="77777777" w:rsidR="00B61F2A" w:rsidRPr="00B61F2A" w:rsidRDefault="00B61F2A" w:rsidP="00B61F2A">
            <w:pPr>
              <w:rPr>
                <w:rFonts w:ascii="Lato" w:hAnsi="Lato"/>
                <w:sz w:val="22"/>
                <w:szCs w:val="22"/>
              </w:rPr>
            </w:pPr>
            <w:r w:rsidRPr="00946E34">
              <w:rPr>
                <w:rFonts w:ascii="Lato" w:hAnsi="Lato"/>
                <w:sz w:val="22"/>
                <w:szCs w:val="22"/>
              </w:rPr>
              <w:t>(ii)</w:t>
            </w:r>
          </w:p>
        </w:tc>
        <w:tc>
          <w:tcPr>
            <w:tcW w:w="5891" w:type="dxa"/>
            <w:tcBorders>
              <w:right w:val="single" w:sz="4" w:space="0" w:color="auto"/>
            </w:tcBorders>
          </w:tcPr>
          <w:p w14:paraId="04DC31EB" w14:textId="77777777" w:rsidR="00B61F2A" w:rsidRPr="00C40D17" w:rsidRDefault="00B61F2A" w:rsidP="00B61F2A">
            <w:pPr>
              <w:pStyle w:val="Heading3"/>
              <w:spacing w:before="0" w:after="0" w:line="240" w:lineRule="auto"/>
              <w:rPr>
                <w:rFonts w:ascii="Lato" w:hAnsi="Lato"/>
                <w:b w:val="0"/>
                <w:bCs/>
                <w:color w:val="auto"/>
                <w:sz w:val="22"/>
                <w:szCs w:val="22"/>
              </w:rPr>
            </w:pPr>
            <w:r w:rsidRPr="00F77073">
              <w:rPr>
                <w:rFonts w:ascii="Lato" w:hAnsi="Lato"/>
                <w:b w:val="0"/>
                <w:color w:val="auto"/>
                <w:sz w:val="22"/>
                <w:szCs w:val="22"/>
              </w:rPr>
              <w:t xml:space="preserve">Where the responsible person deems </w:t>
            </w:r>
          </w:p>
        </w:tc>
        <w:tc>
          <w:tcPr>
            <w:tcW w:w="3188" w:type="dxa"/>
            <w:tcBorders>
              <w:top w:val="single" w:sz="4" w:space="0" w:color="auto"/>
              <w:left w:val="single" w:sz="4" w:space="0" w:color="auto"/>
              <w:bottom w:val="single" w:sz="4" w:space="0" w:color="auto"/>
              <w:right w:val="single" w:sz="4" w:space="0" w:color="auto"/>
            </w:tcBorders>
          </w:tcPr>
          <w:p w14:paraId="0E73BE85"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738BC792" w14:textId="77777777" w:rsidTr="00946E34">
        <w:trPr>
          <w:cantSplit/>
        </w:trPr>
        <w:tc>
          <w:tcPr>
            <w:tcW w:w="1316" w:type="dxa"/>
          </w:tcPr>
          <w:p w14:paraId="5BCCEB85" w14:textId="77777777" w:rsidR="00B61F2A" w:rsidRPr="00B61F2A" w:rsidRDefault="00B61F2A" w:rsidP="00B61F2A">
            <w:pPr>
              <w:rPr>
                <w:rFonts w:ascii="Lato" w:hAnsi="Lato"/>
                <w:sz w:val="22"/>
                <w:szCs w:val="22"/>
              </w:rPr>
            </w:pPr>
          </w:p>
        </w:tc>
        <w:tc>
          <w:tcPr>
            <w:tcW w:w="5891" w:type="dxa"/>
          </w:tcPr>
          <w:p w14:paraId="5F743CE2" w14:textId="77777777" w:rsidR="00B61F2A" w:rsidRPr="00C40D17" w:rsidRDefault="00B61F2A" w:rsidP="00B61F2A">
            <w:pPr>
              <w:pStyle w:val="Heading3"/>
              <w:spacing w:before="0" w:after="0" w:line="240" w:lineRule="auto"/>
              <w:rPr>
                <w:rFonts w:ascii="Lato" w:hAnsi="Lato"/>
                <w:b w:val="0"/>
                <w:bCs/>
                <w:color w:val="auto"/>
                <w:sz w:val="22"/>
                <w:szCs w:val="22"/>
              </w:rPr>
            </w:pPr>
            <w:r w:rsidRPr="00F77073">
              <w:rPr>
                <w:rFonts w:ascii="Lato" w:hAnsi="Lato"/>
                <w:b w:val="0"/>
                <w:color w:val="auto"/>
                <w:sz w:val="22"/>
                <w:szCs w:val="22"/>
              </w:rPr>
              <w:t>sustainability risks not to be relevant, the descriptions referred to in the 2.2.15(i) shall include a clear and concise explanation of the reasons therefor</w:t>
            </w:r>
          </w:p>
        </w:tc>
        <w:tc>
          <w:tcPr>
            <w:tcW w:w="3188" w:type="dxa"/>
            <w:tcBorders>
              <w:top w:val="single" w:sz="4" w:space="0" w:color="auto"/>
            </w:tcBorders>
          </w:tcPr>
          <w:p w14:paraId="095095B4"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5FD1DBB9" w14:textId="77777777" w:rsidTr="00990D73">
        <w:trPr>
          <w:cantSplit/>
        </w:trPr>
        <w:tc>
          <w:tcPr>
            <w:tcW w:w="1316" w:type="dxa"/>
          </w:tcPr>
          <w:p w14:paraId="54741A2F" w14:textId="77777777" w:rsidR="00B61F2A" w:rsidRPr="001362A6" w:rsidRDefault="00B61F2A" w:rsidP="00B61F2A">
            <w:pPr>
              <w:rPr>
                <w:rFonts w:ascii="Lato" w:hAnsi="Lato"/>
                <w:sz w:val="22"/>
                <w:szCs w:val="22"/>
              </w:rPr>
            </w:pPr>
          </w:p>
        </w:tc>
        <w:tc>
          <w:tcPr>
            <w:tcW w:w="5891" w:type="dxa"/>
          </w:tcPr>
          <w:p w14:paraId="051D5784" w14:textId="77777777" w:rsidR="00B61F2A" w:rsidRPr="001362A6" w:rsidRDefault="00B61F2A" w:rsidP="00B61F2A">
            <w:pPr>
              <w:pStyle w:val="Heading3"/>
              <w:spacing w:before="0" w:after="0" w:line="240" w:lineRule="auto"/>
              <w:rPr>
                <w:rFonts w:ascii="Lato" w:hAnsi="Lato"/>
                <w:b w:val="0"/>
                <w:bCs/>
                <w:color w:val="auto"/>
                <w:sz w:val="22"/>
                <w:szCs w:val="22"/>
              </w:rPr>
            </w:pPr>
          </w:p>
        </w:tc>
        <w:tc>
          <w:tcPr>
            <w:tcW w:w="3188" w:type="dxa"/>
          </w:tcPr>
          <w:p w14:paraId="51B31FA5"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C40D17" w:rsidRPr="001362A6" w14:paraId="7BD82343" w14:textId="77777777" w:rsidTr="00990D73">
        <w:trPr>
          <w:cantSplit/>
        </w:trPr>
        <w:tc>
          <w:tcPr>
            <w:tcW w:w="1316" w:type="dxa"/>
          </w:tcPr>
          <w:p w14:paraId="06E232DC" w14:textId="14F11706" w:rsidR="00C40D17" w:rsidRPr="001362A6" w:rsidRDefault="00C40D17" w:rsidP="00B61F2A">
            <w:pPr>
              <w:rPr>
                <w:rFonts w:ascii="Lato" w:hAnsi="Lato"/>
                <w:sz w:val="22"/>
                <w:szCs w:val="22"/>
              </w:rPr>
            </w:pPr>
            <w:r>
              <w:rPr>
                <w:rFonts w:ascii="Lato" w:hAnsi="Lato"/>
                <w:sz w:val="22"/>
                <w:szCs w:val="22"/>
              </w:rPr>
              <w:t>2.2.16</w:t>
            </w:r>
          </w:p>
        </w:tc>
        <w:tc>
          <w:tcPr>
            <w:tcW w:w="5891" w:type="dxa"/>
          </w:tcPr>
          <w:p w14:paraId="2EC5E236" w14:textId="787240EE" w:rsidR="00C40D17" w:rsidRPr="00F77073" w:rsidRDefault="00C40D17" w:rsidP="00B61F2A">
            <w:pPr>
              <w:pStyle w:val="Heading3"/>
              <w:spacing w:before="0" w:after="0" w:line="240" w:lineRule="auto"/>
              <w:rPr>
                <w:rFonts w:ascii="Lato" w:hAnsi="Lato"/>
                <w:b w:val="0"/>
                <w:bCs/>
                <w:color w:val="auto"/>
                <w:sz w:val="22"/>
                <w:szCs w:val="22"/>
                <w:u w:val="single"/>
              </w:rPr>
            </w:pPr>
            <w:r w:rsidRPr="00F77073">
              <w:rPr>
                <w:rFonts w:ascii="Lato" w:hAnsi="Lato"/>
                <w:b w:val="0"/>
                <w:bCs/>
                <w:color w:val="auto"/>
                <w:sz w:val="22"/>
                <w:szCs w:val="22"/>
                <w:u w:val="single"/>
              </w:rPr>
              <w:t>Taxonomy Regulation</w:t>
            </w:r>
          </w:p>
        </w:tc>
        <w:tc>
          <w:tcPr>
            <w:tcW w:w="3188" w:type="dxa"/>
          </w:tcPr>
          <w:p w14:paraId="7884059C" w14:textId="77777777" w:rsidR="00C40D17" w:rsidRPr="001362A6" w:rsidRDefault="00C40D17" w:rsidP="00B61F2A">
            <w:pPr>
              <w:pStyle w:val="Heading3"/>
              <w:spacing w:before="0" w:after="0" w:line="240" w:lineRule="auto"/>
              <w:rPr>
                <w:rFonts w:ascii="Lato" w:hAnsi="Lato"/>
                <w:b w:val="0"/>
                <w:bCs/>
                <w:color w:val="auto"/>
                <w:sz w:val="22"/>
                <w:szCs w:val="22"/>
                <w:u w:val="single"/>
              </w:rPr>
            </w:pPr>
          </w:p>
        </w:tc>
      </w:tr>
      <w:tr w:rsidR="00C40D17" w:rsidRPr="001362A6" w14:paraId="74131067" w14:textId="77777777" w:rsidTr="00990D73">
        <w:trPr>
          <w:cantSplit/>
        </w:trPr>
        <w:tc>
          <w:tcPr>
            <w:tcW w:w="1316" w:type="dxa"/>
          </w:tcPr>
          <w:p w14:paraId="7F4A38CF" w14:textId="09491287" w:rsidR="00C40D17" w:rsidRPr="001362A6" w:rsidRDefault="00C40D17" w:rsidP="00B61F2A">
            <w:pPr>
              <w:rPr>
                <w:rFonts w:ascii="Lato" w:hAnsi="Lato"/>
                <w:sz w:val="22"/>
                <w:szCs w:val="22"/>
              </w:rPr>
            </w:pPr>
            <w:r>
              <w:rPr>
                <w:rFonts w:ascii="Lato" w:hAnsi="Lato"/>
                <w:sz w:val="22"/>
                <w:szCs w:val="22"/>
              </w:rPr>
              <w:t>a)</w:t>
            </w:r>
          </w:p>
        </w:tc>
        <w:tc>
          <w:tcPr>
            <w:tcW w:w="5891" w:type="dxa"/>
          </w:tcPr>
          <w:p w14:paraId="5D725A07" w14:textId="4FD1F0E9" w:rsidR="00C40D17" w:rsidRPr="001362A6" w:rsidRDefault="00C40D17" w:rsidP="00B61F2A">
            <w:pPr>
              <w:pStyle w:val="Heading3"/>
              <w:spacing w:before="0" w:after="0" w:line="240" w:lineRule="auto"/>
              <w:rPr>
                <w:rFonts w:ascii="Lato" w:hAnsi="Lato"/>
                <w:b w:val="0"/>
                <w:bCs/>
                <w:color w:val="auto"/>
                <w:sz w:val="22"/>
                <w:szCs w:val="22"/>
              </w:rPr>
            </w:pPr>
            <w:r w:rsidRPr="00C40D17">
              <w:rPr>
                <w:rFonts w:ascii="Lato" w:hAnsi="Lato"/>
                <w:b w:val="0"/>
                <w:bCs/>
                <w:color w:val="auto"/>
                <w:sz w:val="22"/>
                <w:szCs w:val="22"/>
              </w:rPr>
              <w:t>Where a fund as referred to in Article 9(1), (2) or</w:t>
            </w:r>
          </w:p>
        </w:tc>
        <w:tc>
          <w:tcPr>
            <w:tcW w:w="3188" w:type="dxa"/>
          </w:tcPr>
          <w:p w14:paraId="06F4B010" w14:textId="77777777" w:rsidR="00C40D17" w:rsidRPr="001362A6" w:rsidRDefault="00C40D17" w:rsidP="00B61F2A">
            <w:pPr>
              <w:pStyle w:val="Heading3"/>
              <w:spacing w:before="0" w:after="0" w:line="240" w:lineRule="auto"/>
              <w:rPr>
                <w:rFonts w:ascii="Lato" w:hAnsi="Lato"/>
                <w:b w:val="0"/>
                <w:bCs/>
                <w:color w:val="auto"/>
                <w:sz w:val="22"/>
                <w:szCs w:val="22"/>
                <w:u w:val="single"/>
              </w:rPr>
            </w:pPr>
          </w:p>
        </w:tc>
      </w:tr>
      <w:tr w:rsidR="00C40D17" w:rsidRPr="001362A6" w14:paraId="38E43095" w14:textId="77777777" w:rsidTr="00F77073">
        <w:trPr>
          <w:cantSplit/>
        </w:trPr>
        <w:tc>
          <w:tcPr>
            <w:tcW w:w="1316" w:type="dxa"/>
          </w:tcPr>
          <w:p w14:paraId="76533B47" w14:textId="77777777" w:rsidR="00C40D17" w:rsidRPr="001362A6" w:rsidRDefault="00C40D17" w:rsidP="00B61F2A">
            <w:pPr>
              <w:rPr>
                <w:rFonts w:ascii="Lato" w:hAnsi="Lato"/>
                <w:sz w:val="22"/>
                <w:szCs w:val="22"/>
              </w:rPr>
            </w:pPr>
          </w:p>
        </w:tc>
        <w:tc>
          <w:tcPr>
            <w:tcW w:w="5891" w:type="dxa"/>
          </w:tcPr>
          <w:p w14:paraId="72161803" w14:textId="7FAC9922" w:rsidR="00C40D17" w:rsidRPr="001362A6" w:rsidRDefault="00C40D17" w:rsidP="00B61F2A">
            <w:pPr>
              <w:pStyle w:val="Heading3"/>
              <w:spacing w:before="0" w:after="0" w:line="240" w:lineRule="auto"/>
              <w:rPr>
                <w:rFonts w:ascii="Lato" w:hAnsi="Lato"/>
                <w:b w:val="0"/>
                <w:bCs/>
                <w:color w:val="auto"/>
                <w:sz w:val="22"/>
                <w:szCs w:val="22"/>
              </w:rPr>
            </w:pPr>
            <w:r w:rsidRPr="00C40D17">
              <w:rPr>
                <w:rFonts w:ascii="Lato" w:hAnsi="Lato"/>
                <w:b w:val="0"/>
                <w:bCs/>
                <w:color w:val="auto"/>
                <w:sz w:val="22"/>
                <w:szCs w:val="22"/>
              </w:rPr>
              <w:t>(3) of Regulation (EU) 2019/2088 (“SFDR”) invests in an economic activity that contributes to an environmental objective within the meaning of point (17) of Article 2 of SFDR, disclose the following:</w:t>
            </w:r>
          </w:p>
        </w:tc>
        <w:tc>
          <w:tcPr>
            <w:tcW w:w="3188" w:type="dxa"/>
            <w:tcBorders>
              <w:bottom w:val="single" w:sz="4" w:space="0" w:color="auto"/>
            </w:tcBorders>
          </w:tcPr>
          <w:p w14:paraId="54A429CB" w14:textId="77777777" w:rsidR="00C40D17" w:rsidRPr="001362A6" w:rsidRDefault="00C40D17" w:rsidP="00B61F2A">
            <w:pPr>
              <w:pStyle w:val="Heading3"/>
              <w:spacing w:before="0" w:after="0" w:line="240" w:lineRule="auto"/>
              <w:rPr>
                <w:rFonts w:ascii="Lato" w:hAnsi="Lato"/>
                <w:b w:val="0"/>
                <w:bCs/>
                <w:color w:val="auto"/>
                <w:sz w:val="22"/>
                <w:szCs w:val="22"/>
                <w:u w:val="single"/>
              </w:rPr>
            </w:pPr>
          </w:p>
        </w:tc>
      </w:tr>
      <w:tr w:rsidR="00C40D17" w:rsidRPr="001362A6" w14:paraId="74DF713C" w14:textId="77777777" w:rsidTr="00F77073">
        <w:trPr>
          <w:cantSplit/>
        </w:trPr>
        <w:tc>
          <w:tcPr>
            <w:tcW w:w="1316" w:type="dxa"/>
          </w:tcPr>
          <w:p w14:paraId="0F6B638E" w14:textId="77777777" w:rsidR="00C40D17" w:rsidRPr="001362A6" w:rsidRDefault="00C40D17" w:rsidP="00B61F2A">
            <w:pPr>
              <w:rPr>
                <w:rFonts w:ascii="Lato" w:hAnsi="Lato"/>
                <w:sz w:val="22"/>
                <w:szCs w:val="22"/>
              </w:rPr>
            </w:pPr>
          </w:p>
        </w:tc>
        <w:tc>
          <w:tcPr>
            <w:tcW w:w="5891" w:type="dxa"/>
            <w:tcBorders>
              <w:right w:val="single" w:sz="4" w:space="0" w:color="auto"/>
            </w:tcBorders>
          </w:tcPr>
          <w:p w14:paraId="25D6F7AF" w14:textId="530F59D0" w:rsidR="00C40D17" w:rsidRPr="001362A6" w:rsidRDefault="00C40D17" w:rsidP="00B61F2A">
            <w:pPr>
              <w:pStyle w:val="Heading3"/>
              <w:spacing w:before="0" w:after="0" w:line="240" w:lineRule="auto"/>
              <w:rPr>
                <w:rFonts w:ascii="Lato" w:hAnsi="Lato"/>
                <w:b w:val="0"/>
                <w:bCs/>
                <w:color w:val="auto"/>
                <w:sz w:val="22"/>
                <w:szCs w:val="22"/>
              </w:rPr>
            </w:pPr>
            <w:r w:rsidRPr="00C40D17">
              <w:rPr>
                <w:rFonts w:ascii="Lato" w:hAnsi="Lato"/>
                <w:b w:val="0"/>
                <w:bCs/>
                <w:color w:val="auto"/>
                <w:sz w:val="22"/>
                <w:szCs w:val="22"/>
              </w:rPr>
              <w:t>(i) information on the environmental objective or</w:t>
            </w:r>
          </w:p>
        </w:tc>
        <w:tc>
          <w:tcPr>
            <w:tcW w:w="3188" w:type="dxa"/>
            <w:tcBorders>
              <w:top w:val="single" w:sz="4" w:space="0" w:color="auto"/>
              <w:left w:val="single" w:sz="4" w:space="0" w:color="auto"/>
              <w:bottom w:val="single" w:sz="4" w:space="0" w:color="auto"/>
              <w:right w:val="single" w:sz="4" w:space="0" w:color="auto"/>
            </w:tcBorders>
          </w:tcPr>
          <w:p w14:paraId="42E8B7C9" w14:textId="77777777" w:rsidR="00C40D17" w:rsidRPr="001362A6" w:rsidRDefault="00C40D17" w:rsidP="00B61F2A">
            <w:pPr>
              <w:pStyle w:val="Heading3"/>
              <w:spacing w:before="0" w:after="0" w:line="240" w:lineRule="auto"/>
              <w:rPr>
                <w:rFonts w:ascii="Lato" w:hAnsi="Lato"/>
                <w:b w:val="0"/>
                <w:bCs/>
                <w:color w:val="auto"/>
                <w:sz w:val="22"/>
                <w:szCs w:val="22"/>
                <w:u w:val="single"/>
              </w:rPr>
            </w:pPr>
          </w:p>
        </w:tc>
      </w:tr>
      <w:tr w:rsidR="00C40D17" w:rsidRPr="001362A6" w14:paraId="47C61541" w14:textId="77777777" w:rsidTr="00F77073">
        <w:trPr>
          <w:cantSplit/>
        </w:trPr>
        <w:tc>
          <w:tcPr>
            <w:tcW w:w="1316" w:type="dxa"/>
          </w:tcPr>
          <w:p w14:paraId="20491EC1" w14:textId="77777777" w:rsidR="00C40D17" w:rsidRPr="001362A6" w:rsidRDefault="00C40D17" w:rsidP="00B61F2A">
            <w:pPr>
              <w:rPr>
                <w:rFonts w:ascii="Lato" w:hAnsi="Lato"/>
                <w:sz w:val="22"/>
                <w:szCs w:val="22"/>
              </w:rPr>
            </w:pPr>
          </w:p>
        </w:tc>
        <w:tc>
          <w:tcPr>
            <w:tcW w:w="5891" w:type="dxa"/>
          </w:tcPr>
          <w:p w14:paraId="302D9A45" w14:textId="34EB6F70" w:rsidR="00C40D17" w:rsidRPr="001362A6" w:rsidRDefault="00C40D17" w:rsidP="00B61F2A">
            <w:pPr>
              <w:pStyle w:val="Heading3"/>
              <w:spacing w:before="0" w:after="0" w:line="240" w:lineRule="auto"/>
              <w:rPr>
                <w:rFonts w:ascii="Lato" w:hAnsi="Lato"/>
                <w:b w:val="0"/>
                <w:bCs/>
                <w:color w:val="auto"/>
                <w:sz w:val="22"/>
                <w:szCs w:val="22"/>
              </w:rPr>
            </w:pPr>
            <w:r w:rsidRPr="00C40D17">
              <w:rPr>
                <w:rFonts w:ascii="Lato" w:hAnsi="Lato"/>
                <w:b w:val="0"/>
                <w:bCs/>
                <w:color w:val="auto"/>
                <w:sz w:val="22"/>
                <w:szCs w:val="22"/>
              </w:rPr>
              <w:t>environmental objectives to which the investment underlying the fund contributes, (i.e. (a) climate change mitigation; (b) climate change adaptation; (c) the sustainable use and protection of water and marine resources; (d) the transition to a circular economy; (e) pollution prevention and control; (f) the protection and restoration of biodiversity and ecosystems);</w:t>
            </w:r>
          </w:p>
        </w:tc>
        <w:tc>
          <w:tcPr>
            <w:tcW w:w="3188" w:type="dxa"/>
            <w:tcBorders>
              <w:top w:val="single" w:sz="4" w:space="0" w:color="auto"/>
              <w:bottom w:val="single" w:sz="4" w:space="0" w:color="auto"/>
            </w:tcBorders>
          </w:tcPr>
          <w:p w14:paraId="60841FD5" w14:textId="77777777" w:rsidR="00C40D17" w:rsidRPr="001362A6" w:rsidRDefault="00C40D17" w:rsidP="00B61F2A">
            <w:pPr>
              <w:pStyle w:val="Heading3"/>
              <w:spacing w:before="0" w:after="0" w:line="240" w:lineRule="auto"/>
              <w:rPr>
                <w:rFonts w:ascii="Lato" w:hAnsi="Lato"/>
                <w:b w:val="0"/>
                <w:bCs/>
                <w:color w:val="auto"/>
                <w:sz w:val="22"/>
                <w:szCs w:val="22"/>
                <w:u w:val="single"/>
              </w:rPr>
            </w:pPr>
          </w:p>
        </w:tc>
      </w:tr>
      <w:tr w:rsidR="00C40D17" w:rsidRPr="001362A6" w14:paraId="24B2C72D" w14:textId="77777777" w:rsidTr="00F77073">
        <w:trPr>
          <w:cantSplit/>
        </w:trPr>
        <w:tc>
          <w:tcPr>
            <w:tcW w:w="1316" w:type="dxa"/>
          </w:tcPr>
          <w:p w14:paraId="5E3EBC89" w14:textId="77777777" w:rsidR="00C40D17" w:rsidRPr="001362A6" w:rsidRDefault="00C40D17" w:rsidP="00B61F2A">
            <w:pPr>
              <w:rPr>
                <w:rFonts w:ascii="Lato" w:hAnsi="Lato"/>
                <w:sz w:val="22"/>
                <w:szCs w:val="22"/>
              </w:rPr>
            </w:pPr>
          </w:p>
        </w:tc>
        <w:tc>
          <w:tcPr>
            <w:tcW w:w="5891" w:type="dxa"/>
            <w:tcBorders>
              <w:right w:val="single" w:sz="4" w:space="0" w:color="auto"/>
            </w:tcBorders>
          </w:tcPr>
          <w:p w14:paraId="27D3B3E8" w14:textId="3E12951F" w:rsidR="00C40D17" w:rsidRPr="001362A6" w:rsidRDefault="00C40D17" w:rsidP="00B61F2A">
            <w:pPr>
              <w:pStyle w:val="Heading3"/>
              <w:spacing w:before="0" w:after="0" w:line="240" w:lineRule="auto"/>
              <w:rPr>
                <w:rFonts w:ascii="Lato" w:hAnsi="Lato"/>
                <w:b w:val="0"/>
                <w:bCs/>
                <w:color w:val="auto"/>
                <w:sz w:val="22"/>
                <w:szCs w:val="22"/>
              </w:rPr>
            </w:pPr>
            <w:r w:rsidRPr="00C40D17">
              <w:rPr>
                <w:rFonts w:ascii="Lato" w:hAnsi="Lato"/>
                <w:b w:val="0"/>
                <w:bCs/>
                <w:color w:val="auto"/>
                <w:sz w:val="22"/>
                <w:szCs w:val="22"/>
              </w:rPr>
              <w:t>(ii) a description of how and to what extent the</w:t>
            </w:r>
          </w:p>
        </w:tc>
        <w:tc>
          <w:tcPr>
            <w:tcW w:w="3188" w:type="dxa"/>
            <w:tcBorders>
              <w:top w:val="single" w:sz="4" w:space="0" w:color="auto"/>
              <w:left w:val="single" w:sz="4" w:space="0" w:color="auto"/>
              <w:bottom w:val="single" w:sz="4" w:space="0" w:color="auto"/>
              <w:right w:val="single" w:sz="4" w:space="0" w:color="auto"/>
            </w:tcBorders>
          </w:tcPr>
          <w:p w14:paraId="7FA9807A" w14:textId="77777777" w:rsidR="00C40D17" w:rsidRPr="001362A6" w:rsidRDefault="00C40D17" w:rsidP="00B61F2A">
            <w:pPr>
              <w:pStyle w:val="Heading3"/>
              <w:spacing w:before="0" w:after="0" w:line="240" w:lineRule="auto"/>
              <w:rPr>
                <w:rFonts w:ascii="Lato" w:hAnsi="Lato"/>
                <w:b w:val="0"/>
                <w:bCs/>
                <w:color w:val="auto"/>
                <w:sz w:val="22"/>
                <w:szCs w:val="22"/>
                <w:u w:val="single"/>
              </w:rPr>
            </w:pPr>
          </w:p>
        </w:tc>
      </w:tr>
      <w:tr w:rsidR="00C40D17" w:rsidRPr="001362A6" w14:paraId="30CD504C" w14:textId="77777777" w:rsidTr="00F77073">
        <w:trPr>
          <w:cantSplit/>
        </w:trPr>
        <w:tc>
          <w:tcPr>
            <w:tcW w:w="1316" w:type="dxa"/>
          </w:tcPr>
          <w:p w14:paraId="529F54E8" w14:textId="77777777" w:rsidR="00C40D17" w:rsidRPr="001362A6" w:rsidRDefault="00C40D17" w:rsidP="00B61F2A">
            <w:pPr>
              <w:rPr>
                <w:rFonts w:ascii="Lato" w:hAnsi="Lato"/>
                <w:sz w:val="22"/>
                <w:szCs w:val="22"/>
              </w:rPr>
            </w:pPr>
          </w:p>
        </w:tc>
        <w:tc>
          <w:tcPr>
            <w:tcW w:w="5891" w:type="dxa"/>
          </w:tcPr>
          <w:p w14:paraId="2AC5F7AA" w14:textId="77777777" w:rsidR="00C40D17" w:rsidRPr="00C40D17" w:rsidRDefault="00C40D17" w:rsidP="00F77073">
            <w:pPr>
              <w:pStyle w:val="Heading3"/>
              <w:spacing w:before="0" w:line="240" w:lineRule="auto"/>
              <w:rPr>
                <w:rFonts w:ascii="Lato" w:hAnsi="Lato"/>
                <w:b w:val="0"/>
                <w:bCs/>
                <w:color w:val="auto"/>
                <w:sz w:val="22"/>
                <w:szCs w:val="22"/>
              </w:rPr>
            </w:pPr>
            <w:r w:rsidRPr="00C40D17">
              <w:rPr>
                <w:rFonts w:ascii="Lato" w:hAnsi="Lato"/>
                <w:b w:val="0"/>
                <w:bCs/>
                <w:color w:val="auto"/>
                <w:sz w:val="22"/>
                <w:szCs w:val="22"/>
              </w:rPr>
              <w:t>investments underlying the fund are in economic activities that qualify as environmentally sustainable;</w:t>
            </w:r>
          </w:p>
          <w:p w14:paraId="45892A4A" w14:textId="07BB0981" w:rsidR="00C40D17" w:rsidRPr="001362A6" w:rsidRDefault="00C40D17" w:rsidP="00C40D17">
            <w:pPr>
              <w:pStyle w:val="Heading3"/>
              <w:spacing w:before="0" w:after="0" w:line="240" w:lineRule="auto"/>
              <w:rPr>
                <w:rFonts w:ascii="Lato" w:hAnsi="Lato"/>
                <w:b w:val="0"/>
                <w:bCs/>
                <w:color w:val="auto"/>
                <w:sz w:val="22"/>
                <w:szCs w:val="22"/>
              </w:rPr>
            </w:pPr>
            <w:r w:rsidRPr="00C40D17">
              <w:rPr>
                <w:rFonts w:ascii="Lato" w:hAnsi="Lato"/>
                <w:b w:val="0"/>
                <w:bCs/>
                <w:color w:val="auto"/>
                <w:sz w:val="22"/>
                <w:szCs w:val="22"/>
              </w:rPr>
              <w:t>and</w:t>
            </w:r>
          </w:p>
        </w:tc>
        <w:tc>
          <w:tcPr>
            <w:tcW w:w="3188" w:type="dxa"/>
            <w:tcBorders>
              <w:top w:val="single" w:sz="4" w:space="0" w:color="auto"/>
              <w:bottom w:val="single" w:sz="4" w:space="0" w:color="auto"/>
            </w:tcBorders>
          </w:tcPr>
          <w:p w14:paraId="3A2822D6" w14:textId="77777777" w:rsidR="00C40D17" w:rsidRPr="001362A6" w:rsidRDefault="00C40D17" w:rsidP="00B61F2A">
            <w:pPr>
              <w:pStyle w:val="Heading3"/>
              <w:spacing w:before="0" w:after="0" w:line="240" w:lineRule="auto"/>
              <w:rPr>
                <w:rFonts w:ascii="Lato" w:hAnsi="Lato"/>
                <w:b w:val="0"/>
                <w:bCs/>
                <w:color w:val="auto"/>
                <w:sz w:val="22"/>
                <w:szCs w:val="22"/>
                <w:u w:val="single"/>
              </w:rPr>
            </w:pPr>
          </w:p>
        </w:tc>
      </w:tr>
      <w:tr w:rsidR="00C40D17" w:rsidRPr="001362A6" w14:paraId="26629223" w14:textId="77777777" w:rsidTr="00F77073">
        <w:trPr>
          <w:cantSplit/>
        </w:trPr>
        <w:tc>
          <w:tcPr>
            <w:tcW w:w="1316" w:type="dxa"/>
          </w:tcPr>
          <w:p w14:paraId="55A7164B" w14:textId="77777777" w:rsidR="00C40D17" w:rsidRPr="001362A6" w:rsidRDefault="00C40D17" w:rsidP="00B61F2A">
            <w:pPr>
              <w:rPr>
                <w:rFonts w:ascii="Lato" w:hAnsi="Lato"/>
                <w:sz w:val="22"/>
                <w:szCs w:val="22"/>
              </w:rPr>
            </w:pPr>
          </w:p>
        </w:tc>
        <w:tc>
          <w:tcPr>
            <w:tcW w:w="5891" w:type="dxa"/>
            <w:tcBorders>
              <w:right w:val="single" w:sz="4" w:space="0" w:color="auto"/>
            </w:tcBorders>
          </w:tcPr>
          <w:p w14:paraId="060F1E01" w14:textId="06A8B5F9" w:rsidR="00C40D17" w:rsidRPr="001362A6" w:rsidRDefault="00C40D17" w:rsidP="00B61F2A">
            <w:pPr>
              <w:pStyle w:val="Heading3"/>
              <w:spacing w:before="0" w:after="0" w:line="240" w:lineRule="auto"/>
              <w:rPr>
                <w:rFonts w:ascii="Lato" w:hAnsi="Lato"/>
                <w:b w:val="0"/>
                <w:bCs/>
                <w:color w:val="auto"/>
                <w:sz w:val="22"/>
                <w:szCs w:val="22"/>
              </w:rPr>
            </w:pPr>
            <w:r w:rsidRPr="00C40D17">
              <w:rPr>
                <w:rFonts w:ascii="Lato" w:hAnsi="Lato"/>
                <w:b w:val="0"/>
                <w:bCs/>
                <w:color w:val="auto"/>
                <w:sz w:val="22"/>
                <w:szCs w:val="22"/>
              </w:rPr>
              <w:t>(iii) Specify the proportion of investments in</w:t>
            </w:r>
          </w:p>
        </w:tc>
        <w:tc>
          <w:tcPr>
            <w:tcW w:w="3188" w:type="dxa"/>
            <w:tcBorders>
              <w:top w:val="single" w:sz="4" w:space="0" w:color="auto"/>
              <w:left w:val="single" w:sz="4" w:space="0" w:color="auto"/>
              <w:bottom w:val="single" w:sz="4" w:space="0" w:color="auto"/>
              <w:right w:val="single" w:sz="4" w:space="0" w:color="auto"/>
            </w:tcBorders>
          </w:tcPr>
          <w:p w14:paraId="0CFECF47" w14:textId="77777777" w:rsidR="00C40D17" w:rsidRPr="001362A6" w:rsidRDefault="00C40D17" w:rsidP="00B61F2A">
            <w:pPr>
              <w:pStyle w:val="Heading3"/>
              <w:spacing w:before="0" w:after="0" w:line="240" w:lineRule="auto"/>
              <w:rPr>
                <w:rFonts w:ascii="Lato" w:hAnsi="Lato"/>
                <w:b w:val="0"/>
                <w:bCs/>
                <w:color w:val="auto"/>
                <w:sz w:val="22"/>
                <w:szCs w:val="22"/>
                <w:u w:val="single"/>
              </w:rPr>
            </w:pPr>
          </w:p>
        </w:tc>
      </w:tr>
      <w:tr w:rsidR="00C40D17" w:rsidRPr="001362A6" w14:paraId="1072332F" w14:textId="77777777" w:rsidTr="00F77073">
        <w:trPr>
          <w:cantSplit/>
        </w:trPr>
        <w:tc>
          <w:tcPr>
            <w:tcW w:w="1316" w:type="dxa"/>
          </w:tcPr>
          <w:p w14:paraId="0375399F" w14:textId="77777777" w:rsidR="00C40D17" w:rsidRPr="001362A6" w:rsidRDefault="00C40D17" w:rsidP="00B61F2A">
            <w:pPr>
              <w:rPr>
                <w:rFonts w:ascii="Lato" w:hAnsi="Lato"/>
                <w:sz w:val="22"/>
                <w:szCs w:val="22"/>
              </w:rPr>
            </w:pPr>
          </w:p>
        </w:tc>
        <w:tc>
          <w:tcPr>
            <w:tcW w:w="5891" w:type="dxa"/>
          </w:tcPr>
          <w:p w14:paraId="433048FA" w14:textId="59B2A067" w:rsidR="00C40D17" w:rsidRPr="001362A6" w:rsidRDefault="00C40D17" w:rsidP="00B61F2A">
            <w:pPr>
              <w:pStyle w:val="Heading3"/>
              <w:spacing w:before="0" w:after="0" w:line="240" w:lineRule="auto"/>
              <w:rPr>
                <w:rFonts w:ascii="Lato" w:hAnsi="Lato"/>
                <w:b w:val="0"/>
                <w:bCs/>
                <w:color w:val="auto"/>
                <w:sz w:val="22"/>
                <w:szCs w:val="22"/>
              </w:rPr>
            </w:pPr>
            <w:r w:rsidRPr="00C40D17">
              <w:rPr>
                <w:rFonts w:ascii="Lato" w:hAnsi="Lato"/>
                <w:b w:val="0"/>
                <w:bCs/>
                <w:color w:val="auto"/>
                <w:sz w:val="22"/>
                <w:szCs w:val="22"/>
              </w:rPr>
              <w:t>environmentally sustainable economic activities selected for the fund, including details on the proportions of enabling and transitional activities, as a percentage of all investments selected for the fund.</w:t>
            </w:r>
          </w:p>
        </w:tc>
        <w:tc>
          <w:tcPr>
            <w:tcW w:w="3188" w:type="dxa"/>
            <w:tcBorders>
              <w:top w:val="single" w:sz="4" w:space="0" w:color="auto"/>
            </w:tcBorders>
          </w:tcPr>
          <w:p w14:paraId="2E6C6BD9" w14:textId="77777777" w:rsidR="00C40D17" w:rsidRPr="001362A6" w:rsidRDefault="00C40D17" w:rsidP="00B61F2A">
            <w:pPr>
              <w:pStyle w:val="Heading3"/>
              <w:spacing w:before="0" w:after="0" w:line="240" w:lineRule="auto"/>
              <w:rPr>
                <w:rFonts w:ascii="Lato" w:hAnsi="Lato"/>
                <w:b w:val="0"/>
                <w:bCs/>
                <w:color w:val="auto"/>
                <w:sz w:val="22"/>
                <w:szCs w:val="22"/>
                <w:u w:val="single"/>
              </w:rPr>
            </w:pPr>
          </w:p>
        </w:tc>
      </w:tr>
      <w:tr w:rsidR="00C40D17" w:rsidRPr="001362A6" w14:paraId="56839EC3" w14:textId="77777777" w:rsidTr="00F77073">
        <w:trPr>
          <w:cantSplit/>
        </w:trPr>
        <w:tc>
          <w:tcPr>
            <w:tcW w:w="1316" w:type="dxa"/>
          </w:tcPr>
          <w:p w14:paraId="2E55DF5C" w14:textId="77777777" w:rsidR="00C40D17" w:rsidRPr="001362A6" w:rsidRDefault="00C40D17" w:rsidP="00B61F2A">
            <w:pPr>
              <w:rPr>
                <w:rFonts w:ascii="Lato" w:hAnsi="Lato"/>
                <w:sz w:val="22"/>
                <w:szCs w:val="22"/>
              </w:rPr>
            </w:pPr>
          </w:p>
        </w:tc>
        <w:tc>
          <w:tcPr>
            <w:tcW w:w="5891" w:type="dxa"/>
          </w:tcPr>
          <w:p w14:paraId="2F66A8CF" w14:textId="77777777" w:rsidR="00C40D17" w:rsidRPr="001362A6" w:rsidRDefault="00C40D17" w:rsidP="00B61F2A">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1066E59E" w14:textId="77777777" w:rsidR="00C40D17" w:rsidRPr="001362A6" w:rsidRDefault="00C40D17" w:rsidP="00B61F2A">
            <w:pPr>
              <w:pStyle w:val="Heading3"/>
              <w:spacing w:before="0" w:after="0" w:line="240" w:lineRule="auto"/>
              <w:rPr>
                <w:rFonts w:ascii="Lato" w:hAnsi="Lato"/>
                <w:b w:val="0"/>
                <w:bCs/>
                <w:color w:val="auto"/>
                <w:sz w:val="22"/>
                <w:szCs w:val="22"/>
                <w:u w:val="single"/>
              </w:rPr>
            </w:pPr>
          </w:p>
        </w:tc>
      </w:tr>
      <w:tr w:rsidR="00C40D17" w:rsidRPr="001362A6" w14:paraId="602BB4E1" w14:textId="77777777" w:rsidTr="00F77073">
        <w:trPr>
          <w:cantSplit/>
        </w:trPr>
        <w:tc>
          <w:tcPr>
            <w:tcW w:w="1316" w:type="dxa"/>
          </w:tcPr>
          <w:p w14:paraId="659438E1" w14:textId="602A5EBA" w:rsidR="00C40D17" w:rsidRPr="001362A6" w:rsidRDefault="00C40D17" w:rsidP="00B61F2A">
            <w:pPr>
              <w:rPr>
                <w:rFonts w:ascii="Lato" w:hAnsi="Lato"/>
                <w:sz w:val="22"/>
                <w:szCs w:val="22"/>
              </w:rPr>
            </w:pPr>
            <w:r>
              <w:rPr>
                <w:rFonts w:ascii="Lato" w:hAnsi="Lato"/>
                <w:sz w:val="22"/>
                <w:szCs w:val="22"/>
              </w:rPr>
              <w:t>b)</w:t>
            </w:r>
          </w:p>
        </w:tc>
        <w:tc>
          <w:tcPr>
            <w:tcW w:w="5891" w:type="dxa"/>
            <w:tcBorders>
              <w:right w:val="single" w:sz="4" w:space="0" w:color="auto"/>
            </w:tcBorders>
          </w:tcPr>
          <w:p w14:paraId="0256F3FF" w14:textId="75FF3AE3" w:rsidR="00C40D17" w:rsidRPr="001362A6" w:rsidRDefault="00C40D17" w:rsidP="00B61F2A">
            <w:pPr>
              <w:pStyle w:val="Heading3"/>
              <w:spacing w:before="0" w:after="0" w:line="240" w:lineRule="auto"/>
              <w:rPr>
                <w:rFonts w:ascii="Lato" w:hAnsi="Lato"/>
                <w:b w:val="0"/>
                <w:bCs/>
                <w:color w:val="auto"/>
                <w:sz w:val="22"/>
                <w:szCs w:val="22"/>
              </w:rPr>
            </w:pPr>
            <w:r w:rsidRPr="00C40D17">
              <w:rPr>
                <w:rFonts w:ascii="Lato" w:hAnsi="Lato"/>
                <w:b w:val="0"/>
                <w:bCs/>
                <w:color w:val="auto"/>
                <w:sz w:val="22"/>
                <w:szCs w:val="22"/>
              </w:rPr>
              <w:t>Where a fund as referred to in Article 8(1) of</w:t>
            </w:r>
          </w:p>
        </w:tc>
        <w:tc>
          <w:tcPr>
            <w:tcW w:w="3188" w:type="dxa"/>
            <w:tcBorders>
              <w:top w:val="single" w:sz="4" w:space="0" w:color="auto"/>
              <w:left w:val="single" w:sz="4" w:space="0" w:color="auto"/>
              <w:bottom w:val="single" w:sz="4" w:space="0" w:color="auto"/>
              <w:right w:val="single" w:sz="4" w:space="0" w:color="auto"/>
            </w:tcBorders>
          </w:tcPr>
          <w:p w14:paraId="5CDB3276" w14:textId="77777777" w:rsidR="00C40D17" w:rsidRPr="001362A6" w:rsidRDefault="00C40D17" w:rsidP="00B61F2A">
            <w:pPr>
              <w:pStyle w:val="Heading3"/>
              <w:spacing w:before="0" w:after="0" w:line="240" w:lineRule="auto"/>
              <w:rPr>
                <w:rFonts w:ascii="Lato" w:hAnsi="Lato"/>
                <w:b w:val="0"/>
                <w:bCs/>
                <w:color w:val="auto"/>
                <w:sz w:val="22"/>
                <w:szCs w:val="22"/>
                <w:u w:val="single"/>
              </w:rPr>
            </w:pPr>
          </w:p>
        </w:tc>
      </w:tr>
      <w:tr w:rsidR="00C40D17" w:rsidRPr="001362A6" w14:paraId="6642D1BC" w14:textId="77777777" w:rsidTr="00F77073">
        <w:trPr>
          <w:cantSplit/>
        </w:trPr>
        <w:tc>
          <w:tcPr>
            <w:tcW w:w="1316" w:type="dxa"/>
          </w:tcPr>
          <w:p w14:paraId="213E57B9" w14:textId="77777777" w:rsidR="00C40D17" w:rsidRPr="001362A6" w:rsidRDefault="00C40D17" w:rsidP="00B61F2A">
            <w:pPr>
              <w:rPr>
                <w:rFonts w:ascii="Lato" w:hAnsi="Lato"/>
                <w:sz w:val="22"/>
                <w:szCs w:val="22"/>
              </w:rPr>
            </w:pPr>
          </w:p>
        </w:tc>
        <w:tc>
          <w:tcPr>
            <w:tcW w:w="5891" w:type="dxa"/>
          </w:tcPr>
          <w:p w14:paraId="11C15521" w14:textId="77777777" w:rsidR="00C40D17" w:rsidRPr="00C40D17" w:rsidRDefault="00C40D17" w:rsidP="00F77073">
            <w:pPr>
              <w:pStyle w:val="Heading3"/>
              <w:spacing w:before="0" w:line="240" w:lineRule="auto"/>
              <w:rPr>
                <w:rFonts w:ascii="Lato" w:hAnsi="Lato"/>
                <w:b w:val="0"/>
                <w:bCs/>
                <w:color w:val="auto"/>
                <w:sz w:val="22"/>
                <w:szCs w:val="22"/>
              </w:rPr>
            </w:pPr>
            <w:r w:rsidRPr="00C40D17">
              <w:rPr>
                <w:rFonts w:ascii="Lato" w:hAnsi="Lato"/>
                <w:b w:val="0"/>
                <w:bCs/>
                <w:color w:val="auto"/>
                <w:sz w:val="22"/>
                <w:szCs w:val="22"/>
              </w:rPr>
              <w:t xml:space="preserve">SFDR promotes environmental characteristics, include the  following statement: </w:t>
            </w:r>
          </w:p>
          <w:p w14:paraId="6FB806C8" w14:textId="40EB86FD" w:rsidR="00C40D17" w:rsidRPr="001362A6" w:rsidRDefault="00C40D17" w:rsidP="00C40D17">
            <w:pPr>
              <w:pStyle w:val="Heading3"/>
              <w:spacing w:before="0" w:after="0" w:line="240" w:lineRule="auto"/>
              <w:rPr>
                <w:rFonts w:ascii="Lato" w:hAnsi="Lato"/>
                <w:b w:val="0"/>
                <w:bCs/>
                <w:color w:val="auto"/>
                <w:sz w:val="22"/>
                <w:szCs w:val="22"/>
              </w:rPr>
            </w:pPr>
            <w:r w:rsidRPr="00C40D17">
              <w:rPr>
                <w:rFonts w:ascii="Lato" w:hAnsi="Lato"/>
                <w:b w:val="0"/>
                <w:bCs/>
                <w:color w:val="auto"/>
                <w:sz w:val="22"/>
                <w:szCs w:val="22"/>
              </w:rPr>
              <w:t>‘The “do no significant harm” principle applies only to those investments underlying the fund that take into account the EU criteria for environmentally sustainable economic activities. The investments underlying the remaining portion of this fund do not take into account the EU criteria for environmentally sustainable economic activities.’</w:t>
            </w:r>
          </w:p>
        </w:tc>
        <w:tc>
          <w:tcPr>
            <w:tcW w:w="3188" w:type="dxa"/>
            <w:tcBorders>
              <w:top w:val="single" w:sz="4" w:space="0" w:color="auto"/>
            </w:tcBorders>
          </w:tcPr>
          <w:p w14:paraId="01E917CD" w14:textId="77777777" w:rsidR="00C40D17" w:rsidRPr="001362A6" w:rsidRDefault="00C40D17" w:rsidP="00B61F2A">
            <w:pPr>
              <w:pStyle w:val="Heading3"/>
              <w:spacing w:before="0" w:after="0" w:line="240" w:lineRule="auto"/>
              <w:rPr>
                <w:rFonts w:ascii="Lato" w:hAnsi="Lato"/>
                <w:b w:val="0"/>
                <w:bCs/>
                <w:color w:val="auto"/>
                <w:sz w:val="22"/>
                <w:szCs w:val="22"/>
                <w:u w:val="single"/>
              </w:rPr>
            </w:pPr>
          </w:p>
        </w:tc>
      </w:tr>
      <w:tr w:rsidR="00C40D17" w:rsidRPr="001362A6" w14:paraId="0738BE88" w14:textId="77777777" w:rsidTr="00F77073">
        <w:trPr>
          <w:cantSplit/>
        </w:trPr>
        <w:tc>
          <w:tcPr>
            <w:tcW w:w="1316" w:type="dxa"/>
          </w:tcPr>
          <w:p w14:paraId="019DB18B" w14:textId="77777777" w:rsidR="00C40D17" w:rsidRPr="001362A6" w:rsidRDefault="00C40D17" w:rsidP="00B61F2A">
            <w:pPr>
              <w:rPr>
                <w:rFonts w:ascii="Lato" w:hAnsi="Lato"/>
                <w:sz w:val="22"/>
                <w:szCs w:val="22"/>
              </w:rPr>
            </w:pPr>
          </w:p>
        </w:tc>
        <w:tc>
          <w:tcPr>
            <w:tcW w:w="5891" w:type="dxa"/>
          </w:tcPr>
          <w:p w14:paraId="19B0C624" w14:textId="77777777" w:rsidR="00C40D17" w:rsidRPr="001362A6" w:rsidRDefault="00C40D17" w:rsidP="00B61F2A">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2DADFFBD" w14:textId="77777777" w:rsidR="00C40D17" w:rsidRPr="001362A6" w:rsidRDefault="00C40D17" w:rsidP="00B61F2A">
            <w:pPr>
              <w:pStyle w:val="Heading3"/>
              <w:spacing w:before="0" w:after="0" w:line="240" w:lineRule="auto"/>
              <w:rPr>
                <w:rFonts w:ascii="Lato" w:hAnsi="Lato"/>
                <w:b w:val="0"/>
                <w:bCs/>
                <w:color w:val="auto"/>
                <w:sz w:val="22"/>
                <w:szCs w:val="22"/>
                <w:u w:val="single"/>
              </w:rPr>
            </w:pPr>
          </w:p>
        </w:tc>
      </w:tr>
      <w:tr w:rsidR="00C40D17" w:rsidRPr="001362A6" w14:paraId="5AD63EBA" w14:textId="77777777" w:rsidTr="00F77073">
        <w:trPr>
          <w:cantSplit/>
        </w:trPr>
        <w:tc>
          <w:tcPr>
            <w:tcW w:w="1316" w:type="dxa"/>
          </w:tcPr>
          <w:p w14:paraId="4ADB9B5F" w14:textId="67B978DE" w:rsidR="00C40D17" w:rsidRPr="001362A6" w:rsidRDefault="00C40D17" w:rsidP="00B61F2A">
            <w:pPr>
              <w:rPr>
                <w:rFonts w:ascii="Lato" w:hAnsi="Lato"/>
                <w:sz w:val="22"/>
                <w:szCs w:val="22"/>
              </w:rPr>
            </w:pPr>
            <w:r>
              <w:rPr>
                <w:rFonts w:ascii="Lato" w:hAnsi="Lato"/>
                <w:sz w:val="22"/>
                <w:szCs w:val="22"/>
              </w:rPr>
              <w:t>c)</w:t>
            </w:r>
          </w:p>
        </w:tc>
        <w:tc>
          <w:tcPr>
            <w:tcW w:w="5891" w:type="dxa"/>
            <w:tcBorders>
              <w:right w:val="single" w:sz="4" w:space="0" w:color="auto"/>
            </w:tcBorders>
          </w:tcPr>
          <w:p w14:paraId="65E46D71" w14:textId="5F8FC328" w:rsidR="00C40D17" w:rsidRPr="001362A6" w:rsidRDefault="00C40D17" w:rsidP="00B61F2A">
            <w:pPr>
              <w:pStyle w:val="Heading3"/>
              <w:spacing w:before="0" w:after="0" w:line="240" w:lineRule="auto"/>
              <w:rPr>
                <w:rFonts w:ascii="Lato" w:hAnsi="Lato"/>
                <w:b w:val="0"/>
                <w:bCs/>
                <w:color w:val="auto"/>
                <w:sz w:val="22"/>
                <w:szCs w:val="22"/>
              </w:rPr>
            </w:pPr>
            <w:r w:rsidRPr="00C40D17">
              <w:rPr>
                <w:rFonts w:ascii="Lato" w:hAnsi="Lato"/>
                <w:b w:val="0"/>
                <w:bCs/>
                <w:color w:val="auto"/>
                <w:sz w:val="22"/>
                <w:szCs w:val="22"/>
              </w:rPr>
              <w:t>Where a fund is not subject to Article 8(1) or to</w:t>
            </w:r>
          </w:p>
        </w:tc>
        <w:tc>
          <w:tcPr>
            <w:tcW w:w="3188" w:type="dxa"/>
            <w:tcBorders>
              <w:top w:val="single" w:sz="4" w:space="0" w:color="auto"/>
              <w:left w:val="single" w:sz="4" w:space="0" w:color="auto"/>
              <w:bottom w:val="single" w:sz="4" w:space="0" w:color="auto"/>
              <w:right w:val="single" w:sz="4" w:space="0" w:color="auto"/>
            </w:tcBorders>
          </w:tcPr>
          <w:p w14:paraId="07477167" w14:textId="77777777" w:rsidR="00C40D17" w:rsidRPr="001362A6" w:rsidRDefault="00C40D17" w:rsidP="00B61F2A">
            <w:pPr>
              <w:pStyle w:val="Heading3"/>
              <w:spacing w:before="0" w:after="0" w:line="240" w:lineRule="auto"/>
              <w:rPr>
                <w:rFonts w:ascii="Lato" w:hAnsi="Lato"/>
                <w:b w:val="0"/>
                <w:bCs/>
                <w:color w:val="auto"/>
                <w:sz w:val="22"/>
                <w:szCs w:val="22"/>
                <w:u w:val="single"/>
              </w:rPr>
            </w:pPr>
          </w:p>
        </w:tc>
      </w:tr>
      <w:tr w:rsidR="00C40D17" w:rsidRPr="001362A6" w14:paraId="610F2976" w14:textId="77777777" w:rsidTr="00F77073">
        <w:trPr>
          <w:cantSplit/>
        </w:trPr>
        <w:tc>
          <w:tcPr>
            <w:tcW w:w="1316" w:type="dxa"/>
          </w:tcPr>
          <w:p w14:paraId="43F3E066" w14:textId="77777777" w:rsidR="00C40D17" w:rsidRPr="001362A6" w:rsidRDefault="00C40D17" w:rsidP="00B61F2A">
            <w:pPr>
              <w:rPr>
                <w:rFonts w:ascii="Lato" w:hAnsi="Lato"/>
                <w:sz w:val="22"/>
                <w:szCs w:val="22"/>
              </w:rPr>
            </w:pPr>
          </w:p>
        </w:tc>
        <w:tc>
          <w:tcPr>
            <w:tcW w:w="5891" w:type="dxa"/>
          </w:tcPr>
          <w:p w14:paraId="785C490C" w14:textId="77777777" w:rsidR="00C40D17" w:rsidRPr="00C40D17" w:rsidRDefault="00C40D17" w:rsidP="00F77073">
            <w:pPr>
              <w:pStyle w:val="Heading3"/>
              <w:spacing w:before="0" w:line="240" w:lineRule="auto"/>
              <w:rPr>
                <w:rFonts w:ascii="Lato" w:hAnsi="Lato"/>
                <w:b w:val="0"/>
                <w:bCs/>
                <w:color w:val="auto"/>
                <w:sz w:val="22"/>
                <w:szCs w:val="22"/>
              </w:rPr>
            </w:pPr>
            <w:r w:rsidRPr="00C40D17">
              <w:rPr>
                <w:rFonts w:ascii="Lato" w:hAnsi="Lato"/>
                <w:b w:val="0"/>
                <w:bCs/>
                <w:color w:val="auto"/>
                <w:sz w:val="22"/>
                <w:szCs w:val="22"/>
              </w:rPr>
              <w:t xml:space="preserve">Article 9(1), (2) or (3) of SFDR, include the following statement: </w:t>
            </w:r>
          </w:p>
          <w:p w14:paraId="7DF48CA2" w14:textId="076B3F0F" w:rsidR="00C40D17" w:rsidRPr="001362A6" w:rsidRDefault="00C40D17" w:rsidP="00C40D17">
            <w:pPr>
              <w:pStyle w:val="Heading3"/>
              <w:spacing w:before="0" w:after="0" w:line="240" w:lineRule="auto"/>
              <w:rPr>
                <w:rFonts w:ascii="Lato" w:hAnsi="Lato"/>
                <w:b w:val="0"/>
                <w:bCs/>
                <w:color w:val="auto"/>
                <w:sz w:val="22"/>
                <w:szCs w:val="22"/>
              </w:rPr>
            </w:pPr>
            <w:r w:rsidRPr="00C40D17">
              <w:rPr>
                <w:rFonts w:ascii="Lato" w:hAnsi="Lato"/>
                <w:b w:val="0"/>
                <w:bCs/>
                <w:color w:val="auto"/>
                <w:sz w:val="22"/>
                <w:szCs w:val="22"/>
              </w:rPr>
              <w:t>‘The investments underlying this fund do not take into account the EU criteria for environmentally sustainable economic activities’.</w:t>
            </w:r>
          </w:p>
        </w:tc>
        <w:tc>
          <w:tcPr>
            <w:tcW w:w="3188" w:type="dxa"/>
            <w:tcBorders>
              <w:top w:val="single" w:sz="4" w:space="0" w:color="auto"/>
            </w:tcBorders>
          </w:tcPr>
          <w:p w14:paraId="29C40C0D" w14:textId="77777777" w:rsidR="00C40D17" w:rsidRPr="001362A6" w:rsidRDefault="00C40D17" w:rsidP="00B61F2A">
            <w:pPr>
              <w:pStyle w:val="Heading3"/>
              <w:spacing w:before="0" w:after="0" w:line="240" w:lineRule="auto"/>
              <w:rPr>
                <w:rFonts w:ascii="Lato" w:hAnsi="Lato"/>
                <w:b w:val="0"/>
                <w:bCs/>
                <w:color w:val="auto"/>
                <w:sz w:val="22"/>
                <w:szCs w:val="22"/>
                <w:u w:val="single"/>
              </w:rPr>
            </w:pPr>
          </w:p>
        </w:tc>
      </w:tr>
      <w:tr w:rsidR="00B61F2A" w:rsidRPr="001362A6" w14:paraId="7A86A654" w14:textId="77777777" w:rsidTr="00990D73">
        <w:trPr>
          <w:cantSplit/>
        </w:trPr>
        <w:tc>
          <w:tcPr>
            <w:tcW w:w="1316" w:type="dxa"/>
          </w:tcPr>
          <w:p w14:paraId="10E73FCC" w14:textId="77777777" w:rsidR="00B61F2A" w:rsidRPr="001362A6" w:rsidRDefault="00B61F2A" w:rsidP="00B61F2A">
            <w:pPr>
              <w:rPr>
                <w:rFonts w:ascii="Lato" w:hAnsi="Lato"/>
                <w:sz w:val="22"/>
                <w:szCs w:val="22"/>
              </w:rPr>
            </w:pPr>
          </w:p>
        </w:tc>
        <w:tc>
          <w:tcPr>
            <w:tcW w:w="5891" w:type="dxa"/>
          </w:tcPr>
          <w:p w14:paraId="128724B1" w14:textId="77777777" w:rsidR="00B61F2A" w:rsidRPr="001362A6" w:rsidRDefault="00B61F2A" w:rsidP="00B61F2A">
            <w:pPr>
              <w:pStyle w:val="Heading3"/>
              <w:spacing w:before="0" w:after="0" w:line="240" w:lineRule="auto"/>
              <w:rPr>
                <w:rFonts w:ascii="Lato" w:hAnsi="Lato"/>
                <w:b w:val="0"/>
                <w:bCs/>
                <w:color w:val="auto"/>
                <w:sz w:val="22"/>
                <w:szCs w:val="22"/>
              </w:rPr>
            </w:pPr>
          </w:p>
        </w:tc>
        <w:tc>
          <w:tcPr>
            <w:tcW w:w="3188" w:type="dxa"/>
          </w:tcPr>
          <w:p w14:paraId="65975AE3"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69B6D6DC" w14:textId="77777777" w:rsidTr="00990D73">
        <w:tc>
          <w:tcPr>
            <w:tcW w:w="1316" w:type="dxa"/>
          </w:tcPr>
          <w:p w14:paraId="1AA7EBFD" w14:textId="77777777" w:rsidR="00B61F2A" w:rsidRPr="001362A6" w:rsidRDefault="00B61F2A" w:rsidP="00B61F2A">
            <w:pPr>
              <w:rPr>
                <w:rFonts w:ascii="Lato" w:hAnsi="Lato"/>
                <w:b/>
                <w:sz w:val="22"/>
                <w:szCs w:val="22"/>
              </w:rPr>
            </w:pPr>
            <w:r w:rsidRPr="001362A6">
              <w:rPr>
                <w:rFonts w:ascii="Lato" w:hAnsi="Lato"/>
                <w:b/>
                <w:sz w:val="22"/>
                <w:szCs w:val="22"/>
              </w:rPr>
              <w:t>2.3</w:t>
            </w:r>
          </w:p>
        </w:tc>
        <w:tc>
          <w:tcPr>
            <w:tcW w:w="5891" w:type="dxa"/>
          </w:tcPr>
          <w:p w14:paraId="37150BF9" w14:textId="77777777" w:rsidR="00B61F2A" w:rsidRPr="001362A6" w:rsidRDefault="00B61F2A" w:rsidP="00B61F2A">
            <w:pPr>
              <w:pStyle w:val="Heading3"/>
              <w:spacing w:before="0" w:after="0" w:line="240" w:lineRule="auto"/>
              <w:rPr>
                <w:rFonts w:ascii="Lato" w:hAnsi="Lato"/>
                <w:bCs/>
                <w:color w:val="auto"/>
                <w:sz w:val="22"/>
                <w:szCs w:val="22"/>
                <w:u w:val="single"/>
              </w:rPr>
            </w:pPr>
            <w:r w:rsidRPr="001362A6">
              <w:rPr>
                <w:rFonts w:ascii="Lato" w:hAnsi="Lato"/>
                <w:bCs/>
                <w:color w:val="auto"/>
                <w:sz w:val="22"/>
                <w:szCs w:val="22"/>
                <w:u w:val="single"/>
              </w:rPr>
              <w:t xml:space="preserve">Changes in objectives and/or changes to the policy </w:t>
            </w:r>
          </w:p>
        </w:tc>
        <w:tc>
          <w:tcPr>
            <w:tcW w:w="3188" w:type="dxa"/>
          </w:tcPr>
          <w:p w14:paraId="3D7918BD"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1E3B3E31" w14:textId="77777777" w:rsidTr="00990D73">
        <w:tc>
          <w:tcPr>
            <w:tcW w:w="1316" w:type="dxa"/>
          </w:tcPr>
          <w:p w14:paraId="265DABB6" w14:textId="77777777" w:rsidR="00B61F2A" w:rsidRPr="001362A6" w:rsidRDefault="00B61F2A" w:rsidP="00B61F2A">
            <w:pPr>
              <w:jc w:val="right"/>
              <w:rPr>
                <w:rFonts w:ascii="Lato" w:hAnsi="Lato"/>
                <w:sz w:val="22"/>
                <w:szCs w:val="22"/>
              </w:rPr>
            </w:pPr>
            <w:r w:rsidRPr="001362A6">
              <w:rPr>
                <w:rFonts w:ascii="Lato" w:hAnsi="Lato"/>
                <w:sz w:val="22"/>
                <w:szCs w:val="22"/>
              </w:rPr>
              <w:t>(i)</w:t>
            </w:r>
          </w:p>
        </w:tc>
        <w:tc>
          <w:tcPr>
            <w:tcW w:w="5891" w:type="dxa"/>
          </w:tcPr>
          <w:p w14:paraId="72912D45" w14:textId="77777777" w:rsidR="00B61F2A" w:rsidRPr="001362A6" w:rsidRDefault="00B61F2A" w:rsidP="00B61F2A">
            <w:pPr>
              <w:rPr>
                <w:rFonts w:ascii="Lato" w:hAnsi="Lato"/>
                <w:sz w:val="22"/>
                <w:szCs w:val="22"/>
              </w:rPr>
            </w:pPr>
            <w:r w:rsidRPr="001362A6">
              <w:rPr>
                <w:rFonts w:ascii="Lato" w:hAnsi="Lato"/>
                <w:bCs/>
                <w:sz w:val="22"/>
                <w:szCs w:val="22"/>
                <w:u w:val="single"/>
              </w:rPr>
              <w:t xml:space="preserve">Open-ended Qualifying Investor AIFs </w:t>
            </w:r>
            <w:r w:rsidRPr="001362A6">
              <w:rPr>
                <w:rFonts w:ascii="Lato" w:hAnsi="Lato"/>
                <w:sz w:val="22"/>
                <w:szCs w:val="22"/>
              </w:rPr>
              <w:t>Provide that:</w:t>
            </w:r>
          </w:p>
        </w:tc>
        <w:tc>
          <w:tcPr>
            <w:tcW w:w="3188" w:type="dxa"/>
            <w:tcBorders>
              <w:bottom w:val="single" w:sz="4" w:space="0" w:color="auto"/>
            </w:tcBorders>
          </w:tcPr>
          <w:p w14:paraId="4682AD32" w14:textId="77777777" w:rsidR="00B61F2A" w:rsidRPr="001362A6" w:rsidRDefault="00B61F2A" w:rsidP="00B61F2A">
            <w:pPr>
              <w:rPr>
                <w:rFonts w:ascii="Lato" w:hAnsi="Lato"/>
                <w:sz w:val="22"/>
                <w:szCs w:val="22"/>
              </w:rPr>
            </w:pPr>
          </w:p>
        </w:tc>
      </w:tr>
      <w:tr w:rsidR="00B61F2A" w:rsidRPr="001362A6" w14:paraId="6692C875" w14:textId="77777777" w:rsidTr="00990D73">
        <w:tc>
          <w:tcPr>
            <w:tcW w:w="1316" w:type="dxa"/>
          </w:tcPr>
          <w:p w14:paraId="61CDAE46" w14:textId="77777777" w:rsidR="00B61F2A" w:rsidRPr="001362A6" w:rsidRDefault="00B61F2A" w:rsidP="00B61F2A">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2AA3906B" w14:textId="77777777" w:rsidR="00B61F2A" w:rsidRPr="001362A6" w:rsidRDefault="00B61F2A" w:rsidP="00B61F2A">
            <w:pPr>
              <w:rPr>
                <w:rFonts w:ascii="Lato" w:hAnsi="Lato"/>
                <w:sz w:val="22"/>
                <w:szCs w:val="22"/>
              </w:rPr>
            </w:pPr>
            <w:r w:rsidRPr="001362A6">
              <w:rPr>
                <w:rFonts w:ascii="Lato" w:hAnsi="Lato"/>
                <w:sz w:val="22"/>
                <w:szCs w:val="22"/>
              </w:rPr>
              <w:t xml:space="preserve">A change to the investment objective or material changes </w:t>
            </w:r>
          </w:p>
        </w:tc>
        <w:tc>
          <w:tcPr>
            <w:tcW w:w="3188" w:type="dxa"/>
            <w:tcBorders>
              <w:top w:val="single" w:sz="4" w:space="0" w:color="auto"/>
              <w:left w:val="single" w:sz="4" w:space="0" w:color="auto"/>
              <w:bottom w:val="single" w:sz="4" w:space="0" w:color="auto"/>
              <w:right w:val="single" w:sz="4" w:space="0" w:color="auto"/>
            </w:tcBorders>
          </w:tcPr>
          <w:p w14:paraId="5FE81C4E" w14:textId="77777777" w:rsidR="00B61F2A" w:rsidRPr="001362A6" w:rsidRDefault="00B61F2A" w:rsidP="00B61F2A">
            <w:pPr>
              <w:rPr>
                <w:rFonts w:ascii="Lato" w:hAnsi="Lato"/>
                <w:sz w:val="22"/>
                <w:szCs w:val="22"/>
              </w:rPr>
            </w:pPr>
          </w:p>
        </w:tc>
      </w:tr>
      <w:tr w:rsidR="00B61F2A" w:rsidRPr="001362A6" w14:paraId="4AD46A79" w14:textId="77777777" w:rsidTr="00990D73">
        <w:tc>
          <w:tcPr>
            <w:tcW w:w="1316" w:type="dxa"/>
          </w:tcPr>
          <w:p w14:paraId="28210E77" w14:textId="77777777" w:rsidR="00B61F2A" w:rsidRPr="001362A6" w:rsidRDefault="00B61F2A" w:rsidP="00B61F2A">
            <w:pPr>
              <w:jc w:val="right"/>
              <w:rPr>
                <w:rFonts w:ascii="Lato" w:hAnsi="Lato"/>
                <w:sz w:val="22"/>
                <w:szCs w:val="22"/>
              </w:rPr>
            </w:pPr>
          </w:p>
        </w:tc>
        <w:tc>
          <w:tcPr>
            <w:tcW w:w="5891" w:type="dxa"/>
          </w:tcPr>
          <w:p w14:paraId="1734BC88" w14:textId="77777777" w:rsidR="00B61F2A" w:rsidRPr="001362A6" w:rsidRDefault="00B61F2A" w:rsidP="00B61F2A">
            <w:pPr>
              <w:rPr>
                <w:rFonts w:ascii="Lato" w:hAnsi="Lato"/>
                <w:sz w:val="22"/>
                <w:szCs w:val="22"/>
              </w:rPr>
            </w:pPr>
            <w:r w:rsidRPr="00590C6D">
              <w:rPr>
                <w:rFonts w:ascii="Lato" w:hAnsi="Lato"/>
                <w:sz w:val="22"/>
                <w:szCs w:val="22"/>
              </w:rPr>
              <w:t>to</w:t>
            </w:r>
            <w:r w:rsidRPr="00D95E9D">
              <w:rPr>
                <w:rFonts w:ascii="Lato" w:hAnsi="Lato"/>
                <w:sz w:val="22"/>
                <w:szCs w:val="22"/>
              </w:rPr>
              <w:t xml:space="preserve"> </w:t>
            </w:r>
            <w:r w:rsidRPr="001362A6">
              <w:rPr>
                <w:rFonts w:ascii="Lato" w:hAnsi="Lato"/>
                <w:sz w:val="22"/>
                <w:szCs w:val="22"/>
              </w:rPr>
              <w:t xml:space="preserve">the investment policy of the Qualifying Investor AIF may </w:t>
            </w:r>
          </w:p>
        </w:tc>
        <w:tc>
          <w:tcPr>
            <w:tcW w:w="3188" w:type="dxa"/>
            <w:tcBorders>
              <w:top w:val="single" w:sz="4" w:space="0" w:color="auto"/>
            </w:tcBorders>
          </w:tcPr>
          <w:p w14:paraId="5D3163F4" w14:textId="77777777" w:rsidR="00B61F2A" w:rsidRPr="001362A6" w:rsidRDefault="00B61F2A" w:rsidP="00B61F2A">
            <w:pPr>
              <w:rPr>
                <w:rFonts w:ascii="Lato" w:hAnsi="Lato"/>
                <w:sz w:val="22"/>
                <w:szCs w:val="22"/>
              </w:rPr>
            </w:pPr>
          </w:p>
        </w:tc>
      </w:tr>
      <w:tr w:rsidR="00B61F2A" w:rsidRPr="001362A6" w14:paraId="3B355565" w14:textId="77777777" w:rsidTr="00990D73">
        <w:tc>
          <w:tcPr>
            <w:tcW w:w="1316" w:type="dxa"/>
          </w:tcPr>
          <w:p w14:paraId="52056DD6" w14:textId="77777777" w:rsidR="00B61F2A" w:rsidRPr="001362A6" w:rsidRDefault="00B61F2A" w:rsidP="00B61F2A">
            <w:pPr>
              <w:jc w:val="right"/>
              <w:rPr>
                <w:rFonts w:ascii="Lato" w:hAnsi="Lato"/>
                <w:sz w:val="22"/>
                <w:szCs w:val="22"/>
              </w:rPr>
            </w:pPr>
          </w:p>
        </w:tc>
        <w:tc>
          <w:tcPr>
            <w:tcW w:w="5891" w:type="dxa"/>
          </w:tcPr>
          <w:p w14:paraId="35538854" w14:textId="77777777" w:rsidR="00B61F2A" w:rsidRPr="001362A6" w:rsidRDefault="00B61F2A" w:rsidP="00B61F2A">
            <w:pPr>
              <w:rPr>
                <w:rFonts w:ascii="Lato" w:hAnsi="Lato"/>
                <w:sz w:val="22"/>
                <w:szCs w:val="22"/>
              </w:rPr>
            </w:pPr>
            <w:r w:rsidRPr="00590C6D">
              <w:rPr>
                <w:rFonts w:ascii="Lato" w:hAnsi="Lato"/>
                <w:sz w:val="22"/>
                <w:szCs w:val="22"/>
              </w:rPr>
              <w:t xml:space="preserve">not be </w:t>
            </w:r>
            <w:r w:rsidRPr="001362A6">
              <w:rPr>
                <w:rFonts w:ascii="Lato" w:hAnsi="Lato"/>
                <w:sz w:val="22"/>
                <w:szCs w:val="22"/>
              </w:rPr>
              <w:t xml:space="preserve">effected without the prior written approval of all </w:t>
            </w:r>
          </w:p>
        </w:tc>
        <w:tc>
          <w:tcPr>
            <w:tcW w:w="3188" w:type="dxa"/>
          </w:tcPr>
          <w:p w14:paraId="60A1D355" w14:textId="77777777" w:rsidR="00B61F2A" w:rsidRPr="001362A6" w:rsidRDefault="00B61F2A" w:rsidP="00B61F2A">
            <w:pPr>
              <w:rPr>
                <w:rFonts w:ascii="Lato" w:hAnsi="Lato"/>
                <w:sz w:val="22"/>
                <w:szCs w:val="22"/>
              </w:rPr>
            </w:pPr>
          </w:p>
        </w:tc>
      </w:tr>
      <w:tr w:rsidR="00B61F2A" w:rsidRPr="001362A6" w14:paraId="642A9284" w14:textId="77777777" w:rsidTr="00990D73">
        <w:tc>
          <w:tcPr>
            <w:tcW w:w="1316" w:type="dxa"/>
          </w:tcPr>
          <w:p w14:paraId="0819E4A7" w14:textId="77777777" w:rsidR="00B61F2A" w:rsidRPr="001362A6" w:rsidRDefault="00B61F2A" w:rsidP="00B61F2A">
            <w:pPr>
              <w:jc w:val="right"/>
              <w:rPr>
                <w:rFonts w:ascii="Lato" w:hAnsi="Lato"/>
                <w:sz w:val="22"/>
                <w:szCs w:val="22"/>
              </w:rPr>
            </w:pPr>
          </w:p>
        </w:tc>
        <w:tc>
          <w:tcPr>
            <w:tcW w:w="5891" w:type="dxa"/>
          </w:tcPr>
          <w:p w14:paraId="64658FCA" w14:textId="77777777" w:rsidR="00B61F2A" w:rsidRPr="001362A6" w:rsidRDefault="00B61F2A" w:rsidP="00B61F2A">
            <w:pPr>
              <w:rPr>
                <w:rFonts w:ascii="Lato" w:hAnsi="Lato"/>
                <w:sz w:val="22"/>
                <w:szCs w:val="22"/>
              </w:rPr>
            </w:pPr>
            <w:r w:rsidRPr="00590C6D">
              <w:rPr>
                <w:rFonts w:ascii="Lato" w:hAnsi="Lato"/>
                <w:sz w:val="22"/>
                <w:szCs w:val="22"/>
              </w:rPr>
              <w:t>unitholders or</w:t>
            </w:r>
            <w:r w:rsidRPr="00D95E9D">
              <w:rPr>
                <w:rFonts w:ascii="Lato" w:hAnsi="Lato"/>
                <w:sz w:val="22"/>
                <w:szCs w:val="22"/>
              </w:rPr>
              <w:t xml:space="preserve"> </w:t>
            </w:r>
            <w:r w:rsidRPr="001362A6">
              <w:rPr>
                <w:rFonts w:ascii="Lato" w:hAnsi="Lato"/>
                <w:sz w:val="22"/>
                <w:szCs w:val="22"/>
              </w:rPr>
              <w:t xml:space="preserve">without approval on the basis of a majority </w:t>
            </w:r>
          </w:p>
        </w:tc>
        <w:tc>
          <w:tcPr>
            <w:tcW w:w="3188" w:type="dxa"/>
          </w:tcPr>
          <w:p w14:paraId="274A3045" w14:textId="77777777" w:rsidR="00B61F2A" w:rsidRPr="001362A6" w:rsidRDefault="00B61F2A" w:rsidP="00B61F2A">
            <w:pPr>
              <w:rPr>
                <w:rFonts w:ascii="Lato" w:hAnsi="Lato"/>
                <w:sz w:val="22"/>
                <w:szCs w:val="22"/>
              </w:rPr>
            </w:pPr>
          </w:p>
        </w:tc>
      </w:tr>
      <w:tr w:rsidR="00B61F2A" w:rsidRPr="001362A6" w14:paraId="663D7D41" w14:textId="77777777" w:rsidTr="00990D73">
        <w:tc>
          <w:tcPr>
            <w:tcW w:w="1316" w:type="dxa"/>
          </w:tcPr>
          <w:p w14:paraId="5043CEC8" w14:textId="77777777" w:rsidR="00B61F2A" w:rsidRPr="001362A6" w:rsidRDefault="00B61F2A" w:rsidP="00B61F2A">
            <w:pPr>
              <w:jc w:val="right"/>
              <w:rPr>
                <w:rFonts w:ascii="Lato" w:hAnsi="Lato"/>
                <w:sz w:val="22"/>
                <w:szCs w:val="22"/>
              </w:rPr>
            </w:pPr>
          </w:p>
        </w:tc>
        <w:tc>
          <w:tcPr>
            <w:tcW w:w="5891" w:type="dxa"/>
          </w:tcPr>
          <w:p w14:paraId="5460C006" w14:textId="77777777" w:rsidR="00B61F2A" w:rsidRPr="001362A6" w:rsidRDefault="00B61F2A" w:rsidP="00B61F2A">
            <w:pPr>
              <w:rPr>
                <w:rFonts w:ascii="Lato" w:hAnsi="Lato"/>
                <w:sz w:val="22"/>
                <w:szCs w:val="22"/>
              </w:rPr>
            </w:pPr>
            <w:r w:rsidRPr="00590C6D">
              <w:rPr>
                <w:rFonts w:ascii="Lato" w:hAnsi="Lato"/>
                <w:sz w:val="22"/>
                <w:szCs w:val="22"/>
              </w:rPr>
              <w:t>of votes cast at</w:t>
            </w:r>
            <w:r w:rsidRPr="00D95E9D">
              <w:rPr>
                <w:rFonts w:ascii="Lato" w:hAnsi="Lato"/>
                <w:sz w:val="22"/>
                <w:szCs w:val="22"/>
              </w:rPr>
              <w:t xml:space="preserve"> </w:t>
            </w:r>
            <w:r w:rsidRPr="001362A6">
              <w:rPr>
                <w:rFonts w:ascii="Lato" w:hAnsi="Lato"/>
                <w:sz w:val="22"/>
                <w:szCs w:val="22"/>
              </w:rPr>
              <w:t>general meeting</w:t>
            </w:r>
          </w:p>
        </w:tc>
        <w:tc>
          <w:tcPr>
            <w:tcW w:w="3188" w:type="dxa"/>
            <w:tcBorders>
              <w:bottom w:val="single" w:sz="4" w:space="0" w:color="auto"/>
            </w:tcBorders>
          </w:tcPr>
          <w:p w14:paraId="1EB37934" w14:textId="77777777" w:rsidR="00B61F2A" w:rsidRPr="001362A6" w:rsidRDefault="00B61F2A" w:rsidP="00B61F2A">
            <w:pPr>
              <w:rPr>
                <w:rFonts w:ascii="Lato" w:hAnsi="Lato"/>
                <w:sz w:val="22"/>
                <w:szCs w:val="22"/>
              </w:rPr>
            </w:pPr>
          </w:p>
        </w:tc>
      </w:tr>
      <w:tr w:rsidR="00B61F2A" w:rsidRPr="001362A6" w14:paraId="27995D26" w14:textId="77777777" w:rsidTr="00990D73">
        <w:tc>
          <w:tcPr>
            <w:tcW w:w="1316" w:type="dxa"/>
          </w:tcPr>
          <w:p w14:paraId="5FFB1DBF" w14:textId="77777777" w:rsidR="00B61F2A" w:rsidRPr="001362A6" w:rsidRDefault="00B61F2A" w:rsidP="00B61F2A">
            <w:pPr>
              <w:jc w:val="right"/>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3FB1213F" w14:textId="77777777" w:rsidR="00B61F2A" w:rsidRPr="001362A6" w:rsidRDefault="00B61F2A" w:rsidP="00B61F2A">
            <w:pPr>
              <w:rPr>
                <w:rFonts w:ascii="Lato" w:hAnsi="Lato"/>
                <w:sz w:val="22"/>
                <w:szCs w:val="22"/>
              </w:rPr>
            </w:pPr>
            <w:r w:rsidRPr="001362A6">
              <w:rPr>
                <w:rFonts w:ascii="Lato" w:hAnsi="Lato"/>
                <w:sz w:val="22"/>
                <w:szCs w:val="22"/>
              </w:rPr>
              <w:t xml:space="preserve">Provide that in the event of a change of investment </w:t>
            </w:r>
          </w:p>
        </w:tc>
        <w:tc>
          <w:tcPr>
            <w:tcW w:w="3188" w:type="dxa"/>
            <w:tcBorders>
              <w:top w:val="single" w:sz="4" w:space="0" w:color="auto"/>
              <w:left w:val="single" w:sz="4" w:space="0" w:color="auto"/>
              <w:bottom w:val="single" w:sz="4" w:space="0" w:color="auto"/>
              <w:right w:val="single" w:sz="4" w:space="0" w:color="auto"/>
            </w:tcBorders>
          </w:tcPr>
          <w:p w14:paraId="09554734" w14:textId="77777777" w:rsidR="00B61F2A" w:rsidRPr="001362A6" w:rsidRDefault="00B61F2A" w:rsidP="00B61F2A">
            <w:pPr>
              <w:rPr>
                <w:rFonts w:ascii="Lato" w:hAnsi="Lato"/>
                <w:sz w:val="22"/>
                <w:szCs w:val="22"/>
              </w:rPr>
            </w:pPr>
          </w:p>
        </w:tc>
      </w:tr>
      <w:tr w:rsidR="00B61F2A" w:rsidRPr="001362A6" w14:paraId="219C1FDB" w14:textId="77777777" w:rsidTr="00990D73">
        <w:tc>
          <w:tcPr>
            <w:tcW w:w="1316" w:type="dxa"/>
          </w:tcPr>
          <w:p w14:paraId="41974AAE" w14:textId="77777777" w:rsidR="00B61F2A" w:rsidRPr="001362A6" w:rsidRDefault="00B61F2A" w:rsidP="00B61F2A">
            <w:pPr>
              <w:jc w:val="right"/>
              <w:rPr>
                <w:rFonts w:ascii="Lato" w:hAnsi="Lato"/>
                <w:sz w:val="22"/>
                <w:szCs w:val="22"/>
              </w:rPr>
            </w:pPr>
          </w:p>
        </w:tc>
        <w:tc>
          <w:tcPr>
            <w:tcW w:w="5891" w:type="dxa"/>
          </w:tcPr>
          <w:p w14:paraId="6418C0D0" w14:textId="77777777" w:rsidR="00B61F2A" w:rsidRPr="001362A6" w:rsidRDefault="00B61F2A" w:rsidP="00B61F2A">
            <w:pPr>
              <w:rPr>
                <w:rFonts w:ascii="Lato" w:hAnsi="Lato"/>
                <w:sz w:val="22"/>
                <w:szCs w:val="22"/>
              </w:rPr>
            </w:pPr>
            <w:r w:rsidRPr="001362A6">
              <w:rPr>
                <w:rFonts w:ascii="Lato" w:hAnsi="Lato"/>
                <w:sz w:val="22"/>
                <w:szCs w:val="22"/>
              </w:rPr>
              <w:t xml:space="preserve">objective and/or investment policy on the basis of a </w:t>
            </w:r>
          </w:p>
        </w:tc>
        <w:tc>
          <w:tcPr>
            <w:tcW w:w="3188" w:type="dxa"/>
            <w:tcBorders>
              <w:top w:val="single" w:sz="4" w:space="0" w:color="auto"/>
            </w:tcBorders>
          </w:tcPr>
          <w:p w14:paraId="24A9CFF8" w14:textId="77777777" w:rsidR="00B61F2A" w:rsidRPr="001362A6" w:rsidRDefault="00B61F2A" w:rsidP="00B61F2A">
            <w:pPr>
              <w:rPr>
                <w:rFonts w:ascii="Lato" w:hAnsi="Lato"/>
                <w:sz w:val="22"/>
                <w:szCs w:val="22"/>
              </w:rPr>
            </w:pPr>
          </w:p>
        </w:tc>
      </w:tr>
      <w:tr w:rsidR="00B61F2A" w:rsidRPr="001362A6" w14:paraId="2ED7130A" w14:textId="77777777" w:rsidTr="00990D73">
        <w:tc>
          <w:tcPr>
            <w:tcW w:w="1316" w:type="dxa"/>
          </w:tcPr>
          <w:p w14:paraId="7D7EE853" w14:textId="77777777" w:rsidR="00B61F2A" w:rsidRPr="001362A6" w:rsidRDefault="00B61F2A" w:rsidP="00B61F2A">
            <w:pPr>
              <w:jc w:val="right"/>
              <w:rPr>
                <w:rFonts w:ascii="Lato" w:hAnsi="Lato"/>
                <w:sz w:val="22"/>
                <w:szCs w:val="22"/>
              </w:rPr>
            </w:pPr>
          </w:p>
        </w:tc>
        <w:tc>
          <w:tcPr>
            <w:tcW w:w="5891" w:type="dxa"/>
          </w:tcPr>
          <w:p w14:paraId="08A3BB35" w14:textId="77777777" w:rsidR="00B61F2A" w:rsidRPr="001362A6" w:rsidRDefault="00B61F2A" w:rsidP="00B61F2A">
            <w:pPr>
              <w:rPr>
                <w:rFonts w:ascii="Lato" w:hAnsi="Lato"/>
                <w:sz w:val="22"/>
                <w:szCs w:val="22"/>
              </w:rPr>
            </w:pPr>
            <w:r w:rsidRPr="00590C6D">
              <w:rPr>
                <w:rFonts w:ascii="Lato" w:hAnsi="Lato"/>
                <w:sz w:val="22"/>
                <w:szCs w:val="22"/>
              </w:rPr>
              <w:t>majority of</w:t>
            </w:r>
            <w:r w:rsidRPr="00D95E9D">
              <w:rPr>
                <w:rFonts w:ascii="Lato" w:hAnsi="Lato"/>
                <w:sz w:val="22"/>
                <w:szCs w:val="22"/>
              </w:rPr>
              <w:t xml:space="preserve"> </w:t>
            </w:r>
            <w:r w:rsidRPr="001362A6">
              <w:rPr>
                <w:rFonts w:ascii="Lato" w:hAnsi="Lato"/>
                <w:sz w:val="22"/>
                <w:szCs w:val="22"/>
              </w:rPr>
              <w:t xml:space="preserve">votes cast at a general meeting, a reasonable </w:t>
            </w:r>
          </w:p>
        </w:tc>
        <w:tc>
          <w:tcPr>
            <w:tcW w:w="3188" w:type="dxa"/>
          </w:tcPr>
          <w:p w14:paraId="0C5187E5" w14:textId="77777777" w:rsidR="00B61F2A" w:rsidRPr="001362A6" w:rsidRDefault="00B61F2A" w:rsidP="00B61F2A">
            <w:pPr>
              <w:rPr>
                <w:rFonts w:ascii="Lato" w:hAnsi="Lato"/>
                <w:sz w:val="22"/>
                <w:szCs w:val="22"/>
              </w:rPr>
            </w:pPr>
          </w:p>
        </w:tc>
      </w:tr>
      <w:tr w:rsidR="00B61F2A" w:rsidRPr="001362A6" w14:paraId="625BC1E8" w14:textId="77777777" w:rsidTr="00990D73">
        <w:tc>
          <w:tcPr>
            <w:tcW w:w="1316" w:type="dxa"/>
          </w:tcPr>
          <w:p w14:paraId="0C023EFA" w14:textId="77777777" w:rsidR="00B61F2A" w:rsidRPr="001362A6" w:rsidRDefault="00B61F2A" w:rsidP="00B61F2A">
            <w:pPr>
              <w:jc w:val="right"/>
              <w:rPr>
                <w:rFonts w:ascii="Lato" w:hAnsi="Lato"/>
                <w:sz w:val="22"/>
                <w:szCs w:val="22"/>
              </w:rPr>
            </w:pPr>
          </w:p>
        </w:tc>
        <w:tc>
          <w:tcPr>
            <w:tcW w:w="5891" w:type="dxa"/>
          </w:tcPr>
          <w:p w14:paraId="4D36B637" w14:textId="77777777" w:rsidR="00B61F2A" w:rsidRPr="001362A6" w:rsidRDefault="00B61F2A" w:rsidP="00B61F2A">
            <w:pPr>
              <w:rPr>
                <w:rFonts w:ascii="Lato" w:hAnsi="Lato"/>
                <w:sz w:val="22"/>
                <w:szCs w:val="22"/>
              </w:rPr>
            </w:pPr>
            <w:r w:rsidRPr="00590C6D">
              <w:rPr>
                <w:rFonts w:ascii="Lato" w:hAnsi="Lato"/>
                <w:sz w:val="22"/>
                <w:szCs w:val="22"/>
              </w:rPr>
              <w:t>notification</w:t>
            </w:r>
            <w:r w:rsidRPr="00D95E9D">
              <w:rPr>
                <w:rFonts w:ascii="Lato" w:hAnsi="Lato"/>
                <w:sz w:val="22"/>
                <w:szCs w:val="22"/>
              </w:rPr>
              <w:t xml:space="preserve"> </w:t>
            </w:r>
            <w:r w:rsidRPr="001362A6">
              <w:rPr>
                <w:rFonts w:ascii="Lato" w:hAnsi="Lato"/>
                <w:sz w:val="22"/>
                <w:szCs w:val="22"/>
              </w:rPr>
              <w:t xml:space="preserve">period will be provided by the Qualifying </w:t>
            </w:r>
          </w:p>
        </w:tc>
        <w:tc>
          <w:tcPr>
            <w:tcW w:w="3188" w:type="dxa"/>
          </w:tcPr>
          <w:p w14:paraId="46F93B10" w14:textId="77777777" w:rsidR="00B61F2A" w:rsidRPr="001362A6" w:rsidRDefault="00B61F2A" w:rsidP="00B61F2A">
            <w:pPr>
              <w:rPr>
                <w:rFonts w:ascii="Lato" w:hAnsi="Lato"/>
                <w:sz w:val="22"/>
                <w:szCs w:val="22"/>
              </w:rPr>
            </w:pPr>
          </w:p>
        </w:tc>
      </w:tr>
      <w:tr w:rsidR="00B61F2A" w:rsidRPr="001362A6" w14:paraId="48510B9C" w14:textId="77777777" w:rsidTr="00990D73">
        <w:tc>
          <w:tcPr>
            <w:tcW w:w="1316" w:type="dxa"/>
          </w:tcPr>
          <w:p w14:paraId="752ACD1A" w14:textId="77777777" w:rsidR="00B61F2A" w:rsidRPr="001362A6" w:rsidRDefault="00B61F2A" w:rsidP="00B61F2A">
            <w:pPr>
              <w:jc w:val="right"/>
              <w:rPr>
                <w:rFonts w:ascii="Lato" w:hAnsi="Lato"/>
                <w:sz w:val="22"/>
                <w:szCs w:val="22"/>
              </w:rPr>
            </w:pPr>
          </w:p>
        </w:tc>
        <w:tc>
          <w:tcPr>
            <w:tcW w:w="5891" w:type="dxa"/>
          </w:tcPr>
          <w:p w14:paraId="060B46E6" w14:textId="77777777" w:rsidR="00B61F2A" w:rsidRPr="001362A6" w:rsidRDefault="00B61F2A" w:rsidP="00B61F2A">
            <w:pPr>
              <w:rPr>
                <w:rFonts w:ascii="Lato" w:hAnsi="Lato"/>
                <w:sz w:val="22"/>
                <w:szCs w:val="22"/>
              </w:rPr>
            </w:pPr>
            <w:r w:rsidRPr="00590C6D">
              <w:rPr>
                <w:rFonts w:ascii="Lato" w:hAnsi="Lato"/>
                <w:sz w:val="22"/>
                <w:szCs w:val="22"/>
              </w:rPr>
              <w:t xml:space="preserve">Investor AIF to </w:t>
            </w:r>
            <w:r w:rsidRPr="001362A6">
              <w:rPr>
                <w:rFonts w:ascii="Lato" w:hAnsi="Lato"/>
                <w:sz w:val="22"/>
                <w:szCs w:val="22"/>
              </w:rPr>
              <w:t xml:space="preserve">enable unitholders redeem their units prior </w:t>
            </w:r>
          </w:p>
        </w:tc>
        <w:tc>
          <w:tcPr>
            <w:tcW w:w="3188" w:type="dxa"/>
          </w:tcPr>
          <w:p w14:paraId="79ABA11F" w14:textId="77777777" w:rsidR="00B61F2A" w:rsidRPr="001362A6" w:rsidRDefault="00B61F2A" w:rsidP="00B61F2A">
            <w:pPr>
              <w:rPr>
                <w:rFonts w:ascii="Lato" w:hAnsi="Lato"/>
                <w:sz w:val="22"/>
                <w:szCs w:val="22"/>
              </w:rPr>
            </w:pPr>
          </w:p>
        </w:tc>
      </w:tr>
      <w:tr w:rsidR="00B61F2A" w:rsidRPr="001362A6" w14:paraId="22C75BB7" w14:textId="77777777" w:rsidTr="00990D73">
        <w:tc>
          <w:tcPr>
            <w:tcW w:w="1316" w:type="dxa"/>
          </w:tcPr>
          <w:p w14:paraId="6837487F" w14:textId="77777777" w:rsidR="00B61F2A" w:rsidRPr="001362A6" w:rsidRDefault="00B61F2A" w:rsidP="00B61F2A">
            <w:pPr>
              <w:jc w:val="right"/>
              <w:rPr>
                <w:rFonts w:ascii="Lato" w:hAnsi="Lato"/>
                <w:sz w:val="22"/>
                <w:szCs w:val="22"/>
              </w:rPr>
            </w:pPr>
          </w:p>
        </w:tc>
        <w:tc>
          <w:tcPr>
            <w:tcW w:w="5891" w:type="dxa"/>
          </w:tcPr>
          <w:p w14:paraId="2BE50E66" w14:textId="77777777" w:rsidR="00B61F2A" w:rsidRPr="001362A6" w:rsidRDefault="00B61F2A" w:rsidP="00B61F2A">
            <w:pPr>
              <w:rPr>
                <w:rFonts w:ascii="Lato" w:hAnsi="Lato"/>
                <w:sz w:val="22"/>
                <w:szCs w:val="22"/>
              </w:rPr>
            </w:pPr>
            <w:r w:rsidRPr="00590C6D">
              <w:rPr>
                <w:rFonts w:ascii="Lato" w:hAnsi="Lato"/>
                <w:sz w:val="22"/>
                <w:szCs w:val="22"/>
              </w:rPr>
              <w:t>to implementation of these</w:t>
            </w:r>
            <w:r w:rsidRPr="00D95E9D">
              <w:rPr>
                <w:rFonts w:ascii="Lato" w:hAnsi="Lato"/>
                <w:sz w:val="22"/>
                <w:szCs w:val="22"/>
              </w:rPr>
              <w:t xml:space="preserve"> </w:t>
            </w:r>
            <w:r w:rsidRPr="001362A6">
              <w:rPr>
                <w:rFonts w:ascii="Lato" w:hAnsi="Lato"/>
                <w:sz w:val="22"/>
                <w:szCs w:val="22"/>
              </w:rPr>
              <w:t>changes</w:t>
            </w:r>
          </w:p>
        </w:tc>
        <w:tc>
          <w:tcPr>
            <w:tcW w:w="3188" w:type="dxa"/>
          </w:tcPr>
          <w:p w14:paraId="0D6625DE" w14:textId="77777777" w:rsidR="00B61F2A" w:rsidRPr="001362A6" w:rsidRDefault="00B61F2A" w:rsidP="00B61F2A">
            <w:pPr>
              <w:rPr>
                <w:rFonts w:ascii="Lato" w:hAnsi="Lato"/>
                <w:sz w:val="22"/>
                <w:szCs w:val="22"/>
              </w:rPr>
            </w:pPr>
          </w:p>
        </w:tc>
      </w:tr>
      <w:tr w:rsidR="00B61F2A" w:rsidRPr="001362A6" w14:paraId="51F66AC6" w14:textId="77777777" w:rsidTr="00990D73">
        <w:tc>
          <w:tcPr>
            <w:tcW w:w="1316" w:type="dxa"/>
          </w:tcPr>
          <w:p w14:paraId="55163972" w14:textId="77777777" w:rsidR="00B61F2A" w:rsidRPr="001362A6" w:rsidRDefault="00B61F2A" w:rsidP="00B61F2A">
            <w:pPr>
              <w:jc w:val="right"/>
              <w:rPr>
                <w:rFonts w:ascii="Lato" w:hAnsi="Lato"/>
                <w:sz w:val="22"/>
                <w:szCs w:val="22"/>
              </w:rPr>
            </w:pPr>
          </w:p>
        </w:tc>
        <w:tc>
          <w:tcPr>
            <w:tcW w:w="5891" w:type="dxa"/>
          </w:tcPr>
          <w:p w14:paraId="50A6AC92" w14:textId="77777777" w:rsidR="00B61F2A" w:rsidRPr="001362A6" w:rsidRDefault="00B61F2A" w:rsidP="00B61F2A">
            <w:pPr>
              <w:rPr>
                <w:rFonts w:ascii="Lato" w:hAnsi="Lato"/>
                <w:sz w:val="22"/>
                <w:szCs w:val="22"/>
              </w:rPr>
            </w:pPr>
          </w:p>
        </w:tc>
        <w:tc>
          <w:tcPr>
            <w:tcW w:w="3188" w:type="dxa"/>
          </w:tcPr>
          <w:p w14:paraId="253734EF" w14:textId="77777777" w:rsidR="00B61F2A" w:rsidRPr="001362A6" w:rsidRDefault="00B61F2A" w:rsidP="00B61F2A">
            <w:pPr>
              <w:rPr>
                <w:rFonts w:ascii="Lato" w:hAnsi="Lato"/>
                <w:sz w:val="22"/>
                <w:szCs w:val="22"/>
              </w:rPr>
            </w:pPr>
          </w:p>
        </w:tc>
      </w:tr>
      <w:tr w:rsidR="00B61F2A" w:rsidRPr="001362A6" w14:paraId="7157F37A" w14:textId="77777777" w:rsidTr="00990D73">
        <w:tc>
          <w:tcPr>
            <w:tcW w:w="1316" w:type="dxa"/>
          </w:tcPr>
          <w:p w14:paraId="756AFF60" w14:textId="77777777" w:rsidR="00B61F2A" w:rsidRPr="001362A6" w:rsidRDefault="00B61F2A" w:rsidP="00B61F2A">
            <w:pPr>
              <w:jc w:val="right"/>
              <w:rPr>
                <w:rFonts w:ascii="Lato" w:hAnsi="Lato"/>
                <w:sz w:val="22"/>
                <w:szCs w:val="22"/>
              </w:rPr>
            </w:pPr>
            <w:r w:rsidRPr="001362A6">
              <w:rPr>
                <w:rFonts w:ascii="Lato" w:hAnsi="Lato"/>
                <w:sz w:val="22"/>
                <w:szCs w:val="22"/>
              </w:rPr>
              <w:t>(ii)</w:t>
            </w:r>
          </w:p>
        </w:tc>
        <w:tc>
          <w:tcPr>
            <w:tcW w:w="5891" w:type="dxa"/>
          </w:tcPr>
          <w:p w14:paraId="24D3F0BA" w14:textId="77777777" w:rsidR="00B61F2A" w:rsidRPr="001362A6" w:rsidRDefault="00B61F2A" w:rsidP="00B61F2A">
            <w:pPr>
              <w:rPr>
                <w:rFonts w:ascii="Lato" w:hAnsi="Lato"/>
                <w:sz w:val="22"/>
                <w:szCs w:val="22"/>
              </w:rPr>
            </w:pPr>
            <w:r w:rsidRPr="001362A6">
              <w:rPr>
                <w:rFonts w:ascii="Lato" w:hAnsi="Lato"/>
                <w:sz w:val="22"/>
                <w:szCs w:val="22"/>
                <w:u w:val="single"/>
              </w:rPr>
              <w:t>Closed-Ended</w:t>
            </w:r>
            <w:r w:rsidRPr="001362A6">
              <w:rPr>
                <w:rFonts w:ascii="Lato" w:hAnsi="Lato"/>
                <w:sz w:val="22"/>
                <w:szCs w:val="22"/>
              </w:rPr>
              <w:t>-Provide that</w:t>
            </w:r>
          </w:p>
        </w:tc>
        <w:tc>
          <w:tcPr>
            <w:tcW w:w="3188" w:type="dxa"/>
          </w:tcPr>
          <w:p w14:paraId="71C6C3F1" w14:textId="77777777" w:rsidR="00B61F2A" w:rsidRPr="001362A6" w:rsidRDefault="00B61F2A" w:rsidP="00B61F2A">
            <w:pPr>
              <w:rPr>
                <w:rFonts w:ascii="Lato" w:hAnsi="Lato"/>
                <w:sz w:val="22"/>
                <w:szCs w:val="22"/>
              </w:rPr>
            </w:pPr>
          </w:p>
        </w:tc>
      </w:tr>
      <w:tr w:rsidR="00B61F2A" w:rsidRPr="001362A6" w14:paraId="216D844A" w14:textId="77777777" w:rsidTr="00990D73">
        <w:tc>
          <w:tcPr>
            <w:tcW w:w="1316" w:type="dxa"/>
          </w:tcPr>
          <w:p w14:paraId="56248422" w14:textId="77777777" w:rsidR="00B61F2A" w:rsidRPr="001362A6" w:rsidRDefault="00B61F2A" w:rsidP="00B61F2A">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51EDED15" w14:textId="77777777" w:rsidR="00B61F2A" w:rsidRPr="001362A6" w:rsidRDefault="00B61F2A" w:rsidP="00B61F2A">
            <w:pPr>
              <w:rPr>
                <w:rFonts w:ascii="Lato" w:hAnsi="Lato"/>
                <w:sz w:val="22"/>
                <w:szCs w:val="22"/>
              </w:rPr>
            </w:pPr>
            <w:r w:rsidRPr="001362A6">
              <w:rPr>
                <w:rFonts w:ascii="Lato" w:hAnsi="Lato"/>
                <w:sz w:val="22"/>
                <w:szCs w:val="22"/>
              </w:rPr>
              <w:t xml:space="preserve">Where there is no opportunity for unitholders to redeem; </w:t>
            </w:r>
          </w:p>
        </w:tc>
        <w:tc>
          <w:tcPr>
            <w:tcW w:w="3188" w:type="dxa"/>
            <w:tcBorders>
              <w:top w:val="single" w:sz="4" w:space="0" w:color="auto"/>
              <w:left w:val="single" w:sz="4" w:space="0" w:color="auto"/>
              <w:bottom w:val="single" w:sz="4" w:space="0" w:color="auto"/>
              <w:right w:val="single" w:sz="4" w:space="0" w:color="auto"/>
            </w:tcBorders>
          </w:tcPr>
          <w:p w14:paraId="2FAD2B93" w14:textId="77777777" w:rsidR="00B61F2A" w:rsidRPr="001362A6" w:rsidRDefault="00B61F2A" w:rsidP="00B61F2A">
            <w:pPr>
              <w:rPr>
                <w:rFonts w:ascii="Lato" w:hAnsi="Lato"/>
                <w:sz w:val="22"/>
                <w:szCs w:val="22"/>
              </w:rPr>
            </w:pPr>
          </w:p>
        </w:tc>
      </w:tr>
      <w:tr w:rsidR="00B61F2A" w:rsidRPr="001362A6" w14:paraId="56006CBE" w14:textId="77777777" w:rsidTr="00990D73">
        <w:tc>
          <w:tcPr>
            <w:tcW w:w="1316" w:type="dxa"/>
          </w:tcPr>
          <w:p w14:paraId="0178D537" w14:textId="77777777" w:rsidR="00B61F2A" w:rsidRPr="001362A6" w:rsidRDefault="00B61F2A" w:rsidP="00B61F2A">
            <w:pPr>
              <w:jc w:val="right"/>
              <w:rPr>
                <w:rFonts w:ascii="Lato" w:hAnsi="Lato"/>
                <w:sz w:val="22"/>
                <w:szCs w:val="22"/>
              </w:rPr>
            </w:pPr>
          </w:p>
        </w:tc>
        <w:tc>
          <w:tcPr>
            <w:tcW w:w="5891" w:type="dxa"/>
          </w:tcPr>
          <w:p w14:paraId="139859A7" w14:textId="77777777" w:rsidR="00B61F2A" w:rsidRPr="001362A6" w:rsidRDefault="00B61F2A" w:rsidP="00B61F2A">
            <w:pPr>
              <w:rPr>
                <w:rFonts w:ascii="Lato" w:hAnsi="Lato"/>
                <w:sz w:val="22"/>
                <w:szCs w:val="22"/>
              </w:rPr>
            </w:pPr>
            <w:r w:rsidRPr="00590C6D">
              <w:rPr>
                <w:rFonts w:ascii="Lato" w:hAnsi="Lato"/>
                <w:sz w:val="22"/>
                <w:szCs w:val="22"/>
              </w:rPr>
              <w:t>or</w:t>
            </w:r>
            <w:r w:rsidRPr="00D95E9D">
              <w:rPr>
                <w:rFonts w:ascii="Lato" w:hAnsi="Lato"/>
                <w:sz w:val="22"/>
                <w:szCs w:val="22"/>
              </w:rPr>
              <w:t xml:space="preserve"> </w:t>
            </w:r>
            <w:r w:rsidRPr="001362A6">
              <w:rPr>
                <w:rFonts w:ascii="Lato" w:hAnsi="Lato"/>
                <w:sz w:val="22"/>
                <w:szCs w:val="22"/>
              </w:rPr>
              <w:t xml:space="preserve">otherwise exit the closed ended Qualifying Investor AIF, the Qualifying Investor AIF shall ensure that votes in </w:t>
            </w:r>
          </w:p>
        </w:tc>
        <w:tc>
          <w:tcPr>
            <w:tcW w:w="3188" w:type="dxa"/>
            <w:tcBorders>
              <w:top w:val="single" w:sz="4" w:space="0" w:color="auto"/>
            </w:tcBorders>
          </w:tcPr>
          <w:p w14:paraId="56B417C3" w14:textId="77777777" w:rsidR="00B61F2A" w:rsidRPr="001362A6" w:rsidRDefault="00B61F2A" w:rsidP="00B61F2A">
            <w:pPr>
              <w:rPr>
                <w:rFonts w:ascii="Lato" w:hAnsi="Lato"/>
                <w:sz w:val="22"/>
                <w:szCs w:val="22"/>
              </w:rPr>
            </w:pPr>
          </w:p>
        </w:tc>
      </w:tr>
      <w:tr w:rsidR="00B61F2A" w:rsidRPr="001362A6" w14:paraId="4E5A7FBE" w14:textId="77777777" w:rsidTr="00990D73">
        <w:tc>
          <w:tcPr>
            <w:tcW w:w="1316" w:type="dxa"/>
          </w:tcPr>
          <w:p w14:paraId="69588F89" w14:textId="77777777" w:rsidR="00B61F2A" w:rsidRPr="001362A6" w:rsidRDefault="00B61F2A" w:rsidP="00B61F2A">
            <w:pPr>
              <w:jc w:val="right"/>
              <w:rPr>
                <w:rFonts w:ascii="Lato" w:hAnsi="Lato"/>
                <w:sz w:val="22"/>
                <w:szCs w:val="22"/>
              </w:rPr>
            </w:pPr>
          </w:p>
        </w:tc>
        <w:tc>
          <w:tcPr>
            <w:tcW w:w="5891" w:type="dxa"/>
          </w:tcPr>
          <w:p w14:paraId="058764CC" w14:textId="77777777" w:rsidR="00B61F2A" w:rsidRPr="001362A6" w:rsidRDefault="00B61F2A" w:rsidP="00B61F2A">
            <w:pPr>
              <w:rPr>
                <w:rFonts w:ascii="Lato" w:hAnsi="Lato"/>
                <w:sz w:val="22"/>
                <w:szCs w:val="22"/>
              </w:rPr>
            </w:pPr>
            <w:r w:rsidRPr="00590C6D">
              <w:rPr>
                <w:rFonts w:ascii="Lato" w:hAnsi="Lato"/>
                <w:sz w:val="22"/>
                <w:szCs w:val="22"/>
              </w:rPr>
              <w:t xml:space="preserve">favour of the </w:t>
            </w:r>
            <w:r w:rsidRPr="001362A6">
              <w:rPr>
                <w:rFonts w:ascii="Lato" w:hAnsi="Lato"/>
                <w:sz w:val="22"/>
                <w:szCs w:val="22"/>
              </w:rPr>
              <w:t>change must represent at least 75% of votes cast;</w:t>
            </w:r>
          </w:p>
        </w:tc>
        <w:tc>
          <w:tcPr>
            <w:tcW w:w="3188" w:type="dxa"/>
          </w:tcPr>
          <w:p w14:paraId="36329A69" w14:textId="77777777" w:rsidR="00B61F2A" w:rsidRPr="001362A6" w:rsidRDefault="00B61F2A" w:rsidP="00B61F2A">
            <w:pPr>
              <w:rPr>
                <w:rFonts w:ascii="Lato" w:hAnsi="Lato"/>
                <w:sz w:val="22"/>
                <w:szCs w:val="22"/>
              </w:rPr>
            </w:pPr>
          </w:p>
        </w:tc>
      </w:tr>
      <w:tr w:rsidR="00B61F2A" w:rsidRPr="001362A6" w14:paraId="49573858" w14:textId="77777777" w:rsidTr="00990D73">
        <w:tc>
          <w:tcPr>
            <w:tcW w:w="1316" w:type="dxa"/>
          </w:tcPr>
          <w:p w14:paraId="00E36E73" w14:textId="77777777" w:rsidR="00B61F2A" w:rsidRPr="001362A6" w:rsidRDefault="00B61F2A" w:rsidP="00B61F2A">
            <w:pPr>
              <w:jc w:val="right"/>
              <w:rPr>
                <w:rFonts w:ascii="Lato" w:hAnsi="Lato"/>
                <w:sz w:val="22"/>
                <w:szCs w:val="22"/>
              </w:rPr>
            </w:pPr>
          </w:p>
        </w:tc>
        <w:tc>
          <w:tcPr>
            <w:tcW w:w="5891" w:type="dxa"/>
          </w:tcPr>
          <w:p w14:paraId="3010DDC3" w14:textId="77777777" w:rsidR="00B61F2A" w:rsidRPr="001362A6" w:rsidRDefault="00B61F2A" w:rsidP="00B61F2A">
            <w:pPr>
              <w:jc w:val="both"/>
              <w:rPr>
                <w:rFonts w:ascii="Lato" w:hAnsi="Lato"/>
                <w:sz w:val="22"/>
                <w:szCs w:val="22"/>
              </w:rPr>
            </w:pPr>
          </w:p>
        </w:tc>
        <w:tc>
          <w:tcPr>
            <w:tcW w:w="3188" w:type="dxa"/>
            <w:tcBorders>
              <w:bottom w:val="single" w:sz="4" w:space="0" w:color="auto"/>
            </w:tcBorders>
          </w:tcPr>
          <w:p w14:paraId="12184D39" w14:textId="77777777" w:rsidR="00B61F2A" w:rsidRPr="001362A6" w:rsidRDefault="00B61F2A" w:rsidP="00B61F2A">
            <w:pPr>
              <w:rPr>
                <w:rFonts w:ascii="Lato" w:hAnsi="Lato"/>
                <w:sz w:val="22"/>
                <w:szCs w:val="22"/>
              </w:rPr>
            </w:pPr>
          </w:p>
        </w:tc>
      </w:tr>
      <w:tr w:rsidR="00B61F2A" w:rsidRPr="001362A6" w14:paraId="2CB61A58" w14:textId="77777777" w:rsidTr="00990D73">
        <w:tc>
          <w:tcPr>
            <w:tcW w:w="1316" w:type="dxa"/>
          </w:tcPr>
          <w:p w14:paraId="321965BE" w14:textId="77777777" w:rsidR="00B61F2A" w:rsidRPr="001362A6" w:rsidRDefault="00B61F2A" w:rsidP="00B61F2A">
            <w:pPr>
              <w:jc w:val="right"/>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1360FD0C" w14:textId="77777777" w:rsidR="00B61F2A" w:rsidRPr="001362A6" w:rsidRDefault="00B61F2A" w:rsidP="00B61F2A">
            <w:pPr>
              <w:jc w:val="both"/>
              <w:rPr>
                <w:rFonts w:ascii="Lato" w:hAnsi="Lato"/>
                <w:sz w:val="22"/>
                <w:szCs w:val="22"/>
              </w:rPr>
            </w:pPr>
            <w:r w:rsidRPr="001362A6">
              <w:rPr>
                <w:rFonts w:ascii="Lato" w:hAnsi="Lato"/>
                <w:sz w:val="22"/>
                <w:szCs w:val="22"/>
              </w:rPr>
              <w:t>If there is an opportunity for unitholders to redeem or</w:t>
            </w:r>
          </w:p>
        </w:tc>
        <w:tc>
          <w:tcPr>
            <w:tcW w:w="3188" w:type="dxa"/>
            <w:tcBorders>
              <w:top w:val="single" w:sz="4" w:space="0" w:color="auto"/>
              <w:left w:val="single" w:sz="4" w:space="0" w:color="auto"/>
              <w:bottom w:val="single" w:sz="4" w:space="0" w:color="auto"/>
              <w:right w:val="single" w:sz="4" w:space="0" w:color="auto"/>
            </w:tcBorders>
          </w:tcPr>
          <w:p w14:paraId="0AD872BB" w14:textId="77777777" w:rsidR="00B61F2A" w:rsidRPr="001362A6" w:rsidRDefault="00B61F2A" w:rsidP="00B61F2A">
            <w:pPr>
              <w:rPr>
                <w:rFonts w:ascii="Lato" w:hAnsi="Lato"/>
                <w:sz w:val="22"/>
                <w:szCs w:val="22"/>
              </w:rPr>
            </w:pPr>
          </w:p>
        </w:tc>
      </w:tr>
      <w:tr w:rsidR="00B61F2A" w:rsidRPr="001362A6" w14:paraId="40E0AAC6" w14:textId="77777777" w:rsidTr="00990D73">
        <w:tc>
          <w:tcPr>
            <w:tcW w:w="1316" w:type="dxa"/>
          </w:tcPr>
          <w:p w14:paraId="611D7477" w14:textId="77777777" w:rsidR="00B61F2A" w:rsidRPr="001362A6" w:rsidRDefault="00B61F2A" w:rsidP="00B61F2A">
            <w:pPr>
              <w:rPr>
                <w:rFonts w:ascii="Lato" w:hAnsi="Lato"/>
                <w:sz w:val="22"/>
                <w:szCs w:val="22"/>
              </w:rPr>
            </w:pPr>
          </w:p>
        </w:tc>
        <w:tc>
          <w:tcPr>
            <w:tcW w:w="5891" w:type="dxa"/>
          </w:tcPr>
          <w:p w14:paraId="4209D28C" w14:textId="77777777" w:rsidR="00B61F2A" w:rsidRPr="001362A6" w:rsidRDefault="00B61F2A" w:rsidP="00B61F2A">
            <w:pPr>
              <w:jc w:val="both"/>
              <w:rPr>
                <w:rFonts w:ascii="Lato" w:hAnsi="Lato"/>
                <w:sz w:val="22"/>
                <w:szCs w:val="22"/>
              </w:rPr>
            </w:pPr>
            <w:r w:rsidRPr="001362A6">
              <w:rPr>
                <w:rFonts w:ascii="Lato" w:hAnsi="Lato"/>
                <w:sz w:val="22"/>
                <w:szCs w:val="22"/>
              </w:rPr>
              <w:t>otherwise exit the closed ended Qualifying Investor AIF, the Qualifying Investor AIF shall ensure that votes in</w:t>
            </w:r>
          </w:p>
        </w:tc>
        <w:tc>
          <w:tcPr>
            <w:tcW w:w="3188" w:type="dxa"/>
            <w:tcBorders>
              <w:top w:val="single" w:sz="4" w:space="0" w:color="auto"/>
            </w:tcBorders>
          </w:tcPr>
          <w:p w14:paraId="0DDF0C1F" w14:textId="77777777" w:rsidR="00B61F2A" w:rsidRPr="001362A6" w:rsidRDefault="00B61F2A" w:rsidP="00B61F2A">
            <w:pPr>
              <w:rPr>
                <w:rFonts w:ascii="Lato" w:hAnsi="Lato"/>
                <w:sz w:val="22"/>
                <w:szCs w:val="22"/>
              </w:rPr>
            </w:pPr>
          </w:p>
        </w:tc>
      </w:tr>
      <w:tr w:rsidR="00B61F2A" w:rsidRPr="001362A6" w14:paraId="3D1003FF" w14:textId="77777777" w:rsidTr="00990D73">
        <w:tc>
          <w:tcPr>
            <w:tcW w:w="1316" w:type="dxa"/>
          </w:tcPr>
          <w:p w14:paraId="06043989" w14:textId="77777777" w:rsidR="00B61F2A" w:rsidRPr="001362A6" w:rsidRDefault="00B61F2A" w:rsidP="00B61F2A">
            <w:pPr>
              <w:rPr>
                <w:rFonts w:ascii="Lato" w:hAnsi="Lato"/>
                <w:sz w:val="22"/>
                <w:szCs w:val="22"/>
              </w:rPr>
            </w:pPr>
          </w:p>
        </w:tc>
        <w:tc>
          <w:tcPr>
            <w:tcW w:w="5891" w:type="dxa"/>
          </w:tcPr>
          <w:p w14:paraId="6B1FFACF" w14:textId="77777777" w:rsidR="00B61F2A" w:rsidRPr="001362A6" w:rsidRDefault="00B61F2A" w:rsidP="00B61F2A">
            <w:pPr>
              <w:jc w:val="both"/>
              <w:rPr>
                <w:rFonts w:ascii="Lato" w:hAnsi="Lato"/>
                <w:sz w:val="22"/>
                <w:szCs w:val="22"/>
              </w:rPr>
            </w:pPr>
            <w:r w:rsidRPr="001362A6">
              <w:rPr>
                <w:rFonts w:ascii="Lato" w:hAnsi="Lato"/>
                <w:sz w:val="22"/>
                <w:szCs w:val="22"/>
              </w:rPr>
              <w:t>favour of the change must represent at least 50% of votes cast</w:t>
            </w:r>
          </w:p>
        </w:tc>
        <w:tc>
          <w:tcPr>
            <w:tcW w:w="3188" w:type="dxa"/>
          </w:tcPr>
          <w:p w14:paraId="44E5C053" w14:textId="77777777" w:rsidR="00B61F2A" w:rsidRPr="001362A6" w:rsidRDefault="00B61F2A" w:rsidP="00B61F2A">
            <w:pPr>
              <w:rPr>
                <w:rFonts w:ascii="Lato" w:hAnsi="Lato"/>
                <w:sz w:val="22"/>
                <w:szCs w:val="22"/>
              </w:rPr>
            </w:pPr>
          </w:p>
        </w:tc>
      </w:tr>
      <w:tr w:rsidR="00B61F2A" w:rsidRPr="001362A6" w14:paraId="6AEE5B8B" w14:textId="77777777" w:rsidTr="00990D73">
        <w:tc>
          <w:tcPr>
            <w:tcW w:w="1316" w:type="dxa"/>
          </w:tcPr>
          <w:p w14:paraId="2A76314B" w14:textId="77777777" w:rsidR="00B61F2A" w:rsidRPr="001362A6" w:rsidRDefault="00B61F2A" w:rsidP="00B61F2A">
            <w:pPr>
              <w:rPr>
                <w:rFonts w:ascii="Lato" w:hAnsi="Lato"/>
                <w:sz w:val="22"/>
                <w:szCs w:val="22"/>
              </w:rPr>
            </w:pPr>
          </w:p>
        </w:tc>
        <w:tc>
          <w:tcPr>
            <w:tcW w:w="5891" w:type="dxa"/>
          </w:tcPr>
          <w:p w14:paraId="134DD40E" w14:textId="77777777" w:rsidR="00B61F2A" w:rsidRPr="001362A6" w:rsidRDefault="00B61F2A" w:rsidP="00B61F2A">
            <w:pPr>
              <w:jc w:val="both"/>
              <w:rPr>
                <w:rFonts w:ascii="Lato" w:hAnsi="Lato"/>
                <w:sz w:val="22"/>
                <w:szCs w:val="22"/>
              </w:rPr>
            </w:pPr>
          </w:p>
        </w:tc>
        <w:tc>
          <w:tcPr>
            <w:tcW w:w="3188" w:type="dxa"/>
            <w:tcBorders>
              <w:bottom w:val="single" w:sz="4" w:space="0" w:color="auto"/>
            </w:tcBorders>
          </w:tcPr>
          <w:p w14:paraId="2BCCCD57" w14:textId="77777777" w:rsidR="00B61F2A" w:rsidRPr="001362A6" w:rsidRDefault="00B61F2A" w:rsidP="00B61F2A">
            <w:pPr>
              <w:rPr>
                <w:rFonts w:ascii="Lato" w:hAnsi="Lato"/>
                <w:sz w:val="22"/>
                <w:szCs w:val="22"/>
              </w:rPr>
            </w:pPr>
          </w:p>
        </w:tc>
      </w:tr>
      <w:tr w:rsidR="00B61F2A" w:rsidRPr="001362A6" w14:paraId="5862611F" w14:textId="77777777" w:rsidTr="00990D73">
        <w:tc>
          <w:tcPr>
            <w:tcW w:w="1316" w:type="dxa"/>
          </w:tcPr>
          <w:p w14:paraId="553AD4A3" w14:textId="77777777" w:rsidR="00B61F2A" w:rsidRPr="001362A6" w:rsidRDefault="00B61F2A" w:rsidP="00B61F2A">
            <w:pPr>
              <w:jc w:val="right"/>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4CFC55D8" w14:textId="77777777" w:rsidR="00B61F2A" w:rsidRPr="001362A6" w:rsidRDefault="00B61F2A" w:rsidP="00B61F2A">
            <w:pPr>
              <w:jc w:val="both"/>
              <w:rPr>
                <w:rFonts w:ascii="Lato" w:hAnsi="Lato"/>
                <w:sz w:val="22"/>
                <w:szCs w:val="22"/>
              </w:rPr>
            </w:pPr>
            <w:r w:rsidRPr="001362A6">
              <w:rPr>
                <w:rFonts w:ascii="Lato" w:hAnsi="Lato"/>
                <w:sz w:val="22"/>
                <w:szCs w:val="22"/>
              </w:rPr>
              <w:t xml:space="preserve">Provide that where the closed-ended Qualifying Investor </w:t>
            </w:r>
          </w:p>
        </w:tc>
        <w:tc>
          <w:tcPr>
            <w:tcW w:w="3188" w:type="dxa"/>
            <w:tcBorders>
              <w:top w:val="single" w:sz="4" w:space="0" w:color="auto"/>
              <w:left w:val="single" w:sz="4" w:space="0" w:color="auto"/>
              <w:bottom w:val="single" w:sz="4" w:space="0" w:color="auto"/>
              <w:right w:val="single" w:sz="4" w:space="0" w:color="auto"/>
            </w:tcBorders>
          </w:tcPr>
          <w:p w14:paraId="07761723" w14:textId="77777777" w:rsidR="00B61F2A" w:rsidRPr="001362A6" w:rsidRDefault="00B61F2A" w:rsidP="00B61F2A">
            <w:pPr>
              <w:rPr>
                <w:rFonts w:ascii="Lato" w:hAnsi="Lato"/>
                <w:sz w:val="22"/>
                <w:szCs w:val="22"/>
              </w:rPr>
            </w:pPr>
          </w:p>
        </w:tc>
      </w:tr>
      <w:tr w:rsidR="00B61F2A" w:rsidRPr="001362A6" w14:paraId="0F63D302" w14:textId="77777777" w:rsidTr="00990D73">
        <w:tc>
          <w:tcPr>
            <w:tcW w:w="1316" w:type="dxa"/>
          </w:tcPr>
          <w:p w14:paraId="5134C012" w14:textId="77777777" w:rsidR="00B61F2A" w:rsidRPr="001362A6" w:rsidRDefault="00B61F2A" w:rsidP="00B61F2A">
            <w:pPr>
              <w:rPr>
                <w:rFonts w:ascii="Lato" w:hAnsi="Lato"/>
                <w:sz w:val="22"/>
                <w:szCs w:val="22"/>
              </w:rPr>
            </w:pPr>
          </w:p>
        </w:tc>
        <w:tc>
          <w:tcPr>
            <w:tcW w:w="5891" w:type="dxa"/>
          </w:tcPr>
          <w:p w14:paraId="6FB95C43" w14:textId="77777777" w:rsidR="00B61F2A" w:rsidRPr="001362A6" w:rsidRDefault="00B61F2A" w:rsidP="00B61F2A">
            <w:pPr>
              <w:jc w:val="both"/>
              <w:rPr>
                <w:rFonts w:ascii="Lato" w:hAnsi="Lato"/>
                <w:sz w:val="22"/>
                <w:szCs w:val="22"/>
              </w:rPr>
            </w:pPr>
            <w:r w:rsidRPr="00590C6D">
              <w:rPr>
                <w:rFonts w:ascii="Lato" w:hAnsi="Lato"/>
                <w:sz w:val="22"/>
                <w:szCs w:val="22"/>
              </w:rPr>
              <w:t>AIF</w:t>
            </w:r>
            <w:r w:rsidRPr="00D95E9D">
              <w:rPr>
                <w:rFonts w:ascii="Lato" w:hAnsi="Lato"/>
                <w:sz w:val="22"/>
                <w:szCs w:val="22"/>
              </w:rPr>
              <w:t xml:space="preserve"> </w:t>
            </w:r>
            <w:r w:rsidRPr="001362A6">
              <w:rPr>
                <w:rFonts w:ascii="Lato" w:hAnsi="Lato"/>
                <w:sz w:val="22"/>
                <w:szCs w:val="22"/>
              </w:rPr>
              <w:t>makes non-material changes to investment policies, it shall notify unitholders of these changes.</w:t>
            </w:r>
          </w:p>
        </w:tc>
        <w:tc>
          <w:tcPr>
            <w:tcW w:w="3188" w:type="dxa"/>
            <w:tcBorders>
              <w:top w:val="single" w:sz="4" w:space="0" w:color="auto"/>
            </w:tcBorders>
          </w:tcPr>
          <w:p w14:paraId="35155B7E" w14:textId="77777777" w:rsidR="00B61F2A" w:rsidRPr="001362A6" w:rsidRDefault="00B61F2A" w:rsidP="00B61F2A">
            <w:pPr>
              <w:rPr>
                <w:rFonts w:ascii="Lato" w:hAnsi="Lato"/>
                <w:sz w:val="22"/>
                <w:szCs w:val="22"/>
              </w:rPr>
            </w:pPr>
          </w:p>
        </w:tc>
      </w:tr>
      <w:tr w:rsidR="00B61F2A" w:rsidRPr="001362A6" w14:paraId="17D01D34" w14:textId="77777777" w:rsidTr="00990D73">
        <w:tc>
          <w:tcPr>
            <w:tcW w:w="1316" w:type="dxa"/>
          </w:tcPr>
          <w:p w14:paraId="03A2AC3A" w14:textId="77777777" w:rsidR="00B61F2A" w:rsidRPr="001362A6" w:rsidRDefault="00B61F2A" w:rsidP="00B61F2A">
            <w:pPr>
              <w:rPr>
                <w:rFonts w:ascii="Lato" w:hAnsi="Lato"/>
                <w:sz w:val="22"/>
                <w:szCs w:val="22"/>
              </w:rPr>
            </w:pPr>
          </w:p>
        </w:tc>
        <w:tc>
          <w:tcPr>
            <w:tcW w:w="5891" w:type="dxa"/>
          </w:tcPr>
          <w:p w14:paraId="12B5DEE7" w14:textId="77777777" w:rsidR="00B61F2A" w:rsidRPr="001362A6" w:rsidRDefault="00B61F2A" w:rsidP="00B61F2A">
            <w:pPr>
              <w:jc w:val="both"/>
              <w:rPr>
                <w:rFonts w:ascii="Lato" w:hAnsi="Lato"/>
                <w:sz w:val="22"/>
                <w:szCs w:val="22"/>
              </w:rPr>
            </w:pPr>
            <w:r w:rsidRPr="001362A6">
              <w:rPr>
                <w:rFonts w:ascii="Lato" w:hAnsi="Lato"/>
                <w:sz w:val="22"/>
                <w:szCs w:val="22"/>
              </w:rPr>
              <w:t>Notification can be provided by means of appropriate disclosure in the next annual report.</w:t>
            </w:r>
          </w:p>
        </w:tc>
        <w:tc>
          <w:tcPr>
            <w:tcW w:w="3188" w:type="dxa"/>
          </w:tcPr>
          <w:p w14:paraId="6634EF60" w14:textId="77777777" w:rsidR="00B61F2A" w:rsidRPr="001362A6" w:rsidRDefault="00B61F2A" w:rsidP="00B61F2A">
            <w:pPr>
              <w:rPr>
                <w:rFonts w:ascii="Lato" w:hAnsi="Lato"/>
                <w:sz w:val="22"/>
                <w:szCs w:val="22"/>
              </w:rPr>
            </w:pPr>
          </w:p>
        </w:tc>
      </w:tr>
      <w:tr w:rsidR="00B61F2A" w:rsidRPr="001362A6" w14:paraId="6AFB3284" w14:textId="77777777" w:rsidTr="00990D73">
        <w:tc>
          <w:tcPr>
            <w:tcW w:w="1316" w:type="dxa"/>
          </w:tcPr>
          <w:p w14:paraId="25FD19E0" w14:textId="77777777" w:rsidR="00B61F2A" w:rsidRPr="001362A6" w:rsidRDefault="00B61F2A" w:rsidP="00B61F2A">
            <w:pPr>
              <w:rPr>
                <w:rFonts w:ascii="Lato" w:hAnsi="Lato"/>
                <w:sz w:val="22"/>
                <w:szCs w:val="22"/>
              </w:rPr>
            </w:pPr>
          </w:p>
        </w:tc>
        <w:tc>
          <w:tcPr>
            <w:tcW w:w="5891" w:type="dxa"/>
          </w:tcPr>
          <w:p w14:paraId="79D672E0" w14:textId="77777777" w:rsidR="00B61F2A" w:rsidRPr="001362A6" w:rsidRDefault="00B61F2A" w:rsidP="00B61F2A">
            <w:pPr>
              <w:rPr>
                <w:rFonts w:ascii="Lato" w:hAnsi="Lato"/>
                <w:sz w:val="22"/>
                <w:szCs w:val="22"/>
              </w:rPr>
            </w:pPr>
          </w:p>
        </w:tc>
        <w:tc>
          <w:tcPr>
            <w:tcW w:w="3188" w:type="dxa"/>
          </w:tcPr>
          <w:p w14:paraId="3301E6AC" w14:textId="77777777" w:rsidR="00B61F2A" w:rsidRPr="001362A6" w:rsidRDefault="00B61F2A" w:rsidP="00B61F2A">
            <w:pPr>
              <w:rPr>
                <w:rFonts w:ascii="Lato" w:hAnsi="Lato"/>
                <w:sz w:val="22"/>
                <w:szCs w:val="22"/>
              </w:rPr>
            </w:pPr>
          </w:p>
        </w:tc>
      </w:tr>
      <w:tr w:rsidR="00B61F2A" w:rsidRPr="001362A6" w14:paraId="12A475E8" w14:textId="77777777" w:rsidTr="00990D73">
        <w:tc>
          <w:tcPr>
            <w:tcW w:w="1316" w:type="dxa"/>
          </w:tcPr>
          <w:p w14:paraId="41CDF095" w14:textId="77777777" w:rsidR="00B61F2A" w:rsidRPr="001362A6" w:rsidRDefault="00B61F2A" w:rsidP="00B61F2A">
            <w:pPr>
              <w:rPr>
                <w:rFonts w:ascii="Lato" w:hAnsi="Lato"/>
                <w:b/>
                <w:bCs/>
                <w:sz w:val="22"/>
                <w:szCs w:val="22"/>
              </w:rPr>
            </w:pPr>
            <w:r w:rsidRPr="001362A6">
              <w:rPr>
                <w:rFonts w:ascii="Lato" w:hAnsi="Lato"/>
                <w:b/>
                <w:bCs/>
                <w:sz w:val="22"/>
                <w:szCs w:val="22"/>
              </w:rPr>
              <w:t>2.4</w:t>
            </w:r>
          </w:p>
        </w:tc>
        <w:tc>
          <w:tcPr>
            <w:tcW w:w="5891" w:type="dxa"/>
          </w:tcPr>
          <w:p w14:paraId="14935D12" w14:textId="77777777" w:rsidR="00B61F2A" w:rsidRPr="001362A6" w:rsidRDefault="00B61F2A" w:rsidP="00B61F2A">
            <w:pPr>
              <w:pStyle w:val="Heading4"/>
              <w:rPr>
                <w:rFonts w:ascii="Lato" w:hAnsi="Lato"/>
                <w:b w:val="0"/>
                <w:bCs w:val="0"/>
                <w:sz w:val="22"/>
                <w:szCs w:val="22"/>
              </w:rPr>
            </w:pPr>
            <w:r w:rsidRPr="001362A6">
              <w:rPr>
                <w:rFonts w:ascii="Lato" w:hAnsi="Lato"/>
                <w:sz w:val="22"/>
                <w:szCs w:val="22"/>
              </w:rPr>
              <w:t>Leverage</w:t>
            </w:r>
          </w:p>
        </w:tc>
        <w:tc>
          <w:tcPr>
            <w:tcW w:w="3188" w:type="dxa"/>
          </w:tcPr>
          <w:p w14:paraId="74664651" w14:textId="77777777" w:rsidR="00B61F2A" w:rsidRPr="001362A6" w:rsidRDefault="00B61F2A" w:rsidP="00B61F2A">
            <w:pPr>
              <w:pStyle w:val="Heading4"/>
              <w:rPr>
                <w:rFonts w:ascii="Lato" w:hAnsi="Lato"/>
                <w:sz w:val="22"/>
                <w:szCs w:val="22"/>
              </w:rPr>
            </w:pPr>
          </w:p>
        </w:tc>
      </w:tr>
      <w:tr w:rsidR="00B61F2A" w:rsidRPr="001362A6" w14:paraId="1ABC03D1" w14:textId="77777777" w:rsidTr="00990D73">
        <w:tc>
          <w:tcPr>
            <w:tcW w:w="1316" w:type="dxa"/>
          </w:tcPr>
          <w:p w14:paraId="4A4C0F16" w14:textId="77777777" w:rsidR="00B61F2A" w:rsidRPr="001362A6" w:rsidRDefault="00B61F2A" w:rsidP="00B61F2A">
            <w:pPr>
              <w:rPr>
                <w:rFonts w:ascii="Lato" w:hAnsi="Lato"/>
                <w:i/>
                <w:iCs/>
                <w:sz w:val="22"/>
                <w:szCs w:val="22"/>
              </w:rPr>
            </w:pPr>
          </w:p>
        </w:tc>
        <w:tc>
          <w:tcPr>
            <w:tcW w:w="5891" w:type="dxa"/>
          </w:tcPr>
          <w:p w14:paraId="62EB959C" w14:textId="77777777" w:rsidR="00B61F2A" w:rsidRPr="001362A6" w:rsidRDefault="00B61F2A" w:rsidP="00B61F2A">
            <w:pPr>
              <w:rPr>
                <w:rFonts w:ascii="Lato" w:hAnsi="Lato"/>
                <w:i/>
                <w:iCs/>
                <w:sz w:val="22"/>
                <w:szCs w:val="22"/>
              </w:rPr>
            </w:pPr>
          </w:p>
        </w:tc>
        <w:tc>
          <w:tcPr>
            <w:tcW w:w="3188" w:type="dxa"/>
            <w:tcBorders>
              <w:bottom w:val="single" w:sz="4" w:space="0" w:color="auto"/>
            </w:tcBorders>
          </w:tcPr>
          <w:p w14:paraId="02D75A9E" w14:textId="77777777" w:rsidR="00B61F2A" w:rsidRPr="001362A6" w:rsidRDefault="00B61F2A" w:rsidP="00B61F2A">
            <w:pPr>
              <w:rPr>
                <w:rFonts w:ascii="Lato" w:hAnsi="Lato"/>
                <w:i/>
                <w:iCs/>
                <w:sz w:val="22"/>
                <w:szCs w:val="22"/>
              </w:rPr>
            </w:pPr>
          </w:p>
        </w:tc>
      </w:tr>
      <w:tr w:rsidR="00B61F2A" w:rsidRPr="001362A6" w14:paraId="759FBAD6" w14:textId="77777777" w:rsidTr="00990D73">
        <w:tc>
          <w:tcPr>
            <w:tcW w:w="1316" w:type="dxa"/>
          </w:tcPr>
          <w:p w14:paraId="39EB270B" w14:textId="77777777" w:rsidR="00B61F2A" w:rsidRPr="001362A6" w:rsidRDefault="00B61F2A" w:rsidP="00B61F2A">
            <w:pPr>
              <w:rPr>
                <w:rFonts w:ascii="Lato" w:hAnsi="Lato"/>
                <w:sz w:val="22"/>
                <w:szCs w:val="22"/>
              </w:rPr>
            </w:pPr>
            <w:r w:rsidRPr="001362A6">
              <w:rPr>
                <w:rFonts w:ascii="Lato" w:hAnsi="Lato"/>
                <w:sz w:val="22"/>
                <w:szCs w:val="22"/>
              </w:rPr>
              <w:t>2.4.1</w:t>
            </w:r>
          </w:p>
        </w:tc>
        <w:tc>
          <w:tcPr>
            <w:tcW w:w="5891" w:type="dxa"/>
            <w:tcBorders>
              <w:right w:val="single" w:sz="4" w:space="0" w:color="auto"/>
            </w:tcBorders>
          </w:tcPr>
          <w:p w14:paraId="0D45B1BB" w14:textId="77777777" w:rsidR="00B61F2A" w:rsidRPr="001362A6" w:rsidRDefault="00B61F2A" w:rsidP="00B61F2A">
            <w:pPr>
              <w:jc w:val="both"/>
              <w:rPr>
                <w:rFonts w:ascii="Lato" w:hAnsi="Lato"/>
                <w:sz w:val="22"/>
                <w:szCs w:val="22"/>
              </w:rPr>
            </w:pPr>
            <w:r w:rsidRPr="001362A6">
              <w:rPr>
                <w:rFonts w:ascii="Lato" w:hAnsi="Lato"/>
                <w:sz w:val="22"/>
                <w:szCs w:val="22"/>
              </w:rPr>
              <w:t xml:space="preserve">(i)The means through which the Qualifying Investor AIF will </w:t>
            </w:r>
          </w:p>
        </w:tc>
        <w:tc>
          <w:tcPr>
            <w:tcW w:w="3188" w:type="dxa"/>
            <w:tcBorders>
              <w:top w:val="single" w:sz="4" w:space="0" w:color="auto"/>
              <w:left w:val="single" w:sz="4" w:space="0" w:color="auto"/>
              <w:bottom w:val="single" w:sz="4" w:space="0" w:color="auto"/>
              <w:right w:val="single" w:sz="4" w:space="0" w:color="auto"/>
            </w:tcBorders>
          </w:tcPr>
          <w:p w14:paraId="45C01984" w14:textId="77777777" w:rsidR="00B61F2A" w:rsidRPr="001362A6" w:rsidRDefault="00B61F2A" w:rsidP="00B61F2A">
            <w:pPr>
              <w:jc w:val="both"/>
              <w:rPr>
                <w:rFonts w:ascii="Lato" w:hAnsi="Lato"/>
                <w:sz w:val="22"/>
                <w:szCs w:val="22"/>
              </w:rPr>
            </w:pPr>
          </w:p>
        </w:tc>
      </w:tr>
      <w:tr w:rsidR="00B61F2A" w:rsidRPr="001362A6" w14:paraId="1711A55B" w14:textId="77777777" w:rsidTr="00122649">
        <w:tc>
          <w:tcPr>
            <w:tcW w:w="1316" w:type="dxa"/>
          </w:tcPr>
          <w:p w14:paraId="0BCF9470" w14:textId="77777777" w:rsidR="00B61F2A" w:rsidRPr="001362A6" w:rsidRDefault="00B61F2A" w:rsidP="00B61F2A">
            <w:pPr>
              <w:rPr>
                <w:rFonts w:ascii="Lato" w:hAnsi="Lato"/>
                <w:sz w:val="22"/>
                <w:szCs w:val="22"/>
              </w:rPr>
            </w:pPr>
          </w:p>
        </w:tc>
        <w:tc>
          <w:tcPr>
            <w:tcW w:w="5891" w:type="dxa"/>
          </w:tcPr>
          <w:p w14:paraId="357E475B" w14:textId="77777777" w:rsidR="00B61F2A" w:rsidRPr="001362A6" w:rsidRDefault="00B61F2A" w:rsidP="00B61F2A">
            <w:pPr>
              <w:jc w:val="both"/>
              <w:rPr>
                <w:rFonts w:ascii="Lato" w:hAnsi="Lato"/>
                <w:sz w:val="22"/>
                <w:szCs w:val="22"/>
              </w:rPr>
            </w:pPr>
            <w:r w:rsidRPr="001362A6">
              <w:rPr>
                <w:rFonts w:ascii="Lato" w:hAnsi="Lato"/>
                <w:sz w:val="22"/>
                <w:szCs w:val="22"/>
              </w:rPr>
              <w:t>employ leverage.</w:t>
            </w:r>
          </w:p>
        </w:tc>
        <w:tc>
          <w:tcPr>
            <w:tcW w:w="3188" w:type="dxa"/>
            <w:tcBorders>
              <w:top w:val="single" w:sz="4" w:space="0" w:color="auto"/>
            </w:tcBorders>
          </w:tcPr>
          <w:p w14:paraId="48845084" w14:textId="77777777" w:rsidR="00B61F2A" w:rsidRPr="001362A6" w:rsidRDefault="00B61F2A" w:rsidP="00B61F2A">
            <w:pPr>
              <w:jc w:val="both"/>
              <w:rPr>
                <w:rFonts w:ascii="Lato" w:hAnsi="Lato"/>
                <w:sz w:val="22"/>
                <w:szCs w:val="22"/>
              </w:rPr>
            </w:pPr>
          </w:p>
        </w:tc>
      </w:tr>
      <w:tr w:rsidR="00B61F2A" w:rsidRPr="001362A6" w14:paraId="6EE37B2C" w14:textId="77777777" w:rsidTr="00122649">
        <w:tc>
          <w:tcPr>
            <w:tcW w:w="1316" w:type="dxa"/>
          </w:tcPr>
          <w:p w14:paraId="1B015FE3" w14:textId="77777777" w:rsidR="00B61F2A" w:rsidRPr="001362A6" w:rsidRDefault="00B61F2A" w:rsidP="00B61F2A">
            <w:pPr>
              <w:rPr>
                <w:rFonts w:ascii="Lato" w:hAnsi="Lato"/>
                <w:sz w:val="22"/>
                <w:szCs w:val="22"/>
              </w:rPr>
            </w:pPr>
          </w:p>
        </w:tc>
        <w:tc>
          <w:tcPr>
            <w:tcW w:w="5891" w:type="dxa"/>
          </w:tcPr>
          <w:p w14:paraId="1EC85A6A"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07414AE9" w14:textId="77777777" w:rsidR="00B61F2A" w:rsidRPr="001362A6" w:rsidRDefault="00B61F2A" w:rsidP="00B61F2A">
            <w:pPr>
              <w:rPr>
                <w:rFonts w:ascii="Lato" w:hAnsi="Lato"/>
                <w:sz w:val="22"/>
                <w:szCs w:val="22"/>
              </w:rPr>
            </w:pPr>
          </w:p>
        </w:tc>
      </w:tr>
      <w:tr w:rsidR="00B61F2A" w:rsidRPr="001362A6" w14:paraId="7684DAA6" w14:textId="77777777" w:rsidTr="00122649">
        <w:tc>
          <w:tcPr>
            <w:tcW w:w="1316" w:type="dxa"/>
          </w:tcPr>
          <w:p w14:paraId="27F93F79" w14:textId="77777777" w:rsidR="00B61F2A" w:rsidRPr="001362A6" w:rsidRDefault="00B61F2A" w:rsidP="00B61F2A">
            <w:pPr>
              <w:rPr>
                <w:rFonts w:ascii="Lato" w:hAnsi="Lato"/>
                <w:sz w:val="22"/>
                <w:szCs w:val="22"/>
              </w:rPr>
            </w:pPr>
            <w:r w:rsidRPr="001362A6">
              <w:rPr>
                <w:rFonts w:ascii="Lato" w:hAnsi="Lato"/>
                <w:sz w:val="22"/>
                <w:szCs w:val="22"/>
              </w:rPr>
              <w:t>2.4.2</w:t>
            </w:r>
          </w:p>
        </w:tc>
        <w:tc>
          <w:tcPr>
            <w:tcW w:w="5891" w:type="dxa"/>
            <w:tcBorders>
              <w:right w:val="single" w:sz="4" w:space="0" w:color="auto"/>
            </w:tcBorders>
          </w:tcPr>
          <w:p w14:paraId="2004BB6F" w14:textId="77777777" w:rsidR="00B61F2A" w:rsidRPr="001362A6" w:rsidRDefault="00B61F2A" w:rsidP="00B61F2A">
            <w:pPr>
              <w:rPr>
                <w:rFonts w:ascii="Lato" w:hAnsi="Lato"/>
                <w:sz w:val="22"/>
                <w:szCs w:val="22"/>
              </w:rPr>
            </w:pPr>
            <w:r w:rsidRPr="001362A6">
              <w:rPr>
                <w:rFonts w:ascii="Lato" w:hAnsi="Lato"/>
                <w:sz w:val="22"/>
                <w:szCs w:val="22"/>
              </w:rPr>
              <w:t xml:space="preserve">The circumstances in which the Qualifying Investor AIF </w:t>
            </w:r>
          </w:p>
        </w:tc>
        <w:tc>
          <w:tcPr>
            <w:tcW w:w="3188" w:type="dxa"/>
            <w:tcBorders>
              <w:top w:val="single" w:sz="4" w:space="0" w:color="auto"/>
              <w:left w:val="single" w:sz="4" w:space="0" w:color="auto"/>
              <w:bottom w:val="single" w:sz="4" w:space="0" w:color="auto"/>
              <w:right w:val="single" w:sz="4" w:space="0" w:color="auto"/>
            </w:tcBorders>
          </w:tcPr>
          <w:p w14:paraId="709746D2" w14:textId="77777777" w:rsidR="00B61F2A" w:rsidRPr="001362A6" w:rsidRDefault="00B61F2A" w:rsidP="00B61F2A">
            <w:pPr>
              <w:rPr>
                <w:rFonts w:ascii="Lato" w:hAnsi="Lato"/>
                <w:sz w:val="22"/>
                <w:szCs w:val="22"/>
              </w:rPr>
            </w:pPr>
          </w:p>
        </w:tc>
      </w:tr>
      <w:tr w:rsidR="00B61F2A" w:rsidRPr="001362A6" w14:paraId="149EFB5C" w14:textId="77777777" w:rsidTr="00122649">
        <w:tc>
          <w:tcPr>
            <w:tcW w:w="1316" w:type="dxa"/>
          </w:tcPr>
          <w:p w14:paraId="61C515F4" w14:textId="77777777" w:rsidR="00B61F2A" w:rsidRPr="001362A6" w:rsidRDefault="00B61F2A" w:rsidP="00B61F2A">
            <w:pPr>
              <w:rPr>
                <w:rFonts w:ascii="Lato" w:hAnsi="Lato"/>
                <w:sz w:val="22"/>
                <w:szCs w:val="22"/>
              </w:rPr>
            </w:pPr>
          </w:p>
        </w:tc>
        <w:tc>
          <w:tcPr>
            <w:tcW w:w="5891" w:type="dxa"/>
          </w:tcPr>
          <w:p w14:paraId="60E81106" w14:textId="77777777" w:rsidR="00B61F2A" w:rsidRPr="001362A6" w:rsidRDefault="00B61F2A" w:rsidP="00B61F2A">
            <w:pPr>
              <w:rPr>
                <w:rFonts w:ascii="Lato" w:hAnsi="Lato"/>
                <w:sz w:val="22"/>
                <w:szCs w:val="22"/>
              </w:rPr>
            </w:pPr>
            <w:r w:rsidRPr="00590C6D">
              <w:rPr>
                <w:rFonts w:ascii="Lato" w:hAnsi="Lato"/>
                <w:sz w:val="22"/>
                <w:szCs w:val="22"/>
              </w:rPr>
              <w:t xml:space="preserve">may </w:t>
            </w:r>
            <w:r w:rsidRPr="001362A6">
              <w:rPr>
                <w:rFonts w:ascii="Lato" w:hAnsi="Lato"/>
                <w:sz w:val="22"/>
                <w:szCs w:val="22"/>
              </w:rPr>
              <w:t>use leverage</w:t>
            </w:r>
          </w:p>
        </w:tc>
        <w:tc>
          <w:tcPr>
            <w:tcW w:w="3188" w:type="dxa"/>
            <w:tcBorders>
              <w:top w:val="single" w:sz="4" w:space="0" w:color="auto"/>
            </w:tcBorders>
          </w:tcPr>
          <w:p w14:paraId="41E1F5C9" w14:textId="77777777" w:rsidR="00B61F2A" w:rsidRPr="001362A6" w:rsidRDefault="00B61F2A" w:rsidP="00B61F2A">
            <w:pPr>
              <w:rPr>
                <w:rFonts w:ascii="Lato" w:hAnsi="Lato"/>
                <w:sz w:val="22"/>
                <w:szCs w:val="22"/>
              </w:rPr>
            </w:pPr>
          </w:p>
        </w:tc>
      </w:tr>
      <w:tr w:rsidR="00B61F2A" w:rsidRPr="001362A6" w14:paraId="3AB6A2B0" w14:textId="77777777" w:rsidTr="00122649">
        <w:tc>
          <w:tcPr>
            <w:tcW w:w="1316" w:type="dxa"/>
          </w:tcPr>
          <w:p w14:paraId="321DBC02" w14:textId="77777777" w:rsidR="00B61F2A" w:rsidRPr="001362A6" w:rsidRDefault="00B61F2A" w:rsidP="00B61F2A">
            <w:pPr>
              <w:rPr>
                <w:rFonts w:ascii="Lato" w:hAnsi="Lato"/>
                <w:sz w:val="22"/>
                <w:szCs w:val="22"/>
              </w:rPr>
            </w:pPr>
          </w:p>
        </w:tc>
        <w:tc>
          <w:tcPr>
            <w:tcW w:w="5891" w:type="dxa"/>
          </w:tcPr>
          <w:p w14:paraId="39C26C6C"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72C640F3" w14:textId="77777777" w:rsidR="00B61F2A" w:rsidRPr="001362A6" w:rsidRDefault="00B61F2A" w:rsidP="00B61F2A">
            <w:pPr>
              <w:rPr>
                <w:rFonts w:ascii="Lato" w:hAnsi="Lato"/>
                <w:sz w:val="22"/>
                <w:szCs w:val="22"/>
              </w:rPr>
            </w:pPr>
          </w:p>
        </w:tc>
      </w:tr>
      <w:tr w:rsidR="00B61F2A" w:rsidRPr="001362A6" w14:paraId="74E1CBF1" w14:textId="77777777" w:rsidTr="007E3170">
        <w:tc>
          <w:tcPr>
            <w:tcW w:w="1316" w:type="dxa"/>
          </w:tcPr>
          <w:p w14:paraId="0B8C0FE2" w14:textId="77777777" w:rsidR="00B61F2A" w:rsidRPr="001362A6" w:rsidRDefault="00B61F2A" w:rsidP="00B61F2A">
            <w:pPr>
              <w:rPr>
                <w:rFonts w:ascii="Lato" w:hAnsi="Lato"/>
                <w:sz w:val="22"/>
                <w:szCs w:val="22"/>
              </w:rPr>
            </w:pPr>
            <w:r w:rsidRPr="001362A6">
              <w:rPr>
                <w:rFonts w:ascii="Lato" w:hAnsi="Lato"/>
                <w:sz w:val="22"/>
                <w:szCs w:val="22"/>
              </w:rPr>
              <w:t>2.4.3</w:t>
            </w:r>
          </w:p>
        </w:tc>
        <w:tc>
          <w:tcPr>
            <w:tcW w:w="5891" w:type="dxa"/>
            <w:tcBorders>
              <w:right w:val="single" w:sz="4" w:space="0" w:color="auto"/>
            </w:tcBorders>
          </w:tcPr>
          <w:p w14:paraId="174A11B1" w14:textId="77777777" w:rsidR="00B61F2A" w:rsidRPr="001362A6" w:rsidRDefault="00B61F2A" w:rsidP="00B61F2A">
            <w:pPr>
              <w:rPr>
                <w:rFonts w:ascii="Lato" w:hAnsi="Lato"/>
                <w:sz w:val="22"/>
                <w:szCs w:val="22"/>
              </w:rPr>
            </w:pPr>
            <w:r w:rsidRPr="001362A6">
              <w:rPr>
                <w:rFonts w:ascii="Lato" w:hAnsi="Lato"/>
                <w:sz w:val="22"/>
                <w:szCs w:val="22"/>
              </w:rPr>
              <w:t xml:space="preserve">The maximum level of leverage which the AIFM are </w:t>
            </w:r>
          </w:p>
        </w:tc>
        <w:tc>
          <w:tcPr>
            <w:tcW w:w="3188" w:type="dxa"/>
            <w:tcBorders>
              <w:top w:val="single" w:sz="4" w:space="0" w:color="auto"/>
              <w:left w:val="single" w:sz="4" w:space="0" w:color="auto"/>
              <w:bottom w:val="single" w:sz="4" w:space="0" w:color="auto"/>
              <w:right w:val="single" w:sz="4" w:space="0" w:color="auto"/>
            </w:tcBorders>
          </w:tcPr>
          <w:p w14:paraId="0F957CCF" w14:textId="77777777" w:rsidR="00B61F2A" w:rsidRPr="001362A6" w:rsidRDefault="00B61F2A" w:rsidP="00B61F2A">
            <w:pPr>
              <w:rPr>
                <w:rFonts w:ascii="Lato" w:hAnsi="Lato"/>
                <w:sz w:val="22"/>
                <w:szCs w:val="22"/>
              </w:rPr>
            </w:pPr>
          </w:p>
        </w:tc>
      </w:tr>
      <w:tr w:rsidR="00B61F2A" w:rsidRPr="001362A6" w14:paraId="390D5370" w14:textId="77777777" w:rsidTr="007E3170">
        <w:tc>
          <w:tcPr>
            <w:tcW w:w="1316" w:type="dxa"/>
          </w:tcPr>
          <w:p w14:paraId="1559C5FA" w14:textId="77777777" w:rsidR="00B61F2A" w:rsidRPr="001362A6" w:rsidRDefault="00B61F2A" w:rsidP="00B61F2A">
            <w:pPr>
              <w:rPr>
                <w:rFonts w:ascii="Lato" w:hAnsi="Lato"/>
                <w:sz w:val="22"/>
                <w:szCs w:val="22"/>
              </w:rPr>
            </w:pPr>
          </w:p>
        </w:tc>
        <w:tc>
          <w:tcPr>
            <w:tcW w:w="5891" w:type="dxa"/>
          </w:tcPr>
          <w:p w14:paraId="300CD12D" w14:textId="77777777" w:rsidR="00B61F2A" w:rsidRPr="001362A6" w:rsidRDefault="00B61F2A" w:rsidP="00B61F2A">
            <w:pPr>
              <w:rPr>
                <w:rFonts w:ascii="Lato" w:hAnsi="Lato"/>
                <w:sz w:val="22"/>
                <w:szCs w:val="22"/>
              </w:rPr>
            </w:pPr>
            <w:r w:rsidRPr="00590C6D">
              <w:rPr>
                <w:rFonts w:ascii="Lato" w:hAnsi="Lato"/>
                <w:sz w:val="22"/>
                <w:szCs w:val="22"/>
              </w:rPr>
              <w:t xml:space="preserve">entitled to </w:t>
            </w:r>
            <w:r w:rsidRPr="001362A6">
              <w:rPr>
                <w:rFonts w:ascii="Lato" w:hAnsi="Lato"/>
                <w:sz w:val="22"/>
                <w:szCs w:val="22"/>
              </w:rPr>
              <w:t>employ on behalf of the Qualifying Investor AIF</w:t>
            </w:r>
          </w:p>
          <w:p w14:paraId="76C17E84" w14:textId="77777777" w:rsidR="00B61F2A" w:rsidRPr="001362A6" w:rsidRDefault="00B61F2A" w:rsidP="00B61F2A">
            <w:pPr>
              <w:rPr>
                <w:rFonts w:ascii="Lato" w:hAnsi="Lato"/>
                <w:sz w:val="22"/>
                <w:szCs w:val="22"/>
              </w:rPr>
            </w:pPr>
          </w:p>
          <w:p w14:paraId="781F7F9E" w14:textId="77777777" w:rsidR="00B61F2A" w:rsidRPr="001362A6" w:rsidRDefault="00B61F2A" w:rsidP="00B61F2A">
            <w:pPr>
              <w:rPr>
                <w:rFonts w:ascii="Lato" w:hAnsi="Lato"/>
                <w:sz w:val="22"/>
                <w:szCs w:val="22"/>
              </w:rPr>
            </w:pPr>
            <w:r w:rsidRPr="001362A6">
              <w:rPr>
                <w:rFonts w:ascii="Lato" w:hAnsi="Lato"/>
                <w:sz w:val="22"/>
                <w:szCs w:val="22"/>
              </w:rPr>
              <w:t>Note: A loan originating Qualifying Investor AIF must not have gross assets of more than 200% of net asset value</w:t>
            </w:r>
          </w:p>
        </w:tc>
        <w:tc>
          <w:tcPr>
            <w:tcW w:w="3188" w:type="dxa"/>
            <w:tcBorders>
              <w:top w:val="single" w:sz="4" w:space="0" w:color="auto"/>
            </w:tcBorders>
          </w:tcPr>
          <w:p w14:paraId="6B6FBF5D" w14:textId="77777777" w:rsidR="00B61F2A" w:rsidRPr="001362A6" w:rsidRDefault="00B61F2A" w:rsidP="00B61F2A">
            <w:pPr>
              <w:rPr>
                <w:rFonts w:ascii="Lato" w:hAnsi="Lato"/>
                <w:sz w:val="22"/>
                <w:szCs w:val="22"/>
              </w:rPr>
            </w:pPr>
          </w:p>
        </w:tc>
      </w:tr>
      <w:tr w:rsidR="00B61F2A" w:rsidRPr="001362A6" w14:paraId="51CA36AA" w14:textId="77777777" w:rsidTr="007E3170">
        <w:tc>
          <w:tcPr>
            <w:tcW w:w="1316" w:type="dxa"/>
          </w:tcPr>
          <w:p w14:paraId="4F46C4E1" w14:textId="77777777" w:rsidR="00B61F2A" w:rsidRPr="001362A6" w:rsidRDefault="00B61F2A" w:rsidP="00B61F2A">
            <w:pPr>
              <w:rPr>
                <w:rFonts w:ascii="Lato" w:hAnsi="Lato"/>
                <w:sz w:val="22"/>
                <w:szCs w:val="22"/>
              </w:rPr>
            </w:pPr>
          </w:p>
        </w:tc>
        <w:tc>
          <w:tcPr>
            <w:tcW w:w="5891" w:type="dxa"/>
          </w:tcPr>
          <w:p w14:paraId="68FBD9BB"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20DCCDA7" w14:textId="77777777" w:rsidR="00B61F2A" w:rsidRPr="001362A6" w:rsidRDefault="00B61F2A" w:rsidP="00B61F2A">
            <w:pPr>
              <w:rPr>
                <w:rFonts w:ascii="Lato" w:hAnsi="Lato"/>
                <w:sz w:val="22"/>
                <w:szCs w:val="22"/>
              </w:rPr>
            </w:pPr>
          </w:p>
        </w:tc>
      </w:tr>
      <w:tr w:rsidR="00B61F2A" w:rsidRPr="001362A6" w14:paraId="67A37D52" w14:textId="77777777" w:rsidTr="007E3170">
        <w:tc>
          <w:tcPr>
            <w:tcW w:w="1316" w:type="dxa"/>
          </w:tcPr>
          <w:p w14:paraId="559FFE09" w14:textId="77777777" w:rsidR="00B61F2A" w:rsidRPr="001362A6" w:rsidRDefault="00B61F2A" w:rsidP="00B61F2A">
            <w:pPr>
              <w:rPr>
                <w:rFonts w:ascii="Lato" w:hAnsi="Lato"/>
                <w:sz w:val="22"/>
                <w:szCs w:val="22"/>
              </w:rPr>
            </w:pPr>
            <w:r w:rsidRPr="001362A6">
              <w:rPr>
                <w:rFonts w:ascii="Lato" w:hAnsi="Lato"/>
                <w:sz w:val="22"/>
                <w:szCs w:val="22"/>
              </w:rPr>
              <w:t>2.4.4</w:t>
            </w:r>
          </w:p>
        </w:tc>
        <w:tc>
          <w:tcPr>
            <w:tcW w:w="5891" w:type="dxa"/>
            <w:tcBorders>
              <w:right w:val="single" w:sz="4" w:space="0" w:color="auto"/>
            </w:tcBorders>
          </w:tcPr>
          <w:p w14:paraId="75E176C8" w14:textId="77777777" w:rsidR="00B61F2A" w:rsidRPr="001362A6" w:rsidRDefault="00B61F2A" w:rsidP="00B61F2A">
            <w:pPr>
              <w:rPr>
                <w:rFonts w:ascii="Lato" w:hAnsi="Lato"/>
                <w:sz w:val="22"/>
                <w:szCs w:val="22"/>
              </w:rPr>
            </w:pPr>
            <w:r w:rsidRPr="001362A6">
              <w:rPr>
                <w:rFonts w:ascii="Lato" w:hAnsi="Lato"/>
                <w:sz w:val="22"/>
                <w:szCs w:val="22"/>
              </w:rPr>
              <w:t xml:space="preserve">The types and sources of leverage permitted and the </w:t>
            </w:r>
          </w:p>
        </w:tc>
        <w:tc>
          <w:tcPr>
            <w:tcW w:w="3188" w:type="dxa"/>
            <w:tcBorders>
              <w:top w:val="single" w:sz="4" w:space="0" w:color="auto"/>
              <w:left w:val="single" w:sz="4" w:space="0" w:color="auto"/>
              <w:bottom w:val="single" w:sz="4" w:space="0" w:color="auto"/>
              <w:right w:val="single" w:sz="4" w:space="0" w:color="auto"/>
            </w:tcBorders>
          </w:tcPr>
          <w:p w14:paraId="6596DCDA" w14:textId="77777777" w:rsidR="00B61F2A" w:rsidRPr="001362A6" w:rsidRDefault="00B61F2A" w:rsidP="00B61F2A">
            <w:pPr>
              <w:rPr>
                <w:rFonts w:ascii="Lato" w:hAnsi="Lato"/>
                <w:sz w:val="22"/>
                <w:szCs w:val="22"/>
              </w:rPr>
            </w:pPr>
          </w:p>
        </w:tc>
      </w:tr>
      <w:tr w:rsidR="00B61F2A" w:rsidRPr="001362A6" w14:paraId="3BE82E90" w14:textId="77777777" w:rsidTr="007E3170">
        <w:tc>
          <w:tcPr>
            <w:tcW w:w="1316" w:type="dxa"/>
          </w:tcPr>
          <w:p w14:paraId="060BA2BC" w14:textId="77777777" w:rsidR="00B61F2A" w:rsidRPr="001362A6" w:rsidRDefault="00B61F2A" w:rsidP="00B61F2A">
            <w:pPr>
              <w:rPr>
                <w:rFonts w:ascii="Lato" w:hAnsi="Lato"/>
                <w:sz w:val="22"/>
                <w:szCs w:val="22"/>
              </w:rPr>
            </w:pPr>
          </w:p>
        </w:tc>
        <w:tc>
          <w:tcPr>
            <w:tcW w:w="5891" w:type="dxa"/>
          </w:tcPr>
          <w:p w14:paraId="076EC803" w14:textId="77777777" w:rsidR="00B61F2A" w:rsidRPr="001362A6" w:rsidRDefault="00B61F2A" w:rsidP="00B61F2A">
            <w:pPr>
              <w:rPr>
                <w:rFonts w:ascii="Lato" w:hAnsi="Lato"/>
                <w:sz w:val="22"/>
                <w:szCs w:val="22"/>
              </w:rPr>
            </w:pPr>
            <w:r w:rsidRPr="00590C6D">
              <w:rPr>
                <w:rFonts w:ascii="Lato" w:hAnsi="Lato"/>
                <w:sz w:val="22"/>
                <w:szCs w:val="22"/>
              </w:rPr>
              <w:t xml:space="preserve">associated </w:t>
            </w:r>
            <w:r w:rsidRPr="001362A6">
              <w:rPr>
                <w:rFonts w:ascii="Lato" w:hAnsi="Lato"/>
                <w:sz w:val="22"/>
                <w:szCs w:val="22"/>
              </w:rPr>
              <w:t>risks</w:t>
            </w:r>
          </w:p>
        </w:tc>
        <w:tc>
          <w:tcPr>
            <w:tcW w:w="3188" w:type="dxa"/>
            <w:tcBorders>
              <w:top w:val="single" w:sz="4" w:space="0" w:color="auto"/>
            </w:tcBorders>
          </w:tcPr>
          <w:p w14:paraId="3FFBDA08" w14:textId="77777777" w:rsidR="00B61F2A" w:rsidRPr="001362A6" w:rsidRDefault="00B61F2A" w:rsidP="00B61F2A">
            <w:pPr>
              <w:rPr>
                <w:rFonts w:ascii="Lato" w:hAnsi="Lato"/>
                <w:sz w:val="22"/>
                <w:szCs w:val="22"/>
              </w:rPr>
            </w:pPr>
          </w:p>
        </w:tc>
      </w:tr>
      <w:tr w:rsidR="00B61F2A" w:rsidRPr="001362A6" w14:paraId="01D8A9EF" w14:textId="77777777" w:rsidTr="007E3170">
        <w:tc>
          <w:tcPr>
            <w:tcW w:w="1316" w:type="dxa"/>
          </w:tcPr>
          <w:p w14:paraId="554F12FE" w14:textId="77777777" w:rsidR="00B61F2A" w:rsidRPr="001362A6" w:rsidRDefault="00B61F2A" w:rsidP="00B61F2A">
            <w:pPr>
              <w:rPr>
                <w:rFonts w:ascii="Lato" w:hAnsi="Lato"/>
                <w:sz w:val="22"/>
                <w:szCs w:val="22"/>
              </w:rPr>
            </w:pPr>
          </w:p>
        </w:tc>
        <w:tc>
          <w:tcPr>
            <w:tcW w:w="5891" w:type="dxa"/>
          </w:tcPr>
          <w:p w14:paraId="55987B74"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55C50188" w14:textId="77777777" w:rsidR="00B61F2A" w:rsidRPr="001362A6" w:rsidRDefault="00B61F2A" w:rsidP="00B61F2A">
            <w:pPr>
              <w:rPr>
                <w:rFonts w:ascii="Lato" w:hAnsi="Lato"/>
                <w:sz w:val="22"/>
                <w:szCs w:val="22"/>
              </w:rPr>
            </w:pPr>
          </w:p>
        </w:tc>
      </w:tr>
      <w:tr w:rsidR="00B61F2A" w:rsidRPr="001362A6" w14:paraId="7682F682" w14:textId="77777777" w:rsidTr="007E3170">
        <w:tc>
          <w:tcPr>
            <w:tcW w:w="1316" w:type="dxa"/>
          </w:tcPr>
          <w:p w14:paraId="6FFBDC09" w14:textId="77777777" w:rsidR="00B61F2A" w:rsidRPr="001362A6" w:rsidRDefault="00B61F2A" w:rsidP="00B61F2A">
            <w:pPr>
              <w:rPr>
                <w:rFonts w:ascii="Lato" w:hAnsi="Lato"/>
                <w:sz w:val="22"/>
                <w:szCs w:val="22"/>
              </w:rPr>
            </w:pPr>
            <w:r w:rsidRPr="001362A6">
              <w:rPr>
                <w:rFonts w:ascii="Lato" w:hAnsi="Lato"/>
                <w:sz w:val="22"/>
                <w:szCs w:val="22"/>
              </w:rPr>
              <w:t>2.4.5</w:t>
            </w:r>
          </w:p>
        </w:tc>
        <w:tc>
          <w:tcPr>
            <w:tcW w:w="5891" w:type="dxa"/>
            <w:tcBorders>
              <w:right w:val="single" w:sz="4" w:space="0" w:color="auto"/>
            </w:tcBorders>
          </w:tcPr>
          <w:p w14:paraId="2C35378A" w14:textId="77777777" w:rsidR="00B61F2A" w:rsidRPr="001362A6" w:rsidRDefault="00B61F2A" w:rsidP="00B61F2A">
            <w:pPr>
              <w:rPr>
                <w:rFonts w:ascii="Lato" w:hAnsi="Lato"/>
                <w:sz w:val="22"/>
                <w:szCs w:val="22"/>
              </w:rPr>
            </w:pPr>
            <w:r w:rsidRPr="001362A6">
              <w:rPr>
                <w:rFonts w:ascii="Lato" w:hAnsi="Lato"/>
                <w:sz w:val="22"/>
                <w:szCs w:val="22"/>
              </w:rPr>
              <w:t>Any restrictions on the use of leverage</w:t>
            </w:r>
          </w:p>
        </w:tc>
        <w:tc>
          <w:tcPr>
            <w:tcW w:w="3188" w:type="dxa"/>
            <w:tcBorders>
              <w:top w:val="single" w:sz="4" w:space="0" w:color="auto"/>
              <w:left w:val="single" w:sz="4" w:space="0" w:color="auto"/>
              <w:bottom w:val="single" w:sz="4" w:space="0" w:color="auto"/>
              <w:right w:val="single" w:sz="4" w:space="0" w:color="auto"/>
            </w:tcBorders>
          </w:tcPr>
          <w:p w14:paraId="10A073B1" w14:textId="77777777" w:rsidR="00B61F2A" w:rsidRPr="001362A6" w:rsidRDefault="00B61F2A" w:rsidP="00B61F2A">
            <w:pPr>
              <w:rPr>
                <w:rFonts w:ascii="Lato" w:hAnsi="Lato"/>
                <w:sz w:val="22"/>
                <w:szCs w:val="22"/>
              </w:rPr>
            </w:pPr>
          </w:p>
        </w:tc>
      </w:tr>
      <w:tr w:rsidR="00B61F2A" w:rsidRPr="001362A6" w14:paraId="1D2B2A81" w14:textId="77777777" w:rsidTr="007E3170">
        <w:tc>
          <w:tcPr>
            <w:tcW w:w="1316" w:type="dxa"/>
          </w:tcPr>
          <w:p w14:paraId="1937D5AF" w14:textId="77777777" w:rsidR="00B61F2A" w:rsidRPr="001362A6" w:rsidRDefault="00B61F2A" w:rsidP="00B61F2A">
            <w:pPr>
              <w:rPr>
                <w:rFonts w:ascii="Lato" w:hAnsi="Lato"/>
                <w:sz w:val="22"/>
                <w:szCs w:val="22"/>
              </w:rPr>
            </w:pPr>
          </w:p>
        </w:tc>
        <w:tc>
          <w:tcPr>
            <w:tcW w:w="5891" w:type="dxa"/>
          </w:tcPr>
          <w:p w14:paraId="0E0D692D"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3388AB94" w14:textId="77777777" w:rsidR="00B61F2A" w:rsidRPr="001362A6" w:rsidRDefault="00B61F2A" w:rsidP="00B61F2A">
            <w:pPr>
              <w:rPr>
                <w:rFonts w:ascii="Lato" w:hAnsi="Lato"/>
                <w:sz w:val="22"/>
                <w:szCs w:val="22"/>
              </w:rPr>
            </w:pPr>
          </w:p>
        </w:tc>
      </w:tr>
      <w:tr w:rsidR="00B61F2A" w:rsidRPr="001362A6" w14:paraId="4EA2EF6E" w14:textId="77777777" w:rsidTr="007E3170">
        <w:trPr>
          <w:trHeight w:val="70"/>
        </w:trPr>
        <w:tc>
          <w:tcPr>
            <w:tcW w:w="1316" w:type="dxa"/>
          </w:tcPr>
          <w:p w14:paraId="1C0A5342" w14:textId="77777777" w:rsidR="00B61F2A" w:rsidRPr="001362A6" w:rsidRDefault="00B61F2A" w:rsidP="00B61F2A">
            <w:pPr>
              <w:rPr>
                <w:rFonts w:ascii="Lato" w:hAnsi="Lato"/>
                <w:sz w:val="22"/>
                <w:szCs w:val="22"/>
              </w:rPr>
            </w:pPr>
            <w:r w:rsidRPr="001362A6">
              <w:rPr>
                <w:rFonts w:ascii="Lato" w:hAnsi="Lato"/>
                <w:sz w:val="22"/>
                <w:szCs w:val="22"/>
              </w:rPr>
              <w:t>2.4.6</w:t>
            </w:r>
          </w:p>
        </w:tc>
        <w:tc>
          <w:tcPr>
            <w:tcW w:w="5891" w:type="dxa"/>
            <w:tcBorders>
              <w:right w:val="single" w:sz="4" w:space="0" w:color="auto"/>
            </w:tcBorders>
          </w:tcPr>
          <w:p w14:paraId="5328CDE3" w14:textId="77777777" w:rsidR="00B61F2A" w:rsidRPr="001362A6" w:rsidRDefault="00B61F2A" w:rsidP="00B61F2A">
            <w:pPr>
              <w:rPr>
                <w:rFonts w:ascii="Lato" w:hAnsi="Lato"/>
                <w:sz w:val="22"/>
                <w:szCs w:val="22"/>
              </w:rPr>
            </w:pPr>
            <w:r w:rsidRPr="001362A6">
              <w:rPr>
                <w:rFonts w:ascii="Lato" w:hAnsi="Lato"/>
                <w:sz w:val="22"/>
                <w:szCs w:val="22"/>
              </w:rPr>
              <w:t>Any collateral and asset reuse arrangements</w:t>
            </w:r>
          </w:p>
        </w:tc>
        <w:tc>
          <w:tcPr>
            <w:tcW w:w="3188" w:type="dxa"/>
            <w:tcBorders>
              <w:top w:val="single" w:sz="4" w:space="0" w:color="auto"/>
              <w:left w:val="single" w:sz="4" w:space="0" w:color="auto"/>
              <w:bottom w:val="single" w:sz="4" w:space="0" w:color="auto"/>
              <w:right w:val="single" w:sz="4" w:space="0" w:color="auto"/>
            </w:tcBorders>
          </w:tcPr>
          <w:p w14:paraId="5F6F5F2B" w14:textId="77777777" w:rsidR="00B61F2A" w:rsidRPr="001362A6" w:rsidRDefault="00B61F2A" w:rsidP="00B61F2A">
            <w:pPr>
              <w:rPr>
                <w:rFonts w:ascii="Lato" w:hAnsi="Lato"/>
                <w:sz w:val="22"/>
                <w:szCs w:val="22"/>
              </w:rPr>
            </w:pPr>
          </w:p>
        </w:tc>
      </w:tr>
      <w:tr w:rsidR="00B61F2A" w:rsidRPr="001362A6" w14:paraId="52828164" w14:textId="77777777" w:rsidTr="007E3170">
        <w:tc>
          <w:tcPr>
            <w:tcW w:w="1316" w:type="dxa"/>
          </w:tcPr>
          <w:p w14:paraId="5BC81DA2" w14:textId="77777777" w:rsidR="00B61F2A" w:rsidRPr="001362A6" w:rsidRDefault="00B61F2A" w:rsidP="00B61F2A">
            <w:pPr>
              <w:rPr>
                <w:rFonts w:ascii="Lato" w:hAnsi="Lato"/>
                <w:sz w:val="22"/>
                <w:szCs w:val="22"/>
              </w:rPr>
            </w:pPr>
          </w:p>
        </w:tc>
        <w:tc>
          <w:tcPr>
            <w:tcW w:w="5891" w:type="dxa"/>
          </w:tcPr>
          <w:p w14:paraId="2725C56A"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6F134D1F" w14:textId="77777777" w:rsidR="00B61F2A" w:rsidRPr="001362A6" w:rsidRDefault="00B61F2A" w:rsidP="00B61F2A">
            <w:pPr>
              <w:rPr>
                <w:rFonts w:ascii="Lato" w:hAnsi="Lato"/>
                <w:sz w:val="22"/>
                <w:szCs w:val="22"/>
              </w:rPr>
            </w:pPr>
          </w:p>
        </w:tc>
      </w:tr>
      <w:tr w:rsidR="00B61F2A" w:rsidRPr="001362A6" w14:paraId="34A533B3" w14:textId="77777777" w:rsidTr="007E3170">
        <w:tc>
          <w:tcPr>
            <w:tcW w:w="1316" w:type="dxa"/>
          </w:tcPr>
          <w:p w14:paraId="73AABF27" w14:textId="77777777" w:rsidR="00B61F2A" w:rsidRPr="001362A6" w:rsidRDefault="00B61F2A" w:rsidP="00B61F2A">
            <w:pPr>
              <w:rPr>
                <w:rFonts w:ascii="Lato" w:hAnsi="Lato"/>
                <w:sz w:val="22"/>
                <w:szCs w:val="22"/>
              </w:rPr>
            </w:pPr>
            <w:r w:rsidRPr="001362A6">
              <w:rPr>
                <w:rFonts w:ascii="Lato" w:hAnsi="Lato"/>
                <w:sz w:val="22"/>
                <w:szCs w:val="22"/>
              </w:rPr>
              <w:t>2.4.7     (i)</w:t>
            </w:r>
          </w:p>
        </w:tc>
        <w:tc>
          <w:tcPr>
            <w:tcW w:w="5891" w:type="dxa"/>
            <w:tcBorders>
              <w:right w:val="single" w:sz="4" w:space="0" w:color="auto"/>
            </w:tcBorders>
          </w:tcPr>
          <w:p w14:paraId="78743599" w14:textId="77777777" w:rsidR="00B61F2A" w:rsidRPr="001362A6" w:rsidRDefault="00B61F2A" w:rsidP="00B61F2A">
            <w:pPr>
              <w:rPr>
                <w:rFonts w:ascii="Lato" w:hAnsi="Lato"/>
                <w:sz w:val="22"/>
                <w:szCs w:val="22"/>
              </w:rPr>
            </w:pPr>
            <w:r w:rsidRPr="001362A6">
              <w:rPr>
                <w:rFonts w:ascii="Lato" w:hAnsi="Lato"/>
                <w:sz w:val="22"/>
                <w:szCs w:val="22"/>
              </w:rPr>
              <w:t xml:space="preserve">Confirm that the Qualifying Investor AIFs shall not raise </w:t>
            </w:r>
          </w:p>
        </w:tc>
        <w:tc>
          <w:tcPr>
            <w:tcW w:w="3188" w:type="dxa"/>
            <w:tcBorders>
              <w:top w:val="single" w:sz="4" w:space="0" w:color="auto"/>
              <w:left w:val="single" w:sz="4" w:space="0" w:color="auto"/>
              <w:bottom w:val="single" w:sz="4" w:space="0" w:color="auto"/>
              <w:right w:val="single" w:sz="4" w:space="0" w:color="auto"/>
            </w:tcBorders>
          </w:tcPr>
          <w:p w14:paraId="1D39274B" w14:textId="77777777" w:rsidR="00B61F2A" w:rsidRPr="001362A6" w:rsidRDefault="00B61F2A" w:rsidP="00B61F2A">
            <w:pPr>
              <w:rPr>
                <w:rFonts w:ascii="Lato" w:hAnsi="Lato"/>
                <w:sz w:val="22"/>
                <w:szCs w:val="22"/>
              </w:rPr>
            </w:pPr>
          </w:p>
        </w:tc>
      </w:tr>
      <w:tr w:rsidR="00B61F2A" w:rsidRPr="001362A6" w14:paraId="7DF495CF" w14:textId="77777777" w:rsidTr="00990D73">
        <w:tc>
          <w:tcPr>
            <w:tcW w:w="1316" w:type="dxa"/>
          </w:tcPr>
          <w:p w14:paraId="40BD307F" w14:textId="77777777" w:rsidR="00B61F2A" w:rsidRPr="001362A6" w:rsidRDefault="00B61F2A" w:rsidP="00B61F2A">
            <w:pPr>
              <w:rPr>
                <w:rFonts w:ascii="Lato" w:hAnsi="Lato"/>
                <w:sz w:val="22"/>
                <w:szCs w:val="22"/>
              </w:rPr>
            </w:pPr>
          </w:p>
        </w:tc>
        <w:tc>
          <w:tcPr>
            <w:tcW w:w="5891" w:type="dxa"/>
          </w:tcPr>
          <w:p w14:paraId="34FA4324" w14:textId="77777777" w:rsidR="00B61F2A" w:rsidRPr="001362A6" w:rsidRDefault="00B61F2A" w:rsidP="00B61F2A">
            <w:pPr>
              <w:rPr>
                <w:rFonts w:ascii="Lato" w:hAnsi="Lato"/>
                <w:sz w:val="22"/>
                <w:szCs w:val="22"/>
              </w:rPr>
            </w:pPr>
            <w:r w:rsidRPr="00590C6D">
              <w:rPr>
                <w:rFonts w:ascii="Lato" w:hAnsi="Lato"/>
                <w:sz w:val="22"/>
                <w:szCs w:val="22"/>
              </w:rPr>
              <w:t>capital</w:t>
            </w:r>
            <w:r w:rsidRPr="00D95E9D">
              <w:rPr>
                <w:rFonts w:ascii="Lato" w:hAnsi="Lato"/>
                <w:sz w:val="22"/>
                <w:szCs w:val="22"/>
              </w:rPr>
              <w:t xml:space="preserve"> </w:t>
            </w:r>
            <w:r w:rsidRPr="001362A6">
              <w:rPr>
                <w:rFonts w:ascii="Lato" w:hAnsi="Lato"/>
                <w:sz w:val="22"/>
                <w:szCs w:val="22"/>
              </w:rPr>
              <w:t>from the public through the issue of debt securities</w:t>
            </w:r>
          </w:p>
        </w:tc>
        <w:tc>
          <w:tcPr>
            <w:tcW w:w="3188" w:type="dxa"/>
            <w:tcBorders>
              <w:top w:val="single" w:sz="4" w:space="0" w:color="auto"/>
            </w:tcBorders>
          </w:tcPr>
          <w:p w14:paraId="7FEE8F18" w14:textId="77777777" w:rsidR="00B61F2A" w:rsidRPr="001362A6" w:rsidRDefault="00B61F2A" w:rsidP="00B61F2A">
            <w:pPr>
              <w:rPr>
                <w:rFonts w:ascii="Lato" w:hAnsi="Lato"/>
                <w:sz w:val="22"/>
                <w:szCs w:val="22"/>
              </w:rPr>
            </w:pPr>
          </w:p>
        </w:tc>
      </w:tr>
      <w:tr w:rsidR="00B61F2A" w:rsidRPr="001362A6" w14:paraId="4948452C" w14:textId="77777777" w:rsidTr="00990D73">
        <w:tc>
          <w:tcPr>
            <w:tcW w:w="1316" w:type="dxa"/>
          </w:tcPr>
          <w:p w14:paraId="2B241D69" w14:textId="77777777" w:rsidR="00B61F2A" w:rsidRPr="001362A6" w:rsidRDefault="00B61F2A" w:rsidP="00B61F2A">
            <w:pPr>
              <w:rPr>
                <w:rFonts w:ascii="Lato" w:hAnsi="Lato"/>
                <w:sz w:val="22"/>
                <w:szCs w:val="22"/>
              </w:rPr>
            </w:pPr>
          </w:p>
        </w:tc>
        <w:tc>
          <w:tcPr>
            <w:tcW w:w="5891" w:type="dxa"/>
          </w:tcPr>
          <w:p w14:paraId="23891EB0" w14:textId="77777777" w:rsidR="00B61F2A" w:rsidRPr="001362A6" w:rsidRDefault="00B61F2A" w:rsidP="00B61F2A">
            <w:pPr>
              <w:rPr>
                <w:rFonts w:ascii="Lato" w:hAnsi="Lato"/>
                <w:sz w:val="22"/>
                <w:szCs w:val="22"/>
              </w:rPr>
            </w:pPr>
            <w:r w:rsidRPr="001362A6">
              <w:rPr>
                <w:rFonts w:ascii="Lato" w:hAnsi="Lato"/>
                <w:sz w:val="22"/>
                <w:szCs w:val="22"/>
              </w:rPr>
              <w:t xml:space="preserve"> </w:t>
            </w:r>
          </w:p>
        </w:tc>
        <w:tc>
          <w:tcPr>
            <w:tcW w:w="3188" w:type="dxa"/>
          </w:tcPr>
          <w:p w14:paraId="5E6AFBBC" w14:textId="77777777" w:rsidR="00B61F2A" w:rsidRPr="001362A6" w:rsidRDefault="00B61F2A" w:rsidP="00B61F2A">
            <w:pPr>
              <w:rPr>
                <w:rFonts w:ascii="Lato" w:hAnsi="Lato"/>
                <w:sz w:val="22"/>
                <w:szCs w:val="22"/>
              </w:rPr>
            </w:pPr>
          </w:p>
        </w:tc>
      </w:tr>
      <w:tr w:rsidR="00B61F2A" w:rsidRPr="001362A6" w14:paraId="09FFAE1D" w14:textId="77777777" w:rsidTr="00990D73">
        <w:tc>
          <w:tcPr>
            <w:tcW w:w="1316" w:type="dxa"/>
          </w:tcPr>
          <w:p w14:paraId="749275B5" w14:textId="77777777" w:rsidR="00B61F2A" w:rsidRPr="001362A6" w:rsidRDefault="00B61F2A" w:rsidP="00B61F2A">
            <w:pPr>
              <w:jc w:val="right"/>
              <w:rPr>
                <w:rFonts w:ascii="Lato" w:hAnsi="Lato"/>
                <w:sz w:val="22"/>
                <w:szCs w:val="22"/>
              </w:rPr>
            </w:pPr>
            <w:r w:rsidRPr="001362A6">
              <w:rPr>
                <w:rFonts w:ascii="Lato" w:hAnsi="Lato"/>
                <w:sz w:val="22"/>
                <w:szCs w:val="22"/>
              </w:rPr>
              <w:t>(ii)</w:t>
            </w:r>
          </w:p>
        </w:tc>
        <w:tc>
          <w:tcPr>
            <w:tcW w:w="5891" w:type="dxa"/>
          </w:tcPr>
          <w:p w14:paraId="31BAA0F5" w14:textId="77777777" w:rsidR="00B61F2A" w:rsidRPr="001362A6" w:rsidRDefault="00B61F2A" w:rsidP="00B61F2A">
            <w:pPr>
              <w:rPr>
                <w:rFonts w:ascii="Lato" w:hAnsi="Lato"/>
                <w:sz w:val="22"/>
                <w:szCs w:val="22"/>
              </w:rPr>
            </w:pPr>
            <w:r w:rsidRPr="001362A6">
              <w:rPr>
                <w:rFonts w:ascii="Lato" w:hAnsi="Lato"/>
                <w:sz w:val="22"/>
                <w:szCs w:val="22"/>
              </w:rPr>
              <w:t xml:space="preserve">This restriction does not operate to prevent the issue of </w:t>
            </w:r>
          </w:p>
        </w:tc>
        <w:tc>
          <w:tcPr>
            <w:tcW w:w="3188" w:type="dxa"/>
          </w:tcPr>
          <w:p w14:paraId="5FBDA8C0" w14:textId="77777777" w:rsidR="00B61F2A" w:rsidRPr="001362A6" w:rsidRDefault="00B61F2A" w:rsidP="00B61F2A">
            <w:pPr>
              <w:rPr>
                <w:rFonts w:ascii="Lato" w:hAnsi="Lato"/>
                <w:sz w:val="22"/>
                <w:szCs w:val="22"/>
              </w:rPr>
            </w:pPr>
          </w:p>
        </w:tc>
      </w:tr>
      <w:tr w:rsidR="00B61F2A" w:rsidRPr="001362A6" w14:paraId="4D831314" w14:textId="77777777" w:rsidTr="00990D73">
        <w:tc>
          <w:tcPr>
            <w:tcW w:w="1316" w:type="dxa"/>
          </w:tcPr>
          <w:p w14:paraId="30C73247" w14:textId="77777777" w:rsidR="00B61F2A" w:rsidRPr="001362A6" w:rsidRDefault="00B61F2A" w:rsidP="00B61F2A">
            <w:pPr>
              <w:rPr>
                <w:rFonts w:ascii="Lato" w:hAnsi="Lato"/>
                <w:sz w:val="22"/>
                <w:szCs w:val="22"/>
              </w:rPr>
            </w:pPr>
          </w:p>
        </w:tc>
        <w:tc>
          <w:tcPr>
            <w:tcW w:w="5891" w:type="dxa"/>
          </w:tcPr>
          <w:p w14:paraId="64E099EB" w14:textId="77777777" w:rsidR="00B61F2A" w:rsidRPr="001362A6" w:rsidRDefault="00B61F2A" w:rsidP="00B61F2A">
            <w:pPr>
              <w:rPr>
                <w:rFonts w:ascii="Lato" w:hAnsi="Lato"/>
                <w:sz w:val="22"/>
                <w:szCs w:val="22"/>
              </w:rPr>
            </w:pPr>
            <w:r w:rsidRPr="00590C6D">
              <w:rPr>
                <w:rFonts w:ascii="Lato" w:hAnsi="Lato"/>
                <w:sz w:val="22"/>
                <w:szCs w:val="22"/>
              </w:rPr>
              <w:t>notes by</w:t>
            </w:r>
            <w:r w:rsidRPr="00D95E9D">
              <w:rPr>
                <w:rFonts w:ascii="Lato" w:hAnsi="Lato"/>
                <w:sz w:val="22"/>
                <w:szCs w:val="22"/>
              </w:rPr>
              <w:t xml:space="preserve"> </w:t>
            </w:r>
            <w:r w:rsidRPr="001362A6">
              <w:rPr>
                <w:rFonts w:ascii="Lato" w:hAnsi="Lato"/>
                <w:sz w:val="22"/>
                <w:szCs w:val="22"/>
              </w:rPr>
              <w:t xml:space="preserve">Qualifying Investor AIFs on a private basis, to a </w:t>
            </w:r>
          </w:p>
        </w:tc>
        <w:tc>
          <w:tcPr>
            <w:tcW w:w="3188" w:type="dxa"/>
            <w:tcBorders>
              <w:bottom w:val="single" w:sz="4" w:space="0" w:color="auto"/>
            </w:tcBorders>
          </w:tcPr>
          <w:p w14:paraId="177DBB31" w14:textId="77777777" w:rsidR="00B61F2A" w:rsidRPr="001362A6" w:rsidRDefault="00B61F2A" w:rsidP="00B61F2A">
            <w:pPr>
              <w:rPr>
                <w:rFonts w:ascii="Lato" w:hAnsi="Lato"/>
                <w:sz w:val="22"/>
                <w:szCs w:val="22"/>
              </w:rPr>
            </w:pPr>
          </w:p>
        </w:tc>
      </w:tr>
      <w:tr w:rsidR="00B61F2A" w:rsidRPr="001362A6" w14:paraId="414BAACD" w14:textId="77777777" w:rsidTr="00990D73">
        <w:tc>
          <w:tcPr>
            <w:tcW w:w="1316" w:type="dxa"/>
          </w:tcPr>
          <w:p w14:paraId="387FBCA9"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1775636F" w14:textId="77777777" w:rsidR="00B61F2A" w:rsidRPr="001362A6" w:rsidRDefault="00B61F2A" w:rsidP="00B61F2A">
            <w:pPr>
              <w:rPr>
                <w:rFonts w:ascii="Lato" w:hAnsi="Lato"/>
                <w:sz w:val="22"/>
                <w:szCs w:val="22"/>
              </w:rPr>
            </w:pPr>
            <w:r w:rsidRPr="00590C6D">
              <w:rPr>
                <w:rFonts w:ascii="Lato" w:hAnsi="Lato"/>
                <w:sz w:val="22"/>
                <w:szCs w:val="22"/>
              </w:rPr>
              <w:t>lending</w:t>
            </w:r>
            <w:r w:rsidRPr="00D95E9D">
              <w:rPr>
                <w:rFonts w:ascii="Lato" w:hAnsi="Lato"/>
                <w:sz w:val="22"/>
                <w:szCs w:val="22"/>
              </w:rPr>
              <w:t xml:space="preserve"> </w:t>
            </w:r>
            <w:r w:rsidRPr="001362A6">
              <w:rPr>
                <w:rFonts w:ascii="Lato" w:hAnsi="Lato"/>
                <w:sz w:val="22"/>
                <w:szCs w:val="22"/>
              </w:rPr>
              <w:t xml:space="preserve">institution to facilitate financing arrangements. </w:t>
            </w:r>
          </w:p>
        </w:tc>
        <w:tc>
          <w:tcPr>
            <w:tcW w:w="3188" w:type="dxa"/>
            <w:tcBorders>
              <w:top w:val="single" w:sz="4" w:space="0" w:color="auto"/>
              <w:left w:val="single" w:sz="4" w:space="0" w:color="auto"/>
              <w:bottom w:val="single" w:sz="4" w:space="0" w:color="auto"/>
              <w:right w:val="single" w:sz="4" w:space="0" w:color="auto"/>
            </w:tcBorders>
          </w:tcPr>
          <w:p w14:paraId="0D744A1B" w14:textId="77777777" w:rsidR="00B61F2A" w:rsidRPr="001362A6" w:rsidRDefault="00B61F2A" w:rsidP="00B61F2A">
            <w:pPr>
              <w:rPr>
                <w:rFonts w:ascii="Lato" w:hAnsi="Lato"/>
                <w:sz w:val="22"/>
                <w:szCs w:val="22"/>
              </w:rPr>
            </w:pPr>
          </w:p>
        </w:tc>
      </w:tr>
      <w:tr w:rsidR="00B61F2A" w:rsidRPr="001362A6" w14:paraId="4C623228" w14:textId="77777777" w:rsidTr="00990D73">
        <w:tc>
          <w:tcPr>
            <w:tcW w:w="1316" w:type="dxa"/>
          </w:tcPr>
          <w:p w14:paraId="0EE44EC5" w14:textId="77777777" w:rsidR="00B61F2A" w:rsidRPr="001362A6" w:rsidRDefault="00B61F2A" w:rsidP="00B61F2A">
            <w:pPr>
              <w:rPr>
                <w:rFonts w:ascii="Lato" w:hAnsi="Lato"/>
                <w:sz w:val="22"/>
                <w:szCs w:val="22"/>
              </w:rPr>
            </w:pPr>
          </w:p>
        </w:tc>
        <w:tc>
          <w:tcPr>
            <w:tcW w:w="5891" w:type="dxa"/>
          </w:tcPr>
          <w:p w14:paraId="67AE9C4D" w14:textId="77777777" w:rsidR="00B61F2A" w:rsidRPr="001362A6" w:rsidRDefault="00B61F2A" w:rsidP="00B61F2A">
            <w:pPr>
              <w:rPr>
                <w:rFonts w:ascii="Lato" w:hAnsi="Lato"/>
                <w:sz w:val="22"/>
                <w:szCs w:val="22"/>
              </w:rPr>
            </w:pPr>
            <w:r w:rsidRPr="00590C6D">
              <w:rPr>
                <w:rFonts w:ascii="Lato" w:hAnsi="Lato"/>
                <w:sz w:val="22"/>
                <w:szCs w:val="22"/>
              </w:rPr>
              <w:t>Where relevant</w:t>
            </w:r>
            <w:r w:rsidRPr="00D95E9D">
              <w:rPr>
                <w:rFonts w:ascii="Lato" w:hAnsi="Lato"/>
                <w:sz w:val="22"/>
                <w:szCs w:val="22"/>
              </w:rPr>
              <w:t xml:space="preserve"> </w:t>
            </w:r>
            <w:r w:rsidRPr="001362A6">
              <w:rPr>
                <w:rFonts w:ascii="Lato" w:hAnsi="Lato"/>
                <w:sz w:val="22"/>
                <w:szCs w:val="22"/>
              </w:rPr>
              <w:t>disclose details of any such note issue</w:t>
            </w:r>
          </w:p>
        </w:tc>
        <w:tc>
          <w:tcPr>
            <w:tcW w:w="3188" w:type="dxa"/>
            <w:tcBorders>
              <w:top w:val="single" w:sz="4" w:space="0" w:color="auto"/>
            </w:tcBorders>
          </w:tcPr>
          <w:p w14:paraId="30AF33C7" w14:textId="77777777" w:rsidR="00B61F2A" w:rsidRPr="001362A6" w:rsidRDefault="00B61F2A" w:rsidP="00B61F2A">
            <w:pPr>
              <w:rPr>
                <w:rFonts w:ascii="Lato" w:hAnsi="Lato"/>
                <w:sz w:val="22"/>
                <w:szCs w:val="22"/>
              </w:rPr>
            </w:pPr>
          </w:p>
        </w:tc>
      </w:tr>
      <w:tr w:rsidR="00B61F2A" w:rsidRPr="001362A6" w14:paraId="4E27CBA8" w14:textId="77777777" w:rsidTr="00990D73">
        <w:tc>
          <w:tcPr>
            <w:tcW w:w="1316" w:type="dxa"/>
          </w:tcPr>
          <w:p w14:paraId="6E2B12B4" w14:textId="77777777" w:rsidR="00B61F2A" w:rsidRPr="001362A6" w:rsidRDefault="00B61F2A" w:rsidP="00B61F2A">
            <w:pPr>
              <w:rPr>
                <w:rFonts w:ascii="Lato" w:hAnsi="Lato"/>
                <w:sz w:val="22"/>
                <w:szCs w:val="22"/>
              </w:rPr>
            </w:pPr>
          </w:p>
        </w:tc>
        <w:tc>
          <w:tcPr>
            <w:tcW w:w="5891" w:type="dxa"/>
          </w:tcPr>
          <w:p w14:paraId="05796BFF" w14:textId="77777777" w:rsidR="00B61F2A" w:rsidRPr="001362A6" w:rsidRDefault="00B61F2A" w:rsidP="00B61F2A">
            <w:pPr>
              <w:rPr>
                <w:rFonts w:ascii="Lato" w:hAnsi="Lato"/>
                <w:sz w:val="22"/>
                <w:szCs w:val="22"/>
              </w:rPr>
            </w:pPr>
          </w:p>
        </w:tc>
        <w:tc>
          <w:tcPr>
            <w:tcW w:w="3188" w:type="dxa"/>
          </w:tcPr>
          <w:p w14:paraId="1E30B8A1" w14:textId="77777777" w:rsidR="00B61F2A" w:rsidRPr="001362A6" w:rsidRDefault="00B61F2A" w:rsidP="00B61F2A">
            <w:pPr>
              <w:rPr>
                <w:rFonts w:ascii="Lato" w:hAnsi="Lato"/>
                <w:sz w:val="22"/>
                <w:szCs w:val="22"/>
              </w:rPr>
            </w:pPr>
          </w:p>
        </w:tc>
      </w:tr>
      <w:tr w:rsidR="00B61F2A" w:rsidRPr="001362A6" w14:paraId="7B0BF16F" w14:textId="77777777" w:rsidTr="00990D73">
        <w:tc>
          <w:tcPr>
            <w:tcW w:w="1316" w:type="dxa"/>
          </w:tcPr>
          <w:p w14:paraId="67BCDDB2" w14:textId="77777777" w:rsidR="00B61F2A" w:rsidRPr="001362A6" w:rsidRDefault="00B61F2A" w:rsidP="00B61F2A">
            <w:pPr>
              <w:pStyle w:val="Header"/>
              <w:spacing w:line="240" w:lineRule="auto"/>
              <w:rPr>
                <w:rFonts w:ascii="Lato" w:hAnsi="Lato"/>
                <w:b/>
                <w:bCs/>
                <w:szCs w:val="22"/>
              </w:rPr>
            </w:pPr>
            <w:r w:rsidRPr="001362A6">
              <w:rPr>
                <w:rFonts w:ascii="Lato" w:hAnsi="Lato"/>
                <w:b/>
                <w:bCs/>
                <w:szCs w:val="22"/>
              </w:rPr>
              <w:t>2.5</w:t>
            </w:r>
          </w:p>
        </w:tc>
        <w:tc>
          <w:tcPr>
            <w:tcW w:w="5891" w:type="dxa"/>
          </w:tcPr>
          <w:p w14:paraId="5391E48F" w14:textId="77777777" w:rsidR="00B61F2A" w:rsidRPr="001362A6" w:rsidRDefault="00B61F2A" w:rsidP="00B61F2A">
            <w:pPr>
              <w:rPr>
                <w:rFonts w:ascii="Lato" w:hAnsi="Lato"/>
                <w:b/>
                <w:bCs/>
                <w:sz w:val="22"/>
                <w:szCs w:val="22"/>
              </w:rPr>
            </w:pPr>
            <w:r w:rsidRPr="001362A6">
              <w:rPr>
                <w:rFonts w:ascii="Lato" w:hAnsi="Lato"/>
                <w:b/>
                <w:bCs/>
                <w:sz w:val="22"/>
                <w:szCs w:val="22"/>
              </w:rPr>
              <w:t>Distribution/Dividend policy</w:t>
            </w:r>
          </w:p>
        </w:tc>
        <w:tc>
          <w:tcPr>
            <w:tcW w:w="3188" w:type="dxa"/>
          </w:tcPr>
          <w:p w14:paraId="1EFA1532" w14:textId="77777777" w:rsidR="00B61F2A" w:rsidRPr="001362A6" w:rsidRDefault="00B61F2A" w:rsidP="00B61F2A">
            <w:pPr>
              <w:rPr>
                <w:rFonts w:ascii="Lato" w:hAnsi="Lato"/>
                <w:b/>
                <w:bCs/>
                <w:sz w:val="22"/>
                <w:szCs w:val="22"/>
              </w:rPr>
            </w:pPr>
          </w:p>
        </w:tc>
      </w:tr>
      <w:tr w:rsidR="00B61F2A" w:rsidRPr="001362A6" w14:paraId="6FBB7122" w14:textId="77777777" w:rsidTr="00990D73">
        <w:tc>
          <w:tcPr>
            <w:tcW w:w="1316" w:type="dxa"/>
          </w:tcPr>
          <w:p w14:paraId="143A1A1A" w14:textId="77777777" w:rsidR="00B61F2A" w:rsidRPr="001362A6" w:rsidRDefault="00B61F2A" w:rsidP="00B61F2A">
            <w:pPr>
              <w:pStyle w:val="Header"/>
              <w:spacing w:line="240" w:lineRule="auto"/>
              <w:rPr>
                <w:rFonts w:ascii="Lato" w:hAnsi="Lato"/>
                <w:szCs w:val="22"/>
              </w:rPr>
            </w:pPr>
          </w:p>
        </w:tc>
        <w:tc>
          <w:tcPr>
            <w:tcW w:w="5891" w:type="dxa"/>
          </w:tcPr>
          <w:p w14:paraId="140804C8" w14:textId="77777777" w:rsidR="00B61F2A" w:rsidRPr="001362A6" w:rsidRDefault="00B61F2A" w:rsidP="00B61F2A">
            <w:pPr>
              <w:rPr>
                <w:rFonts w:ascii="Lato" w:hAnsi="Lato"/>
                <w:b/>
                <w:bCs/>
                <w:sz w:val="22"/>
                <w:szCs w:val="22"/>
              </w:rPr>
            </w:pPr>
            <w:r w:rsidRPr="001362A6">
              <w:rPr>
                <w:rFonts w:ascii="Lato" w:hAnsi="Lato"/>
                <w:b/>
                <w:bCs/>
                <w:sz w:val="22"/>
                <w:szCs w:val="22"/>
              </w:rPr>
              <w:t>Note:  Amendments to distribution policy must be notified to unitholders in advance of implementation</w:t>
            </w:r>
          </w:p>
        </w:tc>
        <w:tc>
          <w:tcPr>
            <w:tcW w:w="3188" w:type="dxa"/>
            <w:tcBorders>
              <w:bottom w:val="single" w:sz="4" w:space="0" w:color="auto"/>
            </w:tcBorders>
          </w:tcPr>
          <w:p w14:paraId="12AC1C04" w14:textId="77777777" w:rsidR="00B61F2A" w:rsidRPr="001362A6" w:rsidRDefault="00B61F2A" w:rsidP="00B61F2A">
            <w:pPr>
              <w:rPr>
                <w:rFonts w:ascii="Lato" w:hAnsi="Lato"/>
                <w:b/>
                <w:bCs/>
                <w:sz w:val="22"/>
                <w:szCs w:val="22"/>
              </w:rPr>
            </w:pPr>
          </w:p>
        </w:tc>
      </w:tr>
      <w:tr w:rsidR="00B61F2A" w:rsidRPr="001362A6" w14:paraId="55FF2068" w14:textId="77777777" w:rsidTr="00990D73">
        <w:tc>
          <w:tcPr>
            <w:tcW w:w="1316" w:type="dxa"/>
          </w:tcPr>
          <w:p w14:paraId="04F02196" w14:textId="77777777" w:rsidR="00B61F2A" w:rsidRPr="001362A6" w:rsidRDefault="00B61F2A" w:rsidP="00B61F2A">
            <w:pPr>
              <w:rPr>
                <w:rFonts w:ascii="Lato" w:hAnsi="Lato"/>
                <w:sz w:val="22"/>
                <w:szCs w:val="22"/>
              </w:rPr>
            </w:pPr>
            <w:r w:rsidRPr="001362A6">
              <w:rPr>
                <w:rFonts w:ascii="Lato" w:hAnsi="Lato"/>
                <w:sz w:val="22"/>
                <w:szCs w:val="22"/>
              </w:rPr>
              <w:t>2.5.1 a)</w:t>
            </w:r>
          </w:p>
        </w:tc>
        <w:tc>
          <w:tcPr>
            <w:tcW w:w="5891" w:type="dxa"/>
            <w:tcBorders>
              <w:right w:val="single" w:sz="4" w:space="0" w:color="auto"/>
            </w:tcBorders>
          </w:tcPr>
          <w:p w14:paraId="0B453144" w14:textId="77777777" w:rsidR="00B61F2A" w:rsidRPr="001362A6" w:rsidRDefault="00B61F2A" w:rsidP="00B61F2A">
            <w:pPr>
              <w:pStyle w:val="Heading5"/>
              <w:rPr>
                <w:rFonts w:ascii="Lato" w:hAnsi="Lato"/>
                <w:b w:val="0"/>
                <w:i w:val="0"/>
                <w:szCs w:val="22"/>
              </w:rPr>
            </w:pPr>
            <w:r w:rsidRPr="001362A6">
              <w:rPr>
                <w:rFonts w:ascii="Lato" w:hAnsi="Lato"/>
                <w:b w:val="0"/>
                <w:i w:val="0"/>
                <w:szCs w:val="22"/>
              </w:rPr>
              <w:t xml:space="preserve">Disclose the distribution policy and indicate whether </w:t>
            </w:r>
          </w:p>
        </w:tc>
        <w:tc>
          <w:tcPr>
            <w:tcW w:w="3188" w:type="dxa"/>
            <w:tcBorders>
              <w:top w:val="single" w:sz="4" w:space="0" w:color="auto"/>
              <w:left w:val="single" w:sz="4" w:space="0" w:color="auto"/>
              <w:bottom w:val="single" w:sz="4" w:space="0" w:color="auto"/>
              <w:right w:val="single" w:sz="4" w:space="0" w:color="auto"/>
            </w:tcBorders>
          </w:tcPr>
          <w:p w14:paraId="787FB2E6" w14:textId="77777777" w:rsidR="00B61F2A" w:rsidRPr="001362A6" w:rsidRDefault="00B61F2A" w:rsidP="00B61F2A">
            <w:pPr>
              <w:pStyle w:val="Heading5"/>
              <w:rPr>
                <w:rFonts w:ascii="Lato" w:hAnsi="Lato"/>
                <w:b w:val="0"/>
                <w:i w:val="0"/>
                <w:szCs w:val="22"/>
              </w:rPr>
            </w:pPr>
          </w:p>
        </w:tc>
      </w:tr>
      <w:tr w:rsidR="00B61F2A" w:rsidRPr="001362A6" w14:paraId="517117B7" w14:textId="77777777" w:rsidTr="00990D73">
        <w:tc>
          <w:tcPr>
            <w:tcW w:w="1316" w:type="dxa"/>
          </w:tcPr>
          <w:p w14:paraId="378B238D" w14:textId="77777777" w:rsidR="00B61F2A" w:rsidRPr="001362A6" w:rsidRDefault="00B61F2A" w:rsidP="00B61F2A">
            <w:pPr>
              <w:rPr>
                <w:rFonts w:ascii="Lato" w:hAnsi="Lato"/>
                <w:sz w:val="22"/>
                <w:szCs w:val="22"/>
              </w:rPr>
            </w:pPr>
          </w:p>
        </w:tc>
        <w:tc>
          <w:tcPr>
            <w:tcW w:w="5891" w:type="dxa"/>
          </w:tcPr>
          <w:p w14:paraId="6FDFB608" w14:textId="77777777" w:rsidR="00B61F2A" w:rsidRPr="001362A6" w:rsidRDefault="00B61F2A" w:rsidP="00B61F2A">
            <w:pPr>
              <w:pStyle w:val="Heading5"/>
              <w:rPr>
                <w:rFonts w:ascii="Lato" w:hAnsi="Lato"/>
                <w:b w:val="0"/>
                <w:i w:val="0"/>
                <w:szCs w:val="22"/>
              </w:rPr>
            </w:pPr>
            <w:r w:rsidRPr="00590C6D">
              <w:rPr>
                <w:rFonts w:ascii="Lato" w:hAnsi="Lato"/>
                <w:b w:val="0"/>
                <w:i w:val="0"/>
                <w:szCs w:val="22"/>
              </w:rPr>
              <w:t>income</w:t>
            </w:r>
            <w:r w:rsidRPr="00D95E9D">
              <w:rPr>
                <w:rFonts w:ascii="Lato" w:hAnsi="Lato"/>
                <w:b w:val="0"/>
                <w:i w:val="0"/>
                <w:szCs w:val="22"/>
              </w:rPr>
              <w:t xml:space="preserve"> </w:t>
            </w:r>
            <w:r w:rsidRPr="001362A6">
              <w:rPr>
                <w:rFonts w:ascii="Lato" w:hAnsi="Lato"/>
                <w:b w:val="0"/>
                <w:i w:val="0"/>
                <w:szCs w:val="22"/>
              </w:rPr>
              <w:t>will be reinvested or paid to shareholders</w:t>
            </w:r>
          </w:p>
        </w:tc>
        <w:tc>
          <w:tcPr>
            <w:tcW w:w="3188" w:type="dxa"/>
            <w:tcBorders>
              <w:top w:val="single" w:sz="4" w:space="0" w:color="auto"/>
            </w:tcBorders>
          </w:tcPr>
          <w:p w14:paraId="74573AA1" w14:textId="77777777" w:rsidR="00B61F2A" w:rsidRPr="001362A6" w:rsidRDefault="00B61F2A" w:rsidP="00B61F2A">
            <w:pPr>
              <w:pStyle w:val="Heading5"/>
              <w:rPr>
                <w:rFonts w:ascii="Lato" w:hAnsi="Lato"/>
                <w:b w:val="0"/>
                <w:i w:val="0"/>
                <w:szCs w:val="22"/>
              </w:rPr>
            </w:pPr>
          </w:p>
        </w:tc>
      </w:tr>
      <w:tr w:rsidR="00B61F2A" w:rsidRPr="001362A6" w14:paraId="20E71B4F" w14:textId="77777777" w:rsidTr="002E4427">
        <w:tc>
          <w:tcPr>
            <w:tcW w:w="1316" w:type="dxa"/>
          </w:tcPr>
          <w:p w14:paraId="7AA7B09A" w14:textId="77777777" w:rsidR="00B61F2A" w:rsidRPr="001362A6" w:rsidRDefault="00B61F2A" w:rsidP="00B61F2A">
            <w:pPr>
              <w:rPr>
                <w:rFonts w:ascii="Lato" w:hAnsi="Lato"/>
                <w:sz w:val="22"/>
                <w:szCs w:val="22"/>
              </w:rPr>
            </w:pPr>
          </w:p>
        </w:tc>
        <w:tc>
          <w:tcPr>
            <w:tcW w:w="5891" w:type="dxa"/>
          </w:tcPr>
          <w:p w14:paraId="0E2EFE15" w14:textId="77777777" w:rsidR="00B61F2A" w:rsidRPr="001362A6" w:rsidRDefault="00B61F2A" w:rsidP="00B61F2A">
            <w:pPr>
              <w:pStyle w:val="Heading5"/>
              <w:rPr>
                <w:rFonts w:ascii="Lato" w:hAnsi="Lato"/>
                <w:b w:val="0"/>
                <w:i w:val="0"/>
                <w:szCs w:val="22"/>
              </w:rPr>
            </w:pPr>
            <w:r w:rsidRPr="001362A6">
              <w:rPr>
                <w:rFonts w:ascii="Lato" w:hAnsi="Lato"/>
                <w:b w:val="0"/>
                <w:i w:val="0"/>
                <w:szCs w:val="22"/>
              </w:rPr>
              <w:t>Disclose the following:</w:t>
            </w:r>
          </w:p>
        </w:tc>
        <w:tc>
          <w:tcPr>
            <w:tcW w:w="3188" w:type="dxa"/>
            <w:tcBorders>
              <w:bottom w:val="single" w:sz="4" w:space="0" w:color="auto"/>
            </w:tcBorders>
          </w:tcPr>
          <w:p w14:paraId="3BD6221A" w14:textId="77777777" w:rsidR="00B61F2A" w:rsidRPr="001362A6" w:rsidRDefault="00B61F2A" w:rsidP="00B61F2A">
            <w:pPr>
              <w:pStyle w:val="Heading5"/>
              <w:rPr>
                <w:rFonts w:ascii="Lato" w:hAnsi="Lato"/>
                <w:b w:val="0"/>
                <w:i w:val="0"/>
                <w:szCs w:val="22"/>
              </w:rPr>
            </w:pPr>
          </w:p>
        </w:tc>
      </w:tr>
      <w:tr w:rsidR="00B61F2A" w:rsidRPr="001362A6" w14:paraId="50C30942" w14:textId="77777777" w:rsidTr="002E4427">
        <w:tc>
          <w:tcPr>
            <w:tcW w:w="1316" w:type="dxa"/>
          </w:tcPr>
          <w:p w14:paraId="5D0F73B3" w14:textId="77777777" w:rsidR="00B61F2A" w:rsidRPr="001362A6" w:rsidRDefault="00B61F2A" w:rsidP="00B61F2A">
            <w:pPr>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34D6773D" w14:textId="77777777" w:rsidR="00B61F2A" w:rsidRPr="001362A6" w:rsidRDefault="00B61F2A" w:rsidP="00B61F2A">
            <w:pPr>
              <w:pStyle w:val="Heading5"/>
              <w:rPr>
                <w:rFonts w:ascii="Lato" w:hAnsi="Lato"/>
                <w:b w:val="0"/>
                <w:i w:val="0"/>
                <w:szCs w:val="22"/>
              </w:rPr>
            </w:pPr>
            <w:r w:rsidRPr="001362A6">
              <w:rPr>
                <w:rFonts w:ascii="Lato" w:hAnsi="Lato"/>
                <w:b w:val="0"/>
                <w:i w:val="0"/>
                <w:szCs w:val="22"/>
              </w:rPr>
              <w:t>Distribution date(s);</w:t>
            </w:r>
          </w:p>
        </w:tc>
        <w:tc>
          <w:tcPr>
            <w:tcW w:w="3188" w:type="dxa"/>
            <w:tcBorders>
              <w:top w:val="single" w:sz="4" w:space="0" w:color="auto"/>
              <w:left w:val="single" w:sz="4" w:space="0" w:color="auto"/>
              <w:bottom w:val="single" w:sz="4" w:space="0" w:color="auto"/>
              <w:right w:val="single" w:sz="4" w:space="0" w:color="auto"/>
            </w:tcBorders>
          </w:tcPr>
          <w:p w14:paraId="22A93781" w14:textId="77777777" w:rsidR="00B61F2A" w:rsidRPr="001362A6" w:rsidRDefault="00B61F2A" w:rsidP="00B61F2A">
            <w:pPr>
              <w:pStyle w:val="Heading5"/>
              <w:rPr>
                <w:rFonts w:ascii="Lato" w:hAnsi="Lato"/>
                <w:b w:val="0"/>
                <w:i w:val="0"/>
                <w:szCs w:val="22"/>
              </w:rPr>
            </w:pPr>
          </w:p>
        </w:tc>
      </w:tr>
      <w:tr w:rsidR="00B61F2A" w:rsidRPr="001362A6" w14:paraId="4FE47FF3" w14:textId="77777777" w:rsidTr="00990D73">
        <w:tc>
          <w:tcPr>
            <w:tcW w:w="1316" w:type="dxa"/>
          </w:tcPr>
          <w:p w14:paraId="6547080F" w14:textId="77777777" w:rsidR="00B61F2A" w:rsidRPr="001362A6" w:rsidRDefault="00B61F2A" w:rsidP="00B61F2A">
            <w:pPr>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710D148B" w14:textId="77777777" w:rsidR="00B61F2A" w:rsidRPr="001362A6" w:rsidRDefault="00B61F2A" w:rsidP="00B61F2A">
            <w:pPr>
              <w:pStyle w:val="Heading5"/>
              <w:rPr>
                <w:rFonts w:ascii="Lato" w:hAnsi="Lato"/>
                <w:b w:val="0"/>
                <w:i w:val="0"/>
                <w:szCs w:val="22"/>
              </w:rPr>
            </w:pPr>
            <w:r w:rsidRPr="001362A6">
              <w:rPr>
                <w:rFonts w:ascii="Lato" w:hAnsi="Lato"/>
                <w:b w:val="0"/>
                <w:i w:val="0"/>
                <w:szCs w:val="22"/>
              </w:rPr>
              <w:t>Time limit (if any) after which entitlement to dividend lapses;</w:t>
            </w:r>
          </w:p>
        </w:tc>
        <w:tc>
          <w:tcPr>
            <w:tcW w:w="3188" w:type="dxa"/>
            <w:tcBorders>
              <w:top w:val="single" w:sz="4" w:space="0" w:color="auto"/>
              <w:left w:val="single" w:sz="4" w:space="0" w:color="auto"/>
              <w:bottom w:val="single" w:sz="4" w:space="0" w:color="auto"/>
              <w:right w:val="single" w:sz="4" w:space="0" w:color="auto"/>
            </w:tcBorders>
          </w:tcPr>
          <w:p w14:paraId="1DDA0452" w14:textId="77777777" w:rsidR="00B61F2A" w:rsidRPr="001362A6" w:rsidRDefault="00B61F2A" w:rsidP="00B61F2A">
            <w:pPr>
              <w:pStyle w:val="Heading5"/>
              <w:rPr>
                <w:rFonts w:ascii="Lato" w:hAnsi="Lato"/>
                <w:b w:val="0"/>
                <w:i w:val="0"/>
                <w:szCs w:val="22"/>
              </w:rPr>
            </w:pPr>
          </w:p>
        </w:tc>
      </w:tr>
      <w:tr w:rsidR="00B61F2A" w:rsidRPr="001362A6" w14:paraId="010C078A" w14:textId="77777777" w:rsidTr="00990D73">
        <w:tc>
          <w:tcPr>
            <w:tcW w:w="1316" w:type="dxa"/>
          </w:tcPr>
          <w:p w14:paraId="0C0D7608" w14:textId="77777777" w:rsidR="00B61F2A" w:rsidRPr="001362A6" w:rsidRDefault="00B61F2A" w:rsidP="00B61F2A">
            <w:pPr>
              <w:rPr>
                <w:rFonts w:ascii="Lato" w:hAnsi="Lato"/>
                <w:sz w:val="22"/>
                <w:szCs w:val="22"/>
              </w:rPr>
            </w:pPr>
            <w:r w:rsidRPr="001362A6">
              <w:rPr>
                <w:rFonts w:ascii="Lato" w:hAnsi="Lato"/>
                <w:sz w:val="22"/>
                <w:szCs w:val="22"/>
              </w:rPr>
              <w:t>d)</w:t>
            </w:r>
          </w:p>
        </w:tc>
        <w:tc>
          <w:tcPr>
            <w:tcW w:w="5891" w:type="dxa"/>
            <w:tcBorders>
              <w:right w:val="single" w:sz="4" w:space="0" w:color="auto"/>
            </w:tcBorders>
          </w:tcPr>
          <w:p w14:paraId="7B75C1D5" w14:textId="77777777" w:rsidR="00B61F2A" w:rsidRPr="001362A6" w:rsidRDefault="00B61F2A" w:rsidP="00B61F2A">
            <w:pPr>
              <w:rPr>
                <w:rFonts w:ascii="Lato" w:hAnsi="Lato"/>
                <w:sz w:val="22"/>
                <w:szCs w:val="22"/>
              </w:rPr>
            </w:pPr>
            <w:r w:rsidRPr="001362A6">
              <w:rPr>
                <w:rFonts w:ascii="Lato" w:hAnsi="Lato"/>
                <w:sz w:val="22"/>
                <w:szCs w:val="22"/>
              </w:rPr>
              <w:t xml:space="preserve">and the procedure in that event; </w:t>
            </w:r>
          </w:p>
        </w:tc>
        <w:tc>
          <w:tcPr>
            <w:tcW w:w="3188" w:type="dxa"/>
            <w:tcBorders>
              <w:top w:val="single" w:sz="4" w:space="0" w:color="auto"/>
              <w:left w:val="single" w:sz="4" w:space="0" w:color="auto"/>
              <w:bottom w:val="single" w:sz="4" w:space="0" w:color="auto"/>
              <w:right w:val="single" w:sz="4" w:space="0" w:color="auto"/>
            </w:tcBorders>
          </w:tcPr>
          <w:p w14:paraId="6F99F9AB" w14:textId="77777777" w:rsidR="00B61F2A" w:rsidRPr="001362A6" w:rsidRDefault="00B61F2A" w:rsidP="00B61F2A">
            <w:pPr>
              <w:pStyle w:val="Heading5"/>
              <w:rPr>
                <w:rFonts w:ascii="Lato" w:hAnsi="Lato"/>
                <w:b w:val="0"/>
                <w:i w:val="0"/>
                <w:szCs w:val="22"/>
              </w:rPr>
            </w:pPr>
          </w:p>
        </w:tc>
      </w:tr>
      <w:tr w:rsidR="00B61F2A" w:rsidRPr="001362A6" w14:paraId="350F6CFB" w14:textId="77777777" w:rsidTr="00990D73">
        <w:tc>
          <w:tcPr>
            <w:tcW w:w="1316" w:type="dxa"/>
          </w:tcPr>
          <w:p w14:paraId="4589FAB2" w14:textId="77777777" w:rsidR="00B61F2A" w:rsidRPr="001362A6" w:rsidRDefault="00B61F2A" w:rsidP="00B61F2A">
            <w:pPr>
              <w:rPr>
                <w:rFonts w:ascii="Lato" w:hAnsi="Lato"/>
                <w:sz w:val="22"/>
                <w:szCs w:val="22"/>
              </w:rPr>
            </w:pPr>
            <w:r w:rsidRPr="001362A6">
              <w:rPr>
                <w:rFonts w:ascii="Lato" w:hAnsi="Lato"/>
                <w:sz w:val="22"/>
                <w:szCs w:val="22"/>
              </w:rPr>
              <w:t>e)</w:t>
            </w:r>
          </w:p>
        </w:tc>
        <w:tc>
          <w:tcPr>
            <w:tcW w:w="5891" w:type="dxa"/>
            <w:tcBorders>
              <w:right w:val="single" w:sz="4" w:space="0" w:color="auto"/>
            </w:tcBorders>
          </w:tcPr>
          <w:p w14:paraId="59635608" w14:textId="77777777" w:rsidR="00B61F2A" w:rsidRPr="001362A6" w:rsidRDefault="00B61F2A" w:rsidP="00B61F2A">
            <w:pPr>
              <w:rPr>
                <w:rFonts w:ascii="Lato" w:hAnsi="Lato"/>
                <w:sz w:val="22"/>
                <w:szCs w:val="22"/>
              </w:rPr>
            </w:pPr>
            <w:r w:rsidRPr="001362A6">
              <w:rPr>
                <w:rFonts w:ascii="Lato" w:hAnsi="Lato"/>
                <w:sz w:val="22"/>
                <w:szCs w:val="22"/>
              </w:rPr>
              <w:t>Method of payment of dividends and</w:t>
            </w:r>
          </w:p>
        </w:tc>
        <w:tc>
          <w:tcPr>
            <w:tcW w:w="3188" w:type="dxa"/>
            <w:tcBorders>
              <w:top w:val="single" w:sz="4" w:space="0" w:color="auto"/>
              <w:left w:val="single" w:sz="4" w:space="0" w:color="auto"/>
              <w:bottom w:val="single" w:sz="4" w:space="0" w:color="auto"/>
              <w:right w:val="single" w:sz="4" w:space="0" w:color="auto"/>
            </w:tcBorders>
          </w:tcPr>
          <w:p w14:paraId="52E84E44" w14:textId="77777777" w:rsidR="00B61F2A" w:rsidRPr="001362A6" w:rsidRDefault="00B61F2A" w:rsidP="00B61F2A">
            <w:pPr>
              <w:pStyle w:val="Heading5"/>
              <w:rPr>
                <w:rFonts w:ascii="Lato" w:hAnsi="Lato"/>
                <w:b w:val="0"/>
                <w:i w:val="0"/>
                <w:szCs w:val="22"/>
              </w:rPr>
            </w:pPr>
          </w:p>
        </w:tc>
      </w:tr>
      <w:tr w:rsidR="00B61F2A" w:rsidRPr="001362A6" w14:paraId="4CE5B46E" w14:textId="77777777" w:rsidTr="00990D73">
        <w:tc>
          <w:tcPr>
            <w:tcW w:w="1316" w:type="dxa"/>
          </w:tcPr>
          <w:p w14:paraId="2BD4B0B4" w14:textId="77777777" w:rsidR="00B61F2A" w:rsidRPr="001362A6" w:rsidRDefault="00B61F2A" w:rsidP="00B61F2A">
            <w:pPr>
              <w:rPr>
                <w:rFonts w:ascii="Lato" w:hAnsi="Lato"/>
                <w:sz w:val="22"/>
                <w:szCs w:val="22"/>
              </w:rPr>
            </w:pPr>
            <w:r w:rsidRPr="001362A6">
              <w:rPr>
                <w:rFonts w:ascii="Lato" w:hAnsi="Lato"/>
                <w:sz w:val="22"/>
                <w:szCs w:val="22"/>
              </w:rPr>
              <w:t>f)</w:t>
            </w:r>
          </w:p>
        </w:tc>
        <w:tc>
          <w:tcPr>
            <w:tcW w:w="5891" w:type="dxa"/>
            <w:tcBorders>
              <w:right w:val="single" w:sz="4" w:space="0" w:color="auto"/>
            </w:tcBorders>
          </w:tcPr>
          <w:p w14:paraId="198BA2DD" w14:textId="77777777" w:rsidR="00B61F2A" w:rsidRPr="001362A6" w:rsidRDefault="00B61F2A" w:rsidP="00B61F2A">
            <w:pPr>
              <w:pStyle w:val="Heading5"/>
              <w:rPr>
                <w:rFonts w:ascii="Lato" w:hAnsi="Lato"/>
                <w:b w:val="0"/>
                <w:i w:val="0"/>
                <w:szCs w:val="22"/>
              </w:rPr>
            </w:pPr>
            <w:r w:rsidRPr="001362A6">
              <w:rPr>
                <w:rFonts w:ascii="Lato" w:hAnsi="Lato"/>
                <w:b w:val="0"/>
                <w:i w:val="0"/>
                <w:szCs w:val="22"/>
              </w:rPr>
              <w:t>A description of the rules for determining and applying income</w:t>
            </w:r>
          </w:p>
        </w:tc>
        <w:tc>
          <w:tcPr>
            <w:tcW w:w="3188" w:type="dxa"/>
            <w:tcBorders>
              <w:top w:val="single" w:sz="4" w:space="0" w:color="auto"/>
              <w:left w:val="single" w:sz="4" w:space="0" w:color="auto"/>
              <w:bottom w:val="single" w:sz="4" w:space="0" w:color="auto"/>
              <w:right w:val="single" w:sz="4" w:space="0" w:color="auto"/>
            </w:tcBorders>
          </w:tcPr>
          <w:p w14:paraId="1CF3B7FA" w14:textId="77777777" w:rsidR="00B61F2A" w:rsidRPr="001362A6" w:rsidRDefault="00B61F2A" w:rsidP="00B61F2A">
            <w:pPr>
              <w:pStyle w:val="Heading5"/>
              <w:rPr>
                <w:rFonts w:ascii="Lato" w:hAnsi="Lato"/>
                <w:b w:val="0"/>
                <w:i w:val="0"/>
                <w:szCs w:val="22"/>
              </w:rPr>
            </w:pPr>
          </w:p>
        </w:tc>
      </w:tr>
      <w:tr w:rsidR="00B61F2A" w:rsidRPr="001362A6" w14:paraId="77BBC647" w14:textId="77777777" w:rsidTr="00990D73">
        <w:tc>
          <w:tcPr>
            <w:tcW w:w="1316" w:type="dxa"/>
          </w:tcPr>
          <w:p w14:paraId="2347CC29" w14:textId="77777777" w:rsidR="00B61F2A" w:rsidRPr="001362A6" w:rsidRDefault="00B61F2A" w:rsidP="00B61F2A">
            <w:pPr>
              <w:rPr>
                <w:rFonts w:ascii="Lato" w:hAnsi="Lato"/>
                <w:sz w:val="22"/>
                <w:szCs w:val="22"/>
              </w:rPr>
            </w:pPr>
          </w:p>
        </w:tc>
        <w:tc>
          <w:tcPr>
            <w:tcW w:w="5891" w:type="dxa"/>
          </w:tcPr>
          <w:p w14:paraId="146FFF76" w14:textId="77777777" w:rsidR="00B61F2A" w:rsidRPr="001362A6" w:rsidRDefault="00B61F2A" w:rsidP="00B61F2A">
            <w:pPr>
              <w:pStyle w:val="Heading5"/>
              <w:rPr>
                <w:rFonts w:ascii="Lato" w:hAnsi="Lato"/>
                <w:b w:val="0"/>
                <w:i w:val="0"/>
                <w:szCs w:val="22"/>
              </w:rPr>
            </w:pPr>
          </w:p>
        </w:tc>
        <w:tc>
          <w:tcPr>
            <w:tcW w:w="3188" w:type="dxa"/>
            <w:tcBorders>
              <w:top w:val="single" w:sz="4" w:space="0" w:color="auto"/>
            </w:tcBorders>
          </w:tcPr>
          <w:p w14:paraId="27A81F0C" w14:textId="77777777" w:rsidR="00B61F2A" w:rsidRPr="001362A6" w:rsidRDefault="00B61F2A" w:rsidP="00B61F2A">
            <w:pPr>
              <w:pStyle w:val="Heading5"/>
              <w:rPr>
                <w:rFonts w:ascii="Lato" w:hAnsi="Lato"/>
                <w:b w:val="0"/>
                <w:i w:val="0"/>
                <w:szCs w:val="22"/>
              </w:rPr>
            </w:pPr>
          </w:p>
        </w:tc>
      </w:tr>
      <w:tr w:rsidR="00B61F2A" w:rsidRPr="001362A6" w14:paraId="72AC0C40" w14:textId="77777777" w:rsidTr="00990D73">
        <w:tc>
          <w:tcPr>
            <w:tcW w:w="1316" w:type="dxa"/>
          </w:tcPr>
          <w:p w14:paraId="79B29776" w14:textId="77777777" w:rsidR="00B61F2A" w:rsidRPr="001362A6" w:rsidRDefault="00B61F2A" w:rsidP="00B61F2A">
            <w:pPr>
              <w:rPr>
                <w:rFonts w:ascii="Lato" w:hAnsi="Lato"/>
                <w:b/>
                <w:sz w:val="22"/>
                <w:szCs w:val="22"/>
              </w:rPr>
            </w:pPr>
            <w:r w:rsidRPr="001362A6">
              <w:rPr>
                <w:rFonts w:ascii="Lato" w:hAnsi="Lato"/>
                <w:b/>
                <w:sz w:val="22"/>
                <w:szCs w:val="22"/>
              </w:rPr>
              <w:t>2.6</w:t>
            </w:r>
          </w:p>
        </w:tc>
        <w:tc>
          <w:tcPr>
            <w:tcW w:w="5891" w:type="dxa"/>
          </w:tcPr>
          <w:p w14:paraId="53698BDE" w14:textId="77777777" w:rsidR="00B61F2A" w:rsidRPr="001362A6" w:rsidRDefault="00B61F2A" w:rsidP="00B61F2A">
            <w:pPr>
              <w:pStyle w:val="Heading5"/>
              <w:rPr>
                <w:rFonts w:ascii="Lato" w:hAnsi="Lato"/>
                <w:b w:val="0"/>
                <w:i w:val="0"/>
                <w:szCs w:val="22"/>
                <w:u w:val="single"/>
              </w:rPr>
            </w:pPr>
            <w:r w:rsidRPr="001362A6">
              <w:rPr>
                <w:rFonts w:ascii="Lato" w:hAnsi="Lato"/>
                <w:b w:val="0"/>
                <w:i w:val="0"/>
                <w:szCs w:val="22"/>
                <w:u w:val="single"/>
              </w:rPr>
              <w:t>Paying Agents/Distributors</w:t>
            </w:r>
          </w:p>
        </w:tc>
        <w:tc>
          <w:tcPr>
            <w:tcW w:w="3188" w:type="dxa"/>
            <w:tcBorders>
              <w:bottom w:val="single" w:sz="4" w:space="0" w:color="auto"/>
            </w:tcBorders>
          </w:tcPr>
          <w:p w14:paraId="1327A32F" w14:textId="77777777" w:rsidR="00B61F2A" w:rsidRPr="001362A6" w:rsidRDefault="00B61F2A" w:rsidP="00B61F2A">
            <w:pPr>
              <w:pStyle w:val="Heading5"/>
              <w:rPr>
                <w:rFonts w:ascii="Lato" w:hAnsi="Lato"/>
                <w:b w:val="0"/>
                <w:i w:val="0"/>
                <w:szCs w:val="22"/>
              </w:rPr>
            </w:pPr>
          </w:p>
        </w:tc>
      </w:tr>
      <w:tr w:rsidR="00B61F2A" w:rsidRPr="001362A6" w14:paraId="6548D481" w14:textId="77777777" w:rsidTr="00990D73">
        <w:tc>
          <w:tcPr>
            <w:tcW w:w="1316" w:type="dxa"/>
          </w:tcPr>
          <w:p w14:paraId="4D5EECB5" w14:textId="77777777" w:rsidR="00B61F2A" w:rsidRPr="001362A6" w:rsidRDefault="00B61F2A" w:rsidP="00B61F2A">
            <w:pPr>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4DABC687" w14:textId="77777777" w:rsidR="00B61F2A" w:rsidRPr="001362A6" w:rsidRDefault="00B61F2A" w:rsidP="00B61F2A">
            <w:pPr>
              <w:pStyle w:val="Heading5"/>
              <w:rPr>
                <w:rFonts w:ascii="Lato" w:hAnsi="Lato"/>
                <w:b w:val="0"/>
                <w:i w:val="0"/>
                <w:szCs w:val="22"/>
              </w:rPr>
            </w:pPr>
            <w:r w:rsidRPr="001362A6">
              <w:rPr>
                <w:rFonts w:ascii="Lato" w:hAnsi="Lato"/>
                <w:b w:val="0"/>
                <w:i w:val="0"/>
                <w:szCs w:val="22"/>
              </w:rPr>
              <w:t>The intention to appoint a distributor(s), where relevant</w:t>
            </w:r>
          </w:p>
        </w:tc>
        <w:tc>
          <w:tcPr>
            <w:tcW w:w="3188" w:type="dxa"/>
            <w:tcBorders>
              <w:top w:val="single" w:sz="4" w:space="0" w:color="auto"/>
              <w:left w:val="single" w:sz="4" w:space="0" w:color="auto"/>
              <w:bottom w:val="single" w:sz="4" w:space="0" w:color="auto"/>
              <w:right w:val="single" w:sz="4" w:space="0" w:color="auto"/>
            </w:tcBorders>
          </w:tcPr>
          <w:p w14:paraId="51EBFCAA" w14:textId="77777777" w:rsidR="00B61F2A" w:rsidRPr="001362A6" w:rsidRDefault="00B61F2A" w:rsidP="00B61F2A">
            <w:pPr>
              <w:pStyle w:val="Heading5"/>
              <w:rPr>
                <w:rFonts w:ascii="Lato" w:hAnsi="Lato"/>
                <w:b w:val="0"/>
                <w:i w:val="0"/>
                <w:szCs w:val="22"/>
              </w:rPr>
            </w:pPr>
          </w:p>
        </w:tc>
      </w:tr>
      <w:tr w:rsidR="00B61F2A" w:rsidRPr="001362A6" w14:paraId="656CE6FF" w14:textId="77777777" w:rsidTr="00990D73">
        <w:tc>
          <w:tcPr>
            <w:tcW w:w="1316" w:type="dxa"/>
          </w:tcPr>
          <w:p w14:paraId="360D5565" w14:textId="77777777" w:rsidR="00B61F2A" w:rsidRPr="001362A6" w:rsidRDefault="00B61F2A" w:rsidP="00B61F2A">
            <w:pPr>
              <w:rPr>
                <w:rFonts w:ascii="Lato" w:hAnsi="Lato"/>
                <w:sz w:val="22"/>
                <w:szCs w:val="22"/>
              </w:rPr>
            </w:pPr>
            <w:r w:rsidRPr="001362A6">
              <w:rPr>
                <w:rFonts w:ascii="Lato" w:hAnsi="Lato"/>
                <w:sz w:val="22"/>
                <w:szCs w:val="22"/>
              </w:rPr>
              <w:t>b)</w:t>
            </w:r>
          </w:p>
        </w:tc>
        <w:tc>
          <w:tcPr>
            <w:tcW w:w="5891" w:type="dxa"/>
          </w:tcPr>
          <w:p w14:paraId="3891D92F" w14:textId="77777777" w:rsidR="00B61F2A" w:rsidRPr="001362A6" w:rsidRDefault="00B61F2A" w:rsidP="00B61F2A">
            <w:pPr>
              <w:pStyle w:val="Heading5"/>
              <w:rPr>
                <w:rFonts w:ascii="Lato" w:hAnsi="Lato"/>
                <w:b w:val="0"/>
                <w:i w:val="0"/>
                <w:szCs w:val="22"/>
              </w:rPr>
            </w:pPr>
            <w:r w:rsidRPr="001362A6">
              <w:rPr>
                <w:rFonts w:ascii="Lato" w:hAnsi="Lato"/>
                <w:b w:val="0"/>
                <w:i w:val="0"/>
                <w:szCs w:val="22"/>
              </w:rPr>
              <w:t>Where appropriate, provide that:</w:t>
            </w:r>
          </w:p>
        </w:tc>
        <w:tc>
          <w:tcPr>
            <w:tcW w:w="3188" w:type="dxa"/>
            <w:tcBorders>
              <w:top w:val="single" w:sz="4" w:space="0" w:color="auto"/>
              <w:bottom w:val="single" w:sz="4" w:space="0" w:color="auto"/>
            </w:tcBorders>
          </w:tcPr>
          <w:p w14:paraId="4E45C394" w14:textId="77777777" w:rsidR="00B61F2A" w:rsidRPr="001362A6" w:rsidRDefault="00B61F2A" w:rsidP="00B61F2A">
            <w:pPr>
              <w:pStyle w:val="Heading5"/>
              <w:rPr>
                <w:rFonts w:ascii="Lato" w:hAnsi="Lato"/>
                <w:b w:val="0"/>
                <w:i w:val="0"/>
                <w:szCs w:val="22"/>
              </w:rPr>
            </w:pPr>
          </w:p>
        </w:tc>
      </w:tr>
      <w:tr w:rsidR="00B61F2A" w:rsidRPr="001362A6" w14:paraId="4B04A191" w14:textId="77777777" w:rsidTr="00990D73">
        <w:tc>
          <w:tcPr>
            <w:tcW w:w="1316" w:type="dxa"/>
          </w:tcPr>
          <w:p w14:paraId="1DE6A380" w14:textId="77777777" w:rsidR="00B61F2A" w:rsidRPr="001362A6" w:rsidRDefault="00B61F2A" w:rsidP="00B61F2A">
            <w:pPr>
              <w:rPr>
                <w:rFonts w:ascii="Lato" w:hAnsi="Lato"/>
                <w:sz w:val="22"/>
                <w:szCs w:val="22"/>
              </w:rPr>
            </w:pPr>
            <w:r w:rsidRPr="001362A6">
              <w:rPr>
                <w:rFonts w:ascii="Lato" w:hAnsi="Lato"/>
                <w:sz w:val="22"/>
                <w:szCs w:val="22"/>
              </w:rPr>
              <w:t>(i)</w:t>
            </w:r>
          </w:p>
        </w:tc>
        <w:tc>
          <w:tcPr>
            <w:tcW w:w="5891" w:type="dxa"/>
            <w:tcBorders>
              <w:right w:val="single" w:sz="4" w:space="0" w:color="auto"/>
            </w:tcBorders>
          </w:tcPr>
          <w:p w14:paraId="341B1754" w14:textId="77777777" w:rsidR="00B61F2A" w:rsidRPr="001362A6" w:rsidRDefault="00B61F2A" w:rsidP="00B61F2A">
            <w:pPr>
              <w:pStyle w:val="Heading5"/>
              <w:rPr>
                <w:rFonts w:ascii="Lato" w:hAnsi="Lato"/>
                <w:b w:val="0"/>
                <w:i w:val="0"/>
                <w:szCs w:val="22"/>
              </w:rPr>
            </w:pPr>
            <w:r w:rsidRPr="001362A6">
              <w:rPr>
                <w:rFonts w:ascii="Lato" w:hAnsi="Lato"/>
                <w:b w:val="0"/>
                <w:i w:val="0"/>
                <w:szCs w:val="22"/>
              </w:rPr>
              <w:t xml:space="preserve">Local regulations in EEA countries may require the </w:t>
            </w:r>
          </w:p>
        </w:tc>
        <w:tc>
          <w:tcPr>
            <w:tcW w:w="3188" w:type="dxa"/>
            <w:tcBorders>
              <w:top w:val="single" w:sz="4" w:space="0" w:color="auto"/>
              <w:left w:val="single" w:sz="4" w:space="0" w:color="auto"/>
              <w:bottom w:val="single" w:sz="4" w:space="0" w:color="auto"/>
              <w:right w:val="single" w:sz="4" w:space="0" w:color="auto"/>
            </w:tcBorders>
          </w:tcPr>
          <w:p w14:paraId="0E5AC357" w14:textId="77777777" w:rsidR="00B61F2A" w:rsidRPr="001362A6" w:rsidRDefault="00B61F2A" w:rsidP="00B61F2A">
            <w:pPr>
              <w:pStyle w:val="Heading5"/>
              <w:rPr>
                <w:rFonts w:ascii="Lato" w:hAnsi="Lato"/>
                <w:b w:val="0"/>
                <w:i w:val="0"/>
                <w:szCs w:val="22"/>
              </w:rPr>
            </w:pPr>
          </w:p>
        </w:tc>
      </w:tr>
      <w:tr w:rsidR="00B61F2A" w:rsidRPr="001362A6" w14:paraId="64DD1542" w14:textId="77777777" w:rsidTr="00990D73">
        <w:tc>
          <w:tcPr>
            <w:tcW w:w="1316" w:type="dxa"/>
          </w:tcPr>
          <w:p w14:paraId="0BB72407" w14:textId="77777777" w:rsidR="00B61F2A" w:rsidRPr="001362A6" w:rsidRDefault="00B61F2A" w:rsidP="00B61F2A">
            <w:pPr>
              <w:rPr>
                <w:rFonts w:ascii="Lato" w:hAnsi="Lato"/>
                <w:sz w:val="22"/>
                <w:szCs w:val="22"/>
              </w:rPr>
            </w:pPr>
          </w:p>
        </w:tc>
        <w:tc>
          <w:tcPr>
            <w:tcW w:w="5891" w:type="dxa"/>
          </w:tcPr>
          <w:p w14:paraId="0BEDC6AF" w14:textId="77777777" w:rsidR="00B61F2A" w:rsidRPr="001362A6" w:rsidRDefault="00B61F2A" w:rsidP="00B61F2A">
            <w:pPr>
              <w:pStyle w:val="Heading5"/>
              <w:rPr>
                <w:rFonts w:ascii="Lato" w:hAnsi="Lato"/>
                <w:b w:val="0"/>
                <w:i w:val="0"/>
                <w:szCs w:val="22"/>
              </w:rPr>
            </w:pPr>
            <w:r w:rsidRPr="001362A6">
              <w:rPr>
                <w:rFonts w:ascii="Lato" w:hAnsi="Lato"/>
                <w:b w:val="0"/>
                <w:i w:val="0"/>
                <w:szCs w:val="22"/>
              </w:rPr>
              <w:t>appointment of paying agents and maintenance of accounts by;</w:t>
            </w:r>
          </w:p>
        </w:tc>
        <w:tc>
          <w:tcPr>
            <w:tcW w:w="3188" w:type="dxa"/>
            <w:tcBorders>
              <w:top w:val="single" w:sz="4" w:space="0" w:color="auto"/>
            </w:tcBorders>
          </w:tcPr>
          <w:p w14:paraId="3BEBEC82" w14:textId="77777777" w:rsidR="00B61F2A" w:rsidRPr="001362A6" w:rsidRDefault="00B61F2A" w:rsidP="00B61F2A">
            <w:pPr>
              <w:pStyle w:val="Heading5"/>
              <w:rPr>
                <w:rFonts w:ascii="Lato" w:hAnsi="Lato"/>
                <w:b w:val="0"/>
                <w:i w:val="0"/>
                <w:szCs w:val="22"/>
              </w:rPr>
            </w:pPr>
          </w:p>
        </w:tc>
      </w:tr>
      <w:tr w:rsidR="00B61F2A" w:rsidRPr="001362A6" w14:paraId="207C313E" w14:textId="77777777" w:rsidTr="00990D73">
        <w:tc>
          <w:tcPr>
            <w:tcW w:w="1316" w:type="dxa"/>
          </w:tcPr>
          <w:p w14:paraId="1085839C" w14:textId="77777777" w:rsidR="00B61F2A" w:rsidRPr="001362A6" w:rsidRDefault="00B61F2A" w:rsidP="00B61F2A">
            <w:pPr>
              <w:rPr>
                <w:rFonts w:ascii="Lato" w:hAnsi="Lato"/>
                <w:sz w:val="22"/>
                <w:szCs w:val="22"/>
              </w:rPr>
            </w:pPr>
          </w:p>
        </w:tc>
        <w:tc>
          <w:tcPr>
            <w:tcW w:w="5891" w:type="dxa"/>
          </w:tcPr>
          <w:p w14:paraId="6D16AA19" w14:textId="77777777" w:rsidR="00B61F2A" w:rsidRPr="001362A6" w:rsidRDefault="00B61F2A" w:rsidP="00B61F2A">
            <w:pPr>
              <w:pStyle w:val="Heading5"/>
              <w:rPr>
                <w:rFonts w:ascii="Lato" w:hAnsi="Lato"/>
                <w:b w:val="0"/>
                <w:i w:val="0"/>
                <w:szCs w:val="22"/>
              </w:rPr>
            </w:pPr>
            <w:r w:rsidRPr="001362A6">
              <w:rPr>
                <w:rFonts w:ascii="Lato" w:hAnsi="Lato"/>
                <w:b w:val="0"/>
                <w:i w:val="0"/>
                <w:szCs w:val="22"/>
              </w:rPr>
              <w:t>such agents through which subscriptions and redemption</w:t>
            </w:r>
          </w:p>
        </w:tc>
        <w:tc>
          <w:tcPr>
            <w:tcW w:w="3188" w:type="dxa"/>
          </w:tcPr>
          <w:p w14:paraId="1988644A" w14:textId="77777777" w:rsidR="00B61F2A" w:rsidRPr="001362A6" w:rsidRDefault="00B61F2A" w:rsidP="00B61F2A">
            <w:pPr>
              <w:pStyle w:val="Heading5"/>
              <w:rPr>
                <w:rFonts w:ascii="Lato" w:hAnsi="Lato"/>
                <w:b w:val="0"/>
                <w:i w:val="0"/>
                <w:szCs w:val="22"/>
              </w:rPr>
            </w:pPr>
          </w:p>
        </w:tc>
      </w:tr>
      <w:tr w:rsidR="00B61F2A" w:rsidRPr="001362A6" w14:paraId="35B41CCC" w14:textId="77777777" w:rsidTr="00990D73">
        <w:tc>
          <w:tcPr>
            <w:tcW w:w="1316" w:type="dxa"/>
          </w:tcPr>
          <w:p w14:paraId="5779E081" w14:textId="77777777" w:rsidR="00B61F2A" w:rsidRPr="001362A6" w:rsidRDefault="00B61F2A" w:rsidP="00B61F2A">
            <w:pPr>
              <w:rPr>
                <w:rFonts w:ascii="Lato" w:hAnsi="Lato"/>
                <w:sz w:val="22"/>
                <w:szCs w:val="22"/>
              </w:rPr>
            </w:pPr>
          </w:p>
        </w:tc>
        <w:tc>
          <w:tcPr>
            <w:tcW w:w="5891" w:type="dxa"/>
          </w:tcPr>
          <w:p w14:paraId="79A68B8D" w14:textId="77777777" w:rsidR="00B61F2A" w:rsidRPr="001362A6" w:rsidRDefault="00B61F2A" w:rsidP="00B61F2A">
            <w:pPr>
              <w:pStyle w:val="Heading5"/>
              <w:rPr>
                <w:rFonts w:ascii="Lato" w:hAnsi="Lato"/>
                <w:b w:val="0"/>
                <w:i w:val="0"/>
                <w:szCs w:val="22"/>
              </w:rPr>
            </w:pPr>
            <w:r w:rsidRPr="001362A6">
              <w:rPr>
                <w:rFonts w:ascii="Lato" w:hAnsi="Lato"/>
                <w:b w:val="0"/>
                <w:i w:val="0"/>
                <w:szCs w:val="22"/>
              </w:rPr>
              <w:t>monies may be paid</w:t>
            </w:r>
          </w:p>
        </w:tc>
        <w:tc>
          <w:tcPr>
            <w:tcW w:w="3188" w:type="dxa"/>
          </w:tcPr>
          <w:p w14:paraId="0544A680" w14:textId="77777777" w:rsidR="00B61F2A" w:rsidRPr="001362A6" w:rsidRDefault="00B61F2A" w:rsidP="00B61F2A">
            <w:pPr>
              <w:pStyle w:val="Heading5"/>
              <w:rPr>
                <w:rFonts w:ascii="Lato" w:hAnsi="Lato"/>
                <w:b w:val="0"/>
                <w:i w:val="0"/>
                <w:szCs w:val="22"/>
              </w:rPr>
            </w:pPr>
          </w:p>
        </w:tc>
      </w:tr>
      <w:tr w:rsidR="00B61F2A" w:rsidRPr="001362A6" w14:paraId="4325B156" w14:textId="77777777" w:rsidTr="00990D73">
        <w:tc>
          <w:tcPr>
            <w:tcW w:w="1316" w:type="dxa"/>
          </w:tcPr>
          <w:p w14:paraId="59C17C99" w14:textId="77777777" w:rsidR="00B61F2A" w:rsidRPr="001362A6" w:rsidRDefault="00B61F2A" w:rsidP="00B61F2A">
            <w:pPr>
              <w:rPr>
                <w:rFonts w:ascii="Lato" w:hAnsi="Lato"/>
                <w:sz w:val="22"/>
                <w:szCs w:val="22"/>
              </w:rPr>
            </w:pPr>
          </w:p>
        </w:tc>
        <w:tc>
          <w:tcPr>
            <w:tcW w:w="5891" w:type="dxa"/>
          </w:tcPr>
          <w:p w14:paraId="6ED5E627" w14:textId="77777777" w:rsidR="00B61F2A" w:rsidRPr="001362A6" w:rsidRDefault="00B61F2A" w:rsidP="00B61F2A">
            <w:pPr>
              <w:pStyle w:val="Heading5"/>
              <w:rPr>
                <w:rFonts w:ascii="Lato" w:hAnsi="Lato"/>
                <w:b w:val="0"/>
                <w:i w:val="0"/>
                <w:szCs w:val="22"/>
              </w:rPr>
            </w:pPr>
            <w:r w:rsidRPr="001362A6">
              <w:rPr>
                <w:rFonts w:ascii="Lato" w:hAnsi="Lato"/>
                <w:b w:val="0"/>
                <w:i w:val="0"/>
                <w:szCs w:val="22"/>
              </w:rPr>
              <w:t>And</w:t>
            </w:r>
          </w:p>
        </w:tc>
        <w:tc>
          <w:tcPr>
            <w:tcW w:w="3188" w:type="dxa"/>
            <w:tcBorders>
              <w:bottom w:val="single" w:sz="4" w:space="0" w:color="auto"/>
            </w:tcBorders>
          </w:tcPr>
          <w:p w14:paraId="1EEB4794" w14:textId="77777777" w:rsidR="00B61F2A" w:rsidRPr="001362A6" w:rsidRDefault="00B61F2A" w:rsidP="00B61F2A">
            <w:pPr>
              <w:pStyle w:val="Heading5"/>
              <w:rPr>
                <w:rFonts w:ascii="Lato" w:hAnsi="Lato"/>
                <w:b w:val="0"/>
                <w:i w:val="0"/>
                <w:szCs w:val="22"/>
              </w:rPr>
            </w:pPr>
          </w:p>
        </w:tc>
      </w:tr>
      <w:tr w:rsidR="00B61F2A" w:rsidRPr="001362A6" w14:paraId="53DC1468" w14:textId="77777777" w:rsidTr="00990D73">
        <w:tc>
          <w:tcPr>
            <w:tcW w:w="1316" w:type="dxa"/>
          </w:tcPr>
          <w:p w14:paraId="18110F67" w14:textId="77777777" w:rsidR="00B61F2A" w:rsidRPr="001362A6" w:rsidRDefault="00B61F2A" w:rsidP="00B61F2A">
            <w:pPr>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6188B01E" w14:textId="77777777" w:rsidR="00B61F2A" w:rsidRPr="001362A6" w:rsidRDefault="00B61F2A" w:rsidP="00B61F2A">
            <w:pPr>
              <w:pStyle w:val="Heading5"/>
              <w:rPr>
                <w:rFonts w:ascii="Lato" w:hAnsi="Lato"/>
                <w:b w:val="0"/>
                <w:i w:val="0"/>
                <w:szCs w:val="22"/>
              </w:rPr>
            </w:pPr>
            <w:r w:rsidRPr="001362A6">
              <w:rPr>
                <w:rFonts w:ascii="Lato" w:hAnsi="Lato"/>
                <w:b w:val="0"/>
                <w:i w:val="0"/>
                <w:szCs w:val="22"/>
              </w:rPr>
              <w:t xml:space="preserve">Investors who choose, or are obliged under local </w:t>
            </w:r>
          </w:p>
        </w:tc>
        <w:tc>
          <w:tcPr>
            <w:tcW w:w="3188" w:type="dxa"/>
            <w:tcBorders>
              <w:top w:val="single" w:sz="4" w:space="0" w:color="auto"/>
              <w:left w:val="single" w:sz="4" w:space="0" w:color="auto"/>
              <w:bottom w:val="single" w:sz="4" w:space="0" w:color="auto"/>
              <w:right w:val="single" w:sz="4" w:space="0" w:color="auto"/>
            </w:tcBorders>
          </w:tcPr>
          <w:p w14:paraId="53D95699" w14:textId="77777777" w:rsidR="00B61F2A" w:rsidRPr="001362A6" w:rsidRDefault="00B61F2A" w:rsidP="00B61F2A">
            <w:pPr>
              <w:pStyle w:val="Heading5"/>
              <w:rPr>
                <w:rFonts w:ascii="Lato" w:hAnsi="Lato"/>
                <w:b w:val="0"/>
                <w:i w:val="0"/>
                <w:szCs w:val="22"/>
              </w:rPr>
            </w:pPr>
          </w:p>
        </w:tc>
      </w:tr>
      <w:tr w:rsidR="00B61F2A" w:rsidRPr="001362A6" w14:paraId="4E4B71AB" w14:textId="77777777" w:rsidTr="00990D73">
        <w:tc>
          <w:tcPr>
            <w:tcW w:w="1316" w:type="dxa"/>
          </w:tcPr>
          <w:p w14:paraId="3D07B80B" w14:textId="77777777" w:rsidR="00B61F2A" w:rsidRPr="001362A6" w:rsidRDefault="00B61F2A" w:rsidP="00B61F2A">
            <w:pPr>
              <w:rPr>
                <w:rFonts w:ascii="Lato" w:hAnsi="Lato"/>
                <w:sz w:val="22"/>
                <w:szCs w:val="22"/>
              </w:rPr>
            </w:pPr>
          </w:p>
        </w:tc>
        <w:tc>
          <w:tcPr>
            <w:tcW w:w="5891" w:type="dxa"/>
          </w:tcPr>
          <w:p w14:paraId="6C2C44CD" w14:textId="77777777" w:rsidR="00B61F2A" w:rsidRPr="001362A6" w:rsidRDefault="00B61F2A" w:rsidP="00B61F2A">
            <w:pPr>
              <w:pStyle w:val="Heading5"/>
              <w:rPr>
                <w:rFonts w:ascii="Lato" w:hAnsi="Lato"/>
                <w:b w:val="0"/>
                <w:i w:val="0"/>
                <w:szCs w:val="22"/>
              </w:rPr>
            </w:pPr>
            <w:r w:rsidRPr="00590C6D">
              <w:rPr>
                <w:rFonts w:ascii="Lato" w:hAnsi="Lato"/>
                <w:b w:val="0"/>
                <w:i w:val="0"/>
                <w:szCs w:val="22"/>
              </w:rPr>
              <w:t>regulations to</w:t>
            </w:r>
            <w:r w:rsidRPr="00D95E9D">
              <w:rPr>
                <w:rFonts w:ascii="Lato" w:hAnsi="Lato"/>
                <w:b w:val="0"/>
                <w:i w:val="0"/>
                <w:szCs w:val="22"/>
              </w:rPr>
              <w:t xml:space="preserve"> </w:t>
            </w:r>
            <w:r w:rsidRPr="001362A6">
              <w:rPr>
                <w:rFonts w:ascii="Lato" w:hAnsi="Lato"/>
                <w:b w:val="0"/>
                <w:i w:val="0"/>
                <w:szCs w:val="22"/>
              </w:rPr>
              <w:t xml:space="preserve">pay/receive subscription/redemption </w:t>
            </w:r>
          </w:p>
        </w:tc>
        <w:tc>
          <w:tcPr>
            <w:tcW w:w="3188" w:type="dxa"/>
            <w:tcBorders>
              <w:top w:val="single" w:sz="4" w:space="0" w:color="auto"/>
            </w:tcBorders>
          </w:tcPr>
          <w:p w14:paraId="79585F42" w14:textId="77777777" w:rsidR="00B61F2A" w:rsidRPr="001362A6" w:rsidRDefault="00B61F2A" w:rsidP="00B61F2A">
            <w:pPr>
              <w:pStyle w:val="Heading5"/>
              <w:rPr>
                <w:rFonts w:ascii="Lato" w:hAnsi="Lato"/>
                <w:b w:val="0"/>
                <w:i w:val="0"/>
                <w:szCs w:val="22"/>
              </w:rPr>
            </w:pPr>
          </w:p>
        </w:tc>
      </w:tr>
      <w:tr w:rsidR="00B61F2A" w:rsidRPr="001362A6" w14:paraId="5269251D" w14:textId="77777777" w:rsidTr="00990D73">
        <w:tc>
          <w:tcPr>
            <w:tcW w:w="1316" w:type="dxa"/>
          </w:tcPr>
          <w:p w14:paraId="3F548F5A" w14:textId="77777777" w:rsidR="00B61F2A" w:rsidRPr="001362A6" w:rsidRDefault="00B61F2A" w:rsidP="00B61F2A">
            <w:pPr>
              <w:rPr>
                <w:rFonts w:ascii="Lato" w:hAnsi="Lato"/>
                <w:sz w:val="22"/>
                <w:szCs w:val="22"/>
              </w:rPr>
            </w:pPr>
          </w:p>
        </w:tc>
        <w:tc>
          <w:tcPr>
            <w:tcW w:w="5891" w:type="dxa"/>
          </w:tcPr>
          <w:p w14:paraId="2A0C4E8E" w14:textId="77777777" w:rsidR="00B61F2A" w:rsidRPr="001362A6" w:rsidRDefault="00B61F2A" w:rsidP="00B61F2A">
            <w:pPr>
              <w:pStyle w:val="Heading5"/>
              <w:rPr>
                <w:rFonts w:ascii="Lato" w:hAnsi="Lato"/>
                <w:b w:val="0"/>
                <w:i w:val="0"/>
                <w:szCs w:val="22"/>
              </w:rPr>
            </w:pPr>
            <w:r w:rsidRPr="00590C6D">
              <w:rPr>
                <w:rFonts w:ascii="Lato" w:hAnsi="Lato"/>
                <w:b w:val="0"/>
                <w:i w:val="0"/>
                <w:szCs w:val="22"/>
              </w:rPr>
              <w:t>monies via an intermediary</w:t>
            </w:r>
            <w:r w:rsidRPr="00D95E9D">
              <w:rPr>
                <w:rFonts w:ascii="Lato" w:hAnsi="Lato"/>
                <w:b w:val="0"/>
                <w:i w:val="0"/>
                <w:szCs w:val="22"/>
              </w:rPr>
              <w:t xml:space="preserve"> </w:t>
            </w:r>
            <w:r w:rsidRPr="001362A6">
              <w:rPr>
                <w:rFonts w:ascii="Lato" w:hAnsi="Lato"/>
                <w:b w:val="0"/>
                <w:i w:val="0"/>
                <w:szCs w:val="22"/>
              </w:rPr>
              <w:t xml:space="preserve">entity rather than directly to </w:t>
            </w:r>
          </w:p>
        </w:tc>
        <w:tc>
          <w:tcPr>
            <w:tcW w:w="3188" w:type="dxa"/>
          </w:tcPr>
          <w:p w14:paraId="352E75C7" w14:textId="77777777" w:rsidR="00B61F2A" w:rsidRPr="001362A6" w:rsidRDefault="00B61F2A" w:rsidP="00B61F2A">
            <w:pPr>
              <w:pStyle w:val="Heading5"/>
              <w:rPr>
                <w:rFonts w:ascii="Lato" w:hAnsi="Lato"/>
                <w:b w:val="0"/>
                <w:i w:val="0"/>
                <w:szCs w:val="22"/>
              </w:rPr>
            </w:pPr>
          </w:p>
        </w:tc>
      </w:tr>
      <w:tr w:rsidR="00B61F2A" w:rsidRPr="001362A6" w14:paraId="5960D10C" w14:textId="77777777" w:rsidTr="00990D73">
        <w:tc>
          <w:tcPr>
            <w:tcW w:w="1316" w:type="dxa"/>
          </w:tcPr>
          <w:p w14:paraId="26C1B0DD" w14:textId="77777777" w:rsidR="00B61F2A" w:rsidRPr="001362A6" w:rsidRDefault="00B61F2A" w:rsidP="00B61F2A">
            <w:pPr>
              <w:rPr>
                <w:rFonts w:ascii="Lato" w:hAnsi="Lato"/>
                <w:sz w:val="22"/>
                <w:szCs w:val="22"/>
              </w:rPr>
            </w:pPr>
          </w:p>
        </w:tc>
        <w:tc>
          <w:tcPr>
            <w:tcW w:w="5891" w:type="dxa"/>
          </w:tcPr>
          <w:p w14:paraId="6FAAD444" w14:textId="77777777" w:rsidR="00B61F2A" w:rsidRPr="001362A6" w:rsidRDefault="00B61F2A" w:rsidP="00B61F2A">
            <w:pPr>
              <w:pStyle w:val="Heading5"/>
              <w:rPr>
                <w:rFonts w:ascii="Lato" w:hAnsi="Lato"/>
                <w:b w:val="0"/>
                <w:i w:val="0"/>
                <w:szCs w:val="22"/>
              </w:rPr>
            </w:pPr>
            <w:r w:rsidRPr="00590C6D">
              <w:rPr>
                <w:rFonts w:ascii="Lato" w:hAnsi="Lato"/>
                <w:b w:val="0"/>
                <w:i w:val="0"/>
                <w:szCs w:val="22"/>
              </w:rPr>
              <w:t>the depositary of the Qualifying</w:t>
            </w:r>
            <w:r w:rsidRPr="00D95E9D">
              <w:rPr>
                <w:rFonts w:ascii="Lato" w:hAnsi="Lato"/>
                <w:b w:val="0"/>
                <w:i w:val="0"/>
                <w:szCs w:val="22"/>
              </w:rPr>
              <w:t xml:space="preserve"> </w:t>
            </w:r>
            <w:r w:rsidRPr="001362A6">
              <w:rPr>
                <w:rFonts w:ascii="Lato" w:hAnsi="Lato"/>
                <w:b w:val="0"/>
                <w:i w:val="0"/>
                <w:szCs w:val="22"/>
              </w:rPr>
              <w:t>Investor AIF (e.g. a sub –</w:t>
            </w:r>
          </w:p>
        </w:tc>
        <w:tc>
          <w:tcPr>
            <w:tcW w:w="3188" w:type="dxa"/>
          </w:tcPr>
          <w:p w14:paraId="079E2792" w14:textId="77777777" w:rsidR="00B61F2A" w:rsidRPr="001362A6" w:rsidRDefault="00B61F2A" w:rsidP="00B61F2A">
            <w:pPr>
              <w:pStyle w:val="Heading5"/>
              <w:rPr>
                <w:rFonts w:ascii="Lato" w:hAnsi="Lato"/>
                <w:b w:val="0"/>
                <w:i w:val="0"/>
                <w:szCs w:val="22"/>
              </w:rPr>
            </w:pPr>
          </w:p>
        </w:tc>
      </w:tr>
      <w:tr w:rsidR="00B61F2A" w:rsidRPr="001362A6" w14:paraId="26E681AE" w14:textId="77777777" w:rsidTr="00990D73">
        <w:tc>
          <w:tcPr>
            <w:tcW w:w="1316" w:type="dxa"/>
          </w:tcPr>
          <w:p w14:paraId="72409E5C" w14:textId="77777777" w:rsidR="00B61F2A" w:rsidRPr="001362A6" w:rsidRDefault="00B61F2A" w:rsidP="00B61F2A">
            <w:pPr>
              <w:rPr>
                <w:rFonts w:ascii="Lato" w:hAnsi="Lato"/>
                <w:sz w:val="22"/>
                <w:szCs w:val="22"/>
              </w:rPr>
            </w:pPr>
          </w:p>
        </w:tc>
        <w:tc>
          <w:tcPr>
            <w:tcW w:w="5891" w:type="dxa"/>
          </w:tcPr>
          <w:p w14:paraId="340829EE" w14:textId="77777777" w:rsidR="00B61F2A" w:rsidRPr="001362A6" w:rsidRDefault="00B61F2A" w:rsidP="00B61F2A">
            <w:pPr>
              <w:pStyle w:val="Heading5"/>
              <w:rPr>
                <w:rFonts w:ascii="Lato" w:hAnsi="Lato"/>
                <w:b w:val="0"/>
                <w:i w:val="0"/>
                <w:szCs w:val="22"/>
              </w:rPr>
            </w:pPr>
            <w:r w:rsidRPr="00590C6D">
              <w:rPr>
                <w:rFonts w:ascii="Lato" w:hAnsi="Lato"/>
                <w:b w:val="0"/>
                <w:i w:val="0"/>
                <w:szCs w:val="22"/>
              </w:rPr>
              <w:t>distributor or agent in the local</w:t>
            </w:r>
            <w:r w:rsidRPr="00D95E9D">
              <w:rPr>
                <w:rFonts w:ascii="Lato" w:hAnsi="Lato"/>
                <w:b w:val="0"/>
                <w:i w:val="0"/>
                <w:szCs w:val="22"/>
              </w:rPr>
              <w:t xml:space="preserve"> </w:t>
            </w:r>
            <w:r w:rsidRPr="001362A6">
              <w:rPr>
                <w:rFonts w:ascii="Lato" w:hAnsi="Lato"/>
                <w:b w:val="0"/>
                <w:i w:val="0"/>
                <w:szCs w:val="22"/>
              </w:rPr>
              <w:t xml:space="preserve">jurisdiction) bear a credit </w:t>
            </w:r>
          </w:p>
        </w:tc>
        <w:tc>
          <w:tcPr>
            <w:tcW w:w="3188" w:type="dxa"/>
          </w:tcPr>
          <w:p w14:paraId="383D68B4" w14:textId="77777777" w:rsidR="00B61F2A" w:rsidRPr="001362A6" w:rsidRDefault="00B61F2A" w:rsidP="00B61F2A">
            <w:pPr>
              <w:pStyle w:val="Heading5"/>
              <w:rPr>
                <w:rFonts w:ascii="Lato" w:hAnsi="Lato"/>
                <w:b w:val="0"/>
                <w:i w:val="0"/>
                <w:szCs w:val="22"/>
              </w:rPr>
            </w:pPr>
          </w:p>
        </w:tc>
      </w:tr>
      <w:tr w:rsidR="00B61F2A" w:rsidRPr="001362A6" w14:paraId="63AEE609" w14:textId="77777777" w:rsidTr="00990D73">
        <w:tc>
          <w:tcPr>
            <w:tcW w:w="1316" w:type="dxa"/>
          </w:tcPr>
          <w:p w14:paraId="7409C434" w14:textId="77777777" w:rsidR="00B61F2A" w:rsidRPr="001362A6" w:rsidRDefault="00B61F2A" w:rsidP="00B61F2A">
            <w:pPr>
              <w:rPr>
                <w:rFonts w:ascii="Lato" w:hAnsi="Lato"/>
                <w:sz w:val="22"/>
                <w:szCs w:val="22"/>
              </w:rPr>
            </w:pPr>
          </w:p>
        </w:tc>
        <w:tc>
          <w:tcPr>
            <w:tcW w:w="5891" w:type="dxa"/>
          </w:tcPr>
          <w:p w14:paraId="35B8F07C" w14:textId="77777777" w:rsidR="00B61F2A" w:rsidRPr="001362A6" w:rsidRDefault="00B61F2A" w:rsidP="00B61F2A">
            <w:pPr>
              <w:pStyle w:val="Heading5"/>
              <w:rPr>
                <w:rFonts w:ascii="Lato" w:hAnsi="Lato"/>
                <w:b w:val="0"/>
                <w:i w:val="0"/>
                <w:szCs w:val="22"/>
              </w:rPr>
            </w:pPr>
            <w:r w:rsidRPr="00590C6D">
              <w:rPr>
                <w:rFonts w:ascii="Lato" w:hAnsi="Lato"/>
                <w:b w:val="0"/>
                <w:i w:val="0"/>
                <w:szCs w:val="22"/>
              </w:rPr>
              <w:t>risk against that intermediate entity</w:t>
            </w:r>
            <w:r w:rsidRPr="00D95E9D">
              <w:rPr>
                <w:rFonts w:ascii="Lato" w:hAnsi="Lato"/>
                <w:b w:val="0"/>
                <w:i w:val="0"/>
                <w:szCs w:val="22"/>
              </w:rPr>
              <w:t xml:space="preserve"> </w:t>
            </w:r>
            <w:r w:rsidRPr="001362A6">
              <w:rPr>
                <w:rFonts w:ascii="Lato" w:hAnsi="Lato"/>
                <w:b w:val="0"/>
                <w:i w:val="0"/>
                <w:szCs w:val="22"/>
              </w:rPr>
              <w:t>with respect to</w:t>
            </w:r>
          </w:p>
        </w:tc>
        <w:tc>
          <w:tcPr>
            <w:tcW w:w="3188" w:type="dxa"/>
          </w:tcPr>
          <w:p w14:paraId="12EE869D" w14:textId="77777777" w:rsidR="00B61F2A" w:rsidRPr="001362A6" w:rsidRDefault="00B61F2A" w:rsidP="00B61F2A">
            <w:pPr>
              <w:pStyle w:val="Heading5"/>
              <w:rPr>
                <w:rFonts w:ascii="Lato" w:hAnsi="Lato"/>
                <w:b w:val="0"/>
                <w:i w:val="0"/>
                <w:szCs w:val="22"/>
              </w:rPr>
            </w:pPr>
          </w:p>
        </w:tc>
      </w:tr>
      <w:tr w:rsidR="00B61F2A" w:rsidRPr="001362A6" w14:paraId="20D11379" w14:textId="77777777" w:rsidTr="00990D73">
        <w:tc>
          <w:tcPr>
            <w:tcW w:w="1316" w:type="dxa"/>
          </w:tcPr>
          <w:p w14:paraId="47BBDF87" w14:textId="77777777" w:rsidR="00B61F2A" w:rsidRPr="001362A6" w:rsidRDefault="00B61F2A" w:rsidP="00B61F2A">
            <w:pPr>
              <w:rPr>
                <w:rFonts w:ascii="Lato" w:hAnsi="Lato"/>
                <w:sz w:val="22"/>
                <w:szCs w:val="22"/>
              </w:rPr>
            </w:pPr>
          </w:p>
        </w:tc>
        <w:tc>
          <w:tcPr>
            <w:tcW w:w="5891" w:type="dxa"/>
          </w:tcPr>
          <w:p w14:paraId="0D7B2C57" w14:textId="77777777" w:rsidR="00B61F2A" w:rsidRPr="001362A6" w:rsidRDefault="00B61F2A" w:rsidP="00B61F2A">
            <w:pPr>
              <w:pStyle w:val="Heading5"/>
              <w:numPr>
                <w:ilvl w:val="0"/>
                <w:numId w:val="34"/>
              </w:numPr>
              <w:rPr>
                <w:rFonts w:ascii="Lato" w:hAnsi="Lato"/>
                <w:b w:val="0"/>
                <w:i w:val="0"/>
                <w:szCs w:val="22"/>
              </w:rPr>
            </w:pPr>
            <w:r w:rsidRPr="001362A6">
              <w:rPr>
                <w:rFonts w:ascii="Lato" w:hAnsi="Lato"/>
                <w:b w:val="0"/>
                <w:i w:val="0"/>
                <w:szCs w:val="22"/>
              </w:rPr>
              <w:t xml:space="preserve">Subscription monies prior to the transmission of </w:t>
            </w:r>
          </w:p>
        </w:tc>
        <w:tc>
          <w:tcPr>
            <w:tcW w:w="3188" w:type="dxa"/>
          </w:tcPr>
          <w:p w14:paraId="4960C778" w14:textId="77777777" w:rsidR="00B61F2A" w:rsidRPr="001362A6" w:rsidRDefault="00B61F2A" w:rsidP="00B61F2A">
            <w:pPr>
              <w:pStyle w:val="Heading5"/>
              <w:rPr>
                <w:rFonts w:ascii="Lato" w:hAnsi="Lato"/>
                <w:b w:val="0"/>
                <w:i w:val="0"/>
                <w:szCs w:val="22"/>
              </w:rPr>
            </w:pPr>
          </w:p>
        </w:tc>
      </w:tr>
      <w:tr w:rsidR="00B61F2A" w:rsidRPr="001362A6" w14:paraId="41CAE77C" w14:textId="77777777" w:rsidTr="00990D73">
        <w:tc>
          <w:tcPr>
            <w:tcW w:w="1316" w:type="dxa"/>
          </w:tcPr>
          <w:p w14:paraId="0FE4CA5F" w14:textId="77777777" w:rsidR="00B61F2A" w:rsidRPr="001362A6" w:rsidRDefault="00B61F2A" w:rsidP="00B61F2A">
            <w:pPr>
              <w:rPr>
                <w:rFonts w:ascii="Lato" w:hAnsi="Lato"/>
                <w:sz w:val="22"/>
                <w:szCs w:val="22"/>
              </w:rPr>
            </w:pPr>
          </w:p>
        </w:tc>
        <w:tc>
          <w:tcPr>
            <w:tcW w:w="5891" w:type="dxa"/>
          </w:tcPr>
          <w:p w14:paraId="573467F1" w14:textId="77777777" w:rsidR="00B61F2A" w:rsidRPr="001362A6" w:rsidRDefault="00B61F2A" w:rsidP="00B61F2A">
            <w:pPr>
              <w:pStyle w:val="Heading5"/>
              <w:ind w:left="720"/>
              <w:rPr>
                <w:rFonts w:ascii="Lato" w:hAnsi="Lato"/>
                <w:b w:val="0"/>
                <w:i w:val="0"/>
                <w:szCs w:val="22"/>
              </w:rPr>
            </w:pPr>
            <w:r w:rsidRPr="00590C6D">
              <w:rPr>
                <w:rFonts w:ascii="Lato" w:hAnsi="Lato"/>
                <w:b w:val="0"/>
                <w:i w:val="0"/>
                <w:szCs w:val="22"/>
              </w:rPr>
              <w:t>such</w:t>
            </w:r>
            <w:r w:rsidRPr="00D95E9D">
              <w:rPr>
                <w:rFonts w:ascii="Lato" w:hAnsi="Lato"/>
                <w:b w:val="0"/>
                <w:i w:val="0"/>
                <w:szCs w:val="22"/>
              </w:rPr>
              <w:t xml:space="preserve"> </w:t>
            </w:r>
            <w:r w:rsidRPr="001362A6">
              <w:rPr>
                <w:rFonts w:ascii="Lato" w:hAnsi="Lato"/>
                <w:b w:val="0"/>
                <w:i w:val="0"/>
                <w:szCs w:val="22"/>
              </w:rPr>
              <w:t xml:space="preserve">monies to the depositary for the account of              </w:t>
            </w:r>
          </w:p>
        </w:tc>
        <w:tc>
          <w:tcPr>
            <w:tcW w:w="3188" w:type="dxa"/>
          </w:tcPr>
          <w:p w14:paraId="108462B1" w14:textId="77777777" w:rsidR="00B61F2A" w:rsidRPr="001362A6" w:rsidRDefault="00B61F2A" w:rsidP="00B61F2A">
            <w:pPr>
              <w:pStyle w:val="Heading5"/>
              <w:rPr>
                <w:rFonts w:ascii="Lato" w:hAnsi="Lato"/>
                <w:b w:val="0"/>
                <w:i w:val="0"/>
                <w:szCs w:val="22"/>
              </w:rPr>
            </w:pPr>
          </w:p>
        </w:tc>
      </w:tr>
      <w:tr w:rsidR="00B61F2A" w:rsidRPr="001362A6" w14:paraId="45BD8749" w14:textId="77777777" w:rsidTr="00990D73">
        <w:tc>
          <w:tcPr>
            <w:tcW w:w="1316" w:type="dxa"/>
          </w:tcPr>
          <w:p w14:paraId="201F48F4" w14:textId="77777777" w:rsidR="00B61F2A" w:rsidRPr="001362A6" w:rsidRDefault="00B61F2A" w:rsidP="00B61F2A">
            <w:pPr>
              <w:rPr>
                <w:rFonts w:ascii="Lato" w:hAnsi="Lato"/>
                <w:sz w:val="22"/>
                <w:szCs w:val="22"/>
              </w:rPr>
            </w:pPr>
          </w:p>
        </w:tc>
        <w:tc>
          <w:tcPr>
            <w:tcW w:w="5891" w:type="dxa"/>
          </w:tcPr>
          <w:p w14:paraId="6B3E885D" w14:textId="77777777" w:rsidR="00B61F2A" w:rsidRPr="001362A6" w:rsidRDefault="00B61F2A" w:rsidP="00B61F2A">
            <w:pPr>
              <w:pStyle w:val="Heading5"/>
              <w:ind w:left="720"/>
              <w:rPr>
                <w:rFonts w:ascii="Lato" w:hAnsi="Lato"/>
                <w:b w:val="0"/>
                <w:i w:val="0"/>
                <w:szCs w:val="22"/>
              </w:rPr>
            </w:pPr>
            <w:r>
              <w:rPr>
                <w:rFonts w:ascii="Lato" w:hAnsi="Lato"/>
                <w:b w:val="0"/>
                <w:i w:val="0"/>
                <w:szCs w:val="22"/>
              </w:rPr>
              <w:t xml:space="preserve">the </w:t>
            </w:r>
            <w:r w:rsidRPr="001362A6">
              <w:rPr>
                <w:rFonts w:ascii="Lato" w:hAnsi="Lato"/>
                <w:b w:val="0"/>
                <w:i w:val="0"/>
                <w:szCs w:val="22"/>
              </w:rPr>
              <w:t>Qualifying Investor AIF; and</w:t>
            </w:r>
          </w:p>
        </w:tc>
        <w:tc>
          <w:tcPr>
            <w:tcW w:w="3188" w:type="dxa"/>
          </w:tcPr>
          <w:p w14:paraId="59023BD0" w14:textId="77777777" w:rsidR="00B61F2A" w:rsidRPr="001362A6" w:rsidRDefault="00B61F2A" w:rsidP="00B61F2A">
            <w:pPr>
              <w:pStyle w:val="Heading5"/>
              <w:rPr>
                <w:rFonts w:ascii="Lato" w:hAnsi="Lato"/>
                <w:b w:val="0"/>
                <w:i w:val="0"/>
                <w:szCs w:val="22"/>
              </w:rPr>
            </w:pPr>
          </w:p>
        </w:tc>
      </w:tr>
      <w:tr w:rsidR="00B61F2A" w:rsidRPr="001362A6" w14:paraId="3889C8C6" w14:textId="77777777" w:rsidTr="00990D73">
        <w:tc>
          <w:tcPr>
            <w:tcW w:w="1316" w:type="dxa"/>
          </w:tcPr>
          <w:p w14:paraId="12FBC481" w14:textId="77777777" w:rsidR="00B61F2A" w:rsidRPr="001362A6" w:rsidRDefault="00B61F2A" w:rsidP="00B61F2A">
            <w:pPr>
              <w:rPr>
                <w:rFonts w:ascii="Lato" w:hAnsi="Lato"/>
                <w:sz w:val="22"/>
                <w:szCs w:val="22"/>
              </w:rPr>
            </w:pPr>
          </w:p>
        </w:tc>
        <w:tc>
          <w:tcPr>
            <w:tcW w:w="5891" w:type="dxa"/>
          </w:tcPr>
          <w:p w14:paraId="5FAE3931" w14:textId="77777777" w:rsidR="00B61F2A" w:rsidRPr="001362A6" w:rsidRDefault="00B61F2A" w:rsidP="00B61F2A">
            <w:pPr>
              <w:pStyle w:val="Heading5"/>
              <w:numPr>
                <w:ilvl w:val="0"/>
                <w:numId w:val="34"/>
              </w:numPr>
              <w:rPr>
                <w:rFonts w:ascii="Lato" w:hAnsi="Lato"/>
                <w:b w:val="0"/>
                <w:i w:val="0"/>
                <w:szCs w:val="22"/>
              </w:rPr>
            </w:pPr>
            <w:r w:rsidRPr="001362A6">
              <w:rPr>
                <w:rFonts w:ascii="Lato" w:hAnsi="Lato"/>
                <w:b w:val="0"/>
                <w:i w:val="0"/>
                <w:szCs w:val="22"/>
              </w:rPr>
              <w:t xml:space="preserve">Redemption monies payable by such intermediate </w:t>
            </w:r>
          </w:p>
        </w:tc>
        <w:tc>
          <w:tcPr>
            <w:tcW w:w="3188" w:type="dxa"/>
          </w:tcPr>
          <w:p w14:paraId="39D4ECB6" w14:textId="77777777" w:rsidR="00B61F2A" w:rsidRPr="001362A6" w:rsidRDefault="00B61F2A" w:rsidP="00B61F2A">
            <w:pPr>
              <w:pStyle w:val="Heading5"/>
              <w:rPr>
                <w:rFonts w:ascii="Lato" w:hAnsi="Lato"/>
                <w:b w:val="0"/>
                <w:i w:val="0"/>
                <w:szCs w:val="22"/>
              </w:rPr>
            </w:pPr>
          </w:p>
        </w:tc>
      </w:tr>
      <w:tr w:rsidR="00B61F2A" w:rsidRPr="001362A6" w14:paraId="10A91642" w14:textId="77777777" w:rsidTr="00990D73">
        <w:tc>
          <w:tcPr>
            <w:tcW w:w="1316" w:type="dxa"/>
          </w:tcPr>
          <w:p w14:paraId="18E838C9" w14:textId="77777777" w:rsidR="00B61F2A" w:rsidRPr="001362A6" w:rsidRDefault="00B61F2A" w:rsidP="00B61F2A">
            <w:pPr>
              <w:rPr>
                <w:rFonts w:ascii="Lato" w:hAnsi="Lato"/>
                <w:sz w:val="22"/>
                <w:szCs w:val="22"/>
              </w:rPr>
            </w:pPr>
          </w:p>
        </w:tc>
        <w:tc>
          <w:tcPr>
            <w:tcW w:w="5891" w:type="dxa"/>
          </w:tcPr>
          <w:p w14:paraId="1FD73D3B" w14:textId="77777777" w:rsidR="00B61F2A" w:rsidRPr="001362A6" w:rsidRDefault="00B61F2A" w:rsidP="00B61F2A">
            <w:pPr>
              <w:pStyle w:val="Heading5"/>
              <w:ind w:left="720"/>
              <w:rPr>
                <w:rFonts w:ascii="Lato" w:hAnsi="Lato"/>
                <w:b w:val="0"/>
                <w:i w:val="0"/>
                <w:szCs w:val="22"/>
              </w:rPr>
            </w:pPr>
            <w:r w:rsidRPr="00590C6D">
              <w:rPr>
                <w:rFonts w:ascii="Lato" w:hAnsi="Lato"/>
                <w:b w:val="0"/>
                <w:i w:val="0"/>
                <w:szCs w:val="22"/>
              </w:rPr>
              <w:t>entity</w:t>
            </w:r>
            <w:r w:rsidRPr="00D95E9D">
              <w:rPr>
                <w:rFonts w:ascii="Lato" w:hAnsi="Lato"/>
                <w:b w:val="0"/>
                <w:i w:val="0"/>
                <w:szCs w:val="22"/>
              </w:rPr>
              <w:t xml:space="preserve"> </w:t>
            </w:r>
            <w:r w:rsidRPr="001362A6">
              <w:rPr>
                <w:rFonts w:ascii="Lato" w:hAnsi="Lato"/>
                <w:b w:val="0"/>
                <w:i w:val="0"/>
                <w:szCs w:val="22"/>
              </w:rPr>
              <w:t>to the relevant investor</w:t>
            </w:r>
          </w:p>
        </w:tc>
        <w:tc>
          <w:tcPr>
            <w:tcW w:w="3188" w:type="dxa"/>
          </w:tcPr>
          <w:p w14:paraId="1F54BB7B" w14:textId="77777777" w:rsidR="00B61F2A" w:rsidRPr="001362A6" w:rsidRDefault="00B61F2A" w:rsidP="00B61F2A">
            <w:pPr>
              <w:pStyle w:val="Heading5"/>
              <w:rPr>
                <w:rFonts w:ascii="Lato" w:hAnsi="Lato"/>
                <w:b w:val="0"/>
                <w:i w:val="0"/>
                <w:szCs w:val="22"/>
              </w:rPr>
            </w:pPr>
          </w:p>
        </w:tc>
      </w:tr>
      <w:tr w:rsidR="00B61F2A" w:rsidRPr="001362A6" w14:paraId="149C0544" w14:textId="77777777" w:rsidTr="00990D73">
        <w:trPr>
          <w:cantSplit/>
          <w:trHeight w:val="254"/>
        </w:trPr>
        <w:tc>
          <w:tcPr>
            <w:tcW w:w="1316" w:type="dxa"/>
          </w:tcPr>
          <w:p w14:paraId="41C79AC6" w14:textId="77777777" w:rsidR="00B61F2A" w:rsidRPr="001362A6" w:rsidRDefault="00B61F2A" w:rsidP="00B61F2A">
            <w:pPr>
              <w:rPr>
                <w:rFonts w:ascii="Lato" w:hAnsi="Lato"/>
                <w:sz w:val="22"/>
                <w:szCs w:val="22"/>
              </w:rPr>
            </w:pPr>
          </w:p>
        </w:tc>
        <w:tc>
          <w:tcPr>
            <w:tcW w:w="5891" w:type="dxa"/>
          </w:tcPr>
          <w:p w14:paraId="21896BA2" w14:textId="77777777" w:rsidR="00B61F2A" w:rsidRPr="001362A6" w:rsidRDefault="00B61F2A" w:rsidP="00B61F2A">
            <w:pPr>
              <w:rPr>
                <w:rFonts w:ascii="Lato" w:hAnsi="Lato"/>
                <w:sz w:val="22"/>
                <w:szCs w:val="22"/>
              </w:rPr>
            </w:pPr>
          </w:p>
        </w:tc>
        <w:tc>
          <w:tcPr>
            <w:tcW w:w="3188" w:type="dxa"/>
          </w:tcPr>
          <w:p w14:paraId="2FF2E731" w14:textId="77777777" w:rsidR="00B61F2A" w:rsidRPr="001362A6" w:rsidRDefault="00B61F2A" w:rsidP="00B61F2A">
            <w:pPr>
              <w:rPr>
                <w:rFonts w:ascii="Lato" w:hAnsi="Lato"/>
                <w:sz w:val="22"/>
                <w:szCs w:val="22"/>
              </w:rPr>
            </w:pPr>
          </w:p>
        </w:tc>
      </w:tr>
      <w:tr w:rsidR="00B61F2A" w:rsidRPr="001362A6" w14:paraId="75C73175" w14:textId="77777777" w:rsidTr="00990D73">
        <w:trPr>
          <w:cantSplit/>
          <w:trHeight w:val="254"/>
        </w:trPr>
        <w:tc>
          <w:tcPr>
            <w:tcW w:w="1316" w:type="dxa"/>
          </w:tcPr>
          <w:p w14:paraId="4082B99A" w14:textId="77777777" w:rsidR="00B61F2A" w:rsidRPr="001362A6" w:rsidRDefault="00B61F2A" w:rsidP="00B61F2A">
            <w:pPr>
              <w:rPr>
                <w:rFonts w:ascii="Lato" w:hAnsi="Lato"/>
                <w:b/>
                <w:sz w:val="22"/>
                <w:szCs w:val="22"/>
              </w:rPr>
            </w:pPr>
            <w:r w:rsidRPr="001362A6">
              <w:rPr>
                <w:rFonts w:ascii="Lato" w:hAnsi="Lato"/>
                <w:b/>
                <w:sz w:val="22"/>
                <w:szCs w:val="22"/>
              </w:rPr>
              <w:t>2.7</w:t>
            </w:r>
          </w:p>
        </w:tc>
        <w:tc>
          <w:tcPr>
            <w:tcW w:w="5891" w:type="dxa"/>
          </w:tcPr>
          <w:p w14:paraId="72170FC0" w14:textId="77777777" w:rsidR="00B61F2A" w:rsidRPr="001362A6" w:rsidRDefault="00B61F2A" w:rsidP="00B61F2A">
            <w:pPr>
              <w:rPr>
                <w:rFonts w:ascii="Lato" w:hAnsi="Lato"/>
                <w:sz w:val="22"/>
                <w:szCs w:val="22"/>
              </w:rPr>
            </w:pPr>
            <w:r w:rsidRPr="001362A6">
              <w:rPr>
                <w:rFonts w:ascii="Lato" w:hAnsi="Lato"/>
                <w:sz w:val="22"/>
                <w:szCs w:val="22"/>
              </w:rPr>
              <w:t>Material Contracts</w:t>
            </w:r>
          </w:p>
        </w:tc>
        <w:tc>
          <w:tcPr>
            <w:tcW w:w="3188" w:type="dxa"/>
            <w:tcBorders>
              <w:bottom w:val="single" w:sz="4" w:space="0" w:color="auto"/>
            </w:tcBorders>
          </w:tcPr>
          <w:p w14:paraId="79C42B89" w14:textId="77777777" w:rsidR="00B61F2A" w:rsidRPr="001362A6" w:rsidRDefault="00B61F2A" w:rsidP="00B61F2A">
            <w:pPr>
              <w:rPr>
                <w:rFonts w:ascii="Lato" w:hAnsi="Lato"/>
                <w:sz w:val="22"/>
                <w:szCs w:val="22"/>
              </w:rPr>
            </w:pPr>
          </w:p>
        </w:tc>
      </w:tr>
      <w:tr w:rsidR="00B61F2A" w:rsidRPr="001362A6" w14:paraId="2DC4B09C" w14:textId="77777777" w:rsidTr="00990D73">
        <w:trPr>
          <w:cantSplit/>
          <w:trHeight w:val="254"/>
        </w:trPr>
        <w:tc>
          <w:tcPr>
            <w:tcW w:w="1316" w:type="dxa"/>
          </w:tcPr>
          <w:p w14:paraId="75C15E18"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1643C405" w14:textId="77777777" w:rsidR="00B61F2A" w:rsidRPr="001362A6" w:rsidRDefault="00B61F2A" w:rsidP="00B61F2A">
            <w:pPr>
              <w:rPr>
                <w:rFonts w:ascii="Lato" w:hAnsi="Lato"/>
                <w:sz w:val="22"/>
                <w:szCs w:val="22"/>
              </w:rPr>
            </w:pPr>
            <w:r w:rsidRPr="001362A6">
              <w:rPr>
                <w:rFonts w:ascii="Lato" w:hAnsi="Lato"/>
                <w:sz w:val="22"/>
                <w:szCs w:val="22"/>
              </w:rPr>
              <w:t xml:space="preserve">Disclose the material provisions of the contracts between </w:t>
            </w:r>
          </w:p>
        </w:tc>
        <w:tc>
          <w:tcPr>
            <w:tcW w:w="3188" w:type="dxa"/>
            <w:tcBorders>
              <w:top w:val="single" w:sz="4" w:space="0" w:color="auto"/>
              <w:left w:val="single" w:sz="4" w:space="0" w:color="auto"/>
              <w:bottom w:val="single" w:sz="4" w:space="0" w:color="auto"/>
              <w:right w:val="single" w:sz="4" w:space="0" w:color="auto"/>
            </w:tcBorders>
          </w:tcPr>
          <w:p w14:paraId="40C3ACB0" w14:textId="77777777" w:rsidR="00B61F2A" w:rsidRPr="001362A6" w:rsidRDefault="00B61F2A" w:rsidP="00B61F2A">
            <w:pPr>
              <w:rPr>
                <w:rFonts w:ascii="Lato" w:hAnsi="Lato"/>
                <w:sz w:val="22"/>
                <w:szCs w:val="22"/>
              </w:rPr>
            </w:pPr>
          </w:p>
        </w:tc>
      </w:tr>
      <w:tr w:rsidR="00B61F2A" w:rsidRPr="001362A6" w14:paraId="1E15BAB4" w14:textId="77777777" w:rsidTr="00990D73">
        <w:trPr>
          <w:cantSplit/>
          <w:trHeight w:val="254"/>
        </w:trPr>
        <w:tc>
          <w:tcPr>
            <w:tcW w:w="1316" w:type="dxa"/>
          </w:tcPr>
          <w:p w14:paraId="6DB80DE3" w14:textId="77777777" w:rsidR="00B61F2A" w:rsidRPr="001362A6" w:rsidRDefault="00B61F2A" w:rsidP="00B61F2A">
            <w:pPr>
              <w:rPr>
                <w:rFonts w:ascii="Lato" w:hAnsi="Lato"/>
                <w:sz w:val="22"/>
                <w:szCs w:val="22"/>
              </w:rPr>
            </w:pPr>
          </w:p>
        </w:tc>
        <w:tc>
          <w:tcPr>
            <w:tcW w:w="5891" w:type="dxa"/>
          </w:tcPr>
          <w:p w14:paraId="48F9A6AA" w14:textId="77777777" w:rsidR="00B61F2A" w:rsidRPr="001362A6" w:rsidRDefault="00B61F2A" w:rsidP="00B61F2A">
            <w:pPr>
              <w:rPr>
                <w:rFonts w:ascii="Lato" w:hAnsi="Lato"/>
                <w:sz w:val="22"/>
                <w:szCs w:val="22"/>
              </w:rPr>
            </w:pPr>
            <w:r w:rsidRPr="00590C6D">
              <w:rPr>
                <w:rFonts w:ascii="Lato" w:hAnsi="Lato"/>
                <w:sz w:val="22"/>
                <w:szCs w:val="22"/>
              </w:rPr>
              <w:t>third</w:t>
            </w:r>
            <w:r w:rsidRPr="00D95E9D">
              <w:rPr>
                <w:rFonts w:ascii="Lato" w:hAnsi="Lato"/>
                <w:sz w:val="22"/>
                <w:szCs w:val="22"/>
              </w:rPr>
              <w:t xml:space="preserve"> </w:t>
            </w:r>
            <w:r w:rsidRPr="001362A6">
              <w:rPr>
                <w:rFonts w:ascii="Lato" w:hAnsi="Lato"/>
                <w:sz w:val="22"/>
                <w:szCs w:val="22"/>
              </w:rPr>
              <w:t xml:space="preserve">parties and the management company, general </w:t>
            </w:r>
          </w:p>
        </w:tc>
        <w:tc>
          <w:tcPr>
            <w:tcW w:w="3188" w:type="dxa"/>
            <w:tcBorders>
              <w:top w:val="single" w:sz="4" w:space="0" w:color="auto"/>
            </w:tcBorders>
          </w:tcPr>
          <w:p w14:paraId="2C7BA27F" w14:textId="77777777" w:rsidR="00B61F2A" w:rsidRPr="001362A6" w:rsidRDefault="00B61F2A" w:rsidP="00B61F2A">
            <w:pPr>
              <w:rPr>
                <w:rFonts w:ascii="Lato" w:hAnsi="Lato"/>
                <w:sz w:val="22"/>
                <w:szCs w:val="22"/>
              </w:rPr>
            </w:pPr>
          </w:p>
        </w:tc>
      </w:tr>
      <w:tr w:rsidR="00B61F2A" w:rsidRPr="001362A6" w14:paraId="6A460E86" w14:textId="77777777" w:rsidTr="00990D73">
        <w:trPr>
          <w:cantSplit/>
          <w:trHeight w:val="254"/>
        </w:trPr>
        <w:tc>
          <w:tcPr>
            <w:tcW w:w="1316" w:type="dxa"/>
          </w:tcPr>
          <w:p w14:paraId="42A859B1" w14:textId="77777777" w:rsidR="00B61F2A" w:rsidRPr="001362A6" w:rsidRDefault="00B61F2A" w:rsidP="00B61F2A">
            <w:pPr>
              <w:rPr>
                <w:rFonts w:ascii="Lato" w:hAnsi="Lato"/>
                <w:sz w:val="22"/>
                <w:szCs w:val="22"/>
              </w:rPr>
            </w:pPr>
          </w:p>
        </w:tc>
        <w:tc>
          <w:tcPr>
            <w:tcW w:w="5891" w:type="dxa"/>
          </w:tcPr>
          <w:p w14:paraId="4F85AE05" w14:textId="77777777" w:rsidR="00B61F2A" w:rsidRPr="001362A6" w:rsidRDefault="00B61F2A" w:rsidP="00B61F2A">
            <w:pPr>
              <w:rPr>
                <w:rFonts w:ascii="Lato" w:hAnsi="Lato"/>
                <w:sz w:val="22"/>
                <w:szCs w:val="22"/>
              </w:rPr>
            </w:pPr>
            <w:r w:rsidRPr="00590C6D">
              <w:rPr>
                <w:rFonts w:ascii="Lato" w:hAnsi="Lato"/>
                <w:sz w:val="22"/>
                <w:szCs w:val="22"/>
              </w:rPr>
              <w:t xml:space="preserve">partner, ICAV or </w:t>
            </w:r>
            <w:r w:rsidRPr="001362A6">
              <w:rPr>
                <w:rFonts w:ascii="Lato" w:hAnsi="Lato"/>
                <w:sz w:val="22"/>
                <w:szCs w:val="22"/>
              </w:rPr>
              <w:t>investment company which may be relevant to unitholders</w:t>
            </w:r>
          </w:p>
        </w:tc>
        <w:tc>
          <w:tcPr>
            <w:tcW w:w="3188" w:type="dxa"/>
          </w:tcPr>
          <w:p w14:paraId="5671E409" w14:textId="77777777" w:rsidR="00B61F2A" w:rsidRPr="001362A6" w:rsidRDefault="00B61F2A" w:rsidP="00B61F2A">
            <w:pPr>
              <w:rPr>
                <w:rFonts w:ascii="Lato" w:hAnsi="Lato"/>
                <w:sz w:val="22"/>
                <w:szCs w:val="22"/>
              </w:rPr>
            </w:pPr>
          </w:p>
        </w:tc>
      </w:tr>
      <w:tr w:rsidR="00B61F2A" w:rsidRPr="001362A6" w14:paraId="320FAA2A" w14:textId="77777777" w:rsidTr="007E3170">
        <w:trPr>
          <w:cantSplit/>
          <w:trHeight w:val="254"/>
        </w:trPr>
        <w:tc>
          <w:tcPr>
            <w:tcW w:w="1316" w:type="dxa"/>
          </w:tcPr>
          <w:p w14:paraId="1CA8220B" w14:textId="77777777" w:rsidR="00B61F2A" w:rsidRPr="001362A6" w:rsidRDefault="00B61F2A" w:rsidP="00B61F2A">
            <w:pPr>
              <w:rPr>
                <w:rFonts w:ascii="Lato" w:hAnsi="Lato"/>
                <w:sz w:val="22"/>
                <w:szCs w:val="22"/>
              </w:rPr>
            </w:pPr>
          </w:p>
        </w:tc>
        <w:tc>
          <w:tcPr>
            <w:tcW w:w="5891" w:type="dxa"/>
          </w:tcPr>
          <w:p w14:paraId="792EC108"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11B04339" w14:textId="77777777" w:rsidR="00B61F2A" w:rsidRPr="001362A6" w:rsidRDefault="00B61F2A" w:rsidP="00B61F2A">
            <w:pPr>
              <w:rPr>
                <w:rFonts w:ascii="Lato" w:hAnsi="Lato"/>
                <w:sz w:val="22"/>
                <w:szCs w:val="22"/>
              </w:rPr>
            </w:pPr>
          </w:p>
        </w:tc>
      </w:tr>
      <w:tr w:rsidR="00B61F2A" w:rsidRPr="001362A6" w14:paraId="295E9264" w14:textId="77777777" w:rsidTr="007E3170">
        <w:trPr>
          <w:cantSplit/>
          <w:trHeight w:val="254"/>
        </w:trPr>
        <w:tc>
          <w:tcPr>
            <w:tcW w:w="1316" w:type="dxa"/>
          </w:tcPr>
          <w:p w14:paraId="1DFFD98A" w14:textId="77777777" w:rsidR="00B61F2A" w:rsidRPr="001362A6" w:rsidRDefault="00B61F2A" w:rsidP="00B61F2A">
            <w:pPr>
              <w:rPr>
                <w:rFonts w:ascii="Lato" w:hAnsi="Lato"/>
                <w:sz w:val="22"/>
                <w:szCs w:val="22"/>
              </w:rPr>
            </w:pPr>
            <w:r w:rsidRPr="001362A6">
              <w:rPr>
                <w:rFonts w:ascii="Lato" w:hAnsi="Lato"/>
                <w:sz w:val="22"/>
                <w:szCs w:val="22"/>
              </w:rPr>
              <w:t>2.7.1</w:t>
            </w:r>
          </w:p>
        </w:tc>
        <w:tc>
          <w:tcPr>
            <w:tcW w:w="5891" w:type="dxa"/>
            <w:tcBorders>
              <w:right w:val="single" w:sz="4" w:space="0" w:color="auto"/>
            </w:tcBorders>
          </w:tcPr>
          <w:p w14:paraId="7B493329" w14:textId="77777777" w:rsidR="00B61F2A" w:rsidRPr="001362A6" w:rsidRDefault="00B61F2A" w:rsidP="00B61F2A">
            <w:pPr>
              <w:rPr>
                <w:rFonts w:ascii="Lato" w:hAnsi="Lato"/>
                <w:sz w:val="22"/>
                <w:szCs w:val="22"/>
              </w:rPr>
            </w:pPr>
            <w:r w:rsidRPr="001362A6">
              <w:rPr>
                <w:rFonts w:ascii="Lato" w:hAnsi="Lato"/>
                <w:sz w:val="22"/>
                <w:szCs w:val="22"/>
              </w:rPr>
              <w:t xml:space="preserve">Disclose a description of the main legal implications of the </w:t>
            </w:r>
          </w:p>
        </w:tc>
        <w:tc>
          <w:tcPr>
            <w:tcW w:w="3188" w:type="dxa"/>
            <w:tcBorders>
              <w:top w:val="single" w:sz="4" w:space="0" w:color="auto"/>
              <w:left w:val="single" w:sz="4" w:space="0" w:color="auto"/>
              <w:bottom w:val="single" w:sz="4" w:space="0" w:color="auto"/>
              <w:right w:val="single" w:sz="4" w:space="0" w:color="auto"/>
            </w:tcBorders>
          </w:tcPr>
          <w:p w14:paraId="423C964B" w14:textId="77777777" w:rsidR="00B61F2A" w:rsidRPr="001362A6" w:rsidRDefault="00B61F2A" w:rsidP="00B61F2A">
            <w:pPr>
              <w:rPr>
                <w:rFonts w:ascii="Lato" w:hAnsi="Lato"/>
                <w:sz w:val="22"/>
                <w:szCs w:val="22"/>
              </w:rPr>
            </w:pPr>
          </w:p>
        </w:tc>
      </w:tr>
      <w:tr w:rsidR="00B61F2A" w:rsidRPr="001362A6" w14:paraId="43A99660" w14:textId="77777777" w:rsidTr="007E3170">
        <w:trPr>
          <w:cantSplit/>
          <w:trHeight w:val="254"/>
        </w:trPr>
        <w:tc>
          <w:tcPr>
            <w:tcW w:w="1316" w:type="dxa"/>
          </w:tcPr>
          <w:p w14:paraId="2C22C352" w14:textId="77777777" w:rsidR="00B61F2A" w:rsidRPr="001362A6" w:rsidRDefault="00B61F2A" w:rsidP="00B61F2A">
            <w:pPr>
              <w:rPr>
                <w:rFonts w:ascii="Lato" w:hAnsi="Lato"/>
                <w:sz w:val="22"/>
                <w:szCs w:val="22"/>
              </w:rPr>
            </w:pPr>
          </w:p>
        </w:tc>
        <w:tc>
          <w:tcPr>
            <w:tcW w:w="5891" w:type="dxa"/>
          </w:tcPr>
          <w:p w14:paraId="4CABF515" w14:textId="77777777" w:rsidR="00B61F2A" w:rsidRPr="001362A6" w:rsidRDefault="00B61F2A" w:rsidP="00B61F2A">
            <w:pPr>
              <w:rPr>
                <w:rFonts w:ascii="Lato" w:hAnsi="Lato"/>
                <w:sz w:val="22"/>
                <w:szCs w:val="22"/>
              </w:rPr>
            </w:pPr>
            <w:r w:rsidRPr="001362A6">
              <w:rPr>
                <w:rFonts w:ascii="Lato" w:hAnsi="Lato"/>
                <w:sz w:val="22"/>
                <w:szCs w:val="22"/>
              </w:rPr>
              <w:t xml:space="preserve">contractual relationship entered into for the purpose of </w:t>
            </w:r>
          </w:p>
        </w:tc>
        <w:tc>
          <w:tcPr>
            <w:tcW w:w="3188" w:type="dxa"/>
            <w:tcBorders>
              <w:top w:val="single" w:sz="4" w:space="0" w:color="auto"/>
            </w:tcBorders>
          </w:tcPr>
          <w:p w14:paraId="7BE60DBA" w14:textId="77777777" w:rsidR="00B61F2A" w:rsidRPr="001362A6" w:rsidRDefault="00B61F2A" w:rsidP="00B61F2A">
            <w:pPr>
              <w:rPr>
                <w:rFonts w:ascii="Lato" w:hAnsi="Lato"/>
                <w:sz w:val="22"/>
                <w:szCs w:val="22"/>
              </w:rPr>
            </w:pPr>
          </w:p>
        </w:tc>
      </w:tr>
      <w:tr w:rsidR="00B61F2A" w:rsidRPr="001362A6" w14:paraId="553316BD" w14:textId="77777777" w:rsidTr="00990D73">
        <w:trPr>
          <w:cantSplit/>
          <w:trHeight w:val="254"/>
        </w:trPr>
        <w:tc>
          <w:tcPr>
            <w:tcW w:w="1316" w:type="dxa"/>
          </w:tcPr>
          <w:p w14:paraId="5BFAB9D0" w14:textId="77777777" w:rsidR="00B61F2A" w:rsidRPr="001362A6" w:rsidRDefault="00B61F2A" w:rsidP="00B61F2A">
            <w:pPr>
              <w:rPr>
                <w:rFonts w:ascii="Lato" w:hAnsi="Lato"/>
                <w:sz w:val="22"/>
                <w:szCs w:val="22"/>
              </w:rPr>
            </w:pPr>
          </w:p>
        </w:tc>
        <w:tc>
          <w:tcPr>
            <w:tcW w:w="5891" w:type="dxa"/>
          </w:tcPr>
          <w:p w14:paraId="3CB751B4" w14:textId="77777777" w:rsidR="00B61F2A" w:rsidRPr="001362A6" w:rsidRDefault="00B61F2A" w:rsidP="00B61F2A">
            <w:pPr>
              <w:rPr>
                <w:rFonts w:ascii="Lato" w:hAnsi="Lato"/>
                <w:sz w:val="22"/>
                <w:szCs w:val="22"/>
              </w:rPr>
            </w:pPr>
            <w:r w:rsidRPr="001362A6">
              <w:rPr>
                <w:rFonts w:ascii="Lato" w:hAnsi="Lato"/>
                <w:sz w:val="22"/>
                <w:szCs w:val="22"/>
              </w:rPr>
              <w:t xml:space="preserve">Investment, including information on jurisdiction, on the </w:t>
            </w:r>
          </w:p>
        </w:tc>
        <w:tc>
          <w:tcPr>
            <w:tcW w:w="3188" w:type="dxa"/>
          </w:tcPr>
          <w:p w14:paraId="5FC64ADE" w14:textId="77777777" w:rsidR="00B61F2A" w:rsidRPr="001362A6" w:rsidRDefault="00B61F2A" w:rsidP="00B61F2A">
            <w:pPr>
              <w:rPr>
                <w:rFonts w:ascii="Lato" w:hAnsi="Lato"/>
                <w:sz w:val="22"/>
                <w:szCs w:val="22"/>
              </w:rPr>
            </w:pPr>
          </w:p>
        </w:tc>
      </w:tr>
      <w:tr w:rsidR="00B61F2A" w:rsidRPr="001362A6" w14:paraId="6AE3DC57" w14:textId="77777777" w:rsidTr="00990D73">
        <w:trPr>
          <w:cantSplit/>
          <w:trHeight w:val="254"/>
        </w:trPr>
        <w:tc>
          <w:tcPr>
            <w:tcW w:w="1316" w:type="dxa"/>
          </w:tcPr>
          <w:p w14:paraId="23FC46AD" w14:textId="77777777" w:rsidR="00B61F2A" w:rsidRPr="001362A6" w:rsidRDefault="00B61F2A" w:rsidP="00B61F2A">
            <w:pPr>
              <w:rPr>
                <w:rFonts w:ascii="Lato" w:hAnsi="Lato"/>
                <w:sz w:val="22"/>
                <w:szCs w:val="22"/>
              </w:rPr>
            </w:pPr>
          </w:p>
        </w:tc>
        <w:tc>
          <w:tcPr>
            <w:tcW w:w="5891" w:type="dxa"/>
          </w:tcPr>
          <w:p w14:paraId="2030118C" w14:textId="77777777" w:rsidR="00B61F2A" w:rsidRPr="001362A6" w:rsidRDefault="00B61F2A" w:rsidP="00B61F2A">
            <w:pPr>
              <w:rPr>
                <w:rFonts w:ascii="Lato" w:hAnsi="Lato"/>
                <w:sz w:val="22"/>
                <w:szCs w:val="22"/>
              </w:rPr>
            </w:pPr>
            <w:r w:rsidRPr="001362A6">
              <w:rPr>
                <w:rFonts w:ascii="Lato" w:hAnsi="Lato"/>
                <w:sz w:val="22"/>
                <w:szCs w:val="22"/>
              </w:rPr>
              <w:t xml:space="preserve">applicable law and on the existence or not of any legal instruments providing for the recognition and enforcement </w:t>
            </w:r>
          </w:p>
        </w:tc>
        <w:tc>
          <w:tcPr>
            <w:tcW w:w="3188" w:type="dxa"/>
          </w:tcPr>
          <w:p w14:paraId="6F1DF243" w14:textId="77777777" w:rsidR="00B61F2A" w:rsidRPr="001362A6" w:rsidRDefault="00B61F2A" w:rsidP="00B61F2A">
            <w:pPr>
              <w:rPr>
                <w:rFonts w:ascii="Lato" w:hAnsi="Lato"/>
                <w:sz w:val="22"/>
                <w:szCs w:val="22"/>
              </w:rPr>
            </w:pPr>
          </w:p>
        </w:tc>
      </w:tr>
      <w:tr w:rsidR="00B61F2A" w:rsidRPr="001362A6" w14:paraId="0C098EE3" w14:textId="77777777" w:rsidTr="00990D73">
        <w:trPr>
          <w:cantSplit/>
          <w:trHeight w:val="254"/>
        </w:trPr>
        <w:tc>
          <w:tcPr>
            <w:tcW w:w="1316" w:type="dxa"/>
          </w:tcPr>
          <w:p w14:paraId="4288D3F1" w14:textId="77777777" w:rsidR="00B61F2A" w:rsidRPr="001362A6" w:rsidRDefault="00B61F2A" w:rsidP="00B61F2A">
            <w:pPr>
              <w:rPr>
                <w:rFonts w:ascii="Lato" w:hAnsi="Lato"/>
                <w:sz w:val="22"/>
                <w:szCs w:val="22"/>
              </w:rPr>
            </w:pPr>
          </w:p>
        </w:tc>
        <w:tc>
          <w:tcPr>
            <w:tcW w:w="5891" w:type="dxa"/>
          </w:tcPr>
          <w:p w14:paraId="16379267" w14:textId="77777777" w:rsidR="00B61F2A" w:rsidRPr="001362A6" w:rsidRDefault="00B61F2A" w:rsidP="00B61F2A">
            <w:pPr>
              <w:rPr>
                <w:rFonts w:ascii="Lato" w:hAnsi="Lato"/>
                <w:sz w:val="22"/>
                <w:szCs w:val="22"/>
              </w:rPr>
            </w:pPr>
            <w:r w:rsidRPr="00590C6D">
              <w:rPr>
                <w:rFonts w:ascii="Lato" w:hAnsi="Lato"/>
                <w:sz w:val="22"/>
                <w:szCs w:val="22"/>
              </w:rPr>
              <w:t xml:space="preserve">of </w:t>
            </w:r>
            <w:r w:rsidRPr="001362A6">
              <w:rPr>
                <w:rFonts w:ascii="Lato" w:hAnsi="Lato"/>
                <w:sz w:val="22"/>
                <w:szCs w:val="22"/>
              </w:rPr>
              <w:t xml:space="preserve">judgements in the territory where the Qualifying </w:t>
            </w:r>
          </w:p>
        </w:tc>
        <w:tc>
          <w:tcPr>
            <w:tcW w:w="3188" w:type="dxa"/>
          </w:tcPr>
          <w:p w14:paraId="6CF848B1" w14:textId="77777777" w:rsidR="00B61F2A" w:rsidRPr="001362A6" w:rsidRDefault="00B61F2A" w:rsidP="00B61F2A">
            <w:pPr>
              <w:rPr>
                <w:rFonts w:ascii="Lato" w:hAnsi="Lato"/>
                <w:sz w:val="22"/>
                <w:szCs w:val="22"/>
              </w:rPr>
            </w:pPr>
          </w:p>
        </w:tc>
      </w:tr>
      <w:tr w:rsidR="00B61F2A" w:rsidRPr="001362A6" w14:paraId="183AF781" w14:textId="77777777" w:rsidTr="00990D73">
        <w:trPr>
          <w:cantSplit/>
          <w:trHeight w:val="254"/>
        </w:trPr>
        <w:tc>
          <w:tcPr>
            <w:tcW w:w="1316" w:type="dxa"/>
          </w:tcPr>
          <w:p w14:paraId="65BB532F" w14:textId="77777777" w:rsidR="00B61F2A" w:rsidRPr="001362A6" w:rsidRDefault="00B61F2A" w:rsidP="00B61F2A">
            <w:pPr>
              <w:rPr>
                <w:rFonts w:ascii="Lato" w:hAnsi="Lato"/>
                <w:sz w:val="22"/>
                <w:szCs w:val="22"/>
              </w:rPr>
            </w:pPr>
          </w:p>
        </w:tc>
        <w:tc>
          <w:tcPr>
            <w:tcW w:w="5891" w:type="dxa"/>
          </w:tcPr>
          <w:p w14:paraId="5E731F2B" w14:textId="77777777" w:rsidR="00B61F2A" w:rsidRPr="001362A6" w:rsidRDefault="00B61F2A" w:rsidP="00B61F2A">
            <w:pPr>
              <w:rPr>
                <w:rFonts w:ascii="Lato" w:hAnsi="Lato"/>
                <w:sz w:val="22"/>
                <w:szCs w:val="22"/>
              </w:rPr>
            </w:pPr>
            <w:r w:rsidRPr="00590C6D">
              <w:rPr>
                <w:rFonts w:ascii="Lato" w:hAnsi="Lato"/>
                <w:sz w:val="22"/>
                <w:szCs w:val="22"/>
              </w:rPr>
              <w:t>Investor AIF</w:t>
            </w:r>
            <w:r w:rsidRPr="00D95E9D">
              <w:rPr>
                <w:rFonts w:ascii="Lato" w:hAnsi="Lato"/>
                <w:sz w:val="22"/>
                <w:szCs w:val="22"/>
              </w:rPr>
              <w:t xml:space="preserve"> </w:t>
            </w:r>
            <w:r w:rsidRPr="001362A6">
              <w:rPr>
                <w:rFonts w:ascii="Lato" w:hAnsi="Lato"/>
                <w:sz w:val="22"/>
                <w:szCs w:val="22"/>
              </w:rPr>
              <w:t>is established</w:t>
            </w:r>
          </w:p>
        </w:tc>
        <w:tc>
          <w:tcPr>
            <w:tcW w:w="3188" w:type="dxa"/>
          </w:tcPr>
          <w:p w14:paraId="017FA072" w14:textId="77777777" w:rsidR="00B61F2A" w:rsidRPr="001362A6" w:rsidRDefault="00B61F2A" w:rsidP="00B61F2A">
            <w:pPr>
              <w:rPr>
                <w:rFonts w:ascii="Lato" w:hAnsi="Lato"/>
                <w:sz w:val="22"/>
                <w:szCs w:val="22"/>
              </w:rPr>
            </w:pPr>
          </w:p>
        </w:tc>
      </w:tr>
      <w:tr w:rsidR="00B61F2A" w:rsidRPr="001362A6" w14:paraId="365CB803" w14:textId="77777777" w:rsidTr="00990D73">
        <w:trPr>
          <w:cantSplit/>
          <w:trHeight w:val="254"/>
        </w:trPr>
        <w:tc>
          <w:tcPr>
            <w:tcW w:w="1316" w:type="dxa"/>
          </w:tcPr>
          <w:p w14:paraId="2935CB49" w14:textId="77777777" w:rsidR="00B61F2A" w:rsidRPr="001362A6" w:rsidRDefault="00B61F2A" w:rsidP="00B61F2A">
            <w:pPr>
              <w:rPr>
                <w:rFonts w:ascii="Lato" w:hAnsi="Lato"/>
                <w:sz w:val="22"/>
                <w:szCs w:val="22"/>
              </w:rPr>
            </w:pPr>
          </w:p>
        </w:tc>
        <w:tc>
          <w:tcPr>
            <w:tcW w:w="5891" w:type="dxa"/>
          </w:tcPr>
          <w:p w14:paraId="0FC47013" w14:textId="77777777" w:rsidR="00B61F2A" w:rsidRPr="001362A6" w:rsidRDefault="00B61F2A" w:rsidP="00B61F2A">
            <w:pPr>
              <w:rPr>
                <w:rFonts w:ascii="Lato" w:hAnsi="Lato"/>
                <w:sz w:val="22"/>
                <w:szCs w:val="22"/>
              </w:rPr>
            </w:pPr>
          </w:p>
        </w:tc>
        <w:tc>
          <w:tcPr>
            <w:tcW w:w="3188" w:type="dxa"/>
          </w:tcPr>
          <w:p w14:paraId="7E0C3BBD" w14:textId="77777777" w:rsidR="00B61F2A" w:rsidRPr="001362A6" w:rsidRDefault="00B61F2A" w:rsidP="00B61F2A">
            <w:pPr>
              <w:rPr>
                <w:rFonts w:ascii="Lato" w:hAnsi="Lato"/>
                <w:sz w:val="22"/>
                <w:szCs w:val="22"/>
              </w:rPr>
            </w:pPr>
          </w:p>
        </w:tc>
      </w:tr>
      <w:tr w:rsidR="00B61F2A" w:rsidRPr="001362A6" w14:paraId="10360635" w14:textId="77777777" w:rsidTr="00D47A86">
        <w:trPr>
          <w:cantSplit/>
          <w:trHeight w:val="254"/>
        </w:trPr>
        <w:tc>
          <w:tcPr>
            <w:tcW w:w="1316" w:type="dxa"/>
          </w:tcPr>
          <w:p w14:paraId="1E0C0E01" w14:textId="77777777" w:rsidR="00B61F2A" w:rsidRPr="001362A6" w:rsidRDefault="00B61F2A" w:rsidP="00B61F2A">
            <w:pPr>
              <w:rPr>
                <w:rFonts w:ascii="Lato" w:hAnsi="Lato"/>
                <w:sz w:val="22"/>
                <w:szCs w:val="22"/>
              </w:rPr>
            </w:pPr>
            <w:r w:rsidRPr="001362A6">
              <w:rPr>
                <w:rFonts w:ascii="Lato" w:hAnsi="Lato"/>
                <w:sz w:val="22"/>
                <w:szCs w:val="22"/>
              </w:rPr>
              <w:t>2.7.2</w:t>
            </w:r>
          </w:p>
        </w:tc>
        <w:tc>
          <w:tcPr>
            <w:tcW w:w="5891" w:type="dxa"/>
          </w:tcPr>
          <w:p w14:paraId="4F81F7B5" w14:textId="77777777" w:rsidR="00B61F2A" w:rsidRPr="001362A6" w:rsidRDefault="00B61F2A" w:rsidP="00B61F2A">
            <w:pPr>
              <w:rPr>
                <w:rFonts w:ascii="Lato" w:hAnsi="Lato"/>
                <w:b/>
                <w:sz w:val="22"/>
                <w:szCs w:val="22"/>
              </w:rPr>
            </w:pPr>
            <w:r w:rsidRPr="001362A6">
              <w:rPr>
                <w:rFonts w:ascii="Lato" w:hAnsi="Lato"/>
                <w:b/>
                <w:sz w:val="22"/>
                <w:szCs w:val="22"/>
              </w:rPr>
              <w:t>Information Concerning the AIFM</w:t>
            </w:r>
          </w:p>
        </w:tc>
        <w:tc>
          <w:tcPr>
            <w:tcW w:w="3188" w:type="dxa"/>
          </w:tcPr>
          <w:p w14:paraId="4808AF33" w14:textId="77777777" w:rsidR="00B61F2A" w:rsidRPr="001362A6" w:rsidRDefault="00B61F2A" w:rsidP="00B61F2A">
            <w:pPr>
              <w:rPr>
                <w:rFonts w:ascii="Lato" w:hAnsi="Lato"/>
                <w:sz w:val="22"/>
                <w:szCs w:val="22"/>
              </w:rPr>
            </w:pPr>
          </w:p>
        </w:tc>
      </w:tr>
      <w:tr w:rsidR="00B61F2A" w:rsidRPr="001362A6" w14:paraId="6C97F475" w14:textId="77777777" w:rsidTr="00990D73">
        <w:trPr>
          <w:cantSplit/>
          <w:trHeight w:val="254"/>
        </w:trPr>
        <w:tc>
          <w:tcPr>
            <w:tcW w:w="1316" w:type="dxa"/>
          </w:tcPr>
          <w:p w14:paraId="0398C818" w14:textId="77777777" w:rsidR="00B61F2A" w:rsidRPr="001362A6" w:rsidRDefault="00B61F2A" w:rsidP="00B61F2A">
            <w:pPr>
              <w:rPr>
                <w:rFonts w:ascii="Lato" w:hAnsi="Lato"/>
                <w:sz w:val="22"/>
                <w:szCs w:val="22"/>
              </w:rPr>
            </w:pPr>
          </w:p>
        </w:tc>
        <w:tc>
          <w:tcPr>
            <w:tcW w:w="5891" w:type="dxa"/>
          </w:tcPr>
          <w:p w14:paraId="1740F3F9"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31DC543A" w14:textId="77777777" w:rsidR="00B61F2A" w:rsidRPr="001362A6" w:rsidRDefault="00B61F2A" w:rsidP="00B61F2A">
            <w:pPr>
              <w:rPr>
                <w:rFonts w:ascii="Lato" w:hAnsi="Lato"/>
                <w:sz w:val="22"/>
                <w:szCs w:val="22"/>
              </w:rPr>
            </w:pPr>
          </w:p>
        </w:tc>
      </w:tr>
      <w:tr w:rsidR="00B61F2A" w:rsidRPr="001362A6" w14:paraId="6A95AA8E" w14:textId="77777777" w:rsidTr="00990D73">
        <w:trPr>
          <w:cantSplit/>
          <w:trHeight w:val="254"/>
        </w:trPr>
        <w:tc>
          <w:tcPr>
            <w:tcW w:w="1316" w:type="dxa"/>
          </w:tcPr>
          <w:p w14:paraId="1C8A1FF9" w14:textId="77777777" w:rsidR="00B61F2A" w:rsidRPr="001362A6" w:rsidRDefault="00B61F2A" w:rsidP="00B61F2A">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79F9437C" w14:textId="77777777" w:rsidR="00B61F2A" w:rsidRPr="001362A6" w:rsidRDefault="00B61F2A" w:rsidP="00B61F2A">
            <w:pPr>
              <w:rPr>
                <w:rFonts w:ascii="Lato" w:hAnsi="Lato"/>
                <w:sz w:val="22"/>
                <w:szCs w:val="22"/>
              </w:rPr>
            </w:pPr>
            <w:r w:rsidRPr="001362A6">
              <w:rPr>
                <w:rFonts w:ascii="Lato" w:hAnsi="Lato"/>
                <w:sz w:val="22"/>
                <w:szCs w:val="22"/>
              </w:rPr>
              <w:t>Name</w:t>
            </w:r>
          </w:p>
        </w:tc>
        <w:tc>
          <w:tcPr>
            <w:tcW w:w="3188" w:type="dxa"/>
            <w:tcBorders>
              <w:top w:val="single" w:sz="4" w:space="0" w:color="auto"/>
              <w:left w:val="single" w:sz="4" w:space="0" w:color="auto"/>
              <w:bottom w:val="single" w:sz="4" w:space="0" w:color="auto"/>
              <w:right w:val="single" w:sz="4" w:space="0" w:color="auto"/>
            </w:tcBorders>
          </w:tcPr>
          <w:p w14:paraId="6A9ED671" w14:textId="77777777" w:rsidR="00B61F2A" w:rsidRPr="001362A6" w:rsidRDefault="00B61F2A" w:rsidP="00B61F2A">
            <w:pPr>
              <w:rPr>
                <w:rFonts w:ascii="Lato" w:hAnsi="Lato"/>
                <w:sz w:val="22"/>
                <w:szCs w:val="22"/>
              </w:rPr>
            </w:pPr>
          </w:p>
        </w:tc>
      </w:tr>
      <w:tr w:rsidR="00B61F2A" w:rsidRPr="001362A6" w14:paraId="4F3D9E7B" w14:textId="77777777" w:rsidTr="00990D73">
        <w:trPr>
          <w:cantSplit/>
          <w:trHeight w:val="254"/>
        </w:trPr>
        <w:tc>
          <w:tcPr>
            <w:tcW w:w="1316" w:type="dxa"/>
          </w:tcPr>
          <w:p w14:paraId="0ABCECF2" w14:textId="77777777" w:rsidR="00B61F2A" w:rsidRPr="001362A6" w:rsidRDefault="00B61F2A" w:rsidP="00B61F2A">
            <w:pPr>
              <w:jc w:val="right"/>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0CDAADD9" w14:textId="77777777" w:rsidR="00B61F2A" w:rsidRPr="001362A6" w:rsidRDefault="00B61F2A" w:rsidP="00B61F2A">
            <w:pPr>
              <w:rPr>
                <w:rFonts w:ascii="Lato" w:hAnsi="Lato"/>
                <w:sz w:val="22"/>
                <w:szCs w:val="22"/>
              </w:rPr>
            </w:pPr>
            <w:r w:rsidRPr="001362A6">
              <w:rPr>
                <w:rFonts w:ascii="Lato" w:hAnsi="Lato"/>
                <w:sz w:val="22"/>
                <w:szCs w:val="22"/>
              </w:rPr>
              <w:t xml:space="preserve">Disclose the jurisdiction and regulatory status (for non Irish </w:t>
            </w:r>
          </w:p>
        </w:tc>
        <w:tc>
          <w:tcPr>
            <w:tcW w:w="3188" w:type="dxa"/>
            <w:tcBorders>
              <w:top w:val="single" w:sz="4" w:space="0" w:color="auto"/>
              <w:left w:val="single" w:sz="4" w:space="0" w:color="auto"/>
              <w:bottom w:val="single" w:sz="4" w:space="0" w:color="auto"/>
              <w:right w:val="single" w:sz="4" w:space="0" w:color="auto"/>
            </w:tcBorders>
          </w:tcPr>
          <w:p w14:paraId="3C4C1E92" w14:textId="77777777" w:rsidR="00B61F2A" w:rsidRPr="001362A6" w:rsidRDefault="00B61F2A" w:rsidP="00B61F2A">
            <w:pPr>
              <w:rPr>
                <w:rFonts w:ascii="Lato" w:hAnsi="Lato"/>
                <w:sz w:val="22"/>
                <w:szCs w:val="22"/>
              </w:rPr>
            </w:pPr>
          </w:p>
        </w:tc>
      </w:tr>
      <w:tr w:rsidR="00B61F2A" w:rsidRPr="001362A6" w14:paraId="6DE44194" w14:textId="77777777" w:rsidTr="00A70AEC">
        <w:trPr>
          <w:cantSplit/>
          <w:trHeight w:val="117"/>
        </w:trPr>
        <w:tc>
          <w:tcPr>
            <w:tcW w:w="1316" w:type="dxa"/>
          </w:tcPr>
          <w:p w14:paraId="09F5AD8D" w14:textId="77777777" w:rsidR="00B61F2A" w:rsidRPr="001362A6" w:rsidRDefault="00B61F2A" w:rsidP="00B61F2A">
            <w:pPr>
              <w:rPr>
                <w:rFonts w:ascii="Lato" w:hAnsi="Lato"/>
                <w:sz w:val="22"/>
                <w:szCs w:val="22"/>
              </w:rPr>
            </w:pPr>
          </w:p>
        </w:tc>
        <w:tc>
          <w:tcPr>
            <w:tcW w:w="5891" w:type="dxa"/>
          </w:tcPr>
          <w:p w14:paraId="310FBE09" w14:textId="77777777" w:rsidR="00B61F2A" w:rsidRPr="001362A6" w:rsidRDefault="00B61F2A" w:rsidP="00B61F2A">
            <w:pPr>
              <w:rPr>
                <w:rFonts w:ascii="Lato" w:hAnsi="Lato"/>
                <w:sz w:val="22"/>
                <w:szCs w:val="22"/>
              </w:rPr>
            </w:pPr>
            <w:r w:rsidRPr="001362A6">
              <w:rPr>
                <w:rFonts w:ascii="Lato" w:hAnsi="Lato"/>
                <w:sz w:val="22"/>
                <w:szCs w:val="22"/>
              </w:rPr>
              <w:t>entities)</w:t>
            </w:r>
          </w:p>
        </w:tc>
        <w:tc>
          <w:tcPr>
            <w:tcW w:w="3188" w:type="dxa"/>
            <w:tcBorders>
              <w:top w:val="single" w:sz="4" w:space="0" w:color="auto"/>
            </w:tcBorders>
          </w:tcPr>
          <w:p w14:paraId="43FA2182" w14:textId="77777777" w:rsidR="00B61F2A" w:rsidRPr="001362A6" w:rsidRDefault="00B61F2A" w:rsidP="00B61F2A">
            <w:pPr>
              <w:rPr>
                <w:rFonts w:ascii="Lato" w:hAnsi="Lato"/>
                <w:sz w:val="22"/>
                <w:szCs w:val="22"/>
              </w:rPr>
            </w:pPr>
          </w:p>
        </w:tc>
      </w:tr>
      <w:tr w:rsidR="00B61F2A" w:rsidRPr="001362A6" w14:paraId="41B3E454" w14:textId="77777777" w:rsidTr="00A70AEC">
        <w:trPr>
          <w:cantSplit/>
          <w:trHeight w:val="117"/>
        </w:trPr>
        <w:tc>
          <w:tcPr>
            <w:tcW w:w="1316" w:type="dxa"/>
          </w:tcPr>
          <w:p w14:paraId="68B4C44C" w14:textId="77777777" w:rsidR="00B61F2A" w:rsidRPr="001362A6" w:rsidRDefault="00B61F2A" w:rsidP="00B61F2A">
            <w:pPr>
              <w:rPr>
                <w:rFonts w:ascii="Lato" w:hAnsi="Lato"/>
                <w:sz w:val="22"/>
                <w:szCs w:val="22"/>
              </w:rPr>
            </w:pPr>
          </w:p>
        </w:tc>
        <w:tc>
          <w:tcPr>
            <w:tcW w:w="5891" w:type="dxa"/>
          </w:tcPr>
          <w:p w14:paraId="79DB896C" w14:textId="77777777" w:rsidR="00B61F2A" w:rsidRPr="001362A6" w:rsidRDefault="00B61F2A" w:rsidP="00B61F2A">
            <w:pPr>
              <w:rPr>
                <w:rFonts w:ascii="Lato" w:hAnsi="Lato"/>
                <w:sz w:val="22"/>
                <w:szCs w:val="22"/>
              </w:rPr>
            </w:pPr>
          </w:p>
        </w:tc>
        <w:tc>
          <w:tcPr>
            <w:tcW w:w="3188" w:type="dxa"/>
          </w:tcPr>
          <w:p w14:paraId="7633F110" w14:textId="77777777" w:rsidR="00B61F2A" w:rsidRPr="001362A6" w:rsidRDefault="00B61F2A" w:rsidP="00B61F2A">
            <w:pPr>
              <w:rPr>
                <w:rFonts w:ascii="Lato" w:hAnsi="Lato"/>
                <w:sz w:val="22"/>
                <w:szCs w:val="22"/>
              </w:rPr>
            </w:pPr>
          </w:p>
        </w:tc>
      </w:tr>
      <w:tr w:rsidR="00B61F2A" w:rsidRPr="001362A6" w14:paraId="5DABBCD7" w14:textId="77777777" w:rsidTr="00990D73">
        <w:trPr>
          <w:cantSplit/>
          <w:trHeight w:val="117"/>
        </w:trPr>
        <w:tc>
          <w:tcPr>
            <w:tcW w:w="1316" w:type="dxa"/>
          </w:tcPr>
          <w:p w14:paraId="2D4B4B8D" w14:textId="77777777" w:rsidR="00B61F2A" w:rsidRPr="001362A6" w:rsidRDefault="00B61F2A" w:rsidP="00B61F2A">
            <w:pPr>
              <w:jc w:val="right"/>
              <w:rPr>
                <w:rFonts w:ascii="Lato" w:hAnsi="Lato"/>
                <w:sz w:val="22"/>
                <w:szCs w:val="22"/>
              </w:rPr>
            </w:pPr>
            <w:r w:rsidRPr="001362A6">
              <w:rPr>
                <w:rFonts w:ascii="Lato" w:hAnsi="Lato"/>
                <w:sz w:val="22"/>
                <w:szCs w:val="22"/>
              </w:rPr>
              <w:t>c)</w:t>
            </w:r>
          </w:p>
        </w:tc>
        <w:tc>
          <w:tcPr>
            <w:tcW w:w="5891" w:type="dxa"/>
          </w:tcPr>
          <w:p w14:paraId="3C9E1C51" w14:textId="77777777" w:rsidR="00B61F2A" w:rsidRPr="001362A6" w:rsidRDefault="00B61F2A" w:rsidP="00B61F2A">
            <w:pPr>
              <w:rPr>
                <w:rFonts w:ascii="Lato" w:hAnsi="Lato"/>
                <w:sz w:val="22"/>
                <w:szCs w:val="22"/>
              </w:rPr>
            </w:pPr>
            <w:r w:rsidRPr="001362A6">
              <w:rPr>
                <w:rFonts w:ascii="Lato" w:hAnsi="Lato"/>
                <w:sz w:val="22"/>
                <w:szCs w:val="22"/>
              </w:rPr>
              <w:t xml:space="preserve">Disclose the other significant activities </w:t>
            </w:r>
          </w:p>
        </w:tc>
        <w:tc>
          <w:tcPr>
            <w:tcW w:w="3188" w:type="dxa"/>
            <w:tcBorders>
              <w:bottom w:val="single" w:sz="4" w:space="0" w:color="auto"/>
            </w:tcBorders>
          </w:tcPr>
          <w:p w14:paraId="18B11CD4" w14:textId="77777777" w:rsidR="00B61F2A" w:rsidRPr="001362A6" w:rsidRDefault="00B61F2A" w:rsidP="00B61F2A">
            <w:pPr>
              <w:rPr>
                <w:rFonts w:ascii="Lato" w:hAnsi="Lato"/>
                <w:sz w:val="22"/>
                <w:szCs w:val="22"/>
              </w:rPr>
            </w:pPr>
          </w:p>
        </w:tc>
      </w:tr>
      <w:tr w:rsidR="00B61F2A" w:rsidRPr="001362A6" w14:paraId="3195B67D" w14:textId="77777777" w:rsidTr="00990D73">
        <w:trPr>
          <w:cantSplit/>
          <w:trHeight w:val="117"/>
        </w:trPr>
        <w:tc>
          <w:tcPr>
            <w:tcW w:w="1316" w:type="dxa"/>
          </w:tcPr>
          <w:p w14:paraId="20787D6B" w14:textId="77777777" w:rsidR="00B61F2A" w:rsidRPr="001362A6" w:rsidRDefault="00B61F2A" w:rsidP="00B61F2A">
            <w:pPr>
              <w:jc w:val="right"/>
              <w:rPr>
                <w:rFonts w:ascii="Lato" w:hAnsi="Lato"/>
                <w:sz w:val="22"/>
                <w:szCs w:val="22"/>
              </w:rPr>
            </w:pPr>
            <w:r w:rsidRPr="001362A6">
              <w:rPr>
                <w:rFonts w:ascii="Lato" w:hAnsi="Lato"/>
                <w:sz w:val="22"/>
                <w:szCs w:val="22"/>
              </w:rPr>
              <w:lastRenderedPageBreak/>
              <w:t>d)</w:t>
            </w:r>
          </w:p>
        </w:tc>
        <w:tc>
          <w:tcPr>
            <w:tcW w:w="5891" w:type="dxa"/>
            <w:tcBorders>
              <w:right w:val="single" w:sz="4" w:space="0" w:color="auto"/>
            </w:tcBorders>
          </w:tcPr>
          <w:p w14:paraId="49702845" w14:textId="77777777" w:rsidR="00B61F2A" w:rsidRPr="001362A6" w:rsidRDefault="00B61F2A" w:rsidP="00B61F2A">
            <w:pPr>
              <w:rPr>
                <w:rFonts w:ascii="Lato" w:hAnsi="Lato"/>
                <w:sz w:val="22"/>
                <w:szCs w:val="22"/>
              </w:rPr>
            </w:pPr>
            <w:r w:rsidRPr="001362A6">
              <w:rPr>
                <w:rFonts w:ascii="Lato" w:hAnsi="Lato"/>
                <w:sz w:val="22"/>
                <w:szCs w:val="22"/>
              </w:rPr>
              <w:t xml:space="preserve">Confirm that to cover potential professional liability risks </w:t>
            </w:r>
          </w:p>
        </w:tc>
        <w:tc>
          <w:tcPr>
            <w:tcW w:w="3188" w:type="dxa"/>
            <w:tcBorders>
              <w:top w:val="single" w:sz="4" w:space="0" w:color="auto"/>
              <w:left w:val="single" w:sz="4" w:space="0" w:color="auto"/>
              <w:bottom w:val="single" w:sz="4" w:space="0" w:color="auto"/>
              <w:right w:val="single" w:sz="4" w:space="0" w:color="auto"/>
            </w:tcBorders>
          </w:tcPr>
          <w:p w14:paraId="6EC5B3F5" w14:textId="77777777" w:rsidR="00B61F2A" w:rsidRPr="001362A6" w:rsidRDefault="00B61F2A" w:rsidP="00B61F2A">
            <w:pPr>
              <w:rPr>
                <w:rFonts w:ascii="Lato" w:hAnsi="Lato"/>
                <w:sz w:val="22"/>
                <w:szCs w:val="22"/>
              </w:rPr>
            </w:pPr>
          </w:p>
        </w:tc>
      </w:tr>
      <w:tr w:rsidR="00B61F2A" w:rsidRPr="001362A6" w14:paraId="098543F7" w14:textId="77777777" w:rsidTr="00990D73">
        <w:trPr>
          <w:cantSplit/>
          <w:trHeight w:val="117"/>
        </w:trPr>
        <w:tc>
          <w:tcPr>
            <w:tcW w:w="1316" w:type="dxa"/>
          </w:tcPr>
          <w:p w14:paraId="5786B63F" w14:textId="77777777" w:rsidR="00B61F2A" w:rsidRPr="001362A6" w:rsidRDefault="00B61F2A" w:rsidP="00B61F2A">
            <w:pPr>
              <w:jc w:val="right"/>
              <w:rPr>
                <w:rFonts w:ascii="Lato" w:hAnsi="Lato"/>
                <w:sz w:val="22"/>
                <w:szCs w:val="22"/>
              </w:rPr>
            </w:pPr>
          </w:p>
        </w:tc>
        <w:tc>
          <w:tcPr>
            <w:tcW w:w="5891" w:type="dxa"/>
          </w:tcPr>
          <w:p w14:paraId="660A6ABF" w14:textId="77777777" w:rsidR="00B61F2A" w:rsidRPr="001362A6" w:rsidRDefault="00B61F2A" w:rsidP="00B61F2A">
            <w:pPr>
              <w:rPr>
                <w:rFonts w:ascii="Lato" w:hAnsi="Lato"/>
                <w:sz w:val="22"/>
                <w:szCs w:val="22"/>
              </w:rPr>
            </w:pPr>
            <w:r w:rsidRPr="001362A6">
              <w:rPr>
                <w:rFonts w:ascii="Lato" w:hAnsi="Lato"/>
                <w:sz w:val="22"/>
                <w:szCs w:val="22"/>
              </w:rPr>
              <w:t xml:space="preserve">resulting from activities which the AIFM (this applies to </w:t>
            </w:r>
          </w:p>
        </w:tc>
        <w:tc>
          <w:tcPr>
            <w:tcW w:w="3188" w:type="dxa"/>
            <w:tcBorders>
              <w:top w:val="single" w:sz="4" w:space="0" w:color="auto"/>
            </w:tcBorders>
          </w:tcPr>
          <w:p w14:paraId="38AE15C0" w14:textId="77777777" w:rsidR="00B61F2A" w:rsidRPr="001362A6" w:rsidRDefault="00B61F2A" w:rsidP="00B61F2A">
            <w:pPr>
              <w:rPr>
                <w:rFonts w:ascii="Lato" w:hAnsi="Lato"/>
                <w:sz w:val="22"/>
                <w:szCs w:val="22"/>
              </w:rPr>
            </w:pPr>
          </w:p>
        </w:tc>
      </w:tr>
      <w:tr w:rsidR="00B61F2A" w:rsidRPr="001362A6" w14:paraId="33C0A695" w14:textId="77777777" w:rsidTr="00990D73">
        <w:trPr>
          <w:cantSplit/>
          <w:trHeight w:val="117"/>
        </w:trPr>
        <w:tc>
          <w:tcPr>
            <w:tcW w:w="1316" w:type="dxa"/>
          </w:tcPr>
          <w:p w14:paraId="588D0CB5" w14:textId="77777777" w:rsidR="00B61F2A" w:rsidRPr="001362A6" w:rsidRDefault="00B61F2A" w:rsidP="00B61F2A">
            <w:pPr>
              <w:rPr>
                <w:rFonts w:ascii="Lato" w:hAnsi="Lato"/>
                <w:sz w:val="22"/>
                <w:szCs w:val="22"/>
              </w:rPr>
            </w:pPr>
          </w:p>
        </w:tc>
        <w:tc>
          <w:tcPr>
            <w:tcW w:w="5891" w:type="dxa"/>
          </w:tcPr>
          <w:p w14:paraId="362D5B83" w14:textId="77777777" w:rsidR="00B61F2A" w:rsidRPr="001362A6" w:rsidRDefault="00B61F2A" w:rsidP="00B61F2A">
            <w:pPr>
              <w:rPr>
                <w:rFonts w:ascii="Lato" w:hAnsi="Lato"/>
                <w:sz w:val="22"/>
                <w:szCs w:val="22"/>
              </w:rPr>
            </w:pPr>
            <w:r w:rsidRPr="00590C6D">
              <w:rPr>
                <w:rFonts w:ascii="Lato" w:hAnsi="Lato"/>
                <w:sz w:val="22"/>
                <w:szCs w:val="22"/>
              </w:rPr>
              <w:t>both</w:t>
            </w:r>
            <w:r w:rsidRPr="001362A6">
              <w:rPr>
                <w:rFonts w:ascii="Lato" w:hAnsi="Lato"/>
                <w:sz w:val="22"/>
                <w:szCs w:val="22"/>
              </w:rPr>
              <w:t xml:space="preserve"> internally managed AIFs and external AIFMs) may </w:t>
            </w:r>
          </w:p>
        </w:tc>
        <w:tc>
          <w:tcPr>
            <w:tcW w:w="3188" w:type="dxa"/>
          </w:tcPr>
          <w:p w14:paraId="051C8FAE" w14:textId="77777777" w:rsidR="00B61F2A" w:rsidRPr="001362A6" w:rsidRDefault="00B61F2A" w:rsidP="00B61F2A">
            <w:pPr>
              <w:rPr>
                <w:rFonts w:ascii="Lato" w:hAnsi="Lato"/>
                <w:sz w:val="22"/>
                <w:szCs w:val="22"/>
              </w:rPr>
            </w:pPr>
          </w:p>
        </w:tc>
      </w:tr>
      <w:tr w:rsidR="00B61F2A" w:rsidRPr="001362A6" w14:paraId="5F2B3BC1" w14:textId="77777777" w:rsidTr="007E3170">
        <w:trPr>
          <w:cantSplit/>
          <w:trHeight w:val="117"/>
        </w:trPr>
        <w:tc>
          <w:tcPr>
            <w:tcW w:w="1316" w:type="dxa"/>
          </w:tcPr>
          <w:p w14:paraId="00C36797" w14:textId="77777777" w:rsidR="00B61F2A" w:rsidRPr="001362A6" w:rsidRDefault="00B61F2A" w:rsidP="00B61F2A">
            <w:pPr>
              <w:rPr>
                <w:rFonts w:ascii="Lato" w:hAnsi="Lato"/>
                <w:sz w:val="22"/>
                <w:szCs w:val="22"/>
              </w:rPr>
            </w:pPr>
          </w:p>
        </w:tc>
        <w:tc>
          <w:tcPr>
            <w:tcW w:w="5891" w:type="dxa"/>
          </w:tcPr>
          <w:p w14:paraId="6369CDF1" w14:textId="77777777" w:rsidR="00B61F2A" w:rsidRPr="001362A6" w:rsidRDefault="00B61F2A" w:rsidP="00B61F2A">
            <w:pPr>
              <w:rPr>
                <w:rFonts w:ascii="Lato" w:hAnsi="Lato"/>
                <w:sz w:val="22"/>
                <w:szCs w:val="22"/>
              </w:rPr>
            </w:pPr>
            <w:r w:rsidRPr="00590C6D">
              <w:rPr>
                <w:rFonts w:ascii="Lato" w:hAnsi="Lato"/>
                <w:sz w:val="22"/>
                <w:szCs w:val="22"/>
              </w:rPr>
              <w:t xml:space="preserve">carry out </w:t>
            </w:r>
            <w:r w:rsidRPr="001362A6">
              <w:rPr>
                <w:rFonts w:ascii="Lato" w:hAnsi="Lato"/>
                <w:sz w:val="22"/>
                <w:szCs w:val="22"/>
              </w:rPr>
              <w:t>shall either:</w:t>
            </w:r>
          </w:p>
        </w:tc>
        <w:tc>
          <w:tcPr>
            <w:tcW w:w="3188" w:type="dxa"/>
            <w:tcBorders>
              <w:bottom w:val="single" w:sz="4" w:space="0" w:color="auto"/>
            </w:tcBorders>
          </w:tcPr>
          <w:p w14:paraId="6D0E7855" w14:textId="77777777" w:rsidR="00B61F2A" w:rsidRPr="001362A6" w:rsidRDefault="00B61F2A" w:rsidP="00B61F2A">
            <w:pPr>
              <w:rPr>
                <w:rFonts w:ascii="Lato" w:hAnsi="Lato"/>
                <w:sz w:val="22"/>
                <w:szCs w:val="22"/>
              </w:rPr>
            </w:pPr>
          </w:p>
        </w:tc>
      </w:tr>
      <w:tr w:rsidR="00B61F2A" w:rsidRPr="001362A6" w14:paraId="2A002D54" w14:textId="77777777" w:rsidTr="007E3170">
        <w:trPr>
          <w:cantSplit/>
          <w:trHeight w:val="117"/>
        </w:trPr>
        <w:tc>
          <w:tcPr>
            <w:tcW w:w="1316" w:type="dxa"/>
          </w:tcPr>
          <w:p w14:paraId="18A04417"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5760EC30" w14:textId="77777777" w:rsidR="00B61F2A" w:rsidRPr="001362A6" w:rsidRDefault="00B61F2A" w:rsidP="00B61F2A">
            <w:pPr>
              <w:rPr>
                <w:rFonts w:ascii="Lato" w:hAnsi="Lato"/>
                <w:sz w:val="22"/>
                <w:szCs w:val="22"/>
              </w:rPr>
            </w:pPr>
            <w:r w:rsidRPr="001362A6">
              <w:rPr>
                <w:rFonts w:ascii="Lato" w:hAnsi="Lato"/>
                <w:sz w:val="22"/>
                <w:szCs w:val="22"/>
              </w:rPr>
              <w:t>a)have additional own funds which are appropriate to cover</w:t>
            </w:r>
          </w:p>
        </w:tc>
        <w:tc>
          <w:tcPr>
            <w:tcW w:w="3188" w:type="dxa"/>
            <w:tcBorders>
              <w:top w:val="single" w:sz="4" w:space="0" w:color="auto"/>
              <w:left w:val="single" w:sz="4" w:space="0" w:color="auto"/>
              <w:bottom w:val="single" w:sz="4" w:space="0" w:color="auto"/>
              <w:right w:val="single" w:sz="4" w:space="0" w:color="auto"/>
            </w:tcBorders>
          </w:tcPr>
          <w:p w14:paraId="3C51D25E" w14:textId="77777777" w:rsidR="00B61F2A" w:rsidRPr="001362A6" w:rsidRDefault="00B61F2A" w:rsidP="00B61F2A">
            <w:pPr>
              <w:rPr>
                <w:rFonts w:ascii="Lato" w:hAnsi="Lato"/>
                <w:sz w:val="22"/>
                <w:szCs w:val="22"/>
              </w:rPr>
            </w:pPr>
          </w:p>
        </w:tc>
      </w:tr>
      <w:tr w:rsidR="00B61F2A" w:rsidRPr="001362A6" w14:paraId="17CA43E4" w14:textId="77777777" w:rsidTr="007E3170">
        <w:trPr>
          <w:cantSplit/>
          <w:trHeight w:val="117"/>
        </w:trPr>
        <w:tc>
          <w:tcPr>
            <w:tcW w:w="1316" w:type="dxa"/>
          </w:tcPr>
          <w:p w14:paraId="63D7A670" w14:textId="77777777" w:rsidR="00B61F2A" w:rsidRPr="001362A6" w:rsidRDefault="00B61F2A" w:rsidP="00B61F2A">
            <w:pPr>
              <w:rPr>
                <w:rFonts w:ascii="Lato" w:hAnsi="Lato"/>
                <w:sz w:val="22"/>
                <w:szCs w:val="22"/>
              </w:rPr>
            </w:pPr>
          </w:p>
        </w:tc>
        <w:tc>
          <w:tcPr>
            <w:tcW w:w="5891" w:type="dxa"/>
          </w:tcPr>
          <w:p w14:paraId="6318F5FF" w14:textId="77777777" w:rsidR="00B61F2A" w:rsidRPr="001362A6" w:rsidRDefault="00B61F2A" w:rsidP="00B61F2A">
            <w:pPr>
              <w:rPr>
                <w:rFonts w:ascii="Lato" w:hAnsi="Lato"/>
                <w:sz w:val="22"/>
                <w:szCs w:val="22"/>
              </w:rPr>
            </w:pPr>
            <w:r w:rsidRPr="001362A6">
              <w:rPr>
                <w:rFonts w:ascii="Lato" w:hAnsi="Lato"/>
                <w:sz w:val="22"/>
                <w:szCs w:val="22"/>
              </w:rPr>
              <w:t>potential liability risks arising from professional negligence or:</w:t>
            </w:r>
          </w:p>
        </w:tc>
        <w:tc>
          <w:tcPr>
            <w:tcW w:w="3188" w:type="dxa"/>
            <w:tcBorders>
              <w:top w:val="single" w:sz="4" w:space="0" w:color="auto"/>
              <w:bottom w:val="single" w:sz="4" w:space="0" w:color="auto"/>
            </w:tcBorders>
          </w:tcPr>
          <w:p w14:paraId="4FA21346" w14:textId="77777777" w:rsidR="00B61F2A" w:rsidRPr="001362A6" w:rsidRDefault="00B61F2A" w:rsidP="00B61F2A">
            <w:pPr>
              <w:rPr>
                <w:rFonts w:ascii="Lato" w:hAnsi="Lato"/>
                <w:sz w:val="22"/>
                <w:szCs w:val="22"/>
              </w:rPr>
            </w:pPr>
          </w:p>
        </w:tc>
      </w:tr>
      <w:tr w:rsidR="00B61F2A" w:rsidRPr="001362A6" w14:paraId="3FBE00C8" w14:textId="77777777" w:rsidTr="007E3170">
        <w:trPr>
          <w:cantSplit/>
          <w:trHeight w:val="117"/>
        </w:trPr>
        <w:tc>
          <w:tcPr>
            <w:tcW w:w="1316" w:type="dxa"/>
          </w:tcPr>
          <w:p w14:paraId="459B450A"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70B467D9" w14:textId="77777777" w:rsidR="00B61F2A" w:rsidRPr="001362A6" w:rsidRDefault="00B61F2A" w:rsidP="00B61F2A">
            <w:pPr>
              <w:rPr>
                <w:rFonts w:ascii="Lato" w:hAnsi="Lato"/>
                <w:sz w:val="22"/>
                <w:szCs w:val="22"/>
              </w:rPr>
            </w:pPr>
            <w:r w:rsidRPr="001362A6">
              <w:rPr>
                <w:rFonts w:ascii="Lato" w:hAnsi="Lato"/>
                <w:sz w:val="22"/>
                <w:szCs w:val="22"/>
              </w:rPr>
              <w:t xml:space="preserve">b)hold a professional indemnity insurance against liability </w:t>
            </w:r>
          </w:p>
        </w:tc>
        <w:tc>
          <w:tcPr>
            <w:tcW w:w="3188" w:type="dxa"/>
            <w:tcBorders>
              <w:top w:val="single" w:sz="4" w:space="0" w:color="auto"/>
              <w:left w:val="single" w:sz="4" w:space="0" w:color="auto"/>
              <w:bottom w:val="single" w:sz="4" w:space="0" w:color="auto"/>
              <w:right w:val="single" w:sz="4" w:space="0" w:color="auto"/>
            </w:tcBorders>
          </w:tcPr>
          <w:p w14:paraId="5400DA28" w14:textId="77777777" w:rsidR="00B61F2A" w:rsidRPr="001362A6" w:rsidRDefault="00B61F2A" w:rsidP="00B61F2A">
            <w:pPr>
              <w:rPr>
                <w:rFonts w:ascii="Lato" w:hAnsi="Lato"/>
                <w:sz w:val="22"/>
                <w:szCs w:val="22"/>
              </w:rPr>
            </w:pPr>
          </w:p>
        </w:tc>
      </w:tr>
      <w:tr w:rsidR="00B61F2A" w:rsidRPr="001362A6" w14:paraId="339E2FE6" w14:textId="77777777" w:rsidTr="007E3170">
        <w:trPr>
          <w:cantSplit/>
          <w:trHeight w:val="117"/>
        </w:trPr>
        <w:tc>
          <w:tcPr>
            <w:tcW w:w="1316" w:type="dxa"/>
          </w:tcPr>
          <w:p w14:paraId="7730C0BC" w14:textId="77777777" w:rsidR="00B61F2A" w:rsidRPr="001362A6" w:rsidRDefault="00B61F2A" w:rsidP="00B61F2A">
            <w:pPr>
              <w:rPr>
                <w:rFonts w:ascii="Lato" w:hAnsi="Lato"/>
                <w:sz w:val="22"/>
                <w:szCs w:val="22"/>
              </w:rPr>
            </w:pPr>
          </w:p>
        </w:tc>
        <w:tc>
          <w:tcPr>
            <w:tcW w:w="5891" w:type="dxa"/>
          </w:tcPr>
          <w:p w14:paraId="245EE276" w14:textId="77777777" w:rsidR="00B61F2A" w:rsidRPr="001362A6" w:rsidRDefault="00B61F2A" w:rsidP="00B61F2A">
            <w:pPr>
              <w:rPr>
                <w:rFonts w:ascii="Lato" w:hAnsi="Lato"/>
                <w:sz w:val="22"/>
                <w:szCs w:val="22"/>
              </w:rPr>
            </w:pPr>
            <w:r w:rsidRPr="001362A6">
              <w:rPr>
                <w:rFonts w:ascii="Lato" w:hAnsi="Lato"/>
                <w:sz w:val="22"/>
                <w:szCs w:val="22"/>
              </w:rPr>
              <w:t xml:space="preserve">arising from professional negligence which is appropriate </w:t>
            </w:r>
          </w:p>
        </w:tc>
        <w:tc>
          <w:tcPr>
            <w:tcW w:w="3188" w:type="dxa"/>
            <w:tcBorders>
              <w:top w:val="single" w:sz="4" w:space="0" w:color="auto"/>
            </w:tcBorders>
          </w:tcPr>
          <w:p w14:paraId="67228D93" w14:textId="77777777" w:rsidR="00B61F2A" w:rsidRPr="001362A6" w:rsidRDefault="00B61F2A" w:rsidP="00B61F2A">
            <w:pPr>
              <w:rPr>
                <w:rFonts w:ascii="Lato" w:hAnsi="Lato"/>
                <w:sz w:val="22"/>
                <w:szCs w:val="22"/>
              </w:rPr>
            </w:pPr>
          </w:p>
        </w:tc>
      </w:tr>
      <w:tr w:rsidR="00B61F2A" w:rsidRPr="001362A6" w14:paraId="1349CEF5" w14:textId="77777777" w:rsidTr="00990D73">
        <w:trPr>
          <w:cantSplit/>
          <w:trHeight w:val="117"/>
        </w:trPr>
        <w:tc>
          <w:tcPr>
            <w:tcW w:w="1316" w:type="dxa"/>
          </w:tcPr>
          <w:p w14:paraId="56A048D2" w14:textId="77777777" w:rsidR="00B61F2A" w:rsidRPr="001362A6" w:rsidRDefault="00B61F2A" w:rsidP="00B61F2A">
            <w:pPr>
              <w:rPr>
                <w:rFonts w:ascii="Lato" w:hAnsi="Lato"/>
                <w:sz w:val="22"/>
                <w:szCs w:val="22"/>
              </w:rPr>
            </w:pPr>
          </w:p>
        </w:tc>
        <w:tc>
          <w:tcPr>
            <w:tcW w:w="5891" w:type="dxa"/>
          </w:tcPr>
          <w:p w14:paraId="5E1677F4" w14:textId="77777777" w:rsidR="00B61F2A" w:rsidRPr="001362A6" w:rsidRDefault="00B61F2A" w:rsidP="00B61F2A">
            <w:pPr>
              <w:rPr>
                <w:rFonts w:ascii="Lato" w:hAnsi="Lato"/>
                <w:sz w:val="22"/>
                <w:szCs w:val="22"/>
              </w:rPr>
            </w:pPr>
            <w:r w:rsidRPr="00590C6D">
              <w:rPr>
                <w:rFonts w:ascii="Lato" w:hAnsi="Lato"/>
                <w:sz w:val="22"/>
                <w:szCs w:val="22"/>
              </w:rPr>
              <w:t xml:space="preserve">to </w:t>
            </w:r>
            <w:r w:rsidRPr="001362A6">
              <w:rPr>
                <w:rFonts w:ascii="Lato" w:hAnsi="Lato"/>
                <w:sz w:val="22"/>
                <w:szCs w:val="22"/>
              </w:rPr>
              <w:t>the risks covered.</w:t>
            </w:r>
          </w:p>
        </w:tc>
        <w:tc>
          <w:tcPr>
            <w:tcW w:w="3188" w:type="dxa"/>
          </w:tcPr>
          <w:p w14:paraId="1F04B96A" w14:textId="77777777" w:rsidR="00B61F2A" w:rsidRPr="001362A6" w:rsidRDefault="00B61F2A" w:rsidP="00B61F2A">
            <w:pPr>
              <w:rPr>
                <w:rFonts w:ascii="Lato" w:hAnsi="Lato"/>
                <w:sz w:val="22"/>
                <w:szCs w:val="22"/>
              </w:rPr>
            </w:pPr>
          </w:p>
        </w:tc>
      </w:tr>
      <w:tr w:rsidR="00B61F2A" w:rsidRPr="001362A6" w14:paraId="6D0B00FD" w14:textId="77777777" w:rsidTr="00990D73">
        <w:trPr>
          <w:cantSplit/>
          <w:trHeight w:val="117"/>
        </w:trPr>
        <w:tc>
          <w:tcPr>
            <w:tcW w:w="1316" w:type="dxa"/>
          </w:tcPr>
          <w:p w14:paraId="1195505E" w14:textId="77777777" w:rsidR="00B61F2A" w:rsidRPr="001362A6" w:rsidRDefault="00B61F2A" w:rsidP="00B61F2A">
            <w:pPr>
              <w:rPr>
                <w:rFonts w:ascii="Lato" w:hAnsi="Lato"/>
                <w:sz w:val="22"/>
                <w:szCs w:val="22"/>
              </w:rPr>
            </w:pPr>
          </w:p>
        </w:tc>
        <w:tc>
          <w:tcPr>
            <w:tcW w:w="5891" w:type="dxa"/>
          </w:tcPr>
          <w:p w14:paraId="2838E4F1" w14:textId="77777777" w:rsidR="00B61F2A" w:rsidRPr="001362A6" w:rsidRDefault="00B61F2A" w:rsidP="00B61F2A">
            <w:pPr>
              <w:rPr>
                <w:rFonts w:ascii="Lato" w:hAnsi="Lato"/>
                <w:sz w:val="22"/>
                <w:szCs w:val="22"/>
              </w:rPr>
            </w:pPr>
          </w:p>
        </w:tc>
        <w:tc>
          <w:tcPr>
            <w:tcW w:w="3188" w:type="dxa"/>
          </w:tcPr>
          <w:p w14:paraId="29B3AD45" w14:textId="77777777" w:rsidR="00B61F2A" w:rsidRPr="001362A6" w:rsidRDefault="00B61F2A" w:rsidP="00B61F2A">
            <w:pPr>
              <w:rPr>
                <w:rFonts w:ascii="Lato" w:hAnsi="Lato"/>
                <w:sz w:val="22"/>
                <w:szCs w:val="22"/>
              </w:rPr>
            </w:pPr>
          </w:p>
        </w:tc>
      </w:tr>
      <w:tr w:rsidR="00B61F2A" w:rsidRPr="001362A6" w14:paraId="61D60A15" w14:textId="77777777" w:rsidTr="00990D73">
        <w:trPr>
          <w:cantSplit/>
          <w:trHeight w:val="117"/>
        </w:trPr>
        <w:tc>
          <w:tcPr>
            <w:tcW w:w="1316" w:type="dxa"/>
          </w:tcPr>
          <w:p w14:paraId="5A31CA57" w14:textId="77777777" w:rsidR="00B61F2A" w:rsidRPr="001362A6" w:rsidRDefault="00B61F2A" w:rsidP="00B61F2A">
            <w:pPr>
              <w:jc w:val="right"/>
              <w:rPr>
                <w:rFonts w:ascii="Lato" w:hAnsi="Lato"/>
                <w:sz w:val="22"/>
                <w:szCs w:val="22"/>
              </w:rPr>
            </w:pPr>
            <w:r w:rsidRPr="001362A6">
              <w:rPr>
                <w:rFonts w:ascii="Lato" w:hAnsi="Lato"/>
                <w:sz w:val="22"/>
                <w:szCs w:val="22"/>
              </w:rPr>
              <w:t>e)</w:t>
            </w:r>
          </w:p>
        </w:tc>
        <w:tc>
          <w:tcPr>
            <w:tcW w:w="5891" w:type="dxa"/>
          </w:tcPr>
          <w:p w14:paraId="432C631E" w14:textId="77777777" w:rsidR="00B61F2A" w:rsidRPr="001362A6" w:rsidRDefault="00B61F2A" w:rsidP="00B61F2A">
            <w:pPr>
              <w:rPr>
                <w:rFonts w:ascii="Lato" w:hAnsi="Lato"/>
                <w:sz w:val="22"/>
                <w:szCs w:val="22"/>
              </w:rPr>
            </w:pPr>
            <w:r w:rsidRPr="001362A6">
              <w:rPr>
                <w:rFonts w:ascii="Lato" w:hAnsi="Lato"/>
                <w:sz w:val="22"/>
                <w:szCs w:val="22"/>
              </w:rPr>
              <w:t>A description of how the AIFM is complying with the requirements of Regulation 14</w:t>
            </w:r>
          </w:p>
        </w:tc>
        <w:tc>
          <w:tcPr>
            <w:tcW w:w="3188" w:type="dxa"/>
          </w:tcPr>
          <w:p w14:paraId="18E344E0" w14:textId="77777777" w:rsidR="00B61F2A" w:rsidRPr="001362A6" w:rsidRDefault="00B61F2A" w:rsidP="00B61F2A">
            <w:pPr>
              <w:rPr>
                <w:rFonts w:ascii="Lato" w:hAnsi="Lato"/>
                <w:sz w:val="22"/>
                <w:szCs w:val="22"/>
              </w:rPr>
            </w:pPr>
          </w:p>
        </w:tc>
      </w:tr>
      <w:tr w:rsidR="00B61F2A" w:rsidRPr="001362A6" w14:paraId="03E88D6B" w14:textId="77777777" w:rsidTr="00990D73">
        <w:trPr>
          <w:cantSplit/>
          <w:trHeight w:val="117"/>
        </w:trPr>
        <w:tc>
          <w:tcPr>
            <w:tcW w:w="1316" w:type="dxa"/>
          </w:tcPr>
          <w:p w14:paraId="6B4DB71F" w14:textId="77777777" w:rsidR="00B61F2A" w:rsidRPr="001362A6" w:rsidRDefault="00B61F2A" w:rsidP="00B61F2A">
            <w:pPr>
              <w:rPr>
                <w:rFonts w:ascii="Lato" w:hAnsi="Lato"/>
                <w:sz w:val="22"/>
                <w:szCs w:val="22"/>
              </w:rPr>
            </w:pPr>
          </w:p>
        </w:tc>
        <w:tc>
          <w:tcPr>
            <w:tcW w:w="5891" w:type="dxa"/>
          </w:tcPr>
          <w:p w14:paraId="1F7704E5" w14:textId="77777777" w:rsidR="00B61F2A" w:rsidRPr="001362A6" w:rsidRDefault="00B61F2A" w:rsidP="00B61F2A">
            <w:pPr>
              <w:rPr>
                <w:rFonts w:ascii="Lato" w:hAnsi="Lato"/>
                <w:sz w:val="22"/>
                <w:szCs w:val="22"/>
              </w:rPr>
            </w:pPr>
          </w:p>
        </w:tc>
        <w:tc>
          <w:tcPr>
            <w:tcW w:w="3188" w:type="dxa"/>
          </w:tcPr>
          <w:p w14:paraId="34037692" w14:textId="77777777" w:rsidR="00B61F2A" w:rsidRPr="001362A6" w:rsidRDefault="00B61F2A" w:rsidP="00B61F2A">
            <w:pPr>
              <w:rPr>
                <w:rFonts w:ascii="Lato" w:hAnsi="Lato"/>
                <w:sz w:val="22"/>
                <w:szCs w:val="22"/>
              </w:rPr>
            </w:pPr>
          </w:p>
        </w:tc>
      </w:tr>
      <w:tr w:rsidR="00B61F2A" w:rsidRPr="001362A6" w14:paraId="153AEDF0" w14:textId="77777777" w:rsidTr="00990D73">
        <w:tc>
          <w:tcPr>
            <w:tcW w:w="1316" w:type="dxa"/>
          </w:tcPr>
          <w:p w14:paraId="0B85F533" w14:textId="77777777" w:rsidR="00B61F2A" w:rsidRPr="001362A6" w:rsidRDefault="00B61F2A" w:rsidP="00B61F2A">
            <w:pPr>
              <w:rPr>
                <w:rFonts w:ascii="Lato" w:hAnsi="Lato"/>
                <w:bCs/>
                <w:sz w:val="22"/>
                <w:szCs w:val="22"/>
              </w:rPr>
            </w:pPr>
            <w:r w:rsidRPr="001362A6">
              <w:rPr>
                <w:rFonts w:ascii="Lato" w:hAnsi="Lato"/>
                <w:bCs/>
                <w:sz w:val="22"/>
                <w:szCs w:val="22"/>
              </w:rPr>
              <w:t>2.7.3</w:t>
            </w:r>
          </w:p>
        </w:tc>
        <w:tc>
          <w:tcPr>
            <w:tcW w:w="5891" w:type="dxa"/>
          </w:tcPr>
          <w:p w14:paraId="2D1C6944" w14:textId="77777777" w:rsidR="00B61F2A" w:rsidRPr="001362A6" w:rsidRDefault="00B61F2A" w:rsidP="00B61F2A">
            <w:pPr>
              <w:rPr>
                <w:rFonts w:ascii="Lato" w:hAnsi="Lato"/>
                <w:b/>
                <w:bCs/>
                <w:sz w:val="22"/>
                <w:szCs w:val="22"/>
              </w:rPr>
            </w:pPr>
            <w:r w:rsidRPr="001362A6">
              <w:rPr>
                <w:rFonts w:ascii="Lato" w:hAnsi="Lato"/>
                <w:b/>
                <w:bCs/>
                <w:sz w:val="22"/>
                <w:szCs w:val="22"/>
              </w:rPr>
              <w:t>Information Concerning the Management Company/General Partner</w:t>
            </w:r>
          </w:p>
        </w:tc>
        <w:tc>
          <w:tcPr>
            <w:tcW w:w="3188" w:type="dxa"/>
          </w:tcPr>
          <w:p w14:paraId="35FF10F9" w14:textId="77777777" w:rsidR="00B61F2A" w:rsidRPr="001362A6" w:rsidRDefault="00B61F2A" w:rsidP="00B61F2A">
            <w:pPr>
              <w:rPr>
                <w:rFonts w:ascii="Lato" w:hAnsi="Lato"/>
                <w:b/>
                <w:bCs/>
                <w:sz w:val="22"/>
                <w:szCs w:val="22"/>
              </w:rPr>
            </w:pPr>
          </w:p>
        </w:tc>
      </w:tr>
      <w:tr w:rsidR="00B61F2A" w:rsidRPr="001362A6" w14:paraId="7A046ADB" w14:textId="77777777" w:rsidTr="00990D73">
        <w:tc>
          <w:tcPr>
            <w:tcW w:w="1316" w:type="dxa"/>
          </w:tcPr>
          <w:p w14:paraId="10C6BCA0" w14:textId="77777777" w:rsidR="00B61F2A" w:rsidRPr="001362A6" w:rsidRDefault="00B61F2A" w:rsidP="00B61F2A">
            <w:pPr>
              <w:rPr>
                <w:rFonts w:ascii="Lato" w:hAnsi="Lato"/>
                <w:sz w:val="22"/>
                <w:szCs w:val="22"/>
              </w:rPr>
            </w:pPr>
          </w:p>
        </w:tc>
        <w:tc>
          <w:tcPr>
            <w:tcW w:w="5891" w:type="dxa"/>
          </w:tcPr>
          <w:p w14:paraId="333EEE96"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1053CDA2" w14:textId="77777777" w:rsidR="00B61F2A" w:rsidRPr="001362A6" w:rsidRDefault="00B61F2A" w:rsidP="00B61F2A">
            <w:pPr>
              <w:rPr>
                <w:rFonts w:ascii="Lato" w:hAnsi="Lato"/>
                <w:b/>
                <w:bCs/>
                <w:sz w:val="22"/>
                <w:szCs w:val="22"/>
              </w:rPr>
            </w:pPr>
          </w:p>
        </w:tc>
      </w:tr>
      <w:tr w:rsidR="00B61F2A" w:rsidRPr="001362A6" w14:paraId="7E249B77" w14:textId="77777777" w:rsidTr="00990D73">
        <w:tc>
          <w:tcPr>
            <w:tcW w:w="1316" w:type="dxa"/>
          </w:tcPr>
          <w:p w14:paraId="16845DCE" w14:textId="77777777" w:rsidR="00B61F2A" w:rsidRPr="001362A6" w:rsidRDefault="00B61F2A" w:rsidP="00B61F2A">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6F0F6041" w14:textId="77777777" w:rsidR="00B61F2A" w:rsidRPr="001362A6" w:rsidRDefault="00B61F2A" w:rsidP="00B61F2A">
            <w:pPr>
              <w:rPr>
                <w:rFonts w:ascii="Lato" w:hAnsi="Lato"/>
                <w:sz w:val="22"/>
                <w:szCs w:val="22"/>
              </w:rPr>
            </w:pPr>
            <w:r w:rsidRPr="001362A6">
              <w:rPr>
                <w:rFonts w:ascii="Lato" w:hAnsi="Lato"/>
                <w:sz w:val="22"/>
                <w:szCs w:val="22"/>
              </w:rPr>
              <w:t>Name</w:t>
            </w:r>
          </w:p>
        </w:tc>
        <w:tc>
          <w:tcPr>
            <w:tcW w:w="3188" w:type="dxa"/>
            <w:tcBorders>
              <w:top w:val="single" w:sz="4" w:space="0" w:color="auto"/>
              <w:left w:val="single" w:sz="4" w:space="0" w:color="auto"/>
              <w:bottom w:val="single" w:sz="4" w:space="0" w:color="auto"/>
              <w:right w:val="single" w:sz="4" w:space="0" w:color="auto"/>
            </w:tcBorders>
          </w:tcPr>
          <w:p w14:paraId="3BEC9533" w14:textId="77777777" w:rsidR="00B61F2A" w:rsidRPr="001362A6" w:rsidRDefault="00B61F2A" w:rsidP="00B61F2A">
            <w:pPr>
              <w:rPr>
                <w:rFonts w:ascii="Lato" w:hAnsi="Lato"/>
                <w:sz w:val="22"/>
                <w:szCs w:val="22"/>
              </w:rPr>
            </w:pPr>
          </w:p>
        </w:tc>
      </w:tr>
      <w:tr w:rsidR="00B61F2A" w:rsidRPr="001362A6" w14:paraId="46FA5109" w14:textId="77777777" w:rsidTr="00990D73">
        <w:tc>
          <w:tcPr>
            <w:tcW w:w="1316" w:type="dxa"/>
          </w:tcPr>
          <w:p w14:paraId="5D6D318B" w14:textId="77777777" w:rsidR="00B61F2A" w:rsidRPr="001362A6" w:rsidRDefault="00B61F2A" w:rsidP="00B61F2A">
            <w:pPr>
              <w:jc w:val="right"/>
              <w:rPr>
                <w:rFonts w:ascii="Lato" w:hAnsi="Lato"/>
                <w:sz w:val="22"/>
                <w:szCs w:val="22"/>
              </w:rPr>
            </w:pPr>
          </w:p>
        </w:tc>
        <w:tc>
          <w:tcPr>
            <w:tcW w:w="5891" w:type="dxa"/>
          </w:tcPr>
          <w:p w14:paraId="41129184"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00653DA3" w14:textId="77777777" w:rsidR="00B61F2A" w:rsidRPr="001362A6" w:rsidRDefault="00B61F2A" w:rsidP="00B61F2A">
            <w:pPr>
              <w:rPr>
                <w:rFonts w:ascii="Lato" w:hAnsi="Lato"/>
                <w:sz w:val="22"/>
                <w:szCs w:val="22"/>
              </w:rPr>
            </w:pPr>
          </w:p>
        </w:tc>
      </w:tr>
      <w:tr w:rsidR="00B61F2A" w:rsidRPr="001362A6" w14:paraId="2B528C86" w14:textId="77777777" w:rsidTr="00990D73">
        <w:tc>
          <w:tcPr>
            <w:tcW w:w="1316" w:type="dxa"/>
          </w:tcPr>
          <w:p w14:paraId="0C03904E" w14:textId="77777777" w:rsidR="00B61F2A" w:rsidRPr="001362A6" w:rsidRDefault="00B61F2A" w:rsidP="00B61F2A">
            <w:pPr>
              <w:jc w:val="right"/>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7FC3AD84" w14:textId="77777777" w:rsidR="00B61F2A" w:rsidRPr="001362A6" w:rsidRDefault="00B61F2A" w:rsidP="00B61F2A">
            <w:pPr>
              <w:rPr>
                <w:rFonts w:ascii="Lato" w:hAnsi="Lato"/>
                <w:sz w:val="22"/>
                <w:szCs w:val="22"/>
              </w:rPr>
            </w:pPr>
            <w:r w:rsidRPr="001362A6">
              <w:rPr>
                <w:rFonts w:ascii="Lato" w:hAnsi="Lato"/>
                <w:sz w:val="22"/>
                <w:szCs w:val="22"/>
              </w:rPr>
              <w:t>Form in law</w:t>
            </w:r>
          </w:p>
        </w:tc>
        <w:tc>
          <w:tcPr>
            <w:tcW w:w="3188" w:type="dxa"/>
            <w:tcBorders>
              <w:top w:val="single" w:sz="4" w:space="0" w:color="auto"/>
              <w:left w:val="single" w:sz="4" w:space="0" w:color="auto"/>
              <w:bottom w:val="single" w:sz="4" w:space="0" w:color="auto"/>
              <w:right w:val="single" w:sz="4" w:space="0" w:color="auto"/>
            </w:tcBorders>
          </w:tcPr>
          <w:p w14:paraId="10E48F1A" w14:textId="77777777" w:rsidR="00B61F2A" w:rsidRPr="001362A6" w:rsidRDefault="00B61F2A" w:rsidP="00B61F2A">
            <w:pPr>
              <w:rPr>
                <w:rFonts w:ascii="Lato" w:hAnsi="Lato"/>
                <w:sz w:val="22"/>
                <w:szCs w:val="22"/>
              </w:rPr>
            </w:pPr>
          </w:p>
        </w:tc>
      </w:tr>
      <w:tr w:rsidR="00B61F2A" w:rsidRPr="001362A6" w14:paraId="7D8B3951" w14:textId="77777777" w:rsidTr="00990D73">
        <w:tc>
          <w:tcPr>
            <w:tcW w:w="1316" w:type="dxa"/>
          </w:tcPr>
          <w:p w14:paraId="18E5AD60" w14:textId="77777777" w:rsidR="00B61F2A" w:rsidRPr="001362A6" w:rsidRDefault="00B61F2A" w:rsidP="00B61F2A">
            <w:pPr>
              <w:jc w:val="right"/>
              <w:rPr>
                <w:rFonts w:ascii="Lato" w:hAnsi="Lato"/>
                <w:sz w:val="22"/>
                <w:szCs w:val="22"/>
              </w:rPr>
            </w:pPr>
          </w:p>
        </w:tc>
        <w:tc>
          <w:tcPr>
            <w:tcW w:w="5891" w:type="dxa"/>
          </w:tcPr>
          <w:p w14:paraId="3E38F44C"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2A00D8D5" w14:textId="77777777" w:rsidR="00B61F2A" w:rsidRPr="001362A6" w:rsidRDefault="00B61F2A" w:rsidP="00B61F2A">
            <w:pPr>
              <w:rPr>
                <w:rFonts w:ascii="Lato" w:hAnsi="Lato"/>
                <w:sz w:val="22"/>
                <w:szCs w:val="22"/>
              </w:rPr>
            </w:pPr>
          </w:p>
        </w:tc>
      </w:tr>
      <w:tr w:rsidR="00B61F2A" w:rsidRPr="001362A6" w14:paraId="2B83E603" w14:textId="77777777" w:rsidTr="00990D73">
        <w:tc>
          <w:tcPr>
            <w:tcW w:w="1316" w:type="dxa"/>
          </w:tcPr>
          <w:p w14:paraId="6122E5BD" w14:textId="77777777" w:rsidR="00B61F2A" w:rsidRPr="001362A6" w:rsidRDefault="00B61F2A" w:rsidP="00B61F2A">
            <w:pPr>
              <w:jc w:val="right"/>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12D473AE" w14:textId="77777777" w:rsidR="00B61F2A" w:rsidRPr="001362A6" w:rsidRDefault="00B61F2A" w:rsidP="00B61F2A">
            <w:pPr>
              <w:rPr>
                <w:rFonts w:ascii="Lato" w:hAnsi="Lato"/>
                <w:sz w:val="22"/>
                <w:szCs w:val="22"/>
              </w:rPr>
            </w:pPr>
            <w:r w:rsidRPr="001362A6">
              <w:rPr>
                <w:rFonts w:ascii="Lato" w:hAnsi="Lato"/>
                <w:sz w:val="22"/>
                <w:szCs w:val="22"/>
              </w:rPr>
              <w:t>Registered office</w:t>
            </w:r>
          </w:p>
        </w:tc>
        <w:tc>
          <w:tcPr>
            <w:tcW w:w="3188" w:type="dxa"/>
            <w:tcBorders>
              <w:top w:val="single" w:sz="4" w:space="0" w:color="auto"/>
              <w:left w:val="single" w:sz="4" w:space="0" w:color="auto"/>
              <w:bottom w:val="single" w:sz="4" w:space="0" w:color="auto"/>
              <w:right w:val="single" w:sz="4" w:space="0" w:color="auto"/>
            </w:tcBorders>
          </w:tcPr>
          <w:p w14:paraId="7B66A2E3" w14:textId="77777777" w:rsidR="00B61F2A" w:rsidRPr="001362A6" w:rsidRDefault="00B61F2A" w:rsidP="00B61F2A">
            <w:pPr>
              <w:rPr>
                <w:rFonts w:ascii="Lato" w:hAnsi="Lato"/>
                <w:sz w:val="22"/>
                <w:szCs w:val="22"/>
              </w:rPr>
            </w:pPr>
          </w:p>
        </w:tc>
      </w:tr>
      <w:tr w:rsidR="00B61F2A" w:rsidRPr="001362A6" w14:paraId="7552A7AA" w14:textId="77777777" w:rsidTr="00990D73">
        <w:tc>
          <w:tcPr>
            <w:tcW w:w="1316" w:type="dxa"/>
          </w:tcPr>
          <w:p w14:paraId="7E1BCB31" w14:textId="77777777" w:rsidR="00B61F2A" w:rsidRPr="001362A6" w:rsidRDefault="00B61F2A" w:rsidP="00B61F2A">
            <w:pPr>
              <w:jc w:val="right"/>
              <w:rPr>
                <w:rFonts w:ascii="Lato" w:hAnsi="Lato"/>
                <w:sz w:val="22"/>
                <w:szCs w:val="22"/>
              </w:rPr>
            </w:pPr>
          </w:p>
        </w:tc>
        <w:tc>
          <w:tcPr>
            <w:tcW w:w="5891" w:type="dxa"/>
          </w:tcPr>
          <w:p w14:paraId="0B4F094B"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72244AB3" w14:textId="77777777" w:rsidR="00B61F2A" w:rsidRPr="001362A6" w:rsidRDefault="00B61F2A" w:rsidP="00B61F2A">
            <w:pPr>
              <w:rPr>
                <w:rFonts w:ascii="Lato" w:hAnsi="Lato"/>
                <w:sz w:val="22"/>
                <w:szCs w:val="22"/>
              </w:rPr>
            </w:pPr>
          </w:p>
        </w:tc>
      </w:tr>
      <w:tr w:rsidR="00B61F2A" w:rsidRPr="001362A6" w14:paraId="41CEA53F" w14:textId="77777777" w:rsidTr="00990D73">
        <w:tc>
          <w:tcPr>
            <w:tcW w:w="1316" w:type="dxa"/>
          </w:tcPr>
          <w:p w14:paraId="7EF721A9" w14:textId="77777777" w:rsidR="00B61F2A" w:rsidRPr="001362A6" w:rsidRDefault="00B61F2A" w:rsidP="00B61F2A">
            <w:pPr>
              <w:jc w:val="right"/>
              <w:rPr>
                <w:rFonts w:ascii="Lato" w:hAnsi="Lato"/>
                <w:sz w:val="22"/>
                <w:szCs w:val="22"/>
              </w:rPr>
            </w:pPr>
            <w:r w:rsidRPr="001362A6">
              <w:rPr>
                <w:rFonts w:ascii="Lato" w:hAnsi="Lato"/>
                <w:sz w:val="22"/>
                <w:szCs w:val="22"/>
              </w:rPr>
              <w:t>d)</w:t>
            </w:r>
          </w:p>
        </w:tc>
        <w:tc>
          <w:tcPr>
            <w:tcW w:w="5891" w:type="dxa"/>
            <w:tcBorders>
              <w:right w:val="single" w:sz="4" w:space="0" w:color="auto"/>
            </w:tcBorders>
          </w:tcPr>
          <w:p w14:paraId="69D348CD" w14:textId="77777777" w:rsidR="00B61F2A" w:rsidRPr="001362A6" w:rsidRDefault="00B61F2A" w:rsidP="00B61F2A">
            <w:pPr>
              <w:rPr>
                <w:rFonts w:ascii="Lato" w:hAnsi="Lato"/>
                <w:sz w:val="22"/>
                <w:szCs w:val="22"/>
              </w:rPr>
            </w:pPr>
            <w:r w:rsidRPr="001362A6">
              <w:rPr>
                <w:rFonts w:ascii="Lato" w:hAnsi="Lato"/>
                <w:sz w:val="22"/>
                <w:szCs w:val="22"/>
              </w:rPr>
              <w:t>Head office (if different from registered office)</w:t>
            </w:r>
          </w:p>
        </w:tc>
        <w:tc>
          <w:tcPr>
            <w:tcW w:w="3188" w:type="dxa"/>
            <w:tcBorders>
              <w:top w:val="single" w:sz="4" w:space="0" w:color="auto"/>
              <w:left w:val="single" w:sz="4" w:space="0" w:color="auto"/>
              <w:bottom w:val="single" w:sz="4" w:space="0" w:color="auto"/>
              <w:right w:val="single" w:sz="4" w:space="0" w:color="auto"/>
            </w:tcBorders>
          </w:tcPr>
          <w:p w14:paraId="699CDCC7" w14:textId="77777777" w:rsidR="00B61F2A" w:rsidRPr="001362A6" w:rsidRDefault="00B61F2A" w:rsidP="00B61F2A">
            <w:pPr>
              <w:rPr>
                <w:rFonts w:ascii="Lato" w:hAnsi="Lato"/>
                <w:sz w:val="22"/>
                <w:szCs w:val="22"/>
              </w:rPr>
            </w:pPr>
          </w:p>
        </w:tc>
      </w:tr>
      <w:tr w:rsidR="00B61F2A" w:rsidRPr="001362A6" w14:paraId="46676A08" w14:textId="77777777" w:rsidTr="00990D73">
        <w:tc>
          <w:tcPr>
            <w:tcW w:w="1316" w:type="dxa"/>
          </w:tcPr>
          <w:p w14:paraId="2FA62B65" w14:textId="77777777" w:rsidR="00B61F2A" w:rsidRPr="001362A6" w:rsidRDefault="00B61F2A" w:rsidP="00B61F2A">
            <w:pPr>
              <w:jc w:val="right"/>
              <w:rPr>
                <w:rFonts w:ascii="Lato" w:hAnsi="Lato"/>
                <w:sz w:val="22"/>
                <w:szCs w:val="22"/>
              </w:rPr>
            </w:pPr>
          </w:p>
        </w:tc>
        <w:tc>
          <w:tcPr>
            <w:tcW w:w="5891" w:type="dxa"/>
          </w:tcPr>
          <w:p w14:paraId="14DB7C70"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434197C0" w14:textId="77777777" w:rsidR="00B61F2A" w:rsidRPr="001362A6" w:rsidRDefault="00B61F2A" w:rsidP="00B61F2A">
            <w:pPr>
              <w:rPr>
                <w:rFonts w:ascii="Lato" w:hAnsi="Lato"/>
                <w:sz w:val="22"/>
                <w:szCs w:val="22"/>
              </w:rPr>
            </w:pPr>
          </w:p>
        </w:tc>
      </w:tr>
      <w:tr w:rsidR="00B61F2A" w:rsidRPr="001362A6" w14:paraId="4AA8386D" w14:textId="77777777" w:rsidTr="00990D73">
        <w:tc>
          <w:tcPr>
            <w:tcW w:w="1316" w:type="dxa"/>
          </w:tcPr>
          <w:p w14:paraId="085B811D" w14:textId="77777777" w:rsidR="00B61F2A" w:rsidRPr="001362A6" w:rsidRDefault="00B61F2A" w:rsidP="00B61F2A">
            <w:pPr>
              <w:jc w:val="right"/>
              <w:rPr>
                <w:rFonts w:ascii="Lato" w:hAnsi="Lato"/>
                <w:sz w:val="22"/>
                <w:szCs w:val="22"/>
              </w:rPr>
            </w:pPr>
            <w:r w:rsidRPr="001362A6">
              <w:rPr>
                <w:rFonts w:ascii="Lato" w:hAnsi="Lato"/>
                <w:sz w:val="22"/>
                <w:szCs w:val="22"/>
              </w:rPr>
              <w:t>e)</w:t>
            </w:r>
          </w:p>
        </w:tc>
        <w:tc>
          <w:tcPr>
            <w:tcW w:w="5891" w:type="dxa"/>
            <w:tcBorders>
              <w:right w:val="single" w:sz="4" w:space="0" w:color="auto"/>
            </w:tcBorders>
          </w:tcPr>
          <w:p w14:paraId="3974DE99" w14:textId="77777777" w:rsidR="00B61F2A" w:rsidRPr="001362A6" w:rsidRDefault="00B61F2A" w:rsidP="00B61F2A">
            <w:pPr>
              <w:rPr>
                <w:rFonts w:ascii="Lato" w:hAnsi="Lato"/>
                <w:sz w:val="22"/>
                <w:szCs w:val="22"/>
              </w:rPr>
            </w:pPr>
            <w:r w:rsidRPr="001362A6">
              <w:rPr>
                <w:rFonts w:ascii="Lato" w:hAnsi="Lato"/>
                <w:sz w:val="22"/>
                <w:szCs w:val="22"/>
              </w:rPr>
              <w:t xml:space="preserve">If the management company or general partner is part of a </w:t>
            </w:r>
          </w:p>
        </w:tc>
        <w:tc>
          <w:tcPr>
            <w:tcW w:w="3188" w:type="dxa"/>
            <w:tcBorders>
              <w:top w:val="single" w:sz="4" w:space="0" w:color="auto"/>
              <w:left w:val="single" w:sz="4" w:space="0" w:color="auto"/>
              <w:bottom w:val="single" w:sz="4" w:space="0" w:color="auto"/>
              <w:right w:val="single" w:sz="4" w:space="0" w:color="auto"/>
            </w:tcBorders>
          </w:tcPr>
          <w:p w14:paraId="538C5BBD" w14:textId="77777777" w:rsidR="00B61F2A" w:rsidRPr="001362A6" w:rsidRDefault="00B61F2A" w:rsidP="00B61F2A">
            <w:pPr>
              <w:rPr>
                <w:rFonts w:ascii="Lato" w:hAnsi="Lato"/>
                <w:sz w:val="22"/>
                <w:szCs w:val="22"/>
              </w:rPr>
            </w:pPr>
          </w:p>
        </w:tc>
      </w:tr>
      <w:tr w:rsidR="00B61F2A" w:rsidRPr="001362A6" w14:paraId="63DAE411" w14:textId="77777777" w:rsidTr="00990D73">
        <w:tc>
          <w:tcPr>
            <w:tcW w:w="1316" w:type="dxa"/>
          </w:tcPr>
          <w:p w14:paraId="3289947A" w14:textId="77777777" w:rsidR="00B61F2A" w:rsidRPr="001362A6" w:rsidRDefault="00B61F2A" w:rsidP="00B61F2A">
            <w:pPr>
              <w:jc w:val="right"/>
              <w:rPr>
                <w:rFonts w:ascii="Lato" w:hAnsi="Lato"/>
                <w:sz w:val="22"/>
                <w:szCs w:val="22"/>
              </w:rPr>
            </w:pPr>
          </w:p>
        </w:tc>
        <w:tc>
          <w:tcPr>
            <w:tcW w:w="5891" w:type="dxa"/>
          </w:tcPr>
          <w:p w14:paraId="6311CEDB" w14:textId="77777777" w:rsidR="00B61F2A" w:rsidRPr="001362A6" w:rsidRDefault="00B61F2A" w:rsidP="00B61F2A">
            <w:pPr>
              <w:rPr>
                <w:rFonts w:ascii="Lato" w:hAnsi="Lato"/>
                <w:sz w:val="22"/>
                <w:szCs w:val="22"/>
              </w:rPr>
            </w:pPr>
            <w:r w:rsidRPr="001362A6">
              <w:rPr>
                <w:rFonts w:ascii="Lato" w:hAnsi="Lato"/>
                <w:sz w:val="22"/>
                <w:szCs w:val="22"/>
              </w:rPr>
              <w:t>group, the name of the group</w:t>
            </w:r>
          </w:p>
        </w:tc>
        <w:tc>
          <w:tcPr>
            <w:tcW w:w="3188" w:type="dxa"/>
            <w:tcBorders>
              <w:top w:val="single" w:sz="4" w:space="0" w:color="auto"/>
            </w:tcBorders>
          </w:tcPr>
          <w:p w14:paraId="3D398CCA" w14:textId="77777777" w:rsidR="00B61F2A" w:rsidRPr="001362A6" w:rsidRDefault="00B61F2A" w:rsidP="00B61F2A">
            <w:pPr>
              <w:rPr>
                <w:rFonts w:ascii="Lato" w:hAnsi="Lato"/>
                <w:sz w:val="22"/>
                <w:szCs w:val="22"/>
              </w:rPr>
            </w:pPr>
          </w:p>
        </w:tc>
      </w:tr>
      <w:tr w:rsidR="00B61F2A" w:rsidRPr="001362A6" w14:paraId="1CAB6237" w14:textId="77777777" w:rsidTr="00990D73">
        <w:tc>
          <w:tcPr>
            <w:tcW w:w="1316" w:type="dxa"/>
          </w:tcPr>
          <w:p w14:paraId="5F6C5357" w14:textId="77777777" w:rsidR="00B61F2A" w:rsidRPr="001362A6" w:rsidRDefault="00B61F2A" w:rsidP="00B61F2A">
            <w:pPr>
              <w:jc w:val="right"/>
              <w:rPr>
                <w:rFonts w:ascii="Lato" w:hAnsi="Lato"/>
                <w:sz w:val="22"/>
                <w:szCs w:val="22"/>
              </w:rPr>
            </w:pPr>
          </w:p>
        </w:tc>
        <w:tc>
          <w:tcPr>
            <w:tcW w:w="5891" w:type="dxa"/>
          </w:tcPr>
          <w:p w14:paraId="59C61169"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1E96DD10" w14:textId="77777777" w:rsidR="00B61F2A" w:rsidRPr="001362A6" w:rsidRDefault="00B61F2A" w:rsidP="00B61F2A">
            <w:pPr>
              <w:rPr>
                <w:rFonts w:ascii="Lato" w:hAnsi="Lato"/>
                <w:sz w:val="22"/>
                <w:szCs w:val="22"/>
              </w:rPr>
            </w:pPr>
          </w:p>
        </w:tc>
      </w:tr>
      <w:tr w:rsidR="00B61F2A" w:rsidRPr="001362A6" w14:paraId="546A7BBE" w14:textId="77777777" w:rsidTr="00990D73">
        <w:tc>
          <w:tcPr>
            <w:tcW w:w="1316" w:type="dxa"/>
          </w:tcPr>
          <w:p w14:paraId="75E3A2AE" w14:textId="77777777" w:rsidR="00B61F2A" w:rsidRPr="001362A6" w:rsidRDefault="00B61F2A" w:rsidP="00B61F2A">
            <w:pPr>
              <w:jc w:val="right"/>
              <w:rPr>
                <w:rFonts w:ascii="Lato" w:hAnsi="Lato"/>
                <w:sz w:val="22"/>
                <w:szCs w:val="22"/>
              </w:rPr>
            </w:pPr>
            <w:r w:rsidRPr="001362A6">
              <w:rPr>
                <w:rFonts w:ascii="Lato" w:hAnsi="Lato"/>
                <w:sz w:val="22"/>
                <w:szCs w:val="22"/>
              </w:rPr>
              <w:t>f)</w:t>
            </w:r>
          </w:p>
        </w:tc>
        <w:tc>
          <w:tcPr>
            <w:tcW w:w="5891" w:type="dxa"/>
            <w:tcBorders>
              <w:right w:val="single" w:sz="4" w:space="0" w:color="auto"/>
            </w:tcBorders>
          </w:tcPr>
          <w:p w14:paraId="38E4F116" w14:textId="77777777" w:rsidR="00B61F2A" w:rsidRPr="001362A6" w:rsidRDefault="00B61F2A" w:rsidP="00B61F2A">
            <w:pPr>
              <w:rPr>
                <w:rFonts w:ascii="Lato" w:hAnsi="Lato"/>
                <w:sz w:val="22"/>
                <w:szCs w:val="22"/>
              </w:rPr>
            </w:pPr>
            <w:r w:rsidRPr="001362A6">
              <w:rPr>
                <w:rFonts w:ascii="Lato" w:hAnsi="Lato"/>
                <w:sz w:val="22"/>
                <w:szCs w:val="22"/>
              </w:rPr>
              <w:t xml:space="preserve">Date of incorporation </w:t>
            </w:r>
          </w:p>
        </w:tc>
        <w:tc>
          <w:tcPr>
            <w:tcW w:w="3188" w:type="dxa"/>
            <w:tcBorders>
              <w:top w:val="single" w:sz="4" w:space="0" w:color="auto"/>
              <w:left w:val="single" w:sz="4" w:space="0" w:color="auto"/>
              <w:bottom w:val="single" w:sz="4" w:space="0" w:color="auto"/>
              <w:right w:val="single" w:sz="4" w:space="0" w:color="auto"/>
            </w:tcBorders>
          </w:tcPr>
          <w:p w14:paraId="4201A6D8" w14:textId="77777777" w:rsidR="00B61F2A" w:rsidRPr="001362A6" w:rsidRDefault="00B61F2A" w:rsidP="00B61F2A">
            <w:pPr>
              <w:rPr>
                <w:rFonts w:ascii="Lato" w:hAnsi="Lato"/>
                <w:sz w:val="22"/>
                <w:szCs w:val="22"/>
              </w:rPr>
            </w:pPr>
          </w:p>
        </w:tc>
      </w:tr>
      <w:tr w:rsidR="00B61F2A" w:rsidRPr="001362A6" w14:paraId="1A1F1F2B" w14:textId="77777777" w:rsidTr="00FB541F">
        <w:trPr>
          <w:trHeight w:val="248"/>
        </w:trPr>
        <w:tc>
          <w:tcPr>
            <w:tcW w:w="1316" w:type="dxa"/>
          </w:tcPr>
          <w:p w14:paraId="141A089C" w14:textId="77777777" w:rsidR="00B61F2A" w:rsidRPr="001362A6" w:rsidRDefault="00B61F2A" w:rsidP="00B61F2A">
            <w:pPr>
              <w:rPr>
                <w:rFonts w:ascii="Lato" w:hAnsi="Lato"/>
                <w:sz w:val="22"/>
                <w:szCs w:val="22"/>
              </w:rPr>
            </w:pPr>
          </w:p>
        </w:tc>
        <w:tc>
          <w:tcPr>
            <w:tcW w:w="5891" w:type="dxa"/>
          </w:tcPr>
          <w:p w14:paraId="45C90151"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4B44668D" w14:textId="77777777" w:rsidR="00B61F2A" w:rsidRPr="001362A6" w:rsidRDefault="00B61F2A" w:rsidP="00B61F2A">
            <w:pPr>
              <w:rPr>
                <w:rFonts w:ascii="Lato" w:hAnsi="Lato"/>
                <w:sz w:val="22"/>
                <w:szCs w:val="22"/>
              </w:rPr>
            </w:pPr>
          </w:p>
        </w:tc>
      </w:tr>
      <w:tr w:rsidR="00B61F2A" w:rsidRPr="001362A6" w14:paraId="3DA8529D" w14:textId="77777777" w:rsidTr="00990D73">
        <w:tc>
          <w:tcPr>
            <w:tcW w:w="1316" w:type="dxa"/>
          </w:tcPr>
          <w:p w14:paraId="36FB7656" w14:textId="77777777" w:rsidR="00B61F2A" w:rsidRPr="001362A6" w:rsidRDefault="00B61F2A" w:rsidP="00B61F2A">
            <w:pPr>
              <w:jc w:val="right"/>
              <w:rPr>
                <w:rFonts w:ascii="Lato" w:hAnsi="Lato"/>
                <w:sz w:val="22"/>
                <w:szCs w:val="22"/>
              </w:rPr>
            </w:pPr>
            <w:r w:rsidRPr="001362A6">
              <w:rPr>
                <w:rFonts w:ascii="Lato" w:hAnsi="Lato"/>
                <w:sz w:val="22"/>
                <w:szCs w:val="22"/>
              </w:rPr>
              <w:t>g)</w:t>
            </w:r>
          </w:p>
        </w:tc>
        <w:tc>
          <w:tcPr>
            <w:tcW w:w="5891" w:type="dxa"/>
            <w:tcBorders>
              <w:right w:val="single" w:sz="4" w:space="0" w:color="auto"/>
            </w:tcBorders>
          </w:tcPr>
          <w:p w14:paraId="67F7802E" w14:textId="77777777" w:rsidR="00B61F2A" w:rsidRPr="001362A6" w:rsidRDefault="00B61F2A" w:rsidP="00B61F2A">
            <w:pPr>
              <w:rPr>
                <w:rFonts w:ascii="Lato" w:hAnsi="Lato"/>
                <w:sz w:val="22"/>
                <w:szCs w:val="22"/>
              </w:rPr>
            </w:pPr>
            <w:r w:rsidRPr="001362A6">
              <w:rPr>
                <w:rFonts w:ascii="Lato" w:hAnsi="Lato"/>
                <w:sz w:val="22"/>
                <w:szCs w:val="22"/>
              </w:rPr>
              <w:t>Indication of duration, if limited</w:t>
            </w:r>
          </w:p>
        </w:tc>
        <w:tc>
          <w:tcPr>
            <w:tcW w:w="3188" w:type="dxa"/>
            <w:tcBorders>
              <w:top w:val="single" w:sz="4" w:space="0" w:color="auto"/>
              <w:left w:val="single" w:sz="4" w:space="0" w:color="auto"/>
              <w:bottom w:val="single" w:sz="4" w:space="0" w:color="auto"/>
              <w:right w:val="single" w:sz="4" w:space="0" w:color="auto"/>
            </w:tcBorders>
          </w:tcPr>
          <w:p w14:paraId="1CFD54BB" w14:textId="77777777" w:rsidR="00B61F2A" w:rsidRPr="001362A6" w:rsidRDefault="00B61F2A" w:rsidP="00B61F2A">
            <w:pPr>
              <w:rPr>
                <w:rFonts w:ascii="Lato" w:hAnsi="Lato"/>
                <w:sz w:val="22"/>
                <w:szCs w:val="22"/>
              </w:rPr>
            </w:pPr>
          </w:p>
        </w:tc>
      </w:tr>
      <w:tr w:rsidR="00B61F2A" w:rsidRPr="001362A6" w14:paraId="34D1C5D9" w14:textId="77777777" w:rsidTr="00990D73">
        <w:tc>
          <w:tcPr>
            <w:tcW w:w="1316" w:type="dxa"/>
          </w:tcPr>
          <w:p w14:paraId="7D763237" w14:textId="77777777" w:rsidR="00B61F2A" w:rsidRPr="001362A6" w:rsidRDefault="00B61F2A" w:rsidP="00B61F2A">
            <w:pPr>
              <w:jc w:val="right"/>
              <w:rPr>
                <w:rFonts w:ascii="Lato" w:hAnsi="Lato"/>
                <w:sz w:val="22"/>
                <w:szCs w:val="22"/>
              </w:rPr>
            </w:pPr>
          </w:p>
        </w:tc>
        <w:tc>
          <w:tcPr>
            <w:tcW w:w="5891" w:type="dxa"/>
          </w:tcPr>
          <w:p w14:paraId="3A715860"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29582009" w14:textId="77777777" w:rsidR="00B61F2A" w:rsidRPr="001362A6" w:rsidRDefault="00B61F2A" w:rsidP="00B61F2A">
            <w:pPr>
              <w:rPr>
                <w:rFonts w:ascii="Lato" w:hAnsi="Lato"/>
                <w:sz w:val="22"/>
                <w:szCs w:val="22"/>
              </w:rPr>
            </w:pPr>
          </w:p>
        </w:tc>
      </w:tr>
      <w:tr w:rsidR="00B61F2A" w:rsidRPr="001362A6" w14:paraId="27DD043F" w14:textId="77777777" w:rsidTr="00990D73">
        <w:tc>
          <w:tcPr>
            <w:tcW w:w="1316" w:type="dxa"/>
          </w:tcPr>
          <w:p w14:paraId="6E9FE1BB" w14:textId="77777777" w:rsidR="00B61F2A" w:rsidRPr="001362A6" w:rsidRDefault="00B61F2A" w:rsidP="00B61F2A">
            <w:pPr>
              <w:jc w:val="right"/>
              <w:rPr>
                <w:rFonts w:ascii="Lato" w:hAnsi="Lato"/>
                <w:sz w:val="22"/>
                <w:szCs w:val="22"/>
              </w:rPr>
            </w:pPr>
            <w:r w:rsidRPr="001362A6">
              <w:rPr>
                <w:rFonts w:ascii="Lato" w:hAnsi="Lato"/>
                <w:sz w:val="22"/>
                <w:szCs w:val="22"/>
              </w:rPr>
              <w:t>h)</w:t>
            </w:r>
          </w:p>
        </w:tc>
        <w:tc>
          <w:tcPr>
            <w:tcW w:w="5891" w:type="dxa"/>
            <w:tcBorders>
              <w:right w:val="single" w:sz="4" w:space="0" w:color="auto"/>
            </w:tcBorders>
          </w:tcPr>
          <w:p w14:paraId="06A3C337" w14:textId="77777777" w:rsidR="00B61F2A" w:rsidRPr="001362A6" w:rsidRDefault="00B61F2A" w:rsidP="00B61F2A">
            <w:pPr>
              <w:rPr>
                <w:rFonts w:ascii="Lato" w:hAnsi="Lato"/>
                <w:sz w:val="22"/>
                <w:szCs w:val="22"/>
              </w:rPr>
            </w:pPr>
            <w:r w:rsidRPr="001362A6">
              <w:rPr>
                <w:rFonts w:ascii="Lato" w:hAnsi="Lato"/>
                <w:sz w:val="22"/>
                <w:szCs w:val="22"/>
              </w:rPr>
              <w:t>Names and positions in the management company/general</w:t>
            </w:r>
          </w:p>
        </w:tc>
        <w:tc>
          <w:tcPr>
            <w:tcW w:w="3188" w:type="dxa"/>
            <w:tcBorders>
              <w:top w:val="single" w:sz="4" w:space="0" w:color="auto"/>
              <w:left w:val="single" w:sz="4" w:space="0" w:color="auto"/>
              <w:bottom w:val="single" w:sz="4" w:space="0" w:color="auto"/>
              <w:right w:val="single" w:sz="4" w:space="0" w:color="auto"/>
            </w:tcBorders>
          </w:tcPr>
          <w:p w14:paraId="5384C742" w14:textId="77777777" w:rsidR="00B61F2A" w:rsidRPr="001362A6" w:rsidRDefault="00B61F2A" w:rsidP="00B61F2A">
            <w:pPr>
              <w:rPr>
                <w:rFonts w:ascii="Lato" w:hAnsi="Lato"/>
                <w:sz w:val="22"/>
                <w:szCs w:val="22"/>
              </w:rPr>
            </w:pPr>
          </w:p>
        </w:tc>
      </w:tr>
      <w:tr w:rsidR="00B61F2A" w:rsidRPr="001362A6" w14:paraId="20A146D2" w14:textId="77777777" w:rsidTr="00990D73">
        <w:tc>
          <w:tcPr>
            <w:tcW w:w="1316" w:type="dxa"/>
          </w:tcPr>
          <w:p w14:paraId="64F8B37C" w14:textId="77777777" w:rsidR="00B61F2A" w:rsidRPr="001362A6" w:rsidRDefault="00B61F2A" w:rsidP="00B61F2A">
            <w:pPr>
              <w:jc w:val="right"/>
              <w:rPr>
                <w:rFonts w:ascii="Lato" w:hAnsi="Lato"/>
                <w:sz w:val="22"/>
                <w:szCs w:val="22"/>
              </w:rPr>
            </w:pPr>
          </w:p>
        </w:tc>
        <w:tc>
          <w:tcPr>
            <w:tcW w:w="5891" w:type="dxa"/>
          </w:tcPr>
          <w:p w14:paraId="340A8AA4" w14:textId="77777777" w:rsidR="00B61F2A" w:rsidRPr="001362A6" w:rsidRDefault="00B61F2A" w:rsidP="00B61F2A">
            <w:pPr>
              <w:rPr>
                <w:rFonts w:ascii="Lato" w:hAnsi="Lato"/>
                <w:sz w:val="22"/>
                <w:szCs w:val="22"/>
              </w:rPr>
            </w:pPr>
            <w:r w:rsidRPr="001362A6">
              <w:rPr>
                <w:rFonts w:ascii="Lato" w:hAnsi="Lato"/>
                <w:sz w:val="22"/>
                <w:szCs w:val="22"/>
              </w:rPr>
              <w:t>partner of members of the administrative management and</w:t>
            </w:r>
          </w:p>
        </w:tc>
        <w:tc>
          <w:tcPr>
            <w:tcW w:w="3188" w:type="dxa"/>
            <w:tcBorders>
              <w:top w:val="single" w:sz="4" w:space="0" w:color="auto"/>
            </w:tcBorders>
          </w:tcPr>
          <w:p w14:paraId="13759351" w14:textId="77777777" w:rsidR="00B61F2A" w:rsidRPr="001362A6" w:rsidRDefault="00B61F2A" w:rsidP="00B61F2A">
            <w:pPr>
              <w:rPr>
                <w:rFonts w:ascii="Lato" w:hAnsi="Lato"/>
                <w:sz w:val="22"/>
                <w:szCs w:val="22"/>
              </w:rPr>
            </w:pPr>
          </w:p>
        </w:tc>
      </w:tr>
      <w:tr w:rsidR="00B61F2A" w:rsidRPr="001362A6" w14:paraId="1103E647" w14:textId="77777777" w:rsidTr="00990D73">
        <w:tc>
          <w:tcPr>
            <w:tcW w:w="1316" w:type="dxa"/>
          </w:tcPr>
          <w:p w14:paraId="6626A933" w14:textId="77777777" w:rsidR="00B61F2A" w:rsidRPr="001362A6" w:rsidRDefault="00B61F2A" w:rsidP="00B61F2A">
            <w:pPr>
              <w:jc w:val="right"/>
              <w:rPr>
                <w:rFonts w:ascii="Lato" w:hAnsi="Lato"/>
                <w:sz w:val="22"/>
                <w:szCs w:val="22"/>
              </w:rPr>
            </w:pPr>
          </w:p>
        </w:tc>
        <w:tc>
          <w:tcPr>
            <w:tcW w:w="5891" w:type="dxa"/>
          </w:tcPr>
          <w:p w14:paraId="7435EB3B" w14:textId="77777777" w:rsidR="00B61F2A" w:rsidRPr="001362A6" w:rsidRDefault="00B61F2A" w:rsidP="00B61F2A">
            <w:pPr>
              <w:rPr>
                <w:rFonts w:ascii="Lato" w:hAnsi="Lato"/>
                <w:sz w:val="22"/>
                <w:szCs w:val="22"/>
              </w:rPr>
            </w:pPr>
            <w:r w:rsidRPr="001362A6">
              <w:rPr>
                <w:rFonts w:ascii="Lato" w:hAnsi="Lato"/>
                <w:sz w:val="22"/>
                <w:szCs w:val="22"/>
              </w:rPr>
              <w:t xml:space="preserve">supervisory functions  and disclose their experience past </w:t>
            </w:r>
          </w:p>
        </w:tc>
        <w:tc>
          <w:tcPr>
            <w:tcW w:w="3188" w:type="dxa"/>
          </w:tcPr>
          <w:p w14:paraId="538E313D" w14:textId="77777777" w:rsidR="00B61F2A" w:rsidRPr="001362A6" w:rsidRDefault="00B61F2A" w:rsidP="00B61F2A">
            <w:pPr>
              <w:rPr>
                <w:rFonts w:ascii="Lato" w:hAnsi="Lato"/>
                <w:sz w:val="22"/>
                <w:szCs w:val="22"/>
              </w:rPr>
            </w:pPr>
          </w:p>
        </w:tc>
      </w:tr>
      <w:tr w:rsidR="00B61F2A" w:rsidRPr="001362A6" w14:paraId="57CC4403" w14:textId="77777777" w:rsidTr="00990D73">
        <w:tc>
          <w:tcPr>
            <w:tcW w:w="1316" w:type="dxa"/>
          </w:tcPr>
          <w:p w14:paraId="5DA5E199" w14:textId="77777777" w:rsidR="00B61F2A" w:rsidRPr="001362A6" w:rsidRDefault="00B61F2A" w:rsidP="00B61F2A">
            <w:pPr>
              <w:jc w:val="right"/>
              <w:rPr>
                <w:rFonts w:ascii="Lato" w:hAnsi="Lato"/>
                <w:sz w:val="22"/>
                <w:szCs w:val="22"/>
              </w:rPr>
            </w:pPr>
          </w:p>
        </w:tc>
        <w:tc>
          <w:tcPr>
            <w:tcW w:w="5891" w:type="dxa"/>
          </w:tcPr>
          <w:p w14:paraId="3FCC8013" w14:textId="77777777" w:rsidR="00B61F2A" w:rsidRPr="001362A6" w:rsidRDefault="00B61F2A" w:rsidP="00B61F2A">
            <w:pPr>
              <w:rPr>
                <w:rFonts w:ascii="Lato" w:hAnsi="Lato"/>
                <w:sz w:val="22"/>
                <w:szCs w:val="22"/>
              </w:rPr>
            </w:pPr>
            <w:r w:rsidRPr="00590C6D">
              <w:rPr>
                <w:rFonts w:ascii="Lato" w:hAnsi="Lato"/>
                <w:sz w:val="22"/>
                <w:szCs w:val="22"/>
              </w:rPr>
              <w:t>and</w:t>
            </w:r>
            <w:r w:rsidRPr="001362A6">
              <w:rPr>
                <w:rFonts w:ascii="Lato" w:hAnsi="Lato"/>
                <w:sz w:val="22"/>
                <w:szCs w:val="22"/>
              </w:rPr>
              <w:t xml:space="preserve"> present which is relevant to the Qualifying Investor AIF</w:t>
            </w:r>
          </w:p>
        </w:tc>
        <w:tc>
          <w:tcPr>
            <w:tcW w:w="3188" w:type="dxa"/>
          </w:tcPr>
          <w:p w14:paraId="235A3C69" w14:textId="77777777" w:rsidR="00B61F2A" w:rsidRPr="001362A6" w:rsidRDefault="00B61F2A" w:rsidP="00B61F2A">
            <w:pPr>
              <w:rPr>
                <w:rFonts w:ascii="Lato" w:hAnsi="Lato"/>
                <w:sz w:val="22"/>
                <w:szCs w:val="22"/>
              </w:rPr>
            </w:pPr>
          </w:p>
        </w:tc>
      </w:tr>
      <w:tr w:rsidR="00B61F2A" w:rsidRPr="001362A6" w14:paraId="0BCC2DD6" w14:textId="77777777" w:rsidTr="00990D73">
        <w:tc>
          <w:tcPr>
            <w:tcW w:w="1316" w:type="dxa"/>
          </w:tcPr>
          <w:p w14:paraId="525A05F3" w14:textId="77777777" w:rsidR="00B61F2A" w:rsidRPr="001362A6" w:rsidRDefault="00B61F2A" w:rsidP="00B61F2A">
            <w:pPr>
              <w:jc w:val="right"/>
              <w:rPr>
                <w:rFonts w:ascii="Lato" w:hAnsi="Lato"/>
                <w:sz w:val="22"/>
                <w:szCs w:val="22"/>
              </w:rPr>
            </w:pPr>
          </w:p>
        </w:tc>
        <w:tc>
          <w:tcPr>
            <w:tcW w:w="5891" w:type="dxa"/>
          </w:tcPr>
          <w:p w14:paraId="62A31377"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252EB46B" w14:textId="77777777" w:rsidR="00B61F2A" w:rsidRPr="001362A6" w:rsidRDefault="00B61F2A" w:rsidP="00B61F2A">
            <w:pPr>
              <w:rPr>
                <w:rFonts w:ascii="Lato" w:hAnsi="Lato"/>
                <w:sz w:val="22"/>
                <w:szCs w:val="22"/>
              </w:rPr>
            </w:pPr>
          </w:p>
        </w:tc>
      </w:tr>
      <w:tr w:rsidR="00B61F2A" w:rsidRPr="001362A6" w14:paraId="1BB5F4C8" w14:textId="77777777" w:rsidTr="00990D73">
        <w:tc>
          <w:tcPr>
            <w:tcW w:w="1316" w:type="dxa"/>
          </w:tcPr>
          <w:p w14:paraId="330730BA" w14:textId="77777777" w:rsidR="00B61F2A" w:rsidRPr="001362A6" w:rsidRDefault="00B61F2A" w:rsidP="00B61F2A">
            <w:pPr>
              <w:jc w:val="right"/>
              <w:rPr>
                <w:rFonts w:ascii="Lato" w:hAnsi="Lato"/>
                <w:sz w:val="22"/>
                <w:szCs w:val="22"/>
              </w:rPr>
            </w:pPr>
            <w:r w:rsidRPr="001362A6">
              <w:rPr>
                <w:rFonts w:ascii="Lato" w:hAnsi="Lato"/>
                <w:sz w:val="22"/>
                <w:szCs w:val="22"/>
              </w:rPr>
              <w:t>i)</w:t>
            </w:r>
          </w:p>
        </w:tc>
        <w:tc>
          <w:tcPr>
            <w:tcW w:w="5891" w:type="dxa"/>
            <w:tcBorders>
              <w:right w:val="single" w:sz="4" w:space="0" w:color="auto"/>
            </w:tcBorders>
          </w:tcPr>
          <w:p w14:paraId="35E51C13" w14:textId="77777777" w:rsidR="00B61F2A" w:rsidRPr="001362A6" w:rsidRDefault="00B61F2A" w:rsidP="00B61F2A">
            <w:pPr>
              <w:rPr>
                <w:rFonts w:ascii="Lato" w:hAnsi="Lato"/>
                <w:sz w:val="22"/>
                <w:szCs w:val="22"/>
              </w:rPr>
            </w:pPr>
            <w:r w:rsidRPr="001362A6">
              <w:rPr>
                <w:rFonts w:ascii="Lato" w:hAnsi="Lato"/>
                <w:sz w:val="22"/>
                <w:szCs w:val="22"/>
              </w:rPr>
              <w:t>The main activities of those in section 2.6.2 (h) outside the</w:t>
            </w:r>
          </w:p>
        </w:tc>
        <w:tc>
          <w:tcPr>
            <w:tcW w:w="3188" w:type="dxa"/>
            <w:tcBorders>
              <w:top w:val="single" w:sz="4" w:space="0" w:color="auto"/>
              <w:left w:val="single" w:sz="4" w:space="0" w:color="auto"/>
              <w:bottom w:val="single" w:sz="4" w:space="0" w:color="auto"/>
              <w:right w:val="single" w:sz="4" w:space="0" w:color="auto"/>
            </w:tcBorders>
          </w:tcPr>
          <w:p w14:paraId="3172C9D6" w14:textId="77777777" w:rsidR="00B61F2A" w:rsidRPr="001362A6" w:rsidRDefault="00B61F2A" w:rsidP="00B61F2A">
            <w:pPr>
              <w:rPr>
                <w:rFonts w:ascii="Lato" w:hAnsi="Lato"/>
                <w:sz w:val="22"/>
                <w:szCs w:val="22"/>
              </w:rPr>
            </w:pPr>
          </w:p>
        </w:tc>
      </w:tr>
      <w:tr w:rsidR="00B61F2A" w:rsidRPr="001362A6" w14:paraId="3BF8C802" w14:textId="77777777" w:rsidTr="00990D73">
        <w:tc>
          <w:tcPr>
            <w:tcW w:w="1316" w:type="dxa"/>
          </w:tcPr>
          <w:p w14:paraId="2E7C4E8F" w14:textId="77777777" w:rsidR="00B61F2A" w:rsidRPr="001362A6" w:rsidRDefault="00B61F2A" w:rsidP="00B61F2A">
            <w:pPr>
              <w:jc w:val="right"/>
              <w:rPr>
                <w:rFonts w:ascii="Lato" w:hAnsi="Lato"/>
                <w:sz w:val="22"/>
                <w:szCs w:val="22"/>
              </w:rPr>
            </w:pPr>
          </w:p>
        </w:tc>
        <w:tc>
          <w:tcPr>
            <w:tcW w:w="5891" w:type="dxa"/>
          </w:tcPr>
          <w:p w14:paraId="71DE9CBD" w14:textId="77777777" w:rsidR="00B61F2A" w:rsidRPr="001362A6" w:rsidRDefault="00B61F2A" w:rsidP="00B61F2A">
            <w:pPr>
              <w:rPr>
                <w:rFonts w:ascii="Lato" w:hAnsi="Lato"/>
                <w:sz w:val="22"/>
                <w:szCs w:val="22"/>
              </w:rPr>
            </w:pPr>
            <w:r w:rsidRPr="001362A6">
              <w:rPr>
                <w:rFonts w:ascii="Lato" w:hAnsi="Lato"/>
                <w:sz w:val="22"/>
                <w:szCs w:val="22"/>
              </w:rPr>
              <w:t xml:space="preserve">management company or general partner which are of </w:t>
            </w:r>
          </w:p>
        </w:tc>
        <w:tc>
          <w:tcPr>
            <w:tcW w:w="3188" w:type="dxa"/>
            <w:tcBorders>
              <w:top w:val="single" w:sz="4" w:space="0" w:color="auto"/>
            </w:tcBorders>
          </w:tcPr>
          <w:p w14:paraId="042FE1DF" w14:textId="77777777" w:rsidR="00B61F2A" w:rsidRPr="001362A6" w:rsidRDefault="00B61F2A" w:rsidP="00B61F2A">
            <w:pPr>
              <w:rPr>
                <w:rFonts w:ascii="Lato" w:hAnsi="Lato"/>
                <w:sz w:val="22"/>
                <w:szCs w:val="22"/>
              </w:rPr>
            </w:pPr>
          </w:p>
        </w:tc>
      </w:tr>
      <w:tr w:rsidR="00B61F2A" w:rsidRPr="001362A6" w14:paraId="61940ECF" w14:textId="77777777" w:rsidTr="00990D73">
        <w:tc>
          <w:tcPr>
            <w:tcW w:w="1316" w:type="dxa"/>
          </w:tcPr>
          <w:p w14:paraId="521DBDB5" w14:textId="77777777" w:rsidR="00B61F2A" w:rsidRPr="001362A6" w:rsidRDefault="00B61F2A" w:rsidP="00B61F2A">
            <w:pPr>
              <w:jc w:val="right"/>
              <w:rPr>
                <w:rFonts w:ascii="Lato" w:hAnsi="Lato"/>
                <w:sz w:val="22"/>
                <w:szCs w:val="22"/>
              </w:rPr>
            </w:pPr>
          </w:p>
        </w:tc>
        <w:tc>
          <w:tcPr>
            <w:tcW w:w="5891" w:type="dxa"/>
          </w:tcPr>
          <w:p w14:paraId="5A039F72" w14:textId="77777777" w:rsidR="00B61F2A" w:rsidRPr="001362A6" w:rsidRDefault="00B61F2A" w:rsidP="00B61F2A">
            <w:pPr>
              <w:rPr>
                <w:rFonts w:ascii="Lato" w:hAnsi="Lato"/>
                <w:sz w:val="22"/>
                <w:szCs w:val="22"/>
              </w:rPr>
            </w:pPr>
            <w:r w:rsidRPr="001362A6">
              <w:rPr>
                <w:rFonts w:ascii="Lato" w:hAnsi="Lato"/>
                <w:sz w:val="22"/>
                <w:szCs w:val="22"/>
              </w:rPr>
              <w:t>significance with respect to the management company or</w:t>
            </w:r>
          </w:p>
        </w:tc>
        <w:tc>
          <w:tcPr>
            <w:tcW w:w="3188" w:type="dxa"/>
          </w:tcPr>
          <w:p w14:paraId="5808B852" w14:textId="77777777" w:rsidR="00B61F2A" w:rsidRPr="001362A6" w:rsidRDefault="00B61F2A" w:rsidP="00B61F2A">
            <w:pPr>
              <w:rPr>
                <w:rFonts w:ascii="Lato" w:hAnsi="Lato"/>
                <w:sz w:val="22"/>
                <w:szCs w:val="22"/>
              </w:rPr>
            </w:pPr>
          </w:p>
        </w:tc>
      </w:tr>
      <w:tr w:rsidR="00B61F2A" w:rsidRPr="001362A6" w14:paraId="51D9E29A" w14:textId="77777777" w:rsidTr="00990D73">
        <w:tc>
          <w:tcPr>
            <w:tcW w:w="1316" w:type="dxa"/>
          </w:tcPr>
          <w:p w14:paraId="0809000E" w14:textId="77777777" w:rsidR="00B61F2A" w:rsidRPr="001362A6" w:rsidRDefault="00B61F2A" w:rsidP="00B61F2A">
            <w:pPr>
              <w:jc w:val="right"/>
              <w:rPr>
                <w:rFonts w:ascii="Lato" w:hAnsi="Lato"/>
                <w:sz w:val="22"/>
                <w:szCs w:val="22"/>
              </w:rPr>
            </w:pPr>
          </w:p>
        </w:tc>
        <w:tc>
          <w:tcPr>
            <w:tcW w:w="5891" w:type="dxa"/>
          </w:tcPr>
          <w:p w14:paraId="5C53DF4B" w14:textId="77777777" w:rsidR="00B61F2A" w:rsidRPr="001362A6" w:rsidRDefault="00B61F2A" w:rsidP="00B61F2A">
            <w:pPr>
              <w:rPr>
                <w:rFonts w:ascii="Lato" w:hAnsi="Lato"/>
                <w:sz w:val="22"/>
                <w:szCs w:val="22"/>
              </w:rPr>
            </w:pPr>
            <w:r w:rsidRPr="001362A6">
              <w:rPr>
                <w:rFonts w:ascii="Lato" w:hAnsi="Lato"/>
                <w:sz w:val="22"/>
                <w:szCs w:val="22"/>
              </w:rPr>
              <w:t>general partner</w:t>
            </w:r>
          </w:p>
        </w:tc>
        <w:tc>
          <w:tcPr>
            <w:tcW w:w="3188" w:type="dxa"/>
          </w:tcPr>
          <w:p w14:paraId="18AA21A8" w14:textId="77777777" w:rsidR="00B61F2A" w:rsidRPr="001362A6" w:rsidRDefault="00B61F2A" w:rsidP="00B61F2A">
            <w:pPr>
              <w:rPr>
                <w:rFonts w:ascii="Lato" w:hAnsi="Lato"/>
                <w:sz w:val="22"/>
                <w:szCs w:val="22"/>
              </w:rPr>
            </w:pPr>
          </w:p>
        </w:tc>
      </w:tr>
      <w:tr w:rsidR="00B61F2A" w:rsidRPr="001362A6" w14:paraId="7F4AA8EB" w14:textId="77777777" w:rsidTr="00990D73">
        <w:tc>
          <w:tcPr>
            <w:tcW w:w="1316" w:type="dxa"/>
          </w:tcPr>
          <w:p w14:paraId="2ED70D1B" w14:textId="77777777" w:rsidR="00B61F2A" w:rsidRPr="001362A6" w:rsidRDefault="00B61F2A" w:rsidP="00B61F2A">
            <w:pPr>
              <w:jc w:val="right"/>
              <w:rPr>
                <w:rFonts w:ascii="Lato" w:hAnsi="Lato"/>
                <w:sz w:val="22"/>
                <w:szCs w:val="22"/>
              </w:rPr>
            </w:pPr>
          </w:p>
        </w:tc>
        <w:tc>
          <w:tcPr>
            <w:tcW w:w="5891" w:type="dxa"/>
          </w:tcPr>
          <w:p w14:paraId="0B1E9283"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2EE76CEE" w14:textId="77777777" w:rsidR="00B61F2A" w:rsidRPr="001362A6" w:rsidRDefault="00B61F2A" w:rsidP="00B61F2A">
            <w:pPr>
              <w:rPr>
                <w:rFonts w:ascii="Lato" w:hAnsi="Lato"/>
                <w:sz w:val="22"/>
                <w:szCs w:val="22"/>
              </w:rPr>
            </w:pPr>
          </w:p>
        </w:tc>
      </w:tr>
      <w:tr w:rsidR="00B61F2A" w:rsidRPr="001362A6" w14:paraId="50638116" w14:textId="77777777" w:rsidTr="00990D73">
        <w:tc>
          <w:tcPr>
            <w:tcW w:w="1316" w:type="dxa"/>
          </w:tcPr>
          <w:p w14:paraId="6E3F43FE" w14:textId="77777777" w:rsidR="00B61F2A" w:rsidRPr="001362A6" w:rsidRDefault="00B61F2A" w:rsidP="00B61F2A">
            <w:pPr>
              <w:jc w:val="right"/>
              <w:rPr>
                <w:rFonts w:ascii="Lato" w:hAnsi="Lato"/>
                <w:sz w:val="22"/>
                <w:szCs w:val="22"/>
              </w:rPr>
            </w:pPr>
            <w:r w:rsidRPr="001362A6">
              <w:rPr>
                <w:rFonts w:ascii="Lato" w:hAnsi="Lato"/>
                <w:sz w:val="22"/>
                <w:szCs w:val="22"/>
              </w:rPr>
              <w:t>j)</w:t>
            </w:r>
          </w:p>
        </w:tc>
        <w:tc>
          <w:tcPr>
            <w:tcW w:w="5891" w:type="dxa"/>
            <w:tcBorders>
              <w:right w:val="single" w:sz="4" w:space="0" w:color="auto"/>
            </w:tcBorders>
          </w:tcPr>
          <w:p w14:paraId="0C205499" w14:textId="77777777" w:rsidR="00B61F2A" w:rsidRPr="001362A6" w:rsidRDefault="00B61F2A" w:rsidP="00B61F2A">
            <w:pPr>
              <w:rPr>
                <w:rFonts w:ascii="Lato" w:hAnsi="Lato"/>
                <w:sz w:val="22"/>
                <w:szCs w:val="22"/>
              </w:rPr>
            </w:pPr>
            <w:r w:rsidRPr="001362A6">
              <w:rPr>
                <w:rFonts w:ascii="Lato" w:hAnsi="Lato"/>
                <w:sz w:val="22"/>
                <w:szCs w:val="22"/>
              </w:rPr>
              <w:t>Amount of prescribed capital and indicate the amount of</w:t>
            </w:r>
          </w:p>
        </w:tc>
        <w:tc>
          <w:tcPr>
            <w:tcW w:w="3188" w:type="dxa"/>
            <w:tcBorders>
              <w:top w:val="single" w:sz="4" w:space="0" w:color="auto"/>
              <w:left w:val="single" w:sz="4" w:space="0" w:color="auto"/>
              <w:bottom w:val="single" w:sz="4" w:space="0" w:color="auto"/>
              <w:right w:val="single" w:sz="4" w:space="0" w:color="auto"/>
            </w:tcBorders>
          </w:tcPr>
          <w:p w14:paraId="4F5A25A8" w14:textId="77777777" w:rsidR="00B61F2A" w:rsidRPr="001362A6" w:rsidRDefault="00B61F2A" w:rsidP="00B61F2A">
            <w:pPr>
              <w:rPr>
                <w:rFonts w:ascii="Lato" w:hAnsi="Lato"/>
                <w:sz w:val="22"/>
                <w:szCs w:val="22"/>
              </w:rPr>
            </w:pPr>
          </w:p>
        </w:tc>
      </w:tr>
      <w:tr w:rsidR="00B61F2A" w:rsidRPr="001362A6" w14:paraId="496B5F25" w14:textId="77777777" w:rsidTr="00D47A86">
        <w:trPr>
          <w:cantSplit/>
          <w:trHeight w:val="253"/>
        </w:trPr>
        <w:tc>
          <w:tcPr>
            <w:tcW w:w="1316" w:type="dxa"/>
          </w:tcPr>
          <w:p w14:paraId="145C07C8" w14:textId="77777777" w:rsidR="00B61F2A" w:rsidRPr="001362A6" w:rsidRDefault="00B61F2A" w:rsidP="00B61F2A">
            <w:pPr>
              <w:jc w:val="right"/>
              <w:rPr>
                <w:rFonts w:ascii="Lato" w:hAnsi="Lato"/>
                <w:sz w:val="22"/>
                <w:szCs w:val="22"/>
              </w:rPr>
            </w:pPr>
          </w:p>
        </w:tc>
        <w:tc>
          <w:tcPr>
            <w:tcW w:w="5891" w:type="dxa"/>
          </w:tcPr>
          <w:p w14:paraId="29A32E84" w14:textId="77777777" w:rsidR="00B61F2A" w:rsidRPr="001362A6" w:rsidRDefault="00B61F2A" w:rsidP="00B61F2A">
            <w:pPr>
              <w:rPr>
                <w:rFonts w:ascii="Lato" w:hAnsi="Lato"/>
                <w:sz w:val="22"/>
                <w:szCs w:val="22"/>
              </w:rPr>
            </w:pPr>
            <w:r w:rsidRPr="001362A6">
              <w:rPr>
                <w:rFonts w:ascii="Lato" w:hAnsi="Lato"/>
                <w:sz w:val="22"/>
                <w:szCs w:val="22"/>
              </w:rPr>
              <w:t>capital paid up</w:t>
            </w:r>
          </w:p>
        </w:tc>
        <w:tc>
          <w:tcPr>
            <w:tcW w:w="3188" w:type="dxa"/>
            <w:tcBorders>
              <w:top w:val="single" w:sz="4" w:space="0" w:color="auto"/>
            </w:tcBorders>
          </w:tcPr>
          <w:p w14:paraId="743C53E5" w14:textId="77777777" w:rsidR="00B61F2A" w:rsidRPr="001362A6" w:rsidRDefault="00B61F2A" w:rsidP="00B61F2A">
            <w:pPr>
              <w:rPr>
                <w:rFonts w:ascii="Lato" w:hAnsi="Lato"/>
                <w:sz w:val="22"/>
                <w:szCs w:val="22"/>
              </w:rPr>
            </w:pPr>
          </w:p>
        </w:tc>
      </w:tr>
      <w:tr w:rsidR="00B61F2A" w:rsidRPr="001362A6" w14:paraId="527F5948" w14:textId="77777777" w:rsidTr="00990D73">
        <w:tc>
          <w:tcPr>
            <w:tcW w:w="1316" w:type="dxa"/>
          </w:tcPr>
          <w:p w14:paraId="372DD819" w14:textId="77777777" w:rsidR="00B61F2A" w:rsidRPr="001362A6" w:rsidRDefault="00B61F2A" w:rsidP="00B61F2A">
            <w:pPr>
              <w:rPr>
                <w:rFonts w:ascii="Lato" w:hAnsi="Lato"/>
                <w:sz w:val="22"/>
                <w:szCs w:val="22"/>
              </w:rPr>
            </w:pPr>
          </w:p>
        </w:tc>
        <w:tc>
          <w:tcPr>
            <w:tcW w:w="5891" w:type="dxa"/>
          </w:tcPr>
          <w:p w14:paraId="74C7FFC2" w14:textId="77777777" w:rsidR="00B61F2A" w:rsidRPr="001362A6" w:rsidRDefault="00B61F2A" w:rsidP="00B61F2A">
            <w:pPr>
              <w:rPr>
                <w:rFonts w:ascii="Lato" w:hAnsi="Lato"/>
                <w:sz w:val="22"/>
                <w:szCs w:val="22"/>
              </w:rPr>
            </w:pPr>
          </w:p>
        </w:tc>
        <w:tc>
          <w:tcPr>
            <w:tcW w:w="3188" w:type="dxa"/>
          </w:tcPr>
          <w:p w14:paraId="37ABBD06" w14:textId="77777777" w:rsidR="00B61F2A" w:rsidRPr="001362A6" w:rsidRDefault="00B61F2A" w:rsidP="00B61F2A">
            <w:pPr>
              <w:rPr>
                <w:rFonts w:ascii="Lato" w:hAnsi="Lato"/>
                <w:sz w:val="22"/>
                <w:szCs w:val="22"/>
              </w:rPr>
            </w:pPr>
          </w:p>
        </w:tc>
      </w:tr>
      <w:tr w:rsidR="00B61F2A" w:rsidRPr="001362A6" w14:paraId="68CC4329" w14:textId="77777777" w:rsidTr="00990D73">
        <w:tc>
          <w:tcPr>
            <w:tcW w:w="1316" w:type="dxa"/>
          </w:tcPr>
          <w:p w14:paraId="7A9111A5" w14:textId="77777777" w:rsidR="00B61F2A" w:rsidRPr="001362A6" w:rsidRDefault="00B61F2A" w:rsidP="00B61F2A">
            <w:pPr>
              <w:rPr>
                <w:rFonts w:ascii="Lato" w:hAnsi="Lato"/>
                <w:bCs/>
                <w:sz w:val="22"/>
                <w:szCs w:val="22"/>
              </w:rPr>
            </w:pPr>
            <w:r w:rsidRPr="001362A6">
              <w:rPr>
                <w:rFonts w:ascii="Lato" w:hAnsi="Lato"/>
                <w:bCs/>
                <w:sz w:val="22"/>
                <w:szCs w:val="22"/>
              </w:rPr>
              <w:t>2.7.4</w:t>
            </w:r>
          </w:p>
        </w:tc>
        <w:tc>
          <w:tcPr>
            <w:tcW w:w="5891" w:type="dxa"/>
          </w:tcPr>
          <w:p w14:paraId="2A5ED5C3" w14:textId="77777777" w:rsidR="00B61F2A" w:rsidRPr="001362A6" w:rsidRDefault="00B61F2A" w:rsidP="00B61F2A">
            <w:pPr>
              <w:rPr>
                <w:rFonts w:ascii="Lato" w:hAnsi="Lato"/>
                <w:b/>
                <w:bCs/>
                <w:sz w:val="22"/>
                <w:szCs w:val="22"/>
              </w:rPr>
            </w:pPr>
            <w:r w:rsidRPr="001362A6">
              <w:rPr>
                <w:rFonts w:ascii="Lato" w:hAnsi="Lato"/>
                <w:b/>
                <w:bCs/>
                <w:sz w:val="22"/>
                <w:szCs w:val="22"/>
              </w:rPr>
              <w:t xml:space="preserve">Information concerning the Investment Manager and other Service Providers </w:t>
            </w:r>
          </w:p>
        </w:tc>
        <w:tc>
          <w:tcPr>
            <w:tcW w:w="3188" w:type="dxa"/>
          </w:tcPr>
          <w:p w14:paraId="133B6632" w14:textId="77777777" w:rsidR="00B61F2A" w:rsidRPr="001362A6" w:rsidRDefault="00B61F2A" w:rsidP="00B61F2A">
            <w:pPr>
              <w:rPr>
                <w:rFonts w:ascii="Lato" w:hAnsi="Lato"/>
                <w:b/>
                <w:bCs/>
                <w:sz w:val="22"/>
                <w:szCs w:val="22"/>
              </w:rPr>
            </w:pPr>
          </w:p>
        </w:tc>
      </w:tr>
      <w:tr w:rsidR="00B61F2A" w:rsidRPr="001362A6" w14:paraId="3AB6C9EF" w14:textId="77777777" w:rsidTr="00990D73">
        <w:tc>
          <w:tcPr>
            <w:tcW w:w="1316" w:type="dxa"/>
          </w:tcPr>
          <w:p w14:paraId="7F39622B" w14:textId="77777777" w:rsidR="00B61F2A" w:rsidRPr="001362A6" w:rsidRDefault="00B61F2A" w:rsidP="00B61F2A">
            <w:pPr>
              <w:rPr>
                <w:rFonts w:ascii="Lato" w:hAnsi="Lato"/>
                <w:sz w:val="22"/>
                <w:szCs w:val="22"/>
              </w:rPr>
            </w:pPr>
          </w:p>
        </w:tc>
        <w:tc>
          <w:tcPr>
            <w:tcW w:w="5891" w:type="dxa"/>
          </w:tcPr>
          <w:p w14:paraId="57780980"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33115356" w14:textId="77777777" w:rsidR="00B61F2A" w:rsidRPr="001362A6" w:rsidRDefault="00B61F2A" w:rsidP="00B61F2A">
            <w:pPr>
              <w:rPr>
                <w:rFonts w:ascii="Lato" w:hAnsi="Lato"/>
                <w:b/>
                <w:bCs/>
                <w:sz w:val="22"/>
                <w:szCs w:val="22"/>
              </w:rPr>
            </w:pPr>
          </w:p>
        </w:tc>
      </w:tr>
      <w:tr w:rsidR="00B61F2A" w:rsidRPr="001362A6" w14:paraId="21435B11" w14:textId="77777777" w:rsidTr="00990D73">
        <w:tc>
          <w:tcPr>
            <w:tcW w:w="1316" w:type="dxa"/>
          </w:tcPr>
          <w:p w14:paraId="116D9870" w14:textId="77777777" w:rsidR="00B61F2A" w:rsidRPr="001362A6" w:rsidRDefault="00B61F2A" w:rsidP="00B61F2A">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347DC686" w14:textId="77777777" w:rsidR="00B61F2A" w:rsidRPr="001362A6" w:rsidRDefault="00B61F2A" w:rsidP="00B61F2A">
            <w:pPr>
              <w:rPr>
                <w:rFonts w:ascii="Lato" w:hAnsi="Lato"/>
                <w:sz w:val="22"/>
                <w:szCs w:val="22"/>
              </w:rPr>
            </w:pPr>
            <w:r w:rsidRPr="001362A6">
              <w:rPr>
                <w:rFonts w:ascii="Lato" w:hAnsi="Lato"/>
                <w:sz w:val="22"/>
                <w:szCs w:val="22"/>
              </w:rPr>
              <w:t xml:space="preserve">Disclose details of the service providers to the Qualifying </w:t>
            </w:r>
          </w:p>
        </w:tc>
        <w:tc>
          <w:tcPr>
            <w:tcW w:w="3188" w:type="dxa"/>
            <w:tcBorders>
              <w:top w:val="single" w:sz="4" w:space="0" w:color="auto"/>
              <w:left w:val="single" w:sz="4" w:space="0" w:color="auto"/>
              <w:bottom w:val="single" w:sz="4" w:space="0" w:color="auto"/>
              <w:right w:val="single" w:sz="4" w:space="0" w:color="auto"/>
            </w:tcBorders>
          </w:tcPr>
          <w:p w14:paraId="5835C13E" w14:textId="77777777" w:rsidR="00B61F2A" w:rsidRPr="001362A6" w:rsidRDefault="00B61F2A" w:rsidP="00B61F2A">
            <w:pPr>
              <w:rPr>
                <w:rFonts w:ascii="Lato" w:hAnsi="Lato"/>
                <w:sz w:val="22"/>
                <w:szCs w:val="22"/>
              </w:rPr>
            </w:pPr>
          </w:p>
        </w:tc>
      </w:tr>
      <w:tr w:rsidR="00B61F2A" w:rsidRPr="001362A6" w14:paraId="4B29A644" w14:textId="77777777" w:rsidTr="00990D73">
        <w:tc>
          <w:tcPr>
            <w:tcW w:w="1316" w:type="dxa"/>
          </w:tcPr>
          <w:p w14:paraId="30095219" w14:textId="77777777" w:rsidR="00B61F2A" w:rsidRPr="001362A6" w:rsidRDefault="00B61F2A" w:rsidP="00B61F2A">
            <w:pPr>
              <w:jc w:val="right"/>
              <w:rPr>
                <w:rFonts w:ascii="Lato" w:hAnsi="Lato"/>
                <w:sz w:val="22"/>
                <w:szCs w:val="22"/>
              </w:rPr>
            </w:pPr>
          </w:p>
        </w:tc>
        <w:tc>
          <w:tcPr>
            <w:tcW w:w="5891" w:type="dxa"/>
          </w:tcPr>
          <w:p w14:paraId="709F6863" w14:textId="77777777" w:rsidR="00B61F2A" w:rsidRPr="001362A6" w:rsidRDefault="00B61F2A" w:rsidP="00B61F2A">
            <w:pPr>
              <w:rPr>
                <w:rFonts w:ascii="Lato" w:hAnsi="Lato"/>
                <w:sz w:val="22"/>
                <w:szCs w:val="22"/>
              </w:rPr>
            </w:pPr>
            <w:r w:rsidRPr="001362A6">
              <w:rPr>
                <w:rFonts w:ascii="Lato" w:hAnsi="Lato"/>
                <w:sz w:val="22"/>
                <w:szCs w:val="22"/>
              </w:rPr>
              <w:t>Investor AIF</w:t>
            </w:r>
          </w:p>
        </w:tc>
        <w:tc>
          <w:tcPr>
            <w:tcW w:w="3188" w:type="dxa"/>
            <w:tcBorders>
              <w:top w:val="single" w:sz="4" w:space="0" w:color="auto"/>
              <w:bottom w:val="single" w:sz="4" w:space="0" w:color="auto"/>
            </w:tcBorders>
          </w:tcPr>
          <w:p w14:paraId="2E749FF8" w14:textId="77777777" w:rsidR="00B61F2A" w:rsidRPr="001362A6" w:rsidRDefault="00B61F2A" w:rsidP="00B61F2A">
            <w:pPr>
              <w:rPr>
                <w:rFonts w:ascii="Lato" w:hAnsi="Lato"/>
                <w:sz w:val="22"/>
                <w:szCs w:val="22"/>
              </w:rPr>
            </w:pPr>
          </w:p>
        </w:tc>
      </w:tr>
      <w:tr w:rsidR="00B61F2A" w:rsidRPr="001362A6" w14:paraId="3FEB13F0" w14:textId="77777777" w:rsidTr="00990D73">
        <w:tc>
          <w:tcPr>
            <w:tcW w:w="1316" w:type="dxa"/>
          </w:tcPr>
          <w:p w14:paraId="17DC48E3" w14:textId="77777777" w:rsidR="00B61F2A" w:rsidRPr="001362A6" w:rsidRDefault="00B61F2A" w:rsidP="00B61F2A">
            <w:pPr>
              <w:jc w:val="right"/>
              <w:rPr>
                <w:rFonts w:ascii="Lato" w:hAnsi="Lato"/>
                <w:sz w:val="22"/>
                <w:szCs w:val="22"/>
              </w:rPr>
            </w:pPr>
            <w:r w:rsidRPr="001362A6">
              <w:rPr>
                <w:rFonts w:ascii="Lato" w:hAnsi="Lato"/>
                <w:sz w:val="22"/>
                <w:szCs w:val="22"/>
              </w:rPr>
              <w:lastRenderedPageBreak/>
              <w:t>b)</w:t>
            </w:r>
          </w:p>
        </w:tc>
        <w:tc>
          <w:tcPr>
            <w:tcW w:w="5891" w:type="dxa"/>
            <w:tcBorders>
              <w:right w:val="single" w:sz="4" w:space="0" w:color="auto"/>
            </w:tcBorders>
          </w:tcPr>
          <w:p w14:paraId="78E4D932" w14:textId="77777777" w:rsidR="00B61F2A" w:rsidRPr="001362A6" w:rsidRDefault="00B61F2A" w:rsidP="00B61F2A">
            <w:pPr>
              <w:rPr>
                <w:rFonts w:ascii="Lato" w:hAnsi="Lato"/>
                <w:sz w:val="22"/>
                <w:szCs w:val="22"/>
              </w:rPr>
            </w:pPr>
            <w:r w:rsidRPr="001362A6">
              <w:rPr>
                <w:rFonts w:ascii="Lato" w:hAnsi="Lato"/>
                <w:sz w:val="22"/>
                <w:szCs w:val="22"/>
              </w:rPr>
              <w:t>Name</w:t>
            </w:r>
          </w:p>
        </w:tc>
        <w:tc>
          <w:tcPr>
            <w:tcW w:w="3188" w:type="dxa"/>
            <w:tcBorders>
              <w:top w:val="single" w:sz="4" w:space="0" w:color="auto"/>
              <w:left w:val="single" w:sz="4" w:space="0" w:color="auto"/>
              <w:bottom w:val="single" w:sz="4" w:space="0" w:color="auto"/>
              <w:right w:val="single" w:sz="4" w:space="0" w:color="auto"/>
            </w:tcBorders>
          </w:tcPr>
          <w:p w14:paraId="7E6D3DDC" w14:textId="77777777" w:rsidR="00B61F2A" w:rsidRPr="001362A6" w:rsidRDefault="00B61F2A" w:rsidP="00B61F2A">
            <w:pPr>
              <w:rPr>
                <w:rFonts w:ascii="Lato" w:hAnsi="Lato"/>
                <w:sz w:val="22"/>
                <w:szCs w:val="22"/>
              </w:rPr>
            </w:pPr>
          </w:p>
        </w:tc>
      </w:tr>
      <w:tr w:rsidR="00B61F2A" w:rsidRPr="001362A6" w14:paraId="12567916" w14:textId="77777777" w:rsidTr="00D47A86">
        <w:tc>
          <w:tcPr>
            <w:tcW w:w="1316" w:type="dxa"/>
          </w:tcPr>
          <w:p w14:paraId="3868B122" w14:textId="77777777" w:rsidR="00B61F2A" w:rsidRPr="001362A6" w:rsidRDefault="00B61F2A" w:rsidP="00B61F2A">
            <w:pPr>
              <w:jc w:val="right"/>
              <w:rPr>
                <w:rFonts w:ascii="Lato" w:hAnsi="Lato"/>
                <w:sz w:val="22"/>
                <w:szCs w:val="22"/>
              </w:rPr>
            </w:pPr>
          </w:p>
        </w:tc>
        <w:tc>
          <w:tcPr>
            <w:tcW w:w="5891" w:type="dxa"/>
          </w:tcPr>
          <w:p w14:paraId="2360421D"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3ED5276E" w14:textId="77777777" w:rsidR="00B61F2A" w:rsidRPr="001362A6" w:rsidRDefault="00B61F2A" w:rsidP="00B61F2A">
            <w:pPr>
              <w:rPr>
                <w:rFonts w:ascii="Lato" w:hAnsi="Lato"/>
                <w:sz w:val="22"/>
                <w:szCs w:val="22"/>
              </w:rPr>
            </w:pPr>
          </w:p>
        </w:tc>
      </w:tr>
      <w:tr w:rsidR="00B61F2A" w:rsidRPr="001362A6" w14:paraId="742F4A0D" w14:textId="77777777" w:rsidTr="00D47A86">
        <w:tc>
          <w:tcPr>
            <w:tcW w:w="1316" w:type="dxa"/>
          </w:tcPr>
          <w:p w14:paraId="1A6FF778" w14:textId="77777777" w:rsidR="00B61F2A" w:rsidRPr="001362A6" w:rsidRDefault="00B61F2A" w:rsidP="00B61F2A">
            <w:pPr>
              <w:jc w:val="right"/>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54756C17" w14:textId="77777777" w:rsidR="00B61F2A" w:rsidRPr="001362A6" w:rsidRDefault="00B61F2A" w:rsidP="00B61F2A">
            <w:pPr>
              <w:rPr>
                <w:rFonts w:ascii="Lato" w:hAnsi="Lato"/>
                <w:sz w:val="22"/>
                <w:szCs w:val="22"/>
              </w:rPr>
            </w:pPr>
            <w:r w:rsidRPr="001362A6">
              <w:rPr>
                <w:rFonts w:ascii="Lato" w:hAnsi="Lato"/>
                <w:sz w:val="22"/>
                <w:szCs w:val="22"/>
              </w:rPr>
              <w:t>Address</w:t>
            </w:r>
          </w:p>
        </w:tc>
        <w:tc>
          <w:tcPr>
            <w:tcW w:w="3188" w:type="dxa"/>
            <w:tcBorders>
              <w:top w:val="single" w:sz="4" w:space="0" w:color="auto"/>
              <w:left w:val="single" w:sz="4" w:space="0" w:color="auto"/>
              <w:bottom w:val="single" w:sz="4" w:space="0" w:color="auto"/>
              <w:right w:val="single" w:sz="4" w:space="0" w:color="auto"/>
            </w:tcBorders>
          </w:tcPr>
          <w:p w14:paraId="37C0A2B8" w14:textId="77777777" w:rsidR="00B61F2A" w:rsidRPr="001362A6" w:rsidRDefault="00B61F2A" w:rsidP="00B61F2A">
            <w:pPr>
              <w:rPr>
                <w:rFonts w:ascii="Lato" w:hAnsi="Lato"/>
                <w:sz w:val="22"/>
                <w:szCs w:val="22"/>
              </w:rPr>
            </w:pPr>
          </w:p>
        </w:tc>
      </w:tr>
      <w:tr w:rsidR="00B61F2A" w:rsidRPr="001362A6" w14:paraId="2E49B211" w14:textId="77777777" w:rsidTr="00D47A86">
        <w:tc>
          <w:tcPr>
            <w:tcW w:w="1316" w:type="dxa"/>
          </w:tcPr>
          <w:p w14:paraId="5538D36D" w14:textId="77777777" w:rsidR="00B61F2A" w:rsidRPr="001362A6" w:rsidRDefault="00B61F2A" w:rsidP="00B61F2A">
            <w:pPr>
              <w:jc w:val="right"/>
              <w:rPr>
                <w:rFonts w:ascii="Lato" w:hAnsi="Lato"/>
                <w:sz w:val="22"/>
                <w:szCs w:val="22"/>
              </w:rPr>
            </w:pPr>
          </w:p>
        </w:tc>
        <w:tc>
          <w:tcPr>
            <w:tcW w:w="5891" w:type="dxa"/>
          </w:tcPr>
          <w:p w14:paraId="0013DC6F"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14FC4E04" w14:textId="77777777" w:rsidR="00B61F2A" w:rsidRPr="001362A6" w:rsidRDefault="00B61F2A" w:rsidP="00B61F2A">
            <w:pPr>
              <w:rPr>
                <w:rFonts w:ascii="Lato" w:hAnsi="Lato"/>
                <w:sz w:val="22"/>
                <w:szCs w:val="22"/>
              </w:rPr>
            </w:pPr>
          </w:p>
        </w:tc>
      </w:tr>
      <w:tr w:rsidR="00B61F2A" w:rsidRPr="001362A6" w14:paraId="482C8405" w14:textId="77777777" w:rsidTr="00D47A86">
        <w:tc>
          <w:tcPr>
            <w:tcW w:w="1316" w:type="dxa"/>
          </w:tcPr>
          <w:p w14:paraId="5C4109AA" w14:textId="77777777" w:rsidR="00B61F2A" w:rsidRPr="001362A6" w:rsidRDefault="00B61F2A" w:rsidP="00B61F2A">
            <w:pPr>
              <w:jc w:val="right"/>
              <w:rPr>
                <w:rFonts w:ascii="Lato" w:hAnsi="Lato"/>
                <w:sz w:val="22"/>
                <w:szCs w:val="22"/>
              </w:rPr>
            </w:pPr>
            <w:r w:rsidRPr="001362A6">
              <w:rPr>
                <w:rFonts w:ascii="Lato" w:hAnsi="Lato"/>
                <w:sz w:val="22"/>
                <w:szCs w:val="22"/>
              </w:rPr>
              <w:t>d)</w:t>
            </w:r>
          </w:p>
        </w:tc>
        <w:tc>
          <w:tcPr>
            <w:tcW w:w="5891" w:type="dxa"/>
            <w:tcBorders>
              <w:right w:val="single" w:sz="4" w:space="0" w:color="auto"/>
            </w:tcBorders>
          </w:tcPr>
          <w:p w14:paraId="461C9E11" w14:textId="77777777" w:rsidR="00B61F2A" w:rsidRPr="001362A6" w:rsidRDefault="00B61F2A" w:rsidP="00B61F2A">
            <w:pPr>
              <w:rPr>
                <w:rFonts w:ascii="Lato" w:hAnsi="Lato"/>
                <w:sz w:val="22"/>
                <w:szCs w:val="22"/>
              </w:rPr>
            </w:pPr>
            <w:r w:rsidRPr="001362A6">
              <w:rPr>
                <w:rFonts w:ascii="Lato" w:hAnsi="Lato"/>
                <w:sz w:val="22"/>
                <w:szCs w:val="22"/>
              </w:rPr>
              <w:t>Main Activity</w:t>
            </w:r>
          </w:p>
        </w:tc>
        <w:tc>
          <w:tcPr>
            <w:tcW w:w="3188" w:type="dxa"/>
            <w:tcBorders>
              <w:top w:val="single" w:sz="4" w:space="0" w:color="auto"/>
              <w:left w:val="single" w:sz="4" w:space="0" w:color="auto"/>
              <w:bottom w:val="single" w:sz="4" w:space="0" w:color="auto"/>
              <w:right w:val="single" w:sz="4" w:space="0" w:color="auto"/>
            </w:tcBorders>
          </w:tcPr>
          <w:p w14:paraId="52E8CDD0" w14:textId="77777777" w:rsidR="00B61F2A" w:rsidRPr="001362A6" w:rsidRDefault="00B61F2A" w:rsidP="00B61F2A">
            <w:pPr>
              <w:rPr>
                <w:rFonts w:ascii="Lato" w:hAnsi="Lato"/>
                <w:sz w:val="22"/>
                <w:szCs w:val="22"/>
              </w:rPr>
            </w:pPr>
          </w:p>
        </w:tc>
      </w:tr>
      <w:tr w:rsidR="00B61F2A" w:rsidRPr="001362A6" w14:paraId="0D020A8A" w14:textId="77777777" w:rsidTr="00D47A86">
        <w:tc>
          <w:tcPr>
            <w:tcW w:w="1316" w:type="dxa"/>
          </w:tcPr>
          <w:p w14:paraId="6ED19D63" w14:textId="77777777" w:rsidR="00B61F2A" w:rsidRPr="001362A6" w:rsidRDefault="00B61F2A" w:rsidP="00B61F2A">
            <w:pPr>
              <w:jc w:val="right"/>
              <w:rPr>
                <w:rFonts w:ascii="Lato" w:hAnsi="Lato"/>
                <w:sz w:val="22"/>
                <w:szCs w:val="22"/>
              </w:rPr>
            </w:pPr>
          </w:p>
        </w:tc>
        <w:tc>
          <w:tcPr>
            <w:tcW w:w="5891" w:type="dxa"/>
          </w:tcPr>
          <w:p w14:paraId="7A8FDC8B" w14:textId="77777777" w:rsidR="00B61F2A" w:rsidRPr="001362A6" w:rsidRDefault="00B61F2A" w:rsidP="00B61F2A">
            <w:pPr>
              <w:rPr>
                <w:rFonts w:ascii="Lato" w:hAnsi="Lato"/>
                <w:sz w:val="22"/>
                <w:szCs w:val="22"/>
              </w:rPr>
            </w:pPr>
          </w:p>
        </w:tc>
        <w:tc>
          <w:tcPr>
            <w:tcW w:w="3188" w:type="dxa"/>
            <w:tcBorders>
              <w:top w:val="single" w:sz="4" w:space="0" w:color="auto"/>
            </w:tcBorders>
          </w:tcPr>
          <w:p w14:paraId="7C0CAAD1" w14:textId="77777777" w:rsidR="00B61F2A" w:rsidRPr="001362A6" w:rsidRDefault="00B61F2A" w:rsidP="00B61F2A">
            <w:pPr>
              <w:rPr>
                <w:rFonts w:ascii="Lato" w:hAnsi="Lato"/>
                <w:sz w:val="22"/>
                <w:szCs w:val="22"/>
              </w:rPr>
            </w:pPr>
          </w:p>
        </w:tc>
      </w:tr>
      <w:tr w:rsidR="00B61F2A" w:rsidRPr="001362A6" w14:paraId="74A0A59C" w14:textId="77777777" w:rsidTr="00990D73">
        <w:tc>
          <w:tcPr>
            <w:tcW w:w="1316" w:type="dxa"/>
          </w:tcPr>
          <w:p w14:paraId="225B184A" w14:textId="77777777" w:rsidR="00B61F2A" w:rsidRPr="001362A6" w:rsidRDefault="00B61F2A" w:rsidP="00B61F2A">
            <w:pPr>
              <w:jc w:val="right"/>
              <w:rPr>
                <w:rFonts w:ascii="Lato" w:hAnsi="Lato"/>
                <w:sz w:val="22"/>
                <w:szCs w:val="22"/>
              </w:rPr>
            </w:pPr>
            <w:r w:rsidRPr="001362A6">
              <w:rPr>
                <w:rFonts w:ascii="Lato" w:hAnsi="Lato"/>
                <w:sz w:val="22"/>
                <w:szCs w:val="22"/>
              </w:rPr>
              <w:t>e)</w:t>
            </w:r>
          </w:p>
        </w:tc>
        <w:tc>
          <w:tcPr>
            <w:tcW w:w="5891" w:type="dxa"/>
            <w:tcBorders>
              <w:right w:val="single" w:sz="4" w:space="0" w:color="auto"/>
            </w:tcBorders>
          </w:tcPr>
          <w:p w14:paraId="1BBFA5A7" w14:textId="77777777" w:rsidR="00B61F2A" w:rsidRPr="001362A6" w:rsidRDefault="00B61F2A" w:rsidP="00B61F2A">
            <w:pPr>
              <w:rPr>
                <w:rFonts w:ascii="Lato" w:hAnsi="Lato"/>
                <w:sz w:val="22"/>
                <w:szCs w:val="22"/>
              </w:rPr>
            </w:pPr>
            <w:r w:rsidRPr="001362A6">
              <w:rPr>
                <w:rFonts w:ascii="Lato" w:hAnsi="Lato"/>
                <w:sz w:val="22"/>
                <w:szCs w:val="22"/>
              </w:rPr>
              <w:t xml:space="preserve">disclose the other </w:t>
            </w:r>
          </w:p>
        </w:tc>
        <w:tc>
          <w:tcPr>
            <w:tcW w:w="3188" w:type="dxa"/>
            <w:tcBorders>
              <w:top w:val="single" w:sz="4" w:space="0" w:color="auto"/>
              <w:left w:val="single" w:sz="4" w:space="0" w:color="auto"/>
              <w:bottom w:val="single" w:sz="4" w:space="0" w:color="auto"/>
              <w:right w:val="single" w:sz="4" w:space="0" w:color="auto"/>
            </w:tcBorders>
          </w:tcPr>
          <w:p w14:paraId="2242B82F" w14:textId="77777777" w:rsidR="00B61F2A" w:rsidRPr="001362A6" w:rsidRDefault="00B61F2A" w:rsidP="00B61F2A">
            <w:pPr>
              <w:rPr>
                <w:rFonts w:ascii="Lato" w:hAnsi="Lato"/>
                <w:sz w:val="22"/>
                <w:szCs w:val="22"/>
              </w:rPr>
            </w:pPr>
          </w:p>
        </w:tc>
      </w:tr>
      <w:tr w:rsidR="00B61F2A" w:rsidRPr="001362A6" w14:paraId="66B175DE" w14:textId="77777777" w:rsidTr="00990D73">
        <w:tc>
          <w:tcPr>
            <w:tcW w:w="1316" w:type="dxa"/>
          </w:tcPr>
          <w:p w14:paraId="51FE36E6" w14:textId="77777777" w:rsidR="00B61F2A" w:rsidRPr="001362A6" w:rsidRDefault="00B61F2A" w:rsidP="00B61F2A">
            <w:pPr>
              <w:jc w:val="right"/>
              <w:rPr>
                <w:rFonts w:ascii="Lato" w:hAnsi="Lato"/>
                <w:sz w:val="22"/>
                <w:szCs w:val="22"/>
              </w:rPr>
            </w:pPr>
          </w:p>
        </w:tc>
        <w:tc>
          <w:tcPr>
            <w:tcW w:w="5891" w:type="dxa"/>
          </w:tcPr>
          <w:p w14:paraId="208CFEAE" w14:textId="77777777" w:rsidR="00B61F2A" w:rsidRPr="001362A6" w:rsidRDefault="00B61F2A" w:rsidP="00B61F2A">
            <w:pPr>
              <w:rPr>
                <w:rFonts w:ascii="Lato" w:hAnsi="Lato"/>
                <w:sz w:val="22"/>
                <w:szCs w:val="22"/>
              </w:rPr>
            </w:pPr>
            <w:r w:rsidRPr="001362A6">
              <w:rPr>
                <w:rFonts w:ascii="Lato" w:hAnsi="Lato"/>
                <w:sz w:val="22"/>
                <w:szCs w:val="22"/>
              </w:rPr>
              <w:t>significant activities of any entity performing investment management</w:t>
            </w:r>
          </w:p>
        </w:tc>
        <w:tc>
          <w:tcPr>
            <w:tcW w:w="3188" w:type="dxa"/>
            <w:tcBorders>
              <w:top w:val="single" w:sz="4" w:space="0" w:color="auto"/>
            </w:tcBorders>
          </w:tcPr>
          <w:p w14:paraId="5C132CFB" w14:textId="77777777" w:rsidR="00B61F2A" w:rsidRPr="001362A6" w:rsidRDefault="00B61F2A" w:rsidP="00B61F2A">
            <w:pPr>
              <w:rPr>
                <w:rFonts w:ascii="Lato" w:hAnsi="Lato"/>
                <w:sz w:val="22"/>
                <w:szCs w:val="22"/>
              </w:rPr>
            </w:pPr>
          </w:p>
        </w:tc>
      </w:tr>
      <w:tr w:rsidR="00B61F2A" w:rsidRPr="001362A6" w14:paraId="4C1A989E" w14:textId="77777777" w:rsidTr="00990D73">
        <w:tc>
          <w:tcPr>
            <w:tcW w:w="1316" w:type="dxa"/>
          </w:tcPr>
          <w:p w14:paraId="4103B9F0" w14:textId="77777777" w:rsidR="00B61F2A" w:rsidRPr="001362A6" w:rsidRDefault="00B61F2A" w:rsidP="00B61F2A">
            <w:pPr>
              <w:rPr>
                <w:rFonts w:ascii="Lato" w:hAnsi="Lato"/>
                <w:sz w:val="22"/>
                <w:szCs w:val="22"/>
              </w:rPr>
            </w:pPr>
          </w:p>
        </w:tc>
        <w:tc>
          <w:tcPr>
            <w:tcW w:w="5891" w:type="dxa"/>
          </w:tcPr>
          <w:p w14:paraId="4701026E" w14:textId="77777777" w:rsidR="00B61F2A" w:rsidRPr="001362A6" w:rsidRDefault="00B61F2A" w:rsidP="00B61F2A">
            <w:pPr>
              <w:rPr>
                <w:rFonts w:ascii="Lato" w:hAnsi="Lato"/>
                <w:sz w:val="22"/>
                <w:szCs w:val="22"/>
              </w:rPr>
            </w:pPr>
          </w:p>
        </w:tc>
        <w:tc>
          <w:tcPr>
            <w:tcW w:w="3188" w:type="dxa"/>
          </w:tcPr>
          <w:p w14:paraId="0CC7126D" w14:textId="77777777" w:rsidR="00B61F2A" w:rsidRPr="001362A6" w:rsidRDefault="00B61F2A" w:rsidP="00B61F2A">
            <w:pPr>
              <w:rPr>
                <w:rFonts w:ascii="Lato" w:hAnsi="Lato"/>
                <w:sz w:val="22"/>
                <w:szCs w:val="22"/>
              </w:rPr>
            </w:pPr>
          </w:p>
        </w:tc>
      </w:tr>
      <w:tr w:rsidR="00B61F2A" w:rsidRPr="001362A6" w14:paraId="11914785" w14:textId="77777777" w:rsidTr="00990D73">
        <w:tc>
          <w:tcPr>
            <w:tcW w:w="1316" w:type="dxa"/>
          </w:tcPr>
          <w:p w14:paraId="335DC801" w14:textId="77777777" w:rsidR="00B61F2A" w:rsidRPr="001362A6" w:rsidRDefault="00B61F2A" w:rsidP="00B61F2A">
            <w:pPr>
              <w:rPr>
                <w:rFonts w:ascii="Lato" w:hAnsi="Lato"/>
                <w:sz w:val="22"/>
                <w:szCs w:val="22"/>
              </w:rPr>
            </w:pPr>
            <w:r w:rsidRPr="001362A6">
              <w:rPr>
                <w:rFonts w:ascii="Lato" w:hAnsi="Lato"/>
                <w:sz w:val="22"/>
                <w:szCs w:val="22"/>
              </w:rPr>
              <w:t>2.7.5</w:t>
            </w:r>
          </w:p>
        </w:tc>
        <w:tc>
          <w:tcPr>
            <w:tcW w:w="5891" w:type="dxa"/>
          </w:tcPr>
          <w:p w14:paraId="2FCEA9B4" w14:textId="77777777" w:rsidR="00B61F2A" w:rsidRPr="001362A6" w:rsidRDefault="00B61F2A" w:rsidP="00B61F2A">
            <w:pPr>
              <w:rPr>
                <w:rFonts w:ascii="Lato" w:hAnsi="Lato"/>
                <w:b/>
                <w:sz w:val="22"/>
                <w:szCs w:val="22"/>
              </w:rPr>
            </w:pPr>
            <w:r w:rsidRPr="001362A6">
              <w:rPr>
                <w:rFonts w:ascii="Lato" w:hAnsi="Lato"/>
                <w:b/>
                <w:sz w:val="22"/>
                <w:szCs w:val="22"/>
              </w:rPr>
              <w:t>Delegation</w:t>
            </w:r>
          </w:p>
        </w:tc>
        <w:tc>
          <w:tcPr>
            <w:tcW w:w="3188" w:type="dxa"/>
          </w:tcPr>
          <w:p w14:paraId="265121FA" w14:textId="77777777" w:rsidR="00B61F2A" w:rsidRPr="001362A6" w:rsidRDefault="00B61F2A" w:rsidP="00B61F2A">
            <w:pPr>
              <w:rPr>
                <w:rFonts w:ascii="Lato" w:hAnsi="Lato"/>
                <w:sz w:val="22"/>
                <w:szCs w:val="22"/>
              </w:rPr>
            </w:pPr>
          </w:p>
        </w:tc>
      </w:tr>
      <w:tr w:rsidR="00B61F2A" w:rsidRPr="001362A6" w14:paraId="304EB86A" w14:textId="77777777" w:rsidTr="007E3170">
        <w:tc>
          <w:tcPr>
            <w:tcW w:w="1316" w:type="dxa"/>
          </w:tcPr>
          <w:p w14:paraId="0D7168AD" w14:textId="77777777" w:rsidR="00B61F2A" w:rsidRPr="001362A6" w:rsidRDefault="00B61F2A" w:rsidP="00B61F2A">
            <w:pPr>
              <w:rPr>
                <w:rFonts w:ascii="Lato" w:hAnsi="Lato"/>
                <w:sz w:val="22"/>
                <w:szCs w:val="22"/>
              </w:rPr>
            </w:pPr>
            <w:r w:rsidRPr="001362A6">
              <w:rPr>
                <w:rFonts w:ascii="Lato" w:hAnsi="Lato"/>
                <w:sz w:val="22"/>
                <w:szCs w:val="22"/>
              </w:rPr>
              <w:t>a)</w:t>
            </w:r>
          </w:p>
        </w:tc>
        <w:tc>
          <w:tcPr>
            <w:tcW w:w="5891" w:type="dxa"/>
          </w:tcPr>
          <w:p w14:paraId="52C96088" w14:textId="77777777" w:rsidR="00B61F2A" w:rsidRPr="001362A6" w:rsidRDefault="00B61F2A" w:rsidP="00B61F2A">
            <w:pPr>
              <w:rPr>
                <w:rFonts w:ascii="Lato" w:hAnsi="Lato"/>
                <w:sz w:val="22"/>
                <w:szCs w:val="22"/>
              </w:rPr>
            </w:pPr>
            <w:r w:rsidRPr="001362A6">
              <w:rPr>
                <w:rFonts w:ascii="Lato" w:hAnsi="Lato"/>
                <w:sz w:val="22"/>
                <w:szCs w:val="22"/>
              </w:rPr>
              <w:t xml:space="preserve">Disclose a description of : </w:t>
            </w:r>
          </w:p>
        </w:tc>
        <w:tc>
          <w:tcPr>
            <w:tcW w:w="3188" w:type="dxa"/>
            <w:tcBorders>
              <w:bottom w:val="single" w:sz="4" w:space="0" w:color="auto"/>
            </w:tcBorders>
          </w:tcPr>
          <w:p w14:paraId="12891747" w14:textId="77777777" w:rsidR="00B61F2A" w:rsidRPr="001362A6" w:rsidRDefault="00B61F2A" w:rsidP="00B61F2A">
            <w:pPr>
              <w:rPr>
                <w:rFonts w:ascii="Lato" w:hAnsi="Lato"/>
                <w:sz w:val="22"/>
                <w:szCs w:val="22"/>
              </w:rPr>
            </w:pPr>
          </w:p>
        </w:tc>
      </w:tr>
      <w:tr w:rsidR="00B61F2A" w:rsidRPr="001362A6" w14:paraId="3CF2984A" w14:textId="77777777" w:rsidTr="00FB541F">
        <w:tc>
          <w:tcPr>
            <w:tcW w:w="1316" w:type="dxa"/>
          </w:tcPr>
          <w:p w14:paraId="57058822"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0A446116" w14:textId="77777777" w:rsidR="00B61F2A" w:rsidRPr="001362A6" w:rsidRDefault="00B61F2A" w:rsidP="00B61F2A">
            <w:pPr>
              <w:rPr>
                <w:rFonts w:ascii="Lato" w:hAnsi="Lato"/>
                <w:sz w:val="22"/>
                <w:szCs w:val="22"/>
              </w:rPr>
            </w:pPr>
            <w:r w:rsidRPr="001362A6">
              <w:rPr>
                <w:rFonts w:ascii="Lato" w:hAnsi="Lato"/>
                <w:sz w:val="22"/>
                <w:szCs w:val="22"/>
              </w:rPr>
              <w:t>(i)any delegated management function  by the AIFM</w:t>
            </w:r>
          </w:p>
        </w:tc>
        <w:tc>
          <w:tcPr>
            <w:tcW w:w="3188" w:type="dxa"/>
            <w:tcBorders>
              <w:top w:val="single" w:sz="4" w:space="0" w:color="auto"/>
              <w:left w:val="single" w:sz="4" w:space="0" w:color="auto"/>
              <w:bottom w:val="single" w:sz="4" w:space="0" w:color="auto"/>
              <w:right w:val="single" w:sz="4" w:space="0" w:color="auto"/>
            </w:tcBorders>
          </w:tcPr>
          <w:p w14:paraId="7C4D4F92" w14:textId="77777777" w:rsidR="00B61F2A" w:rsidRPr="001362A6" w:rsidRDefault="00B61F2A" w:rsidP="00B61F2A">
            <w:pPr>
              <w:rPr>
                <w:rFonts w:ascii="Lato" w:hAnsi="Lato"/>
                <w:sz w:val="22"/>
                <w:szCs w:val="22"/>
              </w:rPr>
            </w:pPr>
          </w:p>
        </w:tc>
      </w:tr>
      <w:tr w:rsidR="00B61F2A" w:rsidRPr="001362A6" w14:paraId="5BFE0571" w14:textId="77777777" w:rsidTr="00FB541F">
        <w:tc>
          <w:tcPr>
            <w:tcW w:w="1316" w:type="dxa"/>
          </w:tcPr>
          <w:p w14:paraId="41C91949"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5ADBED85" w14:textId="77777777" w:rsidR="00B61F2A" w:rsidRPr="001362A6" w:rsidRDefault="00B61F2A" w:rsidP="00B61F2A">
            <w:pPr>
              <w:rPr>
                <w:rFonts w:ascii="Lato" w:hAnsi="Lato"/>
                <w:sz w:val="22"/>
                <w:szCs w:val="22"/>
              </w:rPr>
            </w:pPr>
            <w:r w:rsidRPr="001362A6">
              <w:rPr>
                <w:rFonts w:ascii="Lato" w:hAnsi="Lato"/>
                <w:sz w:val="22"/>
                <w:szCs w:val="22"/>
              </w:rPr>
              <w:t>(ii)any safe-keeping function delegated by the depositary</w:t>
            </w:r>
          </w:p>
        </w:tc>
        <w:tc>
          <w:tcPr>
            <w:tcW w:w="3188" w:type="dxa"/>
            <w:tcBorders>
              <w:top w:val="single" w:sz="4" w:space="0" w:color="auto"/>
              <w:left w:val="single" w:sz="4" w:space="0" w:color="auto"/>
              <w:bottom w:val="single" w:sz="4" w:space="0" w:color="auto"/>
              <w:right w:val="single" w:sz="4" w:space="0" w:color="auto"/>
            </w:tcBorders>
          </w:tcPr>
          <w:p w14:paraId="4233E5A7" w14:textId="77777777" w:rsidR="00B61F2A" w:rsidRPr="001362A6" w:rsidRDefault="00B61F2A" w:rsidP="00B61F2A">
            <w:pPr>
              <w:rPr>
                <w:rFonts w:ascii="Lato" w:hAnsi="Lato"/>
                <w:sz w:val="22"/>
                <w:szCs w:val="22"/>
              </w:rPr>
            </w:pPr>
          </w:p>
        </w:tc>
      </w:tr>
      <w:tr w:rsidR="00B61F2A" w:rsidRPr="001362A6" w14:paraId="69E4756C" w14:textId="77777777" w:rsidTr="00FB541F">
        <w:tc>
          <w:tcPr>
            <w:tcW w:w="1316" w:type="dxa"/>
          </w:tcPr>
          <w:p w14:paraId="3B23AEB8" w14:textId="77777777" w:rsidR="00B61F2A" w:rsidRPr="001362A6" w:rsidRDefault="00B61F2A" w:rsidP="00B61F2A">
            <w:pPr>
              <w:rPr>
                <w:rFonts w:ascii="Lato" w:hAnsi="Lato"/>
                <w:sz w:val="22"/>
                <w:szCs w:val="22"/>
              </w:rPr>
            </w:pPr>
          </w:p>
        </w:tc>
        <w:tc>
          <w:tcPr>
            <w:tcW w:w="5891" w:type="dxa"/>
          </w:tcPr>
          <w:p w14:paraId="62F2AD8C"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12F8B27F" w14:textId="77777777" w:rsidR="00B61F2A" w:rsidRPr="001362A6" w:rsidRDefault="00B61F2A" w:rsidP="00B61F2A">
            <w:pPr>
              <w:rPr>
                <w:rFonts w:ascii="Lato" w:hAnsi="Lato"/>
                <w:sz w:val="22"/>
                <w:szCs w:val="22"/>
              </w:rPr>
            </w:pPr>
          </w:p>
        </w:tc>
      </w:tr>
      <w:tr w:rsidR="00B61F2A" w:rsidRPr="001362A6" w14:paraId="295EF1BC" w14:textId="77777777" w:rsidTr="007E3170">
        <w:tc>
          <w:tcPr>
            <w:tcW w:w="1316" w:type="dxa"/>
          </w:tcPr>
          <w:p w14:paraId="7C798E6A" w14:textId="77777777" w:rsidR="00B61F2A" w:rsidRPr="001362A6" w:rsidRDefault="00B61F2A" w:rsidP="00B61F2A">
            <w:pPr>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5E598512" w14:textId="77777777" w:rsidR="00B61F2A" w:rsidRPr="001362A6" w:rsidRDefault="00B61F2A" w:rsidP="00B61F2A">
            <w:pPr>
              <w:rPr>
                <w:rFonts w:ascii="Lato" w:hAnsi="Lato"/>
                <w:sz w:val="22"/>
                <w:szCs w:val="22"/>
              </w:rPr>
            </w:pPr>
            <w:r w:rsidRPr="001362A6">
              <w:rPr>
                <w:rFonts w:ascii="Lato" w:hAnsi="Lato"/>
                <w:sz w:val="22"/>
                <w:szCs w:val="22"/>
              </w:rPr>
              <w:t>Disclose (i) the identification of the delegate</w:t>
            </w:r>
          </w:p>
        </w:tc>
        <w:tc>
          <w:tcPr>
            <w:tcW w:w="3188" w:type="dxa"/>
            <w:tcBorders>
              <w:top w:val="single" w:sz="4" w:space="0" w:color="auto"/>
              <w:left w:val="single" w:sz="4" w:space="0" w:color="auto"/>
              <w:bottom w:val="single" w:sz="4" w:space="0" w:color="auto"/>
              <w:right w:val="single" w:sz="4" w:space="0" w:color="auto"/>
            </w:tcBorders>
          </w:tcPr>
          <w:p w14:paraId="2B52FA74" w14:textId="77777777" w:rsidR="00B61F2A" w:rsidRPr="001362A6" w:rsidRDefault="00B61F2A" w:rsidP="00B61F2A">
            <w:pPr>
              <w:rPr>
                <w:rFonts w:ascii="Lato" w:hAnsi="Lato"/>
                <w:sz w:val="22"/>
                <w:szCs w:val="22"/>
              </w:rPr>
            </w:pPr>
          </w:p>
        </w:tc>
      </w:tr>
      <w:tr w:rsidR="00B61F2A" w:rsidRPr="001362A6" w14:paraId="27918B95" w14:textId="77777777" w:rsidTr="007E3170">
        <w:tc>
          <w:tcPr>
            <w:tcW w:w="1316" w:type="dxa"/>
          </w:tcPr>
          <w:p w14:paraId="3A6C789D"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6E5BE52A" w14:textId="77777777" w:rsidR="00B61F2A" w:rsidRPr="001362A6" w:rsidRDefault="00B61F2A" w:rsidP="00B61F2A">
            <w:pPr>
              <w:rPr>
                <w:rFonts w:ascii="Lato" w:hAnsi="Lato"/>
                <w:sz w:val="22"/>
                <w:szCs w:val="22"/>
              </w:rPr>
            </w:pPr>
            <w:r w:rsidRPr="001362A6">
              <w:rPr>
                <w:rFonts w:ascii="Lato" w:hAnsi="Lato"/>
                <w:sz w:val="22"/>
                <w:szCs w:val="22"/>
              </w:rPr>
              <w:t>(ii)any conflicts of interest that may arise from such delegations</w:t>
            </w:r>
          </w:p>
        </w:tc>
        <w:tc>
          <w:tcPr>
            <w:tcW w:w="3188" w:type="dxa"/>
            <w:tcBorders>
              <w:top w:val="single" w:sz="4" w:space="0" w:color="auto"/>
              <w:left w:val="single" w:sz="4" w:space="0" w:color="auto"/>
              <w:bottom w:val="single" w:sz="4" w:space="0" w:color="auto"/>
              <w:right w:val="single" w:sz="4" w:space="0" w:color="auto"/>
            </w:tcBorders>
          </w:tcPr>
          <w:p w14:paraId="56737D0F" w14:textId="77777777" w:rsidR="00B61F2A" w:rsidRPr="001362A6" w:rsidRDefault="00B61F2A" w:rsidP="00B61F2A">
            <w:pPr>
              <w:rPr>
                <w:rFonts w:ascii="Lato" w:hAnsi="Lato"/>
                <w:sz w:val="22"/>
                <w:szCs w:val="22"/>
              </w:rPr>
            </w:pPr>
          </w:p>
        </w:tc>
      </w:tr>
      <w:tr w:rsidR="00B61F2A" w:rsidRPr="001362A6" w14:paraId="0DB3C4DF" w14:textId="77777777" w:rsidTr="00990D73">
        <w:tc>
          <w:tcPr>
            <w:tcW w:w="1316" w:type="dxa"/>
          </w:tcPr>
          <w:p w14:paraId="15A49285" w14:textId="77777777" w:rsidR="00B61F2A" w:rsidRPr="001362A6" w:rsidRDefault="00B61F2A" w:rsidP="00B61F2A">
            <w:pPr>
              <w:rPr>
                <w:rFonts w:ascii="Lato" w:hAnsi="Lato"/>
                <w:sz w:val="22"/>
                <w:szCs w:val="22"/>
              </w:rPr>
            </w:pPr>
          </w:p>
        </w:tc>
        <w:tc>
          <w:tcPr>
            <w:tcW w:w="5891" w:type="dxa"/>
          </w:tcPr>
          <w:p w14:paraId="6595C56A" w14:textId="77777777" w:rsidR="00B61F2A" w:rsidRPr="001362A6" w:rsidRDefault="00B61F2A" w:rsidP="00B61F2A">
            <w:pPr>
              <w:rPr>
                <w:rFonts w:ascii="Lato" w:hAnsi="Lato"/>
                <w:sz w:val="22"/>
                <w:szCs w:val="22"/>
              </w:rPr>
            </w:pPr>
          </w:p>
        </w:tc>
        <w:tc>
          <w:tcPr>
            <w:tcW w:w="3188" w:type="dxa"/>
          </w:tcPr>
          <w:p w14:paraId="3DC37030" w14:textId="77777777" w:rsidR="00B61F2A" w:rsidRPr="001362A6" w:rsidRDefault="00B61F2A" w:rsidP="00B61F2A">
            <w:pPr>
              <w:rPr>
                <w:rFonts w:ascii="Lato" w:hAnsi="Lato"/>
                <w:sz w:val="22"/>
                <w:szCs w:val="22"/>
              </w:rPr>
            </w:pPr>
          </w:p>
        </w:tc>
      </w:tr>
      <w:tr w:rsidR="00B61F2A" w:rsidRPr="001362A6" w14:paraId="253573E5" w14:textId="77777777" w:rsidTr="00990D73">
        <w:tc>
          <w:tcPr>
            <w:tcW w:w="1316" w:type="dxa"/>
          </w:tcPr>
          <w:p w14:paraId="449453E9" w14:textId="77777777" w:rsidR="00B61F2A" w:rsidRPr="001362A6" w:rsidRDefault="00B61F2A" w:rsidP="00B61F2A">
            <w:pPr>
              <w:rPr>
                <w:rFonts w:ascii="Lato" w:hAnsi="Lato"/>
                <w:b/>
                <w:bCs/>
                <w:sz w:val="22"/>
                <w:szCs w:val="22"/>
              </w:rPr>
            </w:pPr>
            <w:r w:rsidRPr="001362A6">
              <w:rPr>
                <w:rFonts w:ascii="Lato" w:hAnsi="Lato"/>
                <w:b/>
                <w:bCs/>
                <w:sz w:val="22"/>
                <w:szCs w:val="22"/>
              </w:rPr>
              <w:t>2.8</w:t>
            </w:r>
          </w:p>
        </w:tc>
        <w:tc>
          <w:tcPr>
            <w:tcW w:w="5891" w:type="dxa"/>
          </w:tcPr>
          <w:p w14:paraId="0963F4A1" w14:textId="77777777" w:rsidR="00B61F2A" w:rsidRPr="001362A6" w:rsidRDefault="00B61F2A" w:rsidP="00B61F2A">
            <w:pPr>
              <w:rPr>
                <w:rFonts w:ascii="Lato" w:hAnsi="Lato"/>
                <w:b/>
                <w:bCs/>
                <w:sz w:val="22"/>
                <w:szCs w:val="22"/>
              </w:rPr>
            </w:pPr>
            <w:r w:rsidRPr="001362A6">
              <w:rPr>
                <w:rFonts w:ascii="Lato" w:hAnsi="Lato"/>
                <w:b/>
                <w:bCs/>
                <w:sz w:val="22"/>
                <w:szCs w:val="22"/>
              </w:rPr>
              <w:t>General Information</w:t>
            </w:r>
          </w:p>
        </w:tc>
        <w:tc>
          <w:tcPr>
            <w:tcW w:w="3188" w:type="dxa"/>
          </w:tcPr>
          <w:p w14:paraId="5AAC75F1" w14:textId="77777777" w:rsidR="00B61F2A" w:rsidRPr="001362A6" w:rsidRDefault="00B61F2A" w:rsidP="00B61F2A">
            <w:pPr>
              <w:rPr>
                <w:rFonts w:ascii="Lato" w:hAnsi="Lato"/>
                <w:b/>
                <w:bCs/>
                <w:sz w:val="22"/>
                <w:szCs w:val="22"/>
              </w:rPr>
            </w:pPr>
          </w:p>
        </w:tc>
      </w:tr>
      <w:tr w:rsidR="00B61F2A" w:rsidRPr="001362A6" w14:paraId="15395A34" w14:textId="77777777" w:rsidTr="00990D73">
        <w:tc>
          <w:tcPr>
            <w:tcW w:w="1316" w:type="dxa"/>
          </w:tcPr>
          <w:p w14:paraId="0EABEDC3" w14:textId="77777777" w:rsidR="00B61F2A" w:rsidRPr="001362A6" w:rsidRDefault="00B61F2A" w:rsidP="00B61F2A">
            <w:pPr>
              <w:rPr>
                <w:rFonts w:ascii="Lato" w:hAnsi="Lato"/>
                <w:sz w:val="22"/>
                <w:szCs w:val="22"/>
              </w:rPr>
            </w:pPr>
          </w:p>
        </w:tc>
        <w:tc>
          <w:tcPr>
            <w:tcW w:w="5891" w:type="dxa"/>
          </w:tcPr>
          <w:p w14:paraId="74CD15F2" w14:textId="77777777" w:rsidR="00B61F2A" w:rsidRPr="001362A6" w:rsidRDefault="00B61F2A" w:rsidP="00B61F2A">
            <w:pPr>
              <w:rPr>
                <w:rFonts w:ascii="Lato" w:hAnsi="Lato"/>
                <w:sz w:val="22"/>
                <w:szCs w:val="22"/>
              </w:rPr>
            </w:pPr>
          </w:p>
        </w:tc>
        <w:tc>
          <w:tcPr>
            <w:tcW w:w="3188" w:type="dxa"/>
          </w:tcPr>
          <w:p w14:paraId="7ACFE962" w14:textId="77777777" w:rsidR="00B61F2A" w:rsidRPr="001362A6" w:rsidRDefault="00B61F2A" w:rsidP="00B61F2A">
            <w:pPr>
              <w:rPr>
                <w:rFonts w:ascii="Lato" w:hAnsi="Lato"/>
                <w:sz w:val="22"/>
                <w:szCs w:val="22"/>
              </w:rPr>
            </w:pPr>
          </w:p>
        </w:tc>
      </w:tr>
      <w:tr w:rsidR="00B61F2A" w:rsidRPr="001362A6" w14:paraId="368A4FA6" w14:textId="77777777" w:rsidTr="00990D73">
        <w:tc>
          <w:tcPr>
            <w:tcW w:w="1316" w:type="dxa"/>
          </w:tcPr>
          <w:p w14:paraId="54462B45" w14:textId="77777777" w:rsidR="00B61F2A" w:rsidRPr="001362A6" w:rsidRDefault="00B61F2A" w:rsidP="00B61F2A">
            <w:pPr>
              <w:rPr>
                <w:rFonts w:ascii="Lato" w:hAnsi="Lato"/>
                <w:sz w:val="22"/>
                <w:szCs w:val="22"/>
              </w:rPr>
            </w:pPr>
            <w:r w:rsidRPr="001362A6">
              <w:rPr>
                <w:rFonts w:ascii="Lato" w:hAnsi="Lato"/>
                <w:sz w:val="22"/>
                <w:szCs w:val="22"/>
              </w:rPr>
              <w:t>2.8.1</w:t>
            </w:r>
          </w:p>
        </w:tc>
        <w:tc>
          <w:tcPr>
            <w:tcW w:w="5891" w:type="dxa"/>
          </w:tcPr>
          <w:p w14:paraId="22F6E09E" w14:textId="77777777" w:rsidR="00B61F2A" w:rsidRPr="001362A6" w:rsidRDefault="00B61F2A" w:rsidP="00B61F2A">
            <w:pPr>
              <w:pStyle w:val="Heading1"/>
              <w:spacing w:before="0" w:after="0" w:line="240" w:lineRule="auto"/>
              <w:rPr>
                <w:rFonts w:ascii="Lato" w:hAnsi="Lato"/>
                <w:color w:val="auto"/>
                <w:sz w:val="22"/>
                <w:szCs w:val="22"/>
              </w:rPr>
            </w:pPr>
            <w:r w:rsidRPr="001362A6">
              <w:rPr>
                <w:rFonts w:ascii="Lato" w:hAnsi="Lato"/>
                <w:color w:val="auto"/>
                <w:sz w:val="22"/>
                <w:szCs w:val="22"/>
              </w:rPr>
              <w:t>Conflict of Interests</w:t>
            </w:r>
          </w:p>
        </w:tc>
        <w:tc>
          <w:tcPr>
            <w:tcW w:w="3188" w:type="dxa"/>
            <w:tcBorders>
              <w:bottom w:val="single" w:sz="4" w:space="0" w:color="auto"/>
            </w:tcBorders>
          </w:tcPr>
          <w:p w14:paraId="7413CC1C" w14:textId="77777777" w:rsidR="00B61F2A" w:rsidRPr="001362A6" w:rsidRDefault="00B61F2A" w:rsidP="00B61F2A">
            <w:pPr>
              <w:rPr>
                <w:rFonts w:ascii="Lato" w:hAnsi="Lato"/>
                <w:sz w:val="22"/>
                <w:szCs w:val="22"/>
              </w:rPr>
            </w:pPr>
          </w:p>
        </w:tc>
      </w:tr>
      <w:tr w:rsidR="00B61F2A" w:rsidRPr="001362A6" w14:paraId="397AF82A" w14:textId="77777777" w:rsidTr="00990D73">
        <w:trPr>
          <w:cantSplit/>
          <w:trHeight w:val="257"/>
        </w:trPr>
        <w:tc>
          <w:tcPr>
            <w:tcW w:w="1316" w:type="dxa"/>
            <w:vMerge w:val="restart"/>
          </w:tcPr>
          <w:p w14:paraId="731E6858" w14:textId="77777777" w:rsidR="00B61F2A" w:rsidRPr="001362A6" w:rsidRDefault="00B61F2A" w:rsidP="00B61F2A">
            <w:pPr>
              <w:jc w:val="right"/>
              <w:rPr>
                <w:rFonts w:ascii="Lato" w:hAnsi="Lato"/>
                <w:sz w:val="22"/>
                <w:szCs w:val="22"/>
              </w:rPr>
            </w:pPr>
            <w:r w:rsidRPr="001362A6">
              <w:rPr>
                <w:rFonts w:ascii="Lato" w:hAnsi="Lato"/>
                <w:sz w:val="22"/>
                <w:szCs w:val="22"/>
              </w:rPr>
              <w:t>a)</w:t>
            </w:r>
          </w:p>
        </w:tc>
        <w:tc>
          <w:tcPr>
            <w:tcW w:w="5891" w:type="dxa"/>
            <w:vMerge w:val="restart"/>
            <w:tcBorders>
              <w:right w:val="single" w:sz="4" w:space="0" w:color="auto"/>
            </w:tcBorders>
          </w:tcPr>
          <w:p w14:paraId="7095FE63" w14:textId="77777777" w:rsidR="00B61F2A" w:rsidRPr="001362A6" w:rsidRDefault="00B61F2A" w:rsidP="00B61F2A">
            <w:pPr>
              <w:rPr>
                <w:rFonts w:ascii="Lato" w:hAnsi="Lato"/>
                <w:sz w:val="22"/>
                <w:szCs w:val="22"/>
              </w:rPr>
            </w:pPr>
            <w:r w:rsidRPr="001362A6">
              <w:rPr>
                <w:rFonts w:ascii="Lato" w:hAnsi="Lato"/>
                <w:sz w:val="22"/>
                <w:szCs w:val="22"/>
              </w:rPr>
              <w:t>A description of the potential conflicts of interest which could arise between the AIFM, management company or general partner and investment manager and the Qualifying Investor AIF</w:t>
            </w:r>
          </w:p>
        </w:tc>
        <w:tc>
          <w:tcPr>
            <w:tcW w:w="3188" w:type="dxa"/>
            <w:tcBorders>
              <w:top w:val="single" w:sz="4" w:space="0" w:color="auto"/>
              <w:bottom w:val="single" w:sz="4" w:space="0" w:color="auto"/>
              <w:right w:val="single" w:sz="4" w:space="0" w:color="auto"/>
            </w:tcBorders>
          </w:tcPr>
          <w:p w14:paraId="454D1712" w14:textId="77777777" w:rsidR="00B61F2A" w:rsidRPr="001362A6" w:rsidRDefault="00B61F2A" w:rsidP="00B61F2A">
            <w:pPr>
              <w:rPr>
                <w:rFonts w:ascii="Lato" w:hAnsi="Lato"/>
                <w:sz w:val="22"/>
                <w:szCs w:val="22"/>
              </w:rPr>
            </w:pPr>
          </w:p>
        </w:tc>
      </w:tr>
      <w:tr w:rsidR="00B61F2A" w:rsidRPr="001362A6" w14:paraId="021FAE8C" w14:textId="77777777" w:rsidTr="00990D73">
        <w:trPr>
          <w:cantSplit/>
          <w:trHeight w:val="254"/>
        </w:trPr>
        <w:tc>
          <w:tcPr>
            <w:tcW w:w="1316" w:type="dxa"/>
            <w:vMerge/>
          </w:tcPr>
          <w:p w14:paraId="3D8F28F1" w14:textId="77777777" w:rsidR="00B61F2A" w:rsidRPr="001362A6" w:rsidRDefault="00B61F2A" w:rsidP="00B61F2A">
            <w:pPr>
              <w:jc w:val="right"/>
              <w:rPr>
                <w:rFonts w:ascii="Lato" w:hAnsi="Lato"/>
                <w:sz w:val="22"/>
                <w:szCs w:val="22"/>
              </w:rPr>
            </w:pPr>
          </w:p>
        </w:tc>
        <w:tc>
          <w:tcPr>
            <w:tcW w:w="5891" w:type="dxa"/>
            <w:vMerge/>
          </w:tcPr>
          <w:p w14:paraId="38227C8B" w14:textId="77777777" w:rsidR="00B61F2A" w:rsidRPr="001362A6" w:rsidRDefault="00B61F2A" w:rsidP="00B61F2A">
            <w:pPr>
              <w:rPr>
                <w:rFonts w:ascii="Lato" w:hAnsi="Lato"/>
                <w:sz w:val="22"/>
                <w:szCs w:val="22"/>
              </w:rPr>
            </w:pPr>
          </w:p>
        </w:tc>
        <w:tc>
          <w:tcPr>
            <w:tcW w:w="3188" w:type="dxa"/>
            <w:tcBorders>
              <w:top w:val="single" w:sz="4" w:space="0" w:color="auto"/>
            </w:tcBorders>
          </w:tcPr>
          <w:p w14:paraId="1E10B5EB" w14:textId="77777777" w:rsidR="00B61F2A" w:rsidRPr="001362A6" w:rsidRDefault="00B61F2A" w:rsidP="00B61F2A">
            <w:pPr>
              <w:rPr>
                <w:rFonts w:ascii="Lato" w:hAnsi="Lato"/>
                <w:sz w:val="22"/>
                <w:szCs w:val="22"/>
              </w:rPr>
            </w:pPr>
          </w:p>
        </w:tc>
      </w:tr>
      <w:tr w:rsidR="00B61F2A" w:rsidRPr="001362A6" w14:paraId="4C04AB70" w14:textId="77777777" w:rsidTr="00990D73">
        <w:trPr>
          <w:cantSplit/>
          <w:trHeight w:val="254"/>
        </w:trPr>
        <w:tc>
          <w:tcPr>
            <w:tcW w:w="1316" w:type="dxa"/>
            <w:vMerge/>
          </w:tcPr>
          <w:p w14:paraId="1477F0DA" w14:textId="77777777" w:rsidR="00B61F2A" w:rsidRPr="001362A6" w:rsidRDefault="00B61F2A" w:rsidP="00B61F2A">
            <w:pPr>
              <w:jc w:val="right"/>
              <w:rPr>
                <w:rFonts w:ascii="Lato" w:hAnsi="Lato"/>
                <w:sz w:val="22"/>
                <w:szCs w:val="22"/>
              </w:rPr>
            </w:pPr>
          </w:p>
        </w:tc>
        <w:tc>
          <w:tcPr>
            <w:tcW w:w="5891" w:type="dxa"/>
            <w:vMerge/>
          </w:tcPr>
          <w:p w14:paraId="585F9351" w14:textId="77777777" w:rsidR="00B61F2A" w:rsidRPr="001362A6" w:rsidRDefault="00B61F2A" w:rsidP="00B61F2A">
            <w:pPr>
              <w:rPr>
                <w:rFonts w:ascii="Lato" w:hAnsi="Lato"/>
                <w:sz w:val="22"/>
                <w:szCs w:val="22"/>
              </w:rPr>
            </w:pPr>
          </w:p>
        </w:tc>
        <w:tc>
          <w:tcPr>
            <w:tcW w:w="3188" w:type="dxa"/>
          </w:tcPr>
          <w:p w14:paraId="65A37D24" w14:textId="77777777" w:rsidR="00B61F2A" w:rsidRPr="001362A6" w:rsidRDefault="00B61F2A" w:rsidP="00B61F2A">
            <w:pPr>
              <w:rPr>
                <w:rFonts w:ascii="Lato" w:hAnsi="Lato"/>
                <w:sz w:val="22"/>
                <w:szCs w:val="22"/>
              </w:rPr>
            </w:pPr>
          </w:p>
        </w:tc>
      </w:tr>
      <w:tr w:rsidR="00B61F2A" w:rsidRPr="001362A6" w14:paraId="42187CE5" w14:textId="77777777" w:rsidTr="00990D73">
        <w:trPr>
          <w:cantSplit/>
          <w:trHeight w:val="254"/>
        </w:trPr>
        <w:tc>
          <w:tcPr>
            <w:tcW w:w="1316" w:type="dxa"/>
            <w:vMerge/>
          </w:tcPr>
          <w:p w14:paraId="6A31CDF6" w14:textId="77777777" w:rsidR="00B61F2A" w:rsidRPr="001362A6" w:rsidRDefault="00B61F2A" w:rsidP="00B61F2A">
            <w:pPr>
              <w:jc w:val="right"/>
              <w:rPr>
                <w:rFonts w:ascii="Lato" w:hAnsi="Lato"/>
                <w:sz w:val="22"/>
                <w:szCs w:val="22"/>
              </w:rPr>
            </w:pPr>
          </w:p>
        </w:tc>
        <w:tc>
          <w:tcPr>
            <w:tcW w:w="5891" w:type="dxa"/>
            <w:vMerge/>
          </w:tcPr>
          <w:p w14:paraId="13B75440" w14:textId="77777777" w:rsidR="00B61F2A" w:rsidRPr="001362A6" w:rsidRDefault="00B61F2A" w:rsidP="00B61F2A">
            <w:pPr>
              <w:rPr>
                <w:rFonts w:ascii="Lato" w:hAnsi="Lato"/>
                <w:sz w:val="22"/>
                <w:szCs w:val="22"/>
              </w:rPr>
            </w:pPr>
          </w:p>
        </w:tc>
        <w:tc>
          <w:tcPr>
            <w:tcW w:w="3188" w:type="dxa"/>
          </w:tcPr>
          <w:p w14:paraId="7B27D4B7" w14:textId="77777777" w:rsidR="00B61F2A" w:rsidRPr="001362A6" w:rsidRDefault="00B61F2A" w:rsidP="00B61F2A">
            <w:pPr>
              <w:rPr>
                <w:rFonts w:ascii="Lato" w:hAnsi="Lato"/>
                <w:sz w:val="22"/>
                <w:szCs w:val="22"/>
              </w:rPr>
            </w:pPr>
          </w:p>
        </w:tc>
      </w:tr>
      <w:tr w:rsidR="00B61F2A" w:rsidRPr="001362A6" w14:paraId="00007833" w14:textId="77777777" w:rsidTr="00990D73">
        <w:trPr>
          <w:cantSplit/>
          <w:trHeight w:val="255"/>
        </w:trPr>
        <w:tc>
          <w:tcPr>
            <w:tcW w:w="1316" w:type="dxa"/>
            <w:vMerge w:val="restart"/>
          </w:tcPr>
          <w:p w14:paraId="407C4651" w14:textId="77777777" w:rsidR="00B61F2A" w:rsidRPr="001362A6" w:rsidRDefault="00B61F2A" w:rsidP="00B61F2A">
            <w:pPr>
              <w:jc w:val="right"/>
              <w:rPr>
                <w:rFonts w:ascii="Lato" w:hAnsi="Lato"/>
                <w:sz w:val="22"/>
                <w:szCs w:val="22"/>
              </w:rPr>
            </w:pPr>
            <w:r w:rsidRPr="001362A6">
              <w:rPr>
                <w:rFonts w:ascii="Lato" w:hAnsi="Lato"/>
                <w:sz w:val="22"/>
                <w:szCs w:val="22"/>
              </w:rPr>
              <w:t>b)</w:t>
            </w:r>
          </w:p>
        </w:tc>
        <w:tc>
          <w:tcPr>
            <w:tcW w:w="5891" w:type="dxa"/>
            <w:vMerge w:val="restart"/>
            <w:tcBorders>
              <w:right w:val="single" w:sz="4" w:space="0" w:color="auto"/>
            </w:tcBorders>
          </w:tcPr>
          <w:p w14:paraId="7AA26531" w14:textId="77777777" w:rsidR="00B61F2A" w:rsidRPr="001362A6" w:rsidRDefault="00B61F2A" w:rsidP="00B61F2A">
            <w:pPr>
              <w:rPr>
                <w:rFonts w:ascii="Lato" w:hAnsi="Lato"/>
                <w:sz w:val="22"/>
                <w:szCs w:val="22"/>
              </w:rPr>
            </w:pPr>
            <w:r w:rsidRPr="001362A6">
              <w:rPr>
                <w:rFonts w:ascii="Lato" w:hAnsi="Lato"/>
                <w:sz w:val="22"/>
                <w:szCs w:val="22"/>
              </w:rPr>
              <w:t xml:space="preserve">Indicate how these will be resolved  </w:t>
            </w:r>
          </w:p>
        </w:tc>
        <w:tc>
          <w:tcPr>
            <w:tcW w:w="3188" w:type="dxa"/>
            <w:tcBorders>
              <w:top w:val="single" w:sz="4" w:space="0" w:color="auto"/>
              <w:left w:val="single" w:sz="4" w:space="0" w:color="auto"/>
              <w:bottom w:val="single" w:sz="4" w:space="0" w:color="auto"/>
              <w:right w:val="single" w:sz="4" w:space="0" w:color="auto"/>
            </w:tcBorders>
          </w:tcPr>
          <w:p w14:paraId="43110BDA" w14:textId="77777777" w:rsidR="00B61F2A" w:rsidRPr="001362A6" w:rsidRDefault="00B61F2A" w:rsidP="00B61F2A">
            <w:pPr>
              <w:rPr>
                <w:rFonts w:ascii="Lato" w:hAnsi="Lato"/>
                <w:sz w:val="22"/>
                <w:szCs w:val="22"/>
              </w:rPr>
            </w:pPr>
          </w:p>
        </w:tc>
      </w:tr>
      <w:tr w:rsidR="00B61F2A" w:rsidRPr="001362A6" w14:paraId="1E4BB4F3" w14:textId="77777777" w:rsidTr="00990D73">
        <w:trPr>
          <w:cantSplit/>
          <w:trHeight w:val="254"/>
        </w:trPr>
        <w:tc>
          <w:tcPr>
            <w:tcW w:w="1316" w:type="dxa"/>
            <w:vMerge/>
          </w:tcPr>
          <w:p w14:paraId="2D0FF360" w14:textId="77777777" w:rsidR="00B61F2A" w:rsidRPr="001362A6" w:rsidRDefault="00B61F2A" w:rsidP="00B61F2A">
            <w:pPr>
              <w:jc w:val="right"/>
              <w:rPr>
                <w:rFonts w:ascii="Lato" w:hAnsi="Lato"/>
                <w:sz w:val="22"/>
                <w:szCs w:val="22"/>
              </w:rPr>
            </w:pPr>
          </w:p>
        </w:tc>
        <w:tc>
          <w:tcPr>
            <w:tcW w:w="5891" w:type="dxa"/>
            <w:vMerge/>
          </w:tcPr>
          <w:p w14:paraId="57F88237"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73A86586" w14:textId="77777777" w:rsidR="00B61F2A" w:rsidRPr="001362A6" w:rsidRDefault="00B61F2A" w:rsidP="00B61F2A">
            <w:pPr>
              <w:rPr>
                <w:rFonts w:ascii="Lato" w:hAnsi="Lato"/>
                <w:sz w:val="22"/>
                <w:szCs w:val="22"/>
              </w:rPr>
            </w:pPr>
          </w:p>
        </w:tc>
      </w:tr>
      <w:tr w:rsidR="00B61F2A" w:rsidRPr="001362A6" w14:paraId="5F5CF904" w14:textId="77777777" w:rsidTr="00990D73">
        <w:tc>
          <w:tcPr>
            <w:tcW w:w="1316" w:type="dxa"/>
          </w:tcPr>
          <w:p w14:paraId="59699E13" w14:textId="77777777" w:rsidR="00B61F2A" w:rsidRPr="001362A6" w:rsidRDefault="00B61F2A" w:rsidP="00B61F2A">
            <w:pPr>
              <w:rPr>
                <w:rFonts w:ascii="Lato" w:hAnsi="Lato"/>
                <w:sz w:val="22"/>
                <w:szCs w:val="22"/>
              </w:rPr>
            </w:pPr>
            <w:r w:rsidRPr="001362A6">
              <w:rPr>
                <w:rFonts w:ascii="Lato" w:hAnsi="Lato"/>
                <w:sz w:val="22"/>
                <w:szCs w:val="22"/>
              </w:rPr>
              <w:t>2.8.2     (i)</w:t>
            </w:r>
          </w:p>
        </w:tc>
        <w:tc>
          <w:tcPr>
            <w:tcW w:w="5891" w:type="dxa"/>
            <w:tcBorders>
              <w:right w:val="single" w:sz="4" w:space="0" w:color="auto"/>
            </w:tcBorders>
          </w:tcPr>
          <w:p w14:paraId="43E229E6" w14:textId="77777777" w:rsidR="00B61F2A" w:rsidRPr="001362A6" w:rsidRDefault="00B61F2A" w:rsidP="00B61F2A">
            <w:pPr>
              <w:pStyle w:val="Heading1"/>
              <w:spacing w:before="0" w:after="0" w:line="240" w:lineRule="auto"/>
              <w:rPr>
                <w:rFonts w:ascii="Lato" w:hAnsi="Lato"/>
                <w:color w:val="auto"/>
                <w:sz w:val="22"/>
                <w:szCs w:val="22"/>
              </w:rPr>
            </w:pPr>
            <w:r w:rsidRPr="001362A6">
              <w:rPr>
                <w:rFonts w:ascii="Lato" w:hAnsi="Lato"/>
                <w:color w:val="auto"/>
                <w:sz w:val="22"/>
                <w:szCs w:val="22"/>
              </w:rPr>
              <w:t xml:space="preserve">Insert a description of how the AIFM ensures a fair </w:t>
            </w:r>
          </w:p>
        </w:tc>
        <w:tc>
          <w:tcPr>
            <w:tcW w:w="3188" w:type="dxa"/>
            <w:tcBorders>
              <w:top w:val="single" w:sz="4" w:space="0" w:color="auto"/>
              <w:left w:val="single" w:sz="4" w:space="0" w:color="auto"/>
              <w:bottom w:val="single" w:sz="4" w:space="0" w:color="auto"/>
              <w:right w:val="single" w:sz="4" w:space="0" w:color="auto"/>
            </w:tcBorders>
          </w:tcPr>
          <w:p w14:paraId="566E4514" w14:textId="77777777" w:rsidR="00B61F2A" w:rsidRPr="001362A6" w:rsidRDefault="00B61F2A" w:rsidP="00B61F2A">
            <w:pPr>
              <w:rPr>
                <w:rFonts w:ascii="Lato" w:hAnsi="Lato"/>
                <w:sz w:val="22"/>
                <w:szCs w:val="22"/>
              </w:rPr>
            </w:pPr>
          </w:p>
        </w:tc>
      </w:tr>
      <w:tr w:rsidR="00B61F2A" w:rsidRPr="001362A6" w14:paraId="5D47B62B" w14:textId="77777777" w:rsidTr="00990D73">
        <w:tc>
          <w:tcPr>
            <w:tcW w:w="1316" w:type="dxa"/>
          </w:tcPr>
          <w:p w14:paraId="0CC9E5BF" w14:textId="77777777" w:rsidR="00B61F2A" w:rsidRPr="001362A6" w:rsidRDefault="00B61F2A" w:rsidP="00B61F2A">
            <w:pPr>
              <w:rPr>
                <w:rFonts w:ascii="Lato" w:hAnsi="Lato"/>
                <w:sz w:val="22"/>
                <w:szCs w:val="22"/>
              </w:rPr>
            </w:pPr>
          </w:p>
        </w:tc>
        <w:tc>
          <w:tcPr>
            <w:tcW w:w="5891" w:type="dxa"/>
          </w:tcPr>
          <w:p w14:paraId="387F9B51" w14:textId="77777777" w:rsidR="00B61F2A" w:rsidRPr="001362A6" w:rsidRDefault="00B61F2A" w:rsidP="00B61F2A">
            <w:pPr>
              <w:pStyle w:val="Heading1"/>
              <w:spacing w:before="0" w:after="0" w:line="240" w:lineRule="auto"/>
              <w:rPr>
                <w:rFonts w:ascii="Lato" w:hAnsi="Lato"/>
                <w:color w:val="auto"/>
                <w:sz w:val="22"/>
                <w:szCs w:val="22"/>
              </w:rPr>
            </w:pPr>
            <w:r w:rsidRPr="00590C6D">
              <w:rPr>
                <w:rFonts w:ascii="Lato" w:hAnsi="Lato"/>
                <w:color w:val="auto"/>
                <w:sz w:val="22"/>
                <w:szCs w:val="22"/>
              </w:rPr>
              <w:t xml:space="preserve">treatment of </w:t>
            </w:r>
            <w:r w:rsidRPr="001362A6">
              <w:rPr>
                <w:rFonts w:ascii="Lato" w:hAnsi="Lato"/>
                <w:color w:val="auto"/>
                <w:sz w:val="22"/>
                <w:szCs w:val="22"/>
              </w:rPr>
              <w:t>unitholders; and</w:t>
            </w:r>
          </w:p>
        </w:tc>
        <w:tc>
          <w:tcPr>
            <w:tcW w:w="3188" w:type="dxa"/>
            <w:tcBorders>
              <w:top w:val="single" w:sz="4" w:space="0" w:color="auto"/>
              <w:bottom w:val="single" w:sz="4" w:space="0" w:color="auto"/>
            </w:tcBorders>
          </w:tcPr>
          <w:p w14:paraId="12763E7B" w14:textId="77777777" w:rsidR="00B61F2A" w:rsidRPr="001362A6" w:rsidRDefault="00B61F2A" w:rsidP="00B61F2A">
            <w:pPr>
              <w:rPr>
                <w:rFonts w:ascii="Lato" w:hAnsi="Lato"/>
                <w:sz w:val="22"/>
                <w:szCs w:val="22"/>
              </w:rPr>
            </w:pPr>
          </w:p>
        </w:tc>
      </w:tr>
      <w:tr w:rsidR="00B61F2A" w:rsidRPr="001362A6" w14:paraId="659A692C" w14:textId="77777777" w:rsidTr="00990D73">
        <w:tc>
          <w:tcPr>
            <w:tcW w:w="1316" w:type="dxa"/>
          </w:tcPr>
          <w:p w14:paraId="23248662" w14:textId="77777777" w:rsidR="00B61F2A" w:rsidRPr="001362A6" w:rsidRDefault="00B61F2A" w:rsidP="00B61F2A">
            <w:pPr>
              <w:jc w:val="right"/>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4B44339E" w14:textId="77777777" w:rsidR="00B61F2A" w:rsidRPr="001362A6" w:rsidRDefault="00B61F2A" w:rsidP="00B61F2A">
            <w:pPr>
              <w:pStyle w:val="Heading1"/>
              <w:spacing w:before="0" w:after="0" w:line="240" w:lineRule="auto"/>
              <w:rPr>
                <w:rFonts w:ascii="Lato" w:hAnsi="Lato"/>
                <w:color w:val="auto"/>
                <w:sz w:val="22"/>
                <w:szCs w:val="22"/>
              </w:rPr>
            </w:pPr>
            <w:r w:rsidRPr="001362A6">
              <w:rPr>
                <w:rFonts w:ascii="Lato" w:hAnsi="Lato"/>
                <w:color w:val="auto"/>
                <w:sz w:val="22"/>
                <w:szCs w:val="22"/>
              </w:rPr>
              <w:t xml:space="preserve">whenever a unitholder obtains preferential treatment or </w:t>
            </w:r>
          </w:p>
        </w:tc>
        <w:tc>
          <w:tcPr>
            <w:tcW w:w="3188" w:type="dxa"/>
            <w:tcBorders>
              <w:top w:val="single" w:sz="4" w:space="0" w:color="auto"/>
              <w:left w:val="single" w:sz="4" w:space="0" w:color="auto"/>
              <w:bottom w:val="single" w:sz="4" w:space="0" w:color="auto"/>
              <w:right w:val="single" w:sz="4" w:space="0" w:color="auto"/>
            </w:tcBorders>
          </w:tcPr>
          <w:p w14:paraId="127D2252" w14:textId="77777777" w:rsidR="00B61F2A" w:rsidRPr="001362A6" w:rsidRDefault="00B61F2A" w:rsidP="00B61F2A">
            <w:pPr>
              <w:rPr>
                <w:rFonts w:ascii="Lato" w:hAnsi="Lato"/>
                <w:sz w:val="22"/>
                <w:szCs w:val="22"/>
              </w:rPr>
            </w:pPr>
          </w:p>
        </w:tc>
      </w:tr>
      <w:tr w:rsidR="00B61F2A" w:rsidRPr="001362A6" w14:paraId="471AFA7A" w14:textId="77777777" w:rsidTr="00990D73">
        <w:tc>
          <w:tcPr>
            <w:tcW w:w="1316" w:type="dxa"/>
          </w:tcPr>
          <w:p w14:paraId="6FC19E77" w14:textId="77777777" w:rsidR="00B61F2A" w:rsidRPr="001362A6" w:rsidRDefault="00B61F2A" w:rsidP="00B61F2A">
            <w:pPr>
              <w:rPr>
                <w:rFonts w:ascii="Lato" w:hAnsi="Lato"/>
                <w:sz w:val="22"/>
                <w:szCs w:val="22"/>
              </w:rPr>
            </w:pPr>
          </w:p>
        </w:tc>
        <w:tc>
          <w:tcPr>
            <w:tcW w:w="5891" w:type="dxa"/>
          </w:tcPr>
          <w:p w14:paraId="71E92121" w14:textId="77777777" w:rsidR="00B61F2A" w:rsidRPr="001362A6" w:rsidRDefault="00B61F2A" w:rsidP="00B61F2A">
            <w:pPr>
              <w:pStyle w:val="Heading1"/>
              <w:spacing w:before="0" w:after="0" w:line="240" w:lineRule="auto"/>
              <w:rPr>
                <w:rFonts w:ascii="Lato" w:hAnsi="Lato"/>
                <w:color w:val="auto"/>
                <w:sz w:val="22"/>
                <w:szCs w:val="22"/>
              </w:rPr>
            </w:pPr>
            <w:r w:rsidRPr="00590C6D">
              <w:rPr>
                <w:rFonts w:ascii="Lato" w:hAnsi="Lato"/>
                <w:color w:val="auto"/>
                <w:sz w:val="22"/>
                <w:szCs w:val="22"/>
              </w:rPr>
              <w:t xml:space="preserve">the right </w:t>
            </w:r>
            <w:r w:rsidRPr="001362A6">
              <w:rPr>
                <w:rFonts w:ascii="Lato" w:hAnsi="Lato"/>
                <w:color w:val="auto"/>
                <w:sz w:val="22"/>
                <w:szCs w:val="22"/>
              </w:rPr>
              <w:t>to obtain preferential treatment, a description of that preferential treatment, the type of unitholders who obtain such preferential treatment and, where relevant, their legal or economic links with the AIF or AIFM</w:t>
            </w:r>
          </w:p>
        </w:tc>
        <w:tc>
          <w:tcPr>
            <w:tcW w:w="3188" w:type="dxa"/>
            <w:tcBorders>
              <w:top w:val="single" w:sz="4" w:space="0" w:color="auto"/>
            </w:tcBorders>
          </w:tcPr>
          <w:p w14:paraId="17A8F064" w14:textId="77777777" w:rsidR="00B61F2A" w:rsidRPr="001362A6" w:rsidRDefault="00B61F2A" w:rsidP="00B61F2A">
            <w:pPr>
              <w:rPr>
                <w:rFonts w:ascii="Lato" w:hAnsi="Lato"/>
                <w:sz w:val="22"/>
                <w:szCs w:val="22"/>
              </w:rPr>
            </w:pPr>
          </w:p>
        </w:tc>
      </w:tr>
      <w:tr w:rsidR="00B61F2A" w:rsidRPr="001362A6" w14:paraId="65BF471C" w14:textId="77777777" w:rsidTr="00D47A86">
        <w:tc>
          <w:tcPr>
            <w:tcW w:w="1316" w:type="dxa"/>
          </w:tcPr>
          <w:p w14:paraId="71080577" w14:textId="77777777" w:rsidR="00B61F2A" w:rsidRPr="001362A6" w:rsidRDefault="00B61F2A" w:rsidP="00B61F2A">
            <w:pPr>
              <w:rPr>
                <w:rFonts w:ascii="Lato" w:hAnsi="Lato"/>
                <w:sz w:val="22"/>
                <w:szCs w:val="22"/>
              </w:rPr>
            </w:pPr>
          </w:p>
        </w:tc>
        <w:tc>
          <w:tcPr>
            <w:tcW w:w="5891" w:type="dxa"/>
          </w:tcPr>
          <w:p w14:paraId="5BC69CB1" w14:textId="77777777" w:rsidR="00B61F2A" w:rsidRPr="001362A6" w:rsidRDefault="00B61F2A" w:rsidP="00B61F2A">
            <w:pPr>
              <w:pStyle w:val="Heading1"/>
              <w:spacing w:before="0" w:after="0" w:line="240" w:lineRule="auto"/>
              <w:rPr>
                <w:rFonts w:ascii="Lato" w:hAnsi="Lato"/>
                <w:color w:val="auto"/>
                <w:sz w:val="22"/>
                <w:szCs w:val="22"/>
              </w:rPr>
            </w:pPr>
          </w:p>
        </w:tc>
        <w:tc>
          <w:tcPr>
            <w:tcW w:w="3188" w:type="dxa"/>
          </w:tcPr>
          <w:p w14:paraId="6D7612E2" w14:textId="77777777" w:rsidR="00B61F2A" w:rsidRPr="001362A6" w:rsidRDefault="00B61F2A" w:rsidP="00B61F2A">
            <w:pPr>
              <w:rPr>
                <w:rFonts w:ascii="Lato" w:hAnsi="Lato"/>
                <w:sz w:val="22"/>
                <w:szCs w:val="22"/>
              </w:rPr>
            </w:pPr>
          </w:p>
        </w:tc>
      </w:tr>
      <w:tr w:rsidR="00B61F2A" w:rsidRPr="001362A6" w14:paraId="3D00E7A7" w14:textId="77777777" w:rsidTr="00990D73">
        <w:tc>
          <w:tcPr>
            <w:tcW w:w="1316" w:type="dxa"/>
          </w:tcPr>
          <w:p w14:paraId="7617E34C" w14:textId="77777777" w:rsidR="00B61F2A" w:rsidRPr="001362A6" w:rsidRDefault="00B61F2A" w:rsidP="00B61F2A">
            <w:pPr>
              <w:rPr>
                <w:rFonts w:ascii="Lato" w:hAnsi="Lato"/>
                <w:b/>
                <w:sz w:val="22"/>
                <w:szCs w:val="22"/>
              </w:rPr>
            </w:pPr>
            <w:r w:rsidRPr="001362A6">
              <w:rPr>
                <w:rFonts w:ascii="Lato" w:hAnsi="Lato"/>
                <w:b/>
                <w:sz w:val="22"/>
                <w:szCs w:val="22"/>
              </w:rPr>
              <w:t>2.8.3</w:t>
            </w:r>
          </w:p>
        </w:tc>
        <w:tc>
          <w:tcPr>
            <w:tcW w:w="5891" w:type="dxa"/>
          </w:tcPr>
          <w:p w14:paraId="0D77CA8E" w14:textId="77777777" w:rsidR="00B61F2A" w:rsidRPr="001362A6" w:rsidRDefault="00B61F2A" w:rsidP="00B61F2A">
            <w:pPr>
              <w:pStyle w:val="Heading1"/>
              <w:spacing w:before="0" w:after="0" w:line="240" w:lineRule="auto"/>
              <w:rPr>
                <w:rFonts w:ascii="Lato" w:hAnsi="Lato"/>
                <w:b/>
                <w:color w:val="auto"/>
                <w:sz w:val="22"/>
                <w:szCs w:val="22"/>
              </w:rPr>
            </w:pPr>
            <w:r w:rsidRPr="001362A6">
              <w:rPr>
                <w:rFonts w:ascii="Lato" w:hAnsi="Lato"/>
                <w:b/>
                <w:color w:val="auto"/>
                <w:sz w:val="22"/>
                <w:szCs w:val="22"/>
              </w:rPr>
              <w:t>Dealings by management company, general partner, depositary, AIFM, investment manager, or by delegates and group companies of these</w:t>
            </w:r>
          </w:p>
        </w:tc>
        <w:tc>
          <w:tcPr>
            <w:tcW w:w="3188" w:type="dxa"/>
            <w:tcBorders>
              <w:bottom w:val="single" w:sz="4" w:space="0" w:color="auto"/>
            </w:tcBorders>
          </w:tcPr>
          <w:p w14:paraId="47A26B73" w14:textId="77777777" w:rsidR="00B61F2A" w:rsidRPr="001362A6" w:rsidRDefault="00B61F2A" w:rsidP="00B61F2A">
            <w:pPr>
              <w:rPr>
                <w:rFonts w:ascii="Lato" w:hAnsi="Lato"/>
                <w:sz w:val="22"/>
                <w:szCs w:val="22"/>
              </w:rPr>
            </w:pPr>
          </w:p>
        </w:tc>
      </w:tr>
      <w:tr w:rsidR="00B61F2A" w:rsidRPr="001362A6" w14:paraId="08960ADC" w14:textId="77777777" w:rsidTr="00990D73">
        <w:tc>
          <w:tcPr>
            <w:tcW w:w="1316" w:type="dxa"/>
          </w:tcPr>
          <w:p w14:paraId="66C3D971" w14:textId="77777777" w:rsidR="00B61F2A" w:rsidRPr="001362A6" w:rsidRDefault="00B61F2A" w:rsidP="00B61F2A">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0279B3D9" w14:textId="77777777" w:rsidR="00B61F2A" w:rsidRPr="001362A6" w:rsidRDefault="00B61F2A" w:rsidP="00B61F2A">
            <w:pPr>
              <w:pStyle w:val="Heading1"/>
              <w:spacing w:before="0" w:after="0" w:line="240" w:lineRule="auto"/>
              <w:rPr>
                <w:rFonts w:ascii="Lato" w:hAnsi="Lato"/>
                <w:color w:val="auto"/>
                <w:sz w:val="22"/>
                <w:szCs w:val="22"/>
              </w:rPr>
            </w:pPr>
            <w:r w:rsidRPr="001362A6">
              <w:rPr>
                <w:rFonts w:ascii="Lato" w:hAnsi="Lato"/>
                <w:color w:val="auto"/>
                <w:sz w:val="22"/>
                <w:szCs w:val="22"/>
              </w:rPr>
              <w:t xml:space="preserve">Provide full disclosure where it is envisaged that </w:t>
            </w:r>
          </w:p>
        </w:tc>
        <w:tc>
          <w:tcPr>
            <w:tcW w:w="3188" w:type="dxa"/>
            <w:tcBorders>
              <w:top w:val="single" w:sz="4" w:space="0" w:color="auto"/>
              <w:left w:val="single" w:sz="4" w:space="0" w:color="auto"/>
              <w:bottom w:val="single" w:sz="4" w:space="0" w:color="auto"/>
              <w:right w:val="single" w:sz="4" w:space="0" w:color="auto"/>
            </w:tcBorders>
          </w:tcPr>
          <w:p w14:paraId="11F53F9C" w14:textId="77777777" w:rsidR="00B61F2A" w:rsidRPr="001362A6" w:rsidRDefault="00B61F2A" w:rsidP="00B61F2A">
            <w:pPr>
              <w:rPr>
                <w:rFonts w:ascii="Lato" w:hAnsi="Lato"/>
                <w:sz w:val="22"/>
                <w:szCs w:val="22"/>
              </w:rPr>
            </w:pPr>
          </w:p>
        </w:tc>
      </w:tr>
      <w:tr w:rsidR="00B61F2A" w:rsidRPr="001362A6" w14:paraId="44B7AEE3" w14:textId="77777777" w:rsidTr="00990D73">
        <w:tc>
          <w:tcPr>
            <w:tcW w:w="1316" w:type="dxa"/>
          </w:tcPr>
          <w:p w14:paraId="7F2B5377" w14:textId="77777777" w:rsidR="00B61F2A" w:rsidRPr="001362A6" w:rsidRDefault="00B61F2A" w:rsidP="00B61F2A">
            <w:pPr>
              <w:jc w:val="right"/>
              <w:rPr>
                <w:rFonts w:ascii="Lato" w:hAnsi="Lato"/>
                <w:sz w:val="22"/>
                <w:szCs w:val="22"/>
              </w:rPr>
            </w:pPr>
          </w:p>
        </w:tc>
        <w:tc>
          <w:tcPr>
            <w:tcW w:w="5891" w:type="dxa"/>
          </w:tcPr>
          <w:p w14:paraId="3C2DE940" w14:textId="77777777" w:rsidR="00B61F2A" w:rsidRPr="001362A6" w:rsidRDefault="00B61F2A" w:rsidP="00B61F2A">
            <w:pPr>
              <w:pStyle w:val="Heading1"/>
              <w:spacing w:before="0" w:after="0" w:line="240" w:lineRule="auto"/>
              <w:rPr>
                <w:rFonts w:ascii="Lato" w:hAnsi="Lato"/>
                <w:color w:val="auto"/>
                <w:sz w:val="22"/>
                <w:szCs w:val="22"/>
              </w:rPr>
            </w:pPr>
            <w:r w:rsidRPr="00590C6D">
              <w:rPr>
                <w:rFonts w:ascii="Lato" w:hAnsi="Lato"/>
                <w:color w:val="auto"/>
                <w:sz w:val="22"/>
                <w:szCs w:val="22"/>
              </w:rPr>
              <w:t>transactions</w:t>
            </w:r>
            <w:r w:rsidRPr="001362A6">
              <w:rPr>
                <w:rFonts w:ascii="Lato" w:hAnsi="Lato"/>
                <w:color w:val="auto"/>
                <w:sz w:val="22"/>
                <w:szCs w:val="22"/>
              </w:rPr>
              <w:t xml:space="preserve"> with a general partner, management company, depositary, AIFM, investment manager, and/or its delegate or associated or group companies may be entered into</w:t>
            </w:r>
          </w:p>
        </w:tc>
        <w:tc>
          <w:tcPr>
            <w:tcW w:w="3188" w:type="dxa"/>
            <w:tcBorders>
              <w:top w:val="single" w:sz="4" w:space="0" w:color="auto"/>
            </w:tcBorders>
          </w:tcPr>
          <w:p w14:paraId="485A212E" w14:textId="77777777" w:rsidR="00B61F2A" w:rsidRPr="001362A6" w:rsidRDefault="00B61F2A" w:rsidP="00B61F2A">
            <w:pPr>
              <w:rPr>
                <w:rFonts w:ascii="Lato" w:hAnsi="Lato"/>
                <w:sz w:val="22"/>
                <w:szCs w:val="22"/>
              </w:rPr>
            </w:pPr>
          </w:p>
        </w:tc>
      </w:tr>
      <w:tr w:rsidR="00B61F2A" w:rsidRPr="001362A6" w14:paraId="36BBFA74" w14:textId="77777777" w:rsidTr="00990D73">
        <w:tc>
          <w:tcPr>
            <w:tcW w:w="1316" w:type="dxa"/>
          </w:tcPr>
          <w:p w14:paraId="55BD17C0" w14:textId="77777777" w:rsidR="00B61F2A" w:rsidRPr="001362A6" w:rsidRDefault="00B61F2A" w:rsidP="00B61F2A">
            <w:pPr>
              <w:jc w:val="right"/>
              <w:rPr>
                <w:rFonts w:ascii="Lato" w:hAnsi="Lato"/>
                <w:sz w:val="22"/>
                <w:szCs w:val="22"/>
              </w:rPr>
            </w:pPr>
          </w:p>
        </w:tc>
        <w:tc>
          <w:tcPr>
            <w:tcW w:w="5891" w:type="dxa"/>
          </w:tcPr>
          <w:p w14:paraId="5245000F" w14:textId="77777777" w:rsidR="00B61F2A" w:rsidRPr="001362A6" w:rsidRDefault="00B61F2A" w:rsidP="00B61F2A">
            <w:pPr>
              <w:pStyle w:val="Heading1"/>
              <w:spacing w:before="0" w:after="0" w:line="240" w:lineRule="auto"/>
              <w:rPr>
                <w:rFonts w:ascii="Lato" w:hAnsi="Lato"/>
                <w:color w:val="auto"/>
                <w:sz w:val="22"/>
                <w:szCs w:val="22"/>
              </w:rPr>
            </w:pPr>
          </w:p>
        </w:tc>
        <w:tc>
          <w:tcPr>
            <w:tcW w:w="3188" w:type="dxa"/>
          </w:tcPr>
          <w:p w14:paraId="3C201B16" w14:textId="77777777" w:rsidR="00B61F2A" w:rsidRPr="001362A6" w:rsidRDefault="00B61F2A" w:rsidP="00B61F2A">
            <w:pPr>
              <w:rPr>
                <w:rFonts w:ascii="Lato" w:hAnsi="Lato"/>
                <w:sz w:val="22"/>
                <w:szCs w:val="22"/>
              </w:rPr>
            </w:pPr>
          </w:p>
        </w:tc>
      </w:tr>
      <w:tr w:rsidR="00B61F2A" w:rsidRPr="001362A6" w14:paraId="38DE0C5F" w14:textId="77777777" w:rsidTr="00990D73">
        <w:trPr>
          <w:cantSplit/>
          <w:trHeight w:val="253"/>
        </w:trPr>
        <w:tc>
          <w:tcPr>
            <w:tcW w:w="1316" w:type="dxa"/>
            <w:vMerge w:val="restart"/>
          </w:tcPr>
          <w:p w14:paraId="6483F759" w14:textId="77777777" w:rsidR="00B61F2A" w:rsidRPr="001362A6" w:rsidRDefault="00B61F2A" w:rsidP="00B61F2A">
            <w:pPr>
              <w:jc w:val="right"/>
              <w:rPr>
                <w:rFonts w:ascii="Lato" w:hAnsi="Lato"/>
                <w:sz w:val="22"/>
                <w:szCs w:val="22"/>
              </w:rPr>
            </w:pPr>
            <w:r w:rsidRPr="001362A6">
              <w:rPr>
                <w:rFonts w:ascii="Lato" w:hAnsi="Lato"/>
                <w:sz w:val="22"/>
                <w:szCs w:val="22"/>
              </w:rPr>
              <w:t xml:space="preserve">(b) </w:t>
            </w:r>
          </w:p>
        </w:tc>
        <w:tc>
          <w:tcPr>
            <w:tcW w:w="5891" w:type="dxa"/>
            <w:vMerge w:val="restart"/>
          </w:tcPr>
          <w:p w14:paraId="35B50EEA" w14:textId="77777777" w:rsidR="00B61F2A" w:rsidRPr="001362A6" w:rsidRDefault="00B61F2A" w:rsidP="00B61F2A">
            <w:pPr>
              <w:jc w:val="both"/>
              <w:rPr>
                <w:rFonts w:ascii="Lato" w:hAnsi="Lato"/>
                <w:sz w:val="22"/>
                <w:szCs w:val="22"/>
              </w:rPr>
            </w:pPr>
            <w:r w:rsidRPr="001362A6">
              <w:rPr>
                <w:rFonts w:ascii="Lato" w:hAnsi="Lato"/>
                <w:sz w:val="22"/>
                <w:szCs w:val="22"/>
              </w:rPr>
              <w:t>Insert:</w:t>
            </w:r>
          </w:p>
          <w:p w14:paraId="7E09EAF7" w14:textId="77777777" w:rsidR="00B61F2A" w:rsidRPr="001362A6" w:rsidRDefault="00B61F2A" w:rsidP="00B61F2A">
            <w:pPr>
              <w:jc w:val="both"/>
              <w:rPr>
                <w:rFonts w:ascii="Lato" w:hAnsi="Lato"/>
                <w:sz w:val="22"/>
                <w:szCs w:val="22"/>
              </w:rPr>
            </w:pPr>
            <w:r w:rsidRPr="001362A6">
              <w:rPr>
                <w:rFonts w:ascii="Lato" w:hAnsi="Lato"/>
                <w:sz w:val="22"/>
                <w:szCs w:val="22"/>
              </w:rPr>
              <w:lastRenderedPageBreak/>
              <w:t xml:space="preserve"> (i) The Qualifying Investor AIF shall only enter into a transaction with a management company, general partner, depositary, AIFM, investment manager or by delegates or group companies of these where it is negotiated at arm’s length. Transactions must be in the best interests of the unitholders.</w:t>
            </w:r>
          </w:p>
          <w:p w14:paraId="5D87FC44" w14:textId="77777777" w:rsidR="00B61F2A" w:rsidRPr="001362A6" w:rsidRDefault="00B61F2A" w:rsidP="00B61F2A">
            <w:pPr>
              <w:jc w:val="both"/>
              <w:rPr>
                <w:rFonts w:ascii="Lato" w:hAnsi="Lato"/>
                <w:sz w:val="22"/>
                <w:szCs w:val="22"/>
              </w:rPr>
            </w:pPr>
            <w:r w:rsidRPr="001362A6" w:rsidDel="000377EC">
              <w:rPr>
                <w:rFonts w:ascii="Lato" w:hAnsi="Lato"/>
                <w:sz w:val="22"/>
                <w:szCs w:val="22"/>
              </w:rPr>
              <w:t xml:space="preserve"> </w:t>
            </w:r>
          </w:p>
        </w:tc>
        <w:tc>
          <w:tcPr>
            <w:tcW w:w="3188" w:type="dxa"/>
            <w:tcBorders>
              <w:bottom w:val="single" w:sz="4" w:space="0" w:color="auto"/>
            </w:tcBorders>
          </w:tcPr>
          <w:p w14:paraId="44E5A454" w14:textId="77777777" w:rsidR="00B61F2A" w:rsidRPr="001362A6" w:rsidRDefault="00B61F2A" w:rsidP="00B61F2A">
            <w:pPr>
              <w:rPr>
                <w:rFonts w:ascii="Lato" w:hAnsi="Lato"/>
                <w:sz w:val="22"/>
                <w:szCs w:val="22"/>
              </w:rPr>
            </w:pPr>
          </w:p>
        </w:tc>
      </w:tr>
      <w:tr w:rsidR="00B61F2A" w:rsidRPr="001362A6" w14:paraId="67707E79" w14:textId="77777777" w:rsidTr="00990D73">
        <w:trPr>
          <w:cantSplit/>
          <w:trHeight w:val="251"/>
        </w:trPr>
        <w:tc>
          <w:tcPr>
            <w:tcW w:w="1316" w:type="dxa"/>
            <w:vMerge/>
          </w:tcPr>
          <w:p w14:paraId="398D7AE5" w14:textId="77777777" w:rsidR="00B61F2A" w:rsidRPr="001362A6" w:rsidRDefault="00B61F2A" w:rsidP="00B61F2A">
            <w:pPr>
              <w:jc w:val="right"/>
              <w:rPr>
                <w:rFonts w:ascii="Lato" w:hAnsi="Lato"/>
                <w:sz w:val="22"/>
                <w:szCs w:val="22"/>
              </w:rPr>
            </w:pPr>
          </w:p>
        </w:tc>
        <w:tc>
          <w:tcPr>
            <w:tcW w:w="5891" w:type="dxa"/>
            <w:vMerge/>
            <w:tcBorders>
              <w:right w:val="single" w:sz="4" w:space="0" w:color="auto"/>
            </w:tcBorders>
          </w:tcPr>
          <w:p w14:paraId="03B069A1" w14:textId="77777777" w:rsidR="00B61F2A" w:rsidRPr="001362A6" w:rsidRDefault="00B61F2A" w:rsidP="00B61F2A">
            <w:pPr>
              <w:jc w:val="both"/>
              <w:rPr>
                <w:rFonts w:ascii="Lato" w:hAnsi="Lato"/>
                <w:sz w:val="22"/>
                <w:szCs w:val="22"/>
              </w:rPr>
            </w:pPr>
          </w:p>
        </w:tc>
        <w:tc>
          <w:tcPr>
            <w:tcW w:w="3188" w:type="dxa"/>
            <w:tcBorders>
              <w:top w:val="single" w:sz="4" w:space="0" w:color="auto"/>
              <w:left w:val="single" w:sz="4" w:space="0" w:color="auto"/>
              <w:bottom w:val="single" w:sz="4" w:space="0" w:color="auto"/>
              <w:right w:val="single" w:sz="4" w:space="0" w:color="auto"/>
            </w:tcBorders>
          </w:tcPr>
          <w:p w14:paraId="21D0EF13" w14:textId="77777777" w:rsidR="00B61F2A" w:rsidRPr="001362A6" w:rsidRDefault="00B61F2A" w:rsidP="00B61F2A">
            <w:pPr>
              <w:rPr>
                <w:rFonts w:ascii="Lato" w:hAnsi="Lato"/>
                <w:sz w:val="22"/>
                <w:szCs w:val="22"/>
              </w:rPr>
            </w:pPr>
          </w:p>
        </w:tc>
      </w:tr>
      <w:tr w:rsidR="00B61F2A" w:rsidRPr="001362A6" w14:paraId="3CCF5606" w14:textId="77777777" w:rsidTr="00990D73">
        <w:trPr>
          <w:cantSplit/>
          <w:trHeight w:val="251"/>
        </w:trPr>
        <w:tc>
          <w:tcPr>
            <w:tcW w:w="1316" w:type="dxa"/>
            <w:vMerge/>
          </w:tcPr>
          <w:p w14:paraId="61B0C83D" w14:textId="77777777" w:rsidR="00B61F2A" w:rsidRPr="001362A6" w:rsidRDefault="00B61F2A" w:rsidP="00B61F2A">
            <w:pPr>
              <w:jc w:val="right"/>
              <w:rPr>
                <w:rFonts w:ascii="Lato" w:hAnsi="Lato"/>
                <w:sz w:val="22"/>
                <w:szCs w:val="22"/>
              </w:rPr>
            </w:pPr>
          </w:p>
        </w:tc>
        <w:tc>
          <w:tcPr>
            <w:tcW w:w="5891" w:type="dxa"/>
            <w:vMerge/>
          </w:tcPr>
          <w:p w14:paraId="55FEB5A8" w14:textId="77777777" w:rsidR="00B61F2A" w:rsidRPr="001362A6" w:rsidRDefault="00B61F2A" w:rsidP="00B61F2A">
            <w:pPr>
              <w:jc w:val="both"/>
              <w:rPr>
                <w:rFonts w:ascii="Lato" w:hAnsi="Lato"/>
                <w:sz w:val="22"/>
                <w:szCs w:val="22"/>
              </w:rPr>
            </w:pPr>
          </w:p>
        </w:tc>
        <w:tc>
          <w:tcPr>
            <w:tcW w:w="3188" w:type="dxa"/>
            <w:tcBorders>
              <w:top w:val="single" w:sz="4" w:space="0" w:color="auto"/>
              <w:bottom w:val="single" w:sz="4" w:space="0" w:color="auto"/>
            </w:tcBorders>
          </w:tcPr>
          <w:p w14:paraId="278BE4A5" w14:textId="77777777" w:rsidR="00B61F2A" w:rsidRPr="001362A6" w:rsidRDefault="00B61F2A" w:rsidP="00B61F2A">
            <w:pPr>
              <w:rPr>
                <w:rFonts w:ascii="Lato" w:hAnsi="Lato"/>
                <w:sz w:val="22"/>
                <w:szCs w:val="22"/>
              </w:rPr>
            </w:pPr>
          </w:p>
        </w:tc>
      </w:tr>
      <w:tr w:rsidR="00B61F2A" w:rsidRPr="001362A6" w14:paraId="32821E9A" w14:textId="77777777" w:rsidTr="00990D73">
        <w:trPr>
          <w:cantSplit/>
          <w:trHeight w:val="251"/>
        </w:trPr>
        <w:tc>
          <w:tcPr>
            <w:tcW w:w="1316" w:type="dxa"/>
          </w:tcPr>
          <w:p w14:paraId="7923F3FA" w14:textId="77777777" w:rsidR="00B61F2A" w:rsidRPr="001362A6" w:rsidRDefault="00B61F2A" w:rsidP="00B61F2A">
            <w:pPr>
              <w:jc w:val="right"/>
              <w:rPr>
                <w:rFonts w:ascii="Lato" w:hAnsi="Lato"/>
                <w:sz w:val="22"/>
                <w:szCs w:val="22"/>
              </w:rPr>
            </w:pPr>
          </w:p>
        </w:tc>
        <w:tc>
          <w:tcPr>
            <w:tcW w:w="5891" w:type="dxa"/>
            <w:tcBorders>
              <w:right w:val="single" w:sz="4" w:space="0" w:color="auto"/>
            </w:tcBorders>
          </w:tcPr>
          <w:p w14:paraId="7353A8D1" w14:textId="77777777" w:rsidR="00B61F2A" w:rsidRPr="001362A6" w:rsidRDefault="00B61F2A" w:rsidP="00B61F2A">
            <w:pPr>
              <w:jc w:val="both"/>
              <w:rPr>
                <w:rFonts w:ascii="Lato" w:hAnsi="Lato"/>
                <w:sz w:val="22"/>
                <w:szCs w:val="22"/>
              </w:rPr>
            </w:pPr>
            <w:r w:rsidRPr="001362A6">
              <w:rPr>
                <w:rFonts w:ascii="Lato" w:hAnsi="Lato"/>
                <w:sz w:val="22"/>
                <w:szCs w:val="22"/>
              </w:rPr>
              <w:t>(ii)Transactions permitted are subject to:</w:t>
            </w:r>
          </w:p>
        </w:tc>
        <w:tc>
          <w:tcPr>
            <w:tcW w:w="3188" w:type="dxa"/>
            <w:tcBorders>
              <w:top w:val="single" w:sz="4" w:space="0" w:color="auto"/>
              <w:left w:val="single" w:sz="4" w:space="0" w:color="auto"/>
              <w:bottom w:val="single" w:sz="4" w:space="0" w:color="auto"/>
              <w:right w:val="single" w:sz="4" w:space="0" w:color="auto"/>
            </w:tcBorders>
          </w:tcPr>
          <w:p w14:paraId="6B804273" w14:textId="77777777" w:rsidR="00B61F2A" w:rsidRPr="001362A6" w:rsidRDefault="00B61F2A" w:rsidP="00B61F2A">
            <w:pPr>
              <w:rPr>
                <w:rFonts w:ascii="Lato" w:hAnsi="Lato"/>
                <w:sz w:val="22"/>
                <w:szCs w:val="22"/>
              </w:rPr>
            </w:pPr>
          </w:p>
        </w:tc>
      </w:tr>
      <w:tr w:rsidR="00B61F2A" w:rsidRPr="001362A6" w14:paraId="3CE9508C" w14:textId="77777777" w:rsidTr="00990D73">
        <w:trPr>
          <w:cantSplit/>
          <w:trHeight w:val="251"/>
        </w:trPr>
        <w:tc>
          <w:tcPr>
            <w:tcW w:w="1316" w:type="dxa"/>
          </w:tcPr>
          <w:p w14:paraId="44DCD848" w14:textId="77777777" w:rsidR="00B61F2A" w:rsidRPr="001362A6" w:rsidRDefault="00B61F2A" w:rsidP="00B61F2A">
            <w:pPr>
              <w:rPr>
                <w:rFonts w:ascii="Lato" w:hAnsi="Lato"/>
                <w:sz w:val="22"/>
                <w:szCs w:val="22"/>
              </w:rPr>
            </w:pPr>
          </w:p>
        </w:tc>
        <w:tc>
          <w:tcPr>
            <w:tcW w:w="5891" w:type="dxa"/>
          </w:tcPr>
          <w:p w14:paraId="67620FEE" w14:textId="77777777" w:rsidR="00B61F2A" w:rsidRPr="001362A6" w:rsidRDefault="00B61F2A" w:rsidP="00B61F2A">
            <w:pPr>
              <w:jc w:val="both"/>
              <w:rPr>
                <w:rFonts w:ascii="Lato" w:hAnsi="Lato"/>
                <w:sz w:val="22"/>
                <w:szCs w:val="22"/>
              </w:rPr>
            </w:pPr>
            <w:r w:rsidRPr="001362A6">
              <w:rPr>
                <w:rFonts w:ascii="Lato" w:hAnsi="Lato"/>
                <w:sz w:val="22"/>
                <w:szCs w:val="22"/>
              </w:rPr>
              <w:t>(1) certified valuation by a person approved by the depositary, or the Qualifying Investor AIF in the case of transactions involving the depositary, as independent and competent; or</w:t>
            </w:r>
          </w:p>
          <w:p w14:paraId="380A0C21" w14:textId="77777777" w:rsidR="00B61F2A" w:rsidRPr="001362A6" w:rsidRDefault="00B61F2A" w:rsidP="00B61F2A">
            <w:pPr>
              <w:jc w:val="both"/>
              <w:rPr>
                <w:rFonts w:ascii="Lato" w:hAnsi="Lato"/>
                <w:sz w:val="22"/>
                <w:szCs w:val="22"/>
              </w:rPr>
            </w:pPr>
            <w:r w:rsidRPr="001362A6">
              <w:rPr>
                <w:rFonts w:ascii="Lato" w:hAnsi="Lato"/>
                <w:sz w:val="22"/>
                <w:szCs w:val="22"/>
              </w:rPr>
              <w:t>(2) execution on best terms on organised investment exchanges under their rules; or</w:t>
            </w:r>
          </w:p>
          <w:p w14:paraId="748032B0" w14:textId="77777777" w:rsidR="00B61F2A" w:rsidRPr="001362A6" w:rsidRDefault="00B61F2A" w:rsidP="00B61F2A">
            <w:pPr>
              <w:jc w:val="both"/>
              <w:rPr>
                <w:rFonts w:ascii="Lato" w:hAnsi="Lato"/>
                <w:sz w:val="22"/>
                <w:szCs w:val="22"/>
              </w:rPr>
            </w:pPr>
            <w:r w:rsidRPr="001362A6">
              <w:rPr>
                <w:rFonts w:ascii="Lato" w:hAnsi="Lato"/>
                <w:sz w:val="22"/>
                <w:szCs w:val="22"/>
              </w:rPr>
              <w:t>(3) where (1) and (2) are not practical, execution on terms which the depositary, or the Qualifying Investor AIF in the case of transactions involving the depositary, is satisfied conform to the principles outlined in paragraph (b)(i) of this section.</w:t>
            </w:r>
          </w:p>
        </w:tc>
        <w:tc>
          <w:tcPr>
            <w:tcW w:w="3188" w:type="dxa"/>
            <w:tcBorders>
              <w:top w:val="single" w:sz="4" w:space="0" w:color="auto"/>
            </w:tcBorders>
          </w:tcPr>
          <w:p w14:paraId="75258EEF" w14:textId="77777777" w:rsidR="00B61F2A" w:rsidRPr="001362A6" w:rsidRDefault="00B61F2A" w:rsidP="00B61F2A">
            <w:pPr>
              <w:rPr>
                <w:rFonts w:ascii="Lato" w:hAnsi="Lato"/>
                <w:sz w:val="22"/>
                <w:szCs w:val="22"/>
              </w:rPr>
            </w:pPr>
          </w:p>
        </w:tc>
      </w:tr>
      <w:tr w:rsidR="00B61F2A" w:rsidRPr="001362A6" w14:paraId="0E8529EC" w14:textId="77777777" w:rsidTr="007E3170">
        <w:tc>
          <w:tcPr>
            <w:tcW w:w="1316" w:type="dxa"/>
          </w:tcPr>
          <w:p w14:paraId="5DC3F016" w14:textId="77777777" w:rsidR="00B61F2A" w:rsidRPr="001362A6" w:rsidRDefault="00B61F2A" w:rsidP="00B61F2A">
            <w:pPr>
              <w:rPr>
                <w:rFonts w:ascii="Lato" w:hAnsi="Lato"/>
                <w:sz w:val="22"/>
                <w:szCs w:val="22"/>
              </w:rPr>
            </w:pPr>
          </w:p>
        </w:tc>
        <w:tc>
          <w:tcPr>
            <w:tcW w:w="5891" w:type="dxa"/>
          </w:tcPr>
          <w:p w14:paraId="40DE650B" w14:textId="77777777" w:rsidR="00B61F2A" w:rsidRPr="001362A6" w:rsidRDefault="00B61F2A" w:rsidP="00B61F2A">
            <w:pPr>
              <w:jc w:val="both"/>
              <w:rPr>
                <w:rFonts w:ascii="Lato" w:hAnsi="Lato"/>
                <w:sz w:val="22"/>
                <w:szCs w:val="22"/>
              </w:rPr>
            </w:pPr>
          </w:p>
        </w:tc>
        <w:tc>
          <w:tcPr>
            <w:tcW w:w="3188" w:type="dxa"/>
            <w:tcBorders>
              <w:bottom w:val="single" w:sz="4" w:space="0" w:color="auto"/>
            </w:tcBorders>
          </w:tcPr>
          <w:p w14:paraId="2ED723CD" w14:textId="77777777" w:rsidR="00B61F2A" w:rsidRPr="001362A6" w:rsidRDefault="00B61F2A" w:rsidP="00B61F2A">
            <w:pPr>
              <w:rPr>
                <w:rFonts w:ascii="Lato" w:hAnsi="Lato"/>
                <w:sz w:val="22"/>
                <w:szCs w:val="22"/>
              </w:rPr>
            </w:pPr>
          </w:p>
        </w:tc>
      </w:tr>
      <w:tr w:rsidR="00B61F2A" w:rsidRPr="001362A6" w14:paraId="1463D967" w14:textId="77777777" w:rsidTr="007E3170">
        <w:tc>
          <w:tcPr>
            <w:tcW w:w="1316" w:type="dxa"/>
          </w:tcPr>
          <w:p w14:paraId="25A5E9EC" w14:textId="77777777" w:rsidR="00B61F2A" w:rsidRPr="001362A6" w:rsidRDefault="00B61F2A" w:rsidP="00B61F2A">
            <w:pPr>
              <w:rPr>
                <w:rFonts w:ascii="Lato" w:hAnsi="Lato"/>
                <w:sz w:val="22"/>
                <w:szCs w:val="22"/>
              </w:rPr>
            </w:pPr>
            <w:r w:rsidRPr="001362A6">
              <w:rPr>
                <w:rFonts w:ascii="Lato" w:hAnsi="Lato"/>
                <w:sz w:val="22"/>
                <w:szCs w:val="22"/>
              </w:rPr>
              <w:t>2.8.4 (a)</w:t>
            </w:r>
          </w:p>
        </w:tc>
        <w:tc>
          <w:tcPr>
            <w:tcW w:w="5891" w:type="dxa"/>
            <w:tcBorders>
              <w:right w:val="single" w:sz="4" w:space="0" w:color="auto"/>
            </w:tcBorders>
          </w:tcPr>
          <w:p w14:paraId="690BDC7F" w14:textId="77777777" w:rsidR="00B61F2A" w:rsidRPr="001362A6" w:rsidRDefault="00B61F2A" w:rsidP="00B61F2A">
            <w:pPr>
              <w:jc w:val="both"/>
              <w:rPr>
                <w:rFonts w:ascii="Lato" w:hAnsi="Lato"/>
                <w:sz w:val="22"/>
                <w:szCs w:val="22"/>
              </w:rPr>
            </w:pPr>
            <w:r w:rsidRPr="001362A6">
              <w:rPr>
                <w:rFonts w:ascii="Lato" w:hAnsi="Lato"/>
                <w:sz w:val="22"/>
                <w:szCs w:val="22"/>
              </w:rPr>
              <w:t xml:space="preserve">Disclose that the AIFM will inform investors before they </w:t>
            </w:r>
          </w:p>
        </w:tc>
        <w:tc>
          <w:tcPr>
            <w:tcW w:w="3188" w:type="dxa"/>
            <w:tcBorders>
              <w:top w:val="single" w:sz="4" w:space="0" w:color="auto"/>
              <w:left w:val="single" w:sz="4" w:space="0" w:color="auto"/>
              <w:bottom w:val="single" w:sz="4" w:space="0" w:color="auto"/>
              <w:right w:val="single" w:sz="4" w:space="0" w:color="auto"/>
            </w:tcBorders>
          </w:tcPr>
          <w:p w14:paraId="0716E535" w14:textId="77777777" w:rsidR="00B61F2A" w:rsidRPr="001362A6" w:rsidRDefault="00B61F2A" w:rsidP="00B61F2A">
            <w:pPr>
              <w:rPr>
                <w:rFonts w:ascii="Lato" w:hAnsi="Lato"/>
                <w:sz w:val="22"/>
                <w:szCs w:val="22"/>
              </w:rPr>
            </w:pPr>
          </w:p>
        </w:tc>
      </w:tr>
      <w:tr w:rsidR="00B61F2A" w:rsidRPr="001362A6" w14:paraId="527D4272" w14:textId="77777777" w:rsidTr="007E3170">
        <w:tc>
          <w:tcPr>
            <w:tcW w:w="1316" w:type="dxa"/>
          </w:tcPr>
          <w:p w14:paraId="55981244" w14:textId="77777777" w:rsidR="00B61F2A" w:rsidRPr="001362A6" w:rsidRDefault="00B61F2A" w:rsidP="00B61F2A">
            <w:pPr>
              <w:rPr>
                <w:rFonts w:ascii="Lato" w:hAnsi="Lato"/>
                <w:sz w:val="22"/>
                <w:szCs w:val="22"/>
              </w:rPr>
            </w:pPr>
          </w:p>
        </w:tc>
        <w:tc>
          <w:tcPr>
            <w:tcW w:w="5891" w:type="dxa"/>
          </w:tcPr>
          <w:p w14:paraId="4601B057" w14:textId="77777777" w:rsidR="00B61F2A" w:rsidRPr="001362A6" w:rsidRDefault="00B61F2A" w:rsidP="00B61F2A">
            <w:pPr>
              <w:jc w:val="both"/>
              <w:rPr>
                <w:rFonts w:ascii="Lato" w:hAnsi="Lato"/>
                <w:sz w:val="22"/>
                <w:szCs w:val="22"/>
              </w:rPr>
            </w:pPr>
            <w:r w:rsidRPr="00590C6D">
              <w:rPr>
                <w:rFonts w:ascii="Lato" w:hAnsi="Lato"/>
                <w:sz w:val="22"/>
                <w:szCs w:val="22"/>
              </w:rPr>
              <w:t xml:space="preserve">invest </w:t>
            </w:r>
            <w:r w:rsidRPr="001362A6">
              <w:rPr>
                <w:rFonts w:ascii="Lato" w:hAnsi="Lato"/>
                <w:sz w:val="22"/>
                <w:szCs w:val="22"/>
              </w:rPr>
              <w:t xml:space="preserve">in the Qualifying Investor AIF of any arrangement </w:t>
            </w:r>
          </w:p>
        </w:tc>
        <w:tc>
          <w:tcPr>
            <w:tcW w:w="3188" w:type="dxa"/>
            <w:tcBorders>
              <w:top w:val="single" w:sz="4" w:space="0" w:color="auto"/>
            </w:tcBorders>
          </w:tcPr>
          <w:p w14:paraId="49D6DA30" w14:textId="77777777" w:rsidR="00B61F2A" w:rsidRPr="001362A6" w:rsidRDefault="00B61F2A" w:rsidP="00B61F2A">
            <w:pPr>
              <w:rPr>
                <w:rFonts w:ascii="Lato" w:hAnsi="Lato"/>
                <w:sz w:val="22"/>
                <w:szCs w:val="22"/>
              </w:rPr>
            </w:pPr>
          </w:p>
        </w:tc>
      </w:tr>
      <w:tr w:rsidR="00B61F2A" w:rsidRPr="001362A6" w14:paraId="19F4F320" w14:textId="77777777" w:rsidTr="007E3170">
        <w:tc>
          <w:tcPr>
            <w:tcW w:w="1316" w:type="dxa"/>
          </w:tcPr>
          <w:p w14:paraId="2A6AF58B" w14:textId="77777777" w:rsidR="00B61F2A" w:rsidRPr="001362A6" w:rsidRDefault="00B61F2A" w:rsidP="00B61F2A">
            <w:pPr>
              <w:rPr>
                <w:rFonts w:ascii="Lato" w:hAnsi="Lato"/>
                <w:sz w:val="22"/>
                <w:szCs w:val="22"/>
              </w:rPr>
            </w:pPr>
          </w:p>
        </w:tc>
        <w:tc>
          <w:tcPr>
            <w:tcW w:w="5891" w:type="dxa"/>
          </w:tcPr>
          <w:p w14:paraId="645A9F13" w14:textId="77777777" w:rsidR="00B61F2A" w:rsidRPr="001362A6" w:rsidRDefault="00B61F2A" w:rsidP="00B61F2A">
            <w:pPr>
              <w:jc w:val="both"/>
              <w:rPr>
                <w:rFonts w:ascii="Lato" w:hAnsi="Lato"/>
                <w:sz w:val="22"/>
                <w:szCs w:val="22"/>
              </w:rPr>
            </w:pPr>
            <w:r w:rsidRPr="00590C6D">
              <w:rPr>
                <w:rFonts w:ascii="Lato" w:hAnsi="Lato"/>
                <w:sz w:val="22"/>
                <w:szCs w:val="22"/>
              </w:rPr>
              <w:t>made by the</w:t>
            </w:r>
            <w:r w:rsidRPr="001362A6">
              <w:rPr>
                <w:rFonts w:ascii="Lato" w:hAnsi="Lato"/>
                <w:sz w:val="22"/>
                <w:szCs w:val="22"/>
              </w:rPr>
              <w:t xml:space="preserve"> depositary  to contractually discharge itself of any liability</w:t>
            </w:r>
          </w:p>
        </w:tc>
        <w:tc>
          <w:tcPr>
            <w:tcW w:w="3188" w:type="dxa"/>
            <w:tcBorders>
              <w:bottom w:val="single" w:sz="4" w:space="0" w:color="auto"/>
            </w:tcBorders>
          </w:tcPr>
          <w:p w14:paraId="039583FB" w14:textId="77777777" w:rsidR="00B61F2A" w:rsidRPr="001362A6" w:rsidRDefault="00B61F2A" w:rsidP="00B61F2A">
            <w:pPr>
              <w:rPr>
                <w:rFonts w:ascii="Lato" w:hAnsi="Lato"/>
                <w:sz w:val="22"/>
                <w:szCs w:val="22"/>
              </w:rPr>
            </w:pPr>
          </w:p>
        </w:tc>
      </w:tr>
      <w:tr w:rsidR="00B61F2A" w:rsidRPr="001362A6" w14:paraId="723B2620" w14:textId="77777777" w:rsidTr="007E3170">
        <w:tc>
          <w:tcPr>
            <w:tcW w:w="1316" w:type="dxa"/>
          </w:tcPr>
          <w:p w14:paraId="651FDC47" w14:textId="77777777" w:rsidR="00B61F2A" w:rsidRPr="001362A6" w:rsidRDefault="00B61F2A" w:rsidP="00B61F2A">
            <w:pPr>
              <w:rPr>
                <w:rFonts w:ascii="Lato" w:hAnsi="Lato"/>
                <w:sz w:val="22"/>
                <w:szCs w:val="22"/>
              </w:rPr>
            </w:pPr>
            <w:r w:rsidRPr="001362A6">
              <w:rPr>
                <w:rFonts w:ascii="Lato" w:hAnsi="Lato"/>
                <w:sz w:val="22"/>
                <w:szCs w:val="22"/>
              </w:rPr>
              <w:t xml:space="preserve">          (b)</w:t>
            </w:r>
          </w:p>
        </w:tc>
        <w:tc>
          <w:tcPr>
            <w:tcW w:w="5891" w:type="dxa"/>
            <w:tcBorders>
              <w:right w:val="single" w:sz="4" w:space="0" w:color="auto"/>
            </w:tcBorders>
          </w:tcPr>
          <w:p w14:paraId="12527ED7" w14:textId="77777777" w:rsidR="00B61F2A" w:rsidRPr="001362A6" w:rsidRDefault="00B61F2A" w:rsidP="00B61F2A">
            <w:pPr>
              <w:jc w:val="both"/>
              <w:rPr>
                <w:rFonts w:ascii="Lato" w:hAnsi="Lato"/>
                <w:sz w:val="22"/>
                <w:szCs w:val="22"/>
              </w:rPr>
            </w:pPr>
            <w:r w:rsidRPr="001362A6">
              <w:rPr>
                <w:rFonts w:ascii="Lato" w:hAnsi="Lato"/>
                <w:sz w:val="22"/>
                <w:szCs w:val="22"/>
              </w:rPr>
              <w:t>Disclose that the AIFM must also inform unitholders of any</w:t>
            </w:r>
          </w:p>
        </w:tc>
        <w:tc>
          <w:tcPr>
            <w:tcW w:w="3188" w:type="dxa"/>
            <w:tcBorders>
              <w:top w:val="single" w:sz="4" w:space="0" w:color="auto"/>
              <w:left w:val="single" w:sz="4" w:space="0" w:color="auto"/>
              <w:bottom w:val="single" w:sz="4" w:space="0" w:color="auto"/>
              <w:right w:val="single" w:sz="4" w:space="0" w:color="auto"/>
            </w:tcBorders>
          </w:tcPr>
          <w:p w14:paraId="01D8B8EE" w14:textId="77777777" w:rsidR="00B61F2A" w:rsidRPr="001362A6" w:rsidRDefault="00B61F2A" w:rsidP="00B61F2A">
            <w:pPr>
              <w:rPr>
                <w:rFonts w:ascii="Lato" w:hAnsi="Lato"/>
                <w:sz w:val="22"/>
                <w:szCs w:val="22"/>
              </w:rPr>
            </w:pPr>
          </w:p>
        </w:tc>
      </w:tr>
      <w:tr w:rsidR="00B61F2A" w:rsidRPr="001362A6" w14:paraId="333E6136" w14:textId="77777777" w:rsidTr="007E3170">
        <w:tc>
          <w:tcPr>
            <w:tcW w:w="1316" w:type="dxa"/>
          </w:tcPr>
          <w:p w14:paraId="62328526" w14:textId="77777777" w:rsidR="00B61F2A" w:rsidRPr="001362A6" w:rsidRDefault="00B61F2A" w:rsidP="00B61F2A">
            <w:pPr>
              <w:rPr>
                <w:rFonts w:ascii="Lato" w:hAnsi="Lato"/>
                <w:sz w:val="22"/>
                <w:szCs w:val="22"/>
              </w:rPr>
            </w:pPr>
          </w:p>
        </w:tc>
        <w:tc>
          <w:tcPr>
            <w:tcW w:w="5891" w:type="dxa"/>
          </w:tcPr>
          <w:p w14:paraId="472AE662" w14:textId="77777777" w:rsidR="00B61F2A" w:rsidRPr="001362A6" w:rsidRDefault="00B61F2A" w:rsidP="00B61F2A">
            <w:pPr>
              <w:jc w:val="both"/>
              <w:rPr>
                <w:rFonts w:ascii="Lato" w:hAnsi="Lato"/>
                <w:sz w:val="22"/>
                <w:szCs w:val="22"/>
              </w:rPr>
            </w:pPr>
            <w:r w:rsidRPr="001362A6">
              <w:rPr>
                <w:rFonts w:ascii="Lato" w:hAnsi="Lato"/>
                <w:sz w:val="22"/>
                <w:szCs w:val="22"/>
              </w:rPr>
              <w:t>changes with respect to depositary liability without delay</w:t>
            </w:r>
          </w:p>
        </w:tc>
        <w:tc>
          <w:tcPr>
            <w:tcW w:w="3188" w:type="dxa"/>
            <w:tcBorders>
              <w:top w:val="single" w:sz="4" w:space="0" w:color="auto"/>
            </w:tcBorders>
          </w:tcPr>
          <w:p w14:paraId="53D526CD" w14:textId="77777777" w:rsidR="00B61F2A" w:rsidRPr="001362A6" w:rsidRDefault="00B61F2A" w:rsidP="00B61F2A">
            <w:pPr>
              <w:rPr>
                <w:rFonts w:ascii="Lato" w:hAnsi="Lato"/>
                <w:sz w:val="22"/>
                <w:szCs w:val="22"/>
              </w:rPr>
            </w:pPr>
          </w:p>
        </w:tc>
      </w:tr>
      <w:tr w:rsidR="00B61F2A" w:rsidRPr="001362A6" w14:paraId="108E1850" w14:textId="77777777" w:rsidTr="00990D73">
        <w:tc>
          <w:tcPr>
            <w:tcW w:w="1316" w:type="dxa"/>
          </w:tcPr>
          <w:p w14:paraId="7B242D2E" w14:textId="77777777" w:rsidR="00B61F2A" w:rsidRPr="001362A6" w:rsidRDefault="00B61F2A" w:rsidP="00B61F2A">
            <w:pPr>
              <w:rPr>
                <w:rFonts w:ascii="Lato" w:hAnsi="Lato"/>
                <w:sz w:val="22"/>
                <w:szCs w:val="22"/>
              </w:rPr>
            </w:pPr>
          </w:p>
        </w:tc>
        <w:tc>
          <w:tcPr>
            <w:tcW w:w="5891" w:type="dxa"/>
          </w:tcPr>
          <w:p w14:paraId="35E63260" w14:textId="77777777" w:rsidR="00B61F2A" w:rsidRPr="001362A6" w:rsidRDefault="00B61F2A" w:rsidP="00B61F2A">
            <w:pPr>
              <w:jc w:val="both"/>
              <w:rPr>
                <w:rFonts w:ascii="Lato" w:hAnsi="Lato"/>
                <w:sz w:val="22"/>
                <w:szCs w:val="22"/>
              </w:rPr>
            </w:pPr>
          </w:p>
        </w:tc>
        <w:tc>
          <w:tcPr>
            <w:tcW w:w="3188" w:type="dxa"/>
          </w:tcPr>
          <w:p w14:paraId="5B275FAB" w14:textId="77777777" w:rsidR="00B61F2A" w:rsidRPr="001362A6" w:rsidRDefault="00B61F2A" w:rsidP="00B61F2A">
            <w:pPr>
              <w:rPr>
                <w:rFonts w:ascii="Lato" w:hAnsi="Lato"/>
                <w:sz w:val="22"/>
                <w:szCs w:val="22"/>
              </w:rPr>
            </w:pPr>
          </w:p>
        </w:tc>
      </w:tr>
      <w:tr w:rsidR="00B61F2A" w:rsidRPr="001362A6" w14:paraId="6219DF4A" w14:textId="77777777" w:rsidTr="00990D73">
        <w:tc>
          <w:tcPr>
            <w:tcW w:w="1316" w:type="dxa"/>
          </w:tcPr>
          <w:p w14:paraId="36476BD6" w14:textId="77777777" w:rsidR="00B61F2A" w:rsidRPr="001362A6" w:rsidRDefault="00B61F2A" w:rsidP="00B61F2A">
            <w:pPr>
              <w:rPr>
                <w:rFonts w:ascii="Lato" w:hAnsi="Lato"/>
                <w:sz w:val="22"/>
                <w:szCs w:val="22"/>
              </w:rPr>
            </w:pPr>
            <w:r w:rsidRPr="001362A6">
              <w:rPr>
                <w:rFonts w:ascii="Lato" w:hAnsi="Lato"/>
                <w:sz w:val="22"/>
                <w:szCs w:val="22"/>
              </w:rPr>
              <w:t>2.8.5</w:t>
            </w:r>
          </w:p>
        </w:tc>
        <w:tc>
          <w:tcPr>
            <w:tcW w:w="5891" w:type="dxa"/>
          </w:tcPr>
          <w:p w14:paraId="6D00C21D" w14:textId="77777777" w:rsidR="00B61F2A" w:rsidRPr="001362A6" w:rsidRDefault="00B61F2A" w:rsidP="00B61F2A">
            <w:pPr>
              <w:pStyle w:val="Heading1"/>
              <w:spacing w:before="0" w:after="0" w:line="240" w:lineRule="auto"/>
              <w:rPr>
                <w:rFonts w:ascii="Lato" w:hAnsi="Lato"/>
                <w:color w:val="auto"/>
                <w:sz w:val="22"/>
                <w:szCs w:val="22"/>
              </w:rPr>
            </w:pPr>
            <w:r w:rsidRPr="001362A6">
              <w:rPr>
                <w:rFonts w:ascii="Lato" w:hAnsi="Lato"/>
                <w:color w:val="auto"/>
                <w:sz w:val="22"/>
                <w:szCs w:val="22"/>
              </w:rPr>
              <w:t xml:space="preserve">Soft commissions </w:t>
            </w:r>
          </w:p>
        </w:tc>
        <w:tc>
          <w:tcPr>
            <w:tcW w:w="3188" w:type="dxa"/>
            <w:tcBorders>
              <w:bottom w:val="single" w:sz="4" w:space="0" w:color="auto"/>
            </w:tcBorders>
          </w:tcPr>
          <w:p w14:paraId="5123B66A" w14:textId="77777777" w:rsidR="00B61F2A" w:rsidRPr="001362A6" w:rsidRDefault="00B61F2A" w:rsidP="00B61F2A">
            <w:pPr>
              <w:rPr>
                <w:rFonts w:ascii="Lato" w:hAnsi="Lato"/>
                <w:sz w:val="22"/>
                <w:szCs w:val="22"/>
              </w:rPr>
            </w:pPr>
          </w:p>
        </w:tc>
      </w:tr>
      <w:tr w:rsidR="00B61F2A" w:rsidRPr="001362A6" w14:paraId="2360E6B7" w14:textId="77777777" w:rsidTr="00990D73">
        <w:trPr>
          <w:cantSplit/>
          <w:trHeight w:val="253"/>
        </w:trPr>
        <w:tc>
          <w:tcPr>
            <w:tcW w:w="1316" w:type="dxa"/>
          </w:tcPr>
          <w:p w14:paraId="15981179" w14:textId="77777777" w:rsidR="00B61F2A" w:rsidRPr="001362A6" w:rsidRDefault="00B61F2A" w:rsidP="00B61F2A">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05E2FE8A" w14:textId="77777777" w:rsidR="00B61F2A" w:rsidRPr="001362A6" w:rsidRDefault="00B61F2A" w:rsidP="00B61F2A">
            <w:pPr>
              <w:jc w:val="both"/>
              <w:rPr>
                <w:rFonts w:ascii="Lato" w:hAnsi="Lato"/>
                <w:sz w:val="22"/>
                <w:szCs w:val="22"/>
              </w:rPr>
            </w:pPr>
            <w:r w:rsidRPr="001362A6">
              <w:rPr>
                <w:rFonts w:ascii="Lato" w:hAnsi="Lato"/>
                <w:sz w:val="22"/>
                <w:szCs w:val="22"/>
              </w:rPr>
              <w:t xml:space="preserve">A description of soft commission arrangements which may </w:t>
            </w:r>
          </w:p>
        </w:tc>
        <w:tc>
          <w:tcPr>
            <w:tcW w:w="3188" w:type="dxa"/>
            <w:tcBorders>
              <w:top w:val="single" w:sz="4" w:space="0" w:color="auto"/>
              <w:bottom w:val="single" w:sz="4" w:space="0" w:color="auto"/>
              <w:right w:val="single" w:sz="4" w:space="0" w:color="auto"/>
            </w:tcBorders>
          </w:tcPr>
          <w:p w14:paraId="704BB4B8" w14:textId="77777777" w:rsidR="00B61F2A" w:rsidRPr="001362A6" w:rsidRDefault="00B61F2A" w:rsidP="00B61F2A">
            <w:pPr>
              <w:rPr>
                <w:rFonts w:ascii="Lato" w:hAnsi="Lato"/>
                <w:sz w:val="22"/>
                <w:szCs w:val="22"/>
              </w:rPr>
            </w:pPr>
          </w:p>
        </w:tc>
      </w:tr>
      <w:tr w:rsidR="00B61F2A" w:rsidRPr="001362A6" w14:paraId="6BB8BD41" w14:textId="77777777" w:rsidTr="00990D73">
        <w:trPr>
          <w:cantSplit/>
          <w:trHeight w:val="253"/>
        </w:trPr>
        <w:tc>
          <w:tcPr>
            <w:tcW w:w="1316" w:type="dxa"/>
          </w:tcPr>
          <w:p w14:paraId="577FB54C" w14:textId="77777777" w:rsidR="00B61F2A" w:rsidRPr="001362A6" w:rsidRDefault="00B61F2A" w:rsidP="00B61F2A">
            <w:pPr>
              <w:jc w:val="right"/>
              <w:rPr>
                <w:rFonts w:ascii="Lato" w:hAnsi="Lato"/>
                <w:sz w:val="22"/>
                <w:szCs w:val="22"/>
              </w:rPr>
            </w:pPr>
          </w:p>
        </w:tc>
        <w:tc>
          <w:tcPr>
            <w:tcW w:w="5891" w:type="dxa"/>
          </w:tcPr>
          <w:p w14:paraId="595B1500" w14:textId="77777777" w:rsidR="00B61F2A" w:rsidRPr="001362A6" w:rsidRDefault="00B61F2A" w:rsidP="00B61F2A">
            <w:pPr>
              <w:jc w:val="both"/>
              <w:rPr>
                <w:rFonts w:ascii="Lato" w:hAnsi="Lato"/>
                <w:sz w:val="22"/>
                <w:szCs w:val="22"/>
              </w:rPr>
            </w:pPr>
            <w:r w:rsidRPr="00590C6D">
              <w:rPr>
                <w:rFonts w:ascii="Lato" w:hAnsi="Lato"/>
                <w:sz w:val="22"/>
                <w:szCs w:val="22"/>
              </w:rPr>
              <w:t>be</w:t>
            </w:r>
            <w:r w:rsidRPr="001362A6">
              <w:rPr>
                <w:rFonts w:ascii="Lato" w:hAnsi="Lato"/>
                <w:sz w:val="22"/>
                <w:szCs w:val="22"/>
              </w:rPr>
              <w:t xml:space="preserve"> entered into by the Qualifying Investor AIF.</w:t>
            </w:r>
          </w:p>
        </w:tc>
        <w:tc>
          <w:tcPr>
            <w:tcW w:w="3188" w:type="dxa"/>
            <w:tcBorders>
              <w:top w:val="single" w:sz="4" w:space="0" w:color="auto"/>
            </w:tcBorders>
          </w:tcPr>
          <w:p w14:paraId="16418C86" w14:textId="77777777" w:rsidR="00B61F2A" w:rsidRPr="001362A6" w:rsidRDefault="00B61F2A" w:rsidP="00B61F2A">
            <w:pPr>
              <w:rPr>
                <w:rFonts w:ascii="Lato" w:hAnsi="Lato"/>
                <w:sz w:val="22"/>
                <w:szCs w:val="22"/>
              </w:rPr>
            </w:pPr>
          </w:p>
        </w:tc>
      </w:tr>
      <w:tr w:rsidR="00B61F2A" w:rsidRPr="001362A6" w14:paraId="4FDEA9DC" w14:textId="77777777" w:rsidTr="00990D73">
        <w:trPr>
          <w:cantSplit/>
          <w:trHeight w:val="271"/>
        </w:trPr>
        <w:tc>
          <w:tcPr>
            <w:tcW w:w="1316" w:type="dxa"/>
          </w:tcPr>
          <w:p w14:paraId="294158E1" w14:textId="77777777" w:rsidR="00B61F2A" w:rsidRPr="001362A6" w:rsidRDefault="00B61F2A" w:rsidP="00B61F2A">
            <w:pPr>
              <w:jc w:val="right"/>
              <w:rPr>
                <w:rFonts w:ascii="Lato" w:hAnsi="Lato"/>
                <w:sz w:val="22"/>
                <w:szCs w:val="22"/>
              </w:rPr>
            </w:pPr>
          </w:p>
        </w:tc>
        <w:tc>
          <w:tcPr>
            <w:tcW w:w="5891" w:type="dxa"/>
          </w:tcPr>
          <w:p w14:paraId="4AFB89BA" w14:textId="77777777" w:rsidR="00B61F2A" w:rsidRPr="001362A6" w:rsidRDefault="00B61F2A" w:rsidP="00B61F2A">
            <w:pPr>
              <w:jc w:val="both"/>
              <w:rPr>
                <w:rFonts w:ascii="Lato" w:hAnsi="Lato"/>
                <w:sz w:val="22"/>
                <w:szCs w:val="22"/>
              </w:rPr>
            </w:pPr>
          </w:p>
        </w:tc>
        <w:tc>
          <w:tcPr>
            <w:tcW w:w="3188" w:type="dxa"/>
          </w:tcPr>
          <w:p w14:paraId="2EDF842E" w14:textId="77777777" w:rsidR="00B61F2A" w:rsidRPr="001362A6" w:rsidRDefault="00B61F2A" w:rsidP="00B61F2A">
            <w:pPr>
              <w:rPr>
                <w:rFonts w:ascii="Lato" w:hAnsi="Lato"/>
                <w:sz w:val="22"/>
                <w:szCs w:val="22"/>
              </w:rPr>
            </w:pPr>
          </w:p>
        </w:tc>
      </w:tr>
      <w:tr w:rsidR="00B61F2A" w:rsidRPr="001362A6" w14:paraId="3E393802" w14:textId="77777777" w:rsidTr="007E3170">
        <w:tc>
          <w:tcPr>
            <w:tcW w:w="1316" w:type="dxa"/>
          </w:tcPr>
          <w:p w14:paraId="2C272BE6" w14:textId="77777777" w:rsidR="00B61F2A" w:rsidRPr="001362A6" w:rsidRDefault="00B61F2A" w:rsidP="00B61F2A">
            <w:pPr>
              <w:pStyle w:val="Header"/>
              <w:spacing w:line="240" w:lineRule="auto"/>
              <w:rPr>
                <w:rFonts w:ascii="Lato" w:hAnsi="Lato"/>
                <w:b/>
                <w:bCs/>
                <w:szCs w:val="22"/>
              </w:rPr>
            </w:pPr>
            <w:r w:rsidRPr="001362A6">
              <w:rPr>
                <w:rFonts w:ascii="Lato" w:hAnsi="Lato"/>
                <w:b/>
                <w:bCs/>
                <w:szCs w:val="22"/>
              </w:rPr>
              <w:t>2.9</w:t>
            </w:r>
          </w:p>
        </w:tc>
        <w:tc>
          <w:tcPr>
            <w:tcW w:w="5891" w:type="dxa"/>
          </w:tcPr>
          <w:p w14:paraId="75CBDB43" w14:textId="77777777" w:rsidR="00B61F2A" w:rsidRPr="001362A6" w:rsidRDefault="00B61F2A" w:rsidP="00B61F2A">
            <w:pPr>
              <w:rPr>
                <w:rFonts w:ascii="Lato" w:hAnsi="Lato"/>
                <w:b/>
                <w:bCs/>
                <w:sz w:val="22"/>
                <w:szCs w:val="22"/>
              </w:rPr>
            </w:pPr>
            <w:r w:rsidRPr="001362A6">
              <w:rPr>
                <w:rFonts w:ascii="Lato" w:hAnsi="Lato"/>
                <w:b/>
                <w:bCs/>
                <w:sz w:val="22"/>
                <w:szCs w:val="22"/>
              </w:rPr>
              <w:t>Reports and Accounts</w:t>
            </w:r>
          </w:p>
        </w:tc>
        <w:tc>
          <w:tcPr>
            <w:tcW w:w="3188" w:type="dxa"/>
          </w:tcPr>
          <w:p w14:paraId="28A788D6" w14:textId="77777777" w:rsidR="00B61F2A" w:rsidRPr="001362A6" w:rsidRDefault="00B61F2A" w:rsidP="00B61F2A">
            <w:pPr>
              <w:rPr>
                <w:rFonts w:ascii="Lato" w:hAnsi="Lato"/>
                <w:b/>
                <w:bCs/>
                <w:sz w:val="22"/>
                <w:szCs w:val="22"/>
              </w:rPr>
            </w:pPr>
          </w:p>
        </w:tc>
      </w:tr>
      <w:tr w:rsidR="00B61F2A" w:rsidRPr="001362A6" w14:paraId="2BACE68E" w14:textId="77777777" w:rsidTr="007E3170">
        <w:tc>
          <w:tcPr>
            <w:tcW w:w="1316" w:type="dxa"/>
          </w:tcPr>
          <w:p w14:paraId="34267C65" w14:textId="77777777" w:rsidR="00B61F2A" w:rsidRPr="001362A6" w:rsidRDefault="00B61F2A" w:rsidP="00B61F2A">
            <w:pPr>
              <w:pStyle w:val="Header"/>
              <w:spacing w:line="240" w:lineRule="auto"/>
              <w:rPr>
                <w:rFonts w:ascii="Lato" w:hAnsi="Lato"/>
                <w:szCs w:val="22"/>
              </w:rPr>
            </w:pPr>
          </w:p>
        </w:tc>
        <w:tc>
          <w:tcPr>
            <w:tcW w:w="5891" w:type="dxa"/>
          </w:tcPr>
          <w:p w14:paraId="437EF619" w14:textId="77777777" w:rsidR="00B61F2A" w:rsidRPr="001362A6" w:rsidRDefault="00B61F2A" w:rsidP="00B61F2A">
            <w:pPr>
              <w:rPr>
                <w:rFonts w:ascii="Lato" w:hAnsi="Lato"/>
                <w:b/>
                <w:bCs/>
                <w:sz w:val="22"/>
                <w:szCs w:val="22"/>
              </w:rPr>
            </w:pPr>
          </w:p>
        </w:tc>
        <w:tc>
          <w:tcPr>
            <w:tcW w:w="3188" w:type="dxa"/>
            <w:tcBorders>
              <w:bottom w:val="single" w:sz="4" w:space="0" w:color="auto"/>
            </w:tcBorders>
          </w:tcPr>
          <w:p w14:paraId="78B3FAE4" w14:textId="77777777" w:rsidR="00B61F2A" w:rsidRPr="001362A6" w:rsidRDefault="00B61F2A" w:rsidP="00B61F2A">
            <w:pPr>
              <w:rPr>
                <w:rFonts w:ascii="Lato" w:hAnsi="Lato"/>
                <w:b/>
                <w:bCs/>
                <w:sz w:val="22"/>
                <w:szCs w:val="22"/>
              </w:rPr>
            </w:pPr>
          </w:p>
        </w:tc>
      </w:tr>
      <w:tr w:rsidR="00B61F2A" w:rsidRPr="001362A6" w14:paraId="062D07BD" w14:textId="77777777" w:rsidTr="00990D73">
        <w:tc>
          <w:tcPr>
            <w:tcW w:w="1316" w:type="dxa"/>
          </w:tcPr>
          <w:p w14:paraId="23159474" w14:textId="77777777" w:rsidR="00B61F2A" w:rsidRPr="001362A6" w:rsidRDefault="00B61F2A" w:rsidP="00B61F2A">
            <w:pPr>
              <w:rPr>
                <w:rFonts w:ascii="Lato" w:hAnsi="Lato"/>
                <w:sz w:val="22"/>
                <w:szCs w:val="22"/>
              </w:rPr>
            </w:pPr>
            <w:r w:rsidRPr="001362A6">
              <w:rPr>
                <w:rFonts w:ascii="Lato" w:hAnsi="Lato"/>
                <w:sz w:val="22"/>
                <w:szCs w:val="22"/>
              </w:rPr>
              <w:t>2.9.1</w:t>
            </w:r>
          </w:p>
        </w:tc>
        <w:tc>
          <w:tcPr>
            <w:tcW w:w="5891" w:type="dxa"/>
            <w:tcBorders>
              <w:right w:val="single" w:sz="4" w:space="0" w:color="auto"/>
            </w:tcBorders>
          </w:tcPr>
          <w:p w14:paraId="0DECE8D5" w14:textId="77777777" w:rsidR="00B61F2A" w:rsidRPr="001362A6" w:rsidRDefault="00B61F2A" w:rsidP="00B61F2A">
            <w:pPr>
              <w:rPr>
                <w:rFonts w:ascii="Lato" w:hAnsi="Lato"/>
                <w:sz w:val="22"/>
                <w:szCs w:val="22"/>
              </w:rPr>
            </w:pPr>
            <w:r w:rsidRPr="001362A6">
              <w:rPr>
                <w:rFonts w:ascii="Lato" w:hAnsi="Lato"/>
                <w:sz w:val="22"/>
                <w:szCs w:val="22"/>
              </w:rPr>
              <w:t xml:space="preserve">Disclose the relevant accounting date(s) for the Qualifying </w:t>
            </w:r>
          </w:p>
        </w:tc>
        <w:tc>
          <w:tcPr>
            <w:tcW w:w="3188" w:type="dxa"/>
            <w:tcBorders>
              <w:top w:val="single" w:sz="4" w:space="0" w:color="auto"/>
              <w:left w:val="single" w:sz="4" w:space="0" w:color="auto"/>
              <w:bottom w:val="single" w:sz="4" w:space="0" w:color="auto"/>
              <w:right w:val="single" w:sz="4" w:space="0" w:color="auto"/>
            </w:tcBorders>
          </w:tcPr>
          <w:p w14:paraId="54ACD9D1" w14:textId="77777777" w:rsidR="00B61F2A" w:rsidRPr="001362A6" w:rsidRDefault="00B61F2A" w:rsidP="00B61F2A">
            <w:pPr>
              <w:rPr>
                <w:rFonts w:ascii="Lato" w:hAnsi="Lato"/>
                <w:sz w:val="22"/>
                <w:szCs w:val="22"/>
              </w:rPr>
            </w:pPr>
          </w:p>
        </w:tc>
      </w:tr>
      <w:tr w:rsidR="00B61F2A" w:rsidRPr="001362A6" w14:paraId="094F0809" w14:textId="77777777" w:rsidTr="007E3170">
        <w:tc>
          <w:tcPr>
            <w:tcW w:w="1316" w:type="dxa"/>
          </w:tcPr>
          <w:p w14:paraId="088E84DA" w14:textId="77777777" w:rsidR="00B61F2A" w:rsidRPr="001362A6" w:rsidRDefault="00B61F2A" w:rsidP="00B61F2A">
            <w:pPr>
              <w:rPr>
                <w:rFonts w:ascii="Lato" w:hAnsi="Lato"/>
                <w:sz w:val="22"/>
                <w:szCs w:val="22"/>
              </w:rPr>
            </w:pPr>
          </w:p>
        </w:tc>
        <w:tc>
          <w:tcPr>
            <w:tcW w:w="5891" w:type="dxa"/>
          </w:tcPr>
          <w:p w14:paraId="5E8B5298" w14:textId="77777777" w:rsidR="00B61F2A" w:rsidRPr="001362A6" w:rsidRDefault="00B61F2A" w:rsidP="00B61F2A">
            <w:pPr>
              <w:rPr>
                <w:rFonts w:ascii="Lato" w:hAnsi="Lato"/>
                <w:sz w:val="22"/>
                <w:szCs w:val="22"/>
              </w:rPr>
            </w:pPr>
            <w:r w:rsidRPr="001362A6">
              <w:rPr>
                <w:rFonts w:ascii="Lato" w:hAnsi="Lato"/>
                <w:sz w:val="22"/>
                <w:szCs w:val="22"/>
              </w:rPr>
              <w:t>Investor AIF</w:t>
            </w:r>
          </w:p>
        </w:tc>
        <w:tc>
          <w:tcPr>
            <w:tcW w:w="3188" w:type="dxa"/>
            <w:tcBorders>
              <w:top w:val="single" w:sz="4" w:space="0" w:color="auto"/>
            </w:tcBorders>
          </w:tcPr>
          <w:p w14:paraId="21EC824A" w14:textId="77777777" w:rsidR="00B61F2A" w:rsidRPr="001362A6" w:rsidRDefault="00B61F2A" w:rsidP="00B61F2A">
            <w:pPr>
              <w:rPr>
                <w:rFonts w:ascii="Lato" w:hAnsi="Lato"/>
                <w:sz w:val="22"/>
                <w:szCs w:val="22"/>
              </w:rPr>
            </w:pPr>
          </w:p>
        </w:tc>
      </w:tr>
      <w:tr w:rsidR="00B61F2A" w:rsidRPr="001362A6" w14:paraId="22E11AE4" w14:textId="77777777" w:rsidTr="007E3170">
        <w:tc>
          <w:tcPr>
            <w:tcW w:w="1316" w:type="dxa"/>
          </w:tcPr>
          <w:p w14:paraId="37F3E8C2" w14:textId="77777777" w:rsidR="00B61F2A" w:rsidRPr="001362A6" w:rsidRDefault="00B61F2A" w:rsidP="00B61F2A">
            <w:pPr>
              <w:rPr>
                <w:rFonts w:ascii="Lato" w:hAnsi="Lato"/>
                <w:sz w:val="22"/>
                <w:szCs w:val="22"/>
              </w:rPr>
            </w:pPr>
          </w:p>
        </w:tc>
        <w:tc>
          <w:tcPr>
            <w:tcW w:w="5891" w:type="dxa"/>
          </w:tcPr>
          <w:p w14:paraId="233529C1"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498F8B55" w14:textId="77777777" w:rsidR="00B61F2A" w:rsidRPr="001362A6" w:rsidRDefault="00B61F2A" w:rsidP="00B61F2A">
            <w:pPr>
              <w:rPr>
                <w:rFonts w:ascii="Lato" w:hAnsi="Lato"/>
                <w:sz w:val="22"/>
                <w:szCs w:val="22"/>
              </w:rPr>
            </w:pPr>
          </w:p>
        </w:tc>
      </w:tr>
      <w:tr w:rsidR="00B61F2A" w:rsidRPr="001362A6" w14:paraId="462E1E74" w14:textId="77777777" w:rsidTr="007E3170">
        <w:tc>
          <w:tcPr>
            <w:tcW w:w="1316" w:type="dxa"/>
          </w:tcPr>
          <w:p w14:paraId="30D15C98" w14:textId="77777777" w:rsidR="00B61F2A" w:rsidRPr="001362A6" w:rsidRDefault="00B61F2A" w:rsidP="00B61F2A">
            <w:pPr>
              <w:rPr>
                <w:rFonts w:ascii="Lato" w:hAnsi="Lato"/>
                <w:sz w:val="22"/>
                <w:szCs w:val="22"/>
              </w:rPr>
            </w:pPr>
            <w:r w:rsidRPr="001362A6">
              <w:rPr>
                <w:rFonts w:ascii="Lato" w:hAnsi="Lato"/>
                <w:sz w:val="22"/>
                <w:szCs w:val="22"/>
              </w:rPr>
              <w:t>2.9.2</w:t>
            </w:r>
          </w:p>
        </w:tc>
        <w:tc>
          <w:tcPr>
            <w:tcW w:w="5891" w:type="dxa"/>
            <w:tcBorders>
              <w:right w:val="single" w:sz="4" w:space="0" w:color="auto"/>
            </w:tcBorders>
          </w:tcPr>
          <w:p w14:paraId="6AD9FCCC" w14:textId="77777777" w:rsidR="00B61F2A" w:rsidRPr="001362A6" w:rsidRDefault="00B61F2A" w:rsidP="00B61F2A">
            <w:pPr>
              <w:rPr>
                <w:rFonts w:ascii="Lato" w:hAnsi="Lato"/>
                <w:sz w:val="22"/>
                <w:szCs w:val="22"/>
              </w:rPr>
            </w:pPr>
            <w:r w:rsidRPr="001362A6">
              <w:rPr>
                <w:rFonts w:ascii="Lato" w:hAnsi="Lato"/>
                <w:sz w:val="22"/>
              </w:rPr>
              <w:t>Annual accounting date</w:t>
            </w:r>
          </w:p>
        </w:tc>
        <w:tc>
          <w:tcPr>
            <w:tcW w:w="3188" w:type="dxa"/>
            <w:tcBorders>
              <w:top w:val="single" w:sz="4" w:space="0" w:color="auto"/>
              <w:left w:val="single" w:sz="4" w:space="0" w:color="auto"/>
              <w:bottom w:val="single" w:sz="4" w:space="0" w:color="auto"/>
              <w:right w:val="single" w:sz="4" w:space="0" w:color="auto"/>
            </w:tcBorders>
          </w:tcPr>
          <w:p w14:paraId="47C4062F" w14:textId="77777777" w:rsidR="00B61F2A" w:rsidRPr="001362A6" w:rsidRDefault="00B61F2A" w:rsidP="00B61F2A">
            <w:pPr>
              <w:rPr>
                <w:rFonts w:ascii="Lato" w:hAnsi="Lato"/>
                <w:sz w:val="22"/>
                <w:szCs w:val="22"/>
              </w:rPr>
            </w:pPr>
          </w:p>
        </w:tc>
      </w:tr>
      <w:tr w:rsidR="00B61F2A" w:rsidRPr="001362A6" w14:paraId="34925482" w14:textId="77777777" w:rsidTr="007E3170">
        <w:tc>
          <w:tcPr>
            <w:tcW w:w="1316" w:type="dxa"/>
          </w:tcPr>
          <w:p w14:paraId="725318C3" w14:textId="77777777" w:rsidR="00B61F2A" w:rsidRPr="001362A6" w:rsidRDefault="00B61F2A" w:rsidP="00B61F2A">
            <w:pPr>
              <w:rPr>
                <w:rFonts w:ascii="Lato" w:hAnsi="Lato"/>
                <w:sz w:val="22"/>
                <w:szCs w:val="22"/>
              </w:rPr>
            </w:pPr>
          </w:p>
        </w:tc>
        <w:tc>
          <w:tcPr>
            <w:tcW w:w="5891" w:type="dxa"/>
          </w:tcPr>
          <w:p w14:paraId="78E9DBC2"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3EA0A979" w14:textId="77777777" w:rsidR="00B61F2A" w:rsidRPr="001362A6" w:rsidRDefault="00B61F2A" w:rsidP="00B61F2A">
            <w:pPr>
              <w:rPr>
                <w:rFonts w:ascii="Lato" w:hAnsi="Lato"/>
                <w:sz w:val="22"/>
                <w:szCs w:val="22"/>
              </w:rPr>
            </w:pPr>
          </w:p>
        </w:tc>
      </w:tr>
      <w:tr w:rsidR="00B61F2A" w:rsidRPr="001362A6" w14:paraId="51405099" w14:textId="77777777" w:rsidTr="00990D73">
        <w:tc>
          <w:tcPr>
            <w:tcW w:w="1316" w:type="dxa"/>
          </w:tcPr>
          <w:p w14:paraId="6CC0D8FD" w14:textId="77777777" w:rsidR="00B61F2A" w:rsidRPr="001362A6" w:rsidRDefault="00B61F2A" w:rsidP="00B61F2A">
            <w:pPr>
              <w:rPr>
                <w:rFonts w:ascii="Lato" w:hAnsi="Lato"/>
                <w:sz w:val="22"/>
              </w:rPr>
            </w:pPr>
            <w:r w:rsidRPr="001362A6">
              <w:rPr>
                <w:rFonts w:ascii="Lato" w:hAnsi="Lato"/>
                <w:sz w:val="22"/>
              </w:rPr>
              <w:t>2.9.3</w:t>
            </w:r>
          </w:p>
        </w:tc>
        <w:tc>
          <w:tcPr>
            <w:tcW w:w="5891" w:type="dxa"/>
            <w:tcBorders>
              <w:right w:val="single" w:sz="4" w:space="0" w:color="auto"/>
            </w:tcBorders>
          </w:tcPr>
          <w:p w14:paraId="3D5152FA" w14:textId="77777777" w:rsidR="00B61F2A" w:rsidRPr="001362A6" w:rsidRDefault="00B61F2A" w:rsidP="00B61F2A">
            <w:pPr>
              <w:rPr>
                <w:rFonts w:ascii="Lato" w:hAnsi="Lato"/>
                <w:sz w:val="22"/>
              </w:rPr>
            </w:pPr>
            <w:r w:rsidRPr="001362A6">
              <w:rPr>
                <w:rFonts w:ascii="Lato" w:hAnsi="Lato"/>
                <w:sz w:val="22"/>
              </w:rPr>
              <w:t>Date of the initial annual reports</w:t>
            </w:r>
          </w:p>
        </w:tc>
        <w:tc>
          <w:tcPr>
            <w:tcW w:w="3188" w:type="dxa"/>
            <w:tcBorders>
              <w:top w:val="single" w:sz="4" w:space="0" w:color="auto"/>
              <w:left w:val="single" w:sz="4" w:space="0" w:color="auto"/>
              <w:bottom w:val="single" w:sz="4" w:space="0" w:color="auto"/>
              <w:right w:val="single" w:sz="4" w:space="0" w:color="auto"/>
            </w:tcBorders>
          </w:tcPr>
          <w:p w14:paraId="73E91E67" w14:textId="77777777" w:rsidR="00B61F2A" w:rsidRPr="001362A6" w:rsidRDefault="00B61F2A" w:rsidP="00B61F2A">
            <w:pPr>
              <w:rPr>
                <w:rFonts w:ascii="Lato" w:hAnsi="Lato"/>
                <w:sz w:val="22"/>
              </w:rPr>
            </w:pPr>
          </w:p>
        </w:tc>
      </w:tr>
      <w:tr w:rsidR="00B61F2A" w:rsidRPr="001362A6" w14:paraId="0794D0CA" w14:textId="77777777" w:rsidTr="00990D73">
        <w:tc>
          <w:tcPr>
            <w:tcW w:w="1316" w:type="dxa"/>
          </w:tcPr>
          <w:p w14:paraId="2B60EF1A" w14:textId="77777777" w:rsidR="00B61F2A" w:rsidRPr="001362A6" w:rsidRDefault="00B61F2A" w:rsidP="00B61F2A">
            <w:pPr>
              <w:rPr>
                <w:rFonts w:ascii="Lato" w:hAnsi="Lato"/>
                <w:sz w:val="22"/>
              </w:rPr>
            </w:pPr>
          </w:p>
        </w:tc>
        <w:tc>
          <w:tcPr>
            <w:tcW w:w="5891" w:type="dxa"/>
          </w:tcPr>
          <w:p w14:paraId="40C1730A" w14:textId="77777777" w:rsidR="00B61F2A" w:rsidRPr="001362A6" w:rsidRDefault="00B61F2A" w:rsidP="00B61F2A">
            <w:pPr>
              <w:rPr>
                <w:rFonts w:ascii="Lato" w:hAnsi="Lato"/>
                <w:sz w:val="22"/>
              </w:rPr>
            </w:pPr>
          </w:p>
        </w:tc>
        <w:tc>
          <w:tcPr>
            <w:tcW w:w="3188" w:type="dxa"/>
            <w:tcBorders>
              <w:top w:val="single" w:sz="4" w:space="0" w:color="auto"/>
              <w:bottom w:val="single" w:sz="4" w:space="0" w:color="auto"/>
            </w:tcBorders>
          </w:tcPr>
          <w:p w14:paraId="5867221E" w14:textId="77777777" w:rsidR="00B61F2A" w:rsidRPr="001362A6" w:rsidRDefault="00B61F2A" w:rsidP="00B61F2A">
            <w:pPr>
              <w:rPr>
                <w:rFonts w:ascii="Lato" w:hAnsi="Lato"/>
                <w:sz w:val="22"/>
              </w:rPr>
            </w:pPr>
          </w:p>
        </w:tc>
      </w:tr>
      <w:tr w:rsidR="00B61F2A" w:rsidRPr="001362A6" w14:paraId="74BB60B4" w14:textId="77777777" w:rsidTr="00990D73">
        <w:tc>
          <w:tcPr>
            <w:tcW w:w="1316" w:type="dxa"/>
          </w:tcPr>
          <w:p w14:paraId="731A7A78" w14:textId="77777777" w:rsidR="00B61F2A" w:rsidRPr="001362A6" w:rsidRDefault="00B61F2A" w:rsidP="00B61F2A">
            <w:pPr>
              <w:rPr>
                <w:rFonts w:ascii="Lato" w:hAnsi="Lato"/>
                <w:sz w:val="22"/>
              </w:rPr>
            </w:pPr>
            <w:r w:rsidRPr="001362A6">
              <w:rPr>
                <w:rFonts w:ascii="Lato" w:hAnsi="Lato"/>
                <w:sz w:val="22"/>
              </w:rPr>
              <w:t>2.9.4</w:t>
            </w:r>
          </w:p>
        </w:tc>
        <w:tc>
          <w:tcPr>
            <w:tcW w:w="5891" w:type="dxa"/>
            <w:tcBorders>
              <w:right w:val="single" w:sz="4" w:space="0" w:color="auto"/>
            </w:tcBorders>
          </w:tcPr>
          <w:p w14:paraId="59D94A6C" w14:textId="77777777" w:rsidR="00B61F2A" w:rsidRPr="001362A6" w:rsidRDefault="00B61F2A" w:rsidP="00B61F2A">
            <w:pPr>
              <w:rPr>
                <w:rFonts w:ascii="Lato" w:hAnsi="Lato"/>
                <w:sz w:val="22"/>
              </w:rPr>
            </w:pPr>
            <w:r w:rsidRPr="001362A6">
              <w:rPr>
                <w:rFonts w:ascii="Lato" w:hAnsi="Lato"/>
                <w:sz w:val="22"/>
              </w:rPr>
              <w:t>The interim accounting date</w:t>
            </w:r>
            <w:r w:rsidRPr="001362A6">
              <w:rPr>
                <w:rStyle w:val="FootnoteReference"/>
                <w:rFonts w:ascii="Lato" w:hAnsi="Lato"/>
                <w:sz w:val="22"/>
                <w:szCs w:val="22"/>
              </w:rPr>
              <w:footnoteReference w:id="7"/>
            </w:r>
          </w:p>
        </w:tc>
        <w:tc>
          <w:tcPr>
            <w:tcW w:w="3188" w:type="dxa"/>
            <w:tcBorders>
              <w:top w:val="single" w:sz="4" w:space="0" w:color="auto"/>
              <w:left w:val="single" w:sz="4" w:space="0" w:color="auto"/>
              <w:bottom w:val="single" w:sz="4" w:space="0" w:color="auto"/>
              <w:right w:val="single" w:sz="4" w:space="0" w:color="auto"/>
            </w:tcBorders>
          </w:tcPr>
          <w:p w14:paraId="000902C1" w14:textId="77777777" w:rsidR="00B61F2A" w:rsidRPr="001362A6" w:rsidRDefault="00B61F2A" w:rsidP="00B61F2A">
            <w:pPr>
              <w:rPr>
                <w:rFonts w:ascii="Lato" w:hAnsi="Lato"/>
                <w:sz w:val="22"/>
              </w:rPr>
            </w:pPr>
          </w:p>
        </w:tc>
      </w:tr>
      <w:tr w:rsidR="00B61F2A" w:rsidRPr="001362A6" w14:paraId="3EB9D206" w14:textId="77777777" w:rsidTr="00990D73">
        <w:tc>
          <w:tcPr>
            <w:tcW w:w="1316" w:type="dxa"/>
          </w:tcPr>
          <w:p w14:paraId="5379DB3E" w14:textId="77777777" w:rsidR="00B61F2A" w:rsidRPr="001362A6" w:rsidRDefault="00B61F2A" w:rsidP="00B61F2A">
            <w:pPr>
              <w:rPr>
                <w:rFonts w:ascii="Lato" w:hAnsi="Lato"/>
                <w:sz w:val="22"/>
                <w:szCs w:val="22"/>
              </w:rPr>
            </w:pPr>
          </w:p>
        </w:tc>
        <w:tc>
          <w:tcPr>
            <w:tcW w:w="5891" w:type="dxa"/>
          </w:tcPr>
          <w:p w14:paraId="04DCB8C3"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22A8BF26" w14:textId="77777777" w:rsidR="00B61F2A" w:rsidRPr="001362A6" w:rsidRDefault="00B61F2A" w:rsidP="00B61F2A">
            <w:pPr>
              <w:rPr>
                <w:rFonts w:ascii="Lato" w:hAnsi="Lato"/>
                <w:sz w:val="22"/>
                <w:szCs w:val="22"/>
              </w:rPr>
            </w:pPr>
          </w:p>
        </w:tc>
      </w:tr>
      <w:tr w:rsidR="00B61F2A" w:rsidRPr="001362A6" w14:paraId="60460751" w14:textId="77777777" w:rsidTr="00990D73">
        <w:tc>
          <w:tcPr>
            <w:tcW w:w="1316" w:type="dxa"/>
          </w:tcPr>
          <w:p w14:paraId="79BAF303" w14:textId="77777777" w:rsidR="00B61F2A" w:rsidRPr="001362A6" w:rsidRDefault="00B61F2A" w:rsidP="00B61F2A">
            <w:pPr>
              <w:rPr>
                <w:rFonts w:ascii="Lato" w:hAnsi="Lato"/>
                <w:sz w:val="22"/>
                <w:szCs w:val="22"/>
              </w:rPr>
            </w:pPr>
            <w:r w:rsidRPr="001362A6">
              <w:rPr>
                <w:rFonts w:ascii="Lato" w:hAnsi="Lato"/>
                <w:sz w:val="22"/>
                <w:szCs w:val="22"/>
              </w:rPr>
              <w:t>2.9.5</w:t>
            </w:r>
          </w:p>
        </w:tc>
        <w:tc>
          <w:tcPr>
            <w:tcW w:w="5891" w:type="dxa"/>
            <w:tcBorders>
              <w:right w:val="single" w:sz="4" w:space="0" w:color="auto"/>
            </w:tcBorders>
          </w:tcPr>
          <w:p w14:paraId="1409BB32" w14:textId="77777777" w:rsidR="00B61F2A" w:rsidRPr="001362A6" w:rsidRDefault="00B61F2A" w:rsidP="00B61F2A">
            <w:pPr>
              <w:rPr>
                <w:rFonts w:ascii="Lato" w:hAnsi="Lato"/>
                <w:sz w:val="22"/>
                <w:szCs w:val="22"/>
              </w:rPr>
            </w:pPr>
            <w:r w:rsidRPr="001362A6">
              <w:rPr>
                <w:rFonts w:ascii="Lato" w:hAnsi="Lato"/>
                <w:sz w:val="22"/>
                <w:szCs w:val="22"/>
              </w:rPr>
              <w:t xml:space="preserve">Date of the initial interim report </w:t>
            </w:r>
          </w:p>
        </w:tc>
        <w:tc>
          <w:tcPr>
            <w:tcW w:w="3188" w:type="dxa"/>
            <w:tcBorders>
              <w:top w:val="single" w:sz="4" w:space="0" w:color="auto"/>
              <w:left w:val="single" w:sz="4" w:space="0" w:color="auto"/>
              <w:bottom w:val="single" w:sz="4" w:space="0" w:color="auto"/>
              <w:right w:val="single" w:sz="4" w:space="0" w:color="auto"/>
            </w:tcBorders>
          </w:tcPr>
          <w:p w14:paraId="545F1F71" w14:textId="77777777" w:rsidR="00B61F2A" w:rsidRPr="001362A6" w:rsidRDefault="00B61F2A" w:rsidP="00B61F2A">
            <w:pPr>
              <w:rPr>
                <w:rFonts w:ascii="Lato" w:hAnsi="Lato"/>
                <w:sz w:val="22"/>
                <w:szCs w:val="22"/>
              </w:rPr>
            </w:pPr>
          </w:p>
        </w:tc>
      </w:tr>
      <w:tr w:rsidR="00B61F2A" w:rsidRPr="001362A6" w14:paraId="22796E55" w14:textId="77777777" w:rsidTr="00990D73">
        <w:tc>
          <w:tcPr>
            <w:tcW w:w="1316" w:type="dxa"/>
          </w:tcPr>
          <w:p w14:paraId="7993A363" w14:textId="77777777" w:rsidR="00B61F2A" w:rsidRPr="001362A6" w:rsidRDefault="00B61F2A" w:rsidP="00B61F2A">
            <w:pPr>
              <w:rPr>
                <w:rFonts w:ascii="Lato" w:hAnsi="Lato"/>
                <w:sz w:val="22"/>
                <w:szCs w:val="22"/>
              </w:rPr>
            </w:pPr>
          </w:p>
        </w:tc>
        <w:tc>
          <w:tcPr>
            <w:tcW w:w="5891" w:type="dxa"/>
          </w:tcPr>
          <w:p w14:paraId="2FEFFB8F"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24927AB0" w14:textId="77777777" w:rsidR="00B61F2A" w:rsidRPr="001362A6" w:rsidRDefault="00B61F2A" w:rsidP="00B61F2A">
            <w:pPr>
              <w:rPr>
                <w:rFonts w:ascii="Lato" w:hAnsi="Lato"/>
                <w:sz w:val="22"/>
                <w:szCs w:val="22"/>
              </w:rPr>
            </w:pPr>
          </w:p>
        </w:tc>
      </w:tr>
      <w:tr w:rsidR="00B61F2A" w:rsidRPr="001362A6" w14:paraId="0441DD27" w14:textId="77777777" w:rsidTr="00990D73">
        <w:trPr>
          <w:cantSplit/>
          <w:trHeight w:val="253"/>
        </w:trPr>
        <w:tc>
          <w:tcPr>
            <w:tcW w:w="1316" w:type="dxa"/>
            <w:vMerge w:val="restart"/>
          </w:tcPr>
          <w:p w14:paraId="278A75CB" w14:textId="77777777" w:rsidR="00B61F2A" w:rsidRPr="001362A6" w:rsidRDefault="00B61F2A" w:rsidP="00B61F2A">
            <w:pPr>
              <w:rPr>
                <w:rFonts w:ascii="Lato" w:hAnsi="Lato"/>
                <w:sz w:val="22"/>
                <w:szCs w:val="22"/>
              </w:rPr>
            </w:pPr>
            <w:r w:rsidRPr="001362A6">
              <w:rPr>
                <w:rFonts w:ascii="Lato" w:hAnsi="Lato"/>
                <w:sz w:val="22"/>
                <w:szCs w:val="22"/>
              </w:rPr>
              <w:t>2.9.6</w:t>
            </w:r>
          </w:p>
        </w:tc>
        <w:tc>
          <w:tcPr>
            <w:tcW w:w="5891" w:type="dxa"/>
            <w:vMerge w:val="restart"/>
            <w:tcBorders>
              <w:right w:val="single" w:sz="4" w:space="0" w:color="auto"/>
            </w:tcBorders>
          </w:tcPr>
          <w:p w14:paraId="05D5A818" w14:textId="77777777" w:rsidR="00B61F2A" w:rsidRPr="001362A6" w:rsidRDefault="00B61F2A" w:rsidP="00B61F2A">
            <w:pPr>
              <w:pStyle w:val="Heading3"/>
              <w:spacing w:before="0" w:after="0" w:line="240" w:lineRule="auto"/>
              <w:rPr>
                <w:rFonts w:ascii="Lato" w:hAnsi="Lato"/>
                <w:b w:val="0"/>
                <w:bCs/>
                <w:color w:val="auto"/>
                <w:sz w:val="22"/>
                <w:szCs w:val="22"/>
              </w:rPr>
            </w:pPr>
            <w:r w:rsidRPr="001362A6">
              <w:rPr>
                <w:rFonts w:ascii="Lato" w:hAnsi="Lato"/>
                <w:b w:val="0"/>
                <w:bCs/>
                <w:color w:val="auto"/>
                <w:sz w:val="22"/>
                <w:szCs w:val="22"/>
              </w:rPr>
              <w:t>Confirm that the first set of accounts (semi-annual/ annual) are within 12 months of the authorisation date and published within 2 months if an interim report and 6 months if an annual report</w:t>
            </w:r>
            <w:r w:rsidRPr="001362A6">
              <w:rPr>
                <w:rFonts w:ascii="Lato" w:hAnsi="Lato"/>
                <w:b w:val="0"/>
                <w:bCs/>
                <w:color w:val="auto"/>
                <w:sz w:val="22"/>
                <w:szCs w:val="22"/>
                <w:vertAlign w:val="superscript"/>
              </w:rPr>
              <w:t>7</w:t>
            </w:r>
            <w:r w:rsidRPr="001362A6">
              <w:rPr>
                <w:rFonts w:ascii="Lato" w:hAnsi="Lato"/>
                <w:b w:val="0"/>
                <w:bCs/>
                <w:color w:val="auto"/>
                <w:sz w:val="22"/>
                <w:szCs w:val="22"/>
              </w:rPr>
              <w:t>.</w:t>
            </w:r>
          </w:p>
        </w:tc>
        <w:tc>
          <w:tcPr>
            <w:tcW w:w="3188" w:type="dxa"/>
            <w:tcBorders>
              <w:top w:val="single" w:sz="4" w:space="0" w:color="auto"/>
              <w:left w:val="single" w:sz="4" w:space="0" w:color="auto"/>
              <w:bottom w:val="single" w:sz="4" w:space="0" w:color="auto"/>
              <w:right w:val="single" w:sz="4" w:space="0" w:color="auto"/>
            </w:tcBorders>
          </w:tcPr>
          <w:p w14:paraId="709E4ECC" w14:textId="77777777" w:rsidR="00B61F2A" w:rsidRPr="001362A6" w:rsidRDefault="00B61F2A" w:rsidP="00B61F2A">
            <w:pPr>
              <w:rPr>
                <w:rFonts w:ascii="Lato" w:hAnsi="Lato"/>
                <w:sz w:val="22"/>
                <w:szCs w:val="22"/>
              </w:rPr>
            </w:pPr>
          </w:p>
        </w:tc>
      </w:tr>
      <w:tr w:rsidR="00B61F2A" w:rsidRPr="001362A6" w14:paraId="7B9C2E2C" w14:textId="77777777" w:rsidTr="00990D73">
        <w:trPr>
          <w:cantSplit/>
          <w:trHeight w:val="251"/>
        </w:trPr>
        <w:tc>
          <w:tcPr>
            <w:tcW w:w="1316" w:type="dxa"/>
            <w:vMerge/>
          </w:tcPr>
          <w:p w14:paraId="6DCDCA27" w14:textId="77777777" w:rsidR="00B61F2A" w:rsidRPr="001362A6" w:rsidRDefault="00B61F2A" w:rsidP="00B61F2A">
            <w:pPr>
              <w:rPr>
                <w:rFonts w:ascii="Lato" w:hAnsi="Lato"/>
                <w:sz w:val="22"/>
                <w:szCs w:val="22"/>
              </w:rPr>
            </w:pPr>
          </w:p>
        </w:tc>
        <w:tc>
          <w:tcPr>
            <w:tcW w:w="5891" w:type="dxa"/>
            <w:vMerge/>
          </w:tcPr>
          <w:p w14:paraId="0AD121B9" w14:textId="77777777" w:rsidR="00B61F2A" w:rsidRPr="001362A6" w:rsidRDefault="00B61F2A" w:rsidP="00B61F2A">
            <w:pPr>
              <w:pStyle w:val="Heading3"/>
              <w:spacing w:before="0" w:after="0" w:line="240" w:lineRule="auto"/>
              <w:rPr>
                <w:rFonts w:ascii="Lato" w:hAnsi="Lato"/>
                <w:b w:val="0"/>
                <w:bCs/>
                <w:color w:val="auto"/>
                <w:sz w:val="22"/>
                <w:szCs w:val="22"/>
              </w:rPr>
            </w:pPr>
          </w:p>
        </w:tc>
        <w:tc>
          <w:tcPr>
            <w:tcW w:w="3188" w:type="dxa"/>
            <w:tcBorders>
              <w:top w:val="single" w:sz="4" w:space="0" w:color="auto"/>
            </w:tcBorders>
          </w:tcPr>
          <w:p w14:paraId="14076AE2" w14:textId="77777777" w:rsidR="00B61F2A" w:rsidRPr="001362A6" w:rsidRDefault="00B61F2A" w:rsidP="00B61F2A">
            <w:pPr>
              <w:rPr>
                <w:rFonts w:ascii="Lato" w:hAnsi="Lato"/>
                <w:sz w:val="22"/>
                <w:szCs w:val="22"/>
              </w:rPr>
            </w:pPr>
          </w:p>
        </w:tc>
      </w:tr>
      <w:tr w:rsidR="00B61F2A" w:rsidRPr="001362A6" w14:paraId="1271E86A" w14:textId="77777777" w:rsidTr="00990D73">
        <w:trPr>
          <w:cantSplit/>
          <w:trHeight w:val="251"/>
        </w:trPr>
        <w:tc>
          <w:tcPr>
            <w:tcW w:w="1316" w:type="dxa"/>
            <w:vMerge/>
          </w:tcPr>
          <w:p w14:paraId="31A45887" w14:textId="77777777" w:rsidR="00B61F2A" w:rsidRPr="001362A6" w:rsidRDefault="00B61F2A" w:rsidP="00B61F2A">
            <w:pPr>
              <w:rPr>
                <w:rFonts w:ascii="Lato" w:hAnsi="Lato"/>
                <w:sz w:val="22"/>
                <w:szCs w:val="22"/>
              </w:rPr>
            </w:pPr>
          </w:p>
        </w:tc>
        <w:tc>
          <w:tcPr>
            <w:tcW w:w="5891" w:type="dxa"/>
            <w:vMerge/>
          </w:tcPr>
          <w:p w14:paraId="08E50757" w14:textId="77777777" w:rsidR="00B61F2A" w:rsidRPr="001362A6" w:rsidRDefault="00B61F2A" w:rsidP="00B61F2A">
            <w:pPr>
              <w:pStyle w:val="Heading3"/>
              <w:spacing w:before="0" w:after="0" w:line="240" w:lineRule="auto"/>
              <w:rPr>
                <w:rFonts w:ascii="Lato" w:hAnsi="Lato"/>
                <w:b w:val="0"/>
                <w:bCs/>
                <w:color w:val="auto"/>
                <w:sz w:val="22"/>
                <w:szCs w:val="22"/>
              </w:rPr>
            </w:pPr>
          </w:p>
        </w:tc>
        <w:tc>
          <w:tcPr>
            <w:tcW w:w="3188" w:type="dxa"/>
          </w:tcPr>
          <w:p w14:paraId="55575558" w14:textId="77777777" w:rsidR="00B61F2A" w:rsidRPr="001362A6" w:rsidRDefault="00B61F2A" w:rsidP="00B61F2A">
            <w:pPr>
              <w:rPr>
                <w:rFonts w:ascii="Lato" w:hAnsi="Lato"/>
                <w:sz w:val="22"/>
                <w:szCs w:val="22"/>
              </w:rPr>
            </w:pPr>
          </w:p>
        </w:tc>
      </w:tr>
      <w:tr w:rsidR="00B61F2A" w:rsidRPr="001362A6" w14:paraId="5A135EE3" w14:textId="77777777" w:rsidTr="00990D73">
        <w:tc>
          <w:tcPr>
            <w:tcW w:w="1316" w:type="dxa"/>
          </w:tcPr>
          <w:p w14:paraId="36EDDD03" w14:textId="77777777" w:rsidR="00B61F2A" w:rsidRPr="001362A6" w:rsidRDefault="00B61F2A" w:rsidP="00B61F2A">
            <w:pPr>
              <w:rPr>
                <w:rFonts w:ascii="Lato" w:hAnsi="Lato"/>
                <w:sz w:val="22"/>
                <w:szCs w:val="22"/>
              </w:rPr>
            </w:pPr>
          </w:p>
        </w:tc>
        <w:tc>
          <w:tcPr>
            <w:tcW w:w="5891" w:type="dxa"/>
          </w:tcPr>
          <w:p w14:paraId="5E447FE6"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04EB8329" w14:textId="77777777" w:rsidR="00B61F2A" w:rsidRPr="001362A6" w:rsidRDefault="00B61F2A" w:rsidP="00B61F2A">
            <w:pPr>
              <w:rPr>
                <w:rFonts w:ascii="Lato" w:hAnsi="Lato"/>
                <w:sz w:val="22"/>
                <w:szCs w:val="22"/>
              </w:rPr>
            </w:pPr>
          </w:p>
        </w:tc>
      </w:tr>
      <w:tr w:rsidR="00B61F2A" w:rsidRPr="001362A6" w14:paraId="4D285F14" w14:textId="77777777" w:rsidTr="00990D73">
        <w:trPr>
          <w:cantSplit/>
          <w:trHeight w:val="255"/>
        </w:trPr>
        <w:tc>
          <w:tcPr>
            <w:tcW w:w="1316" w:type="dxa"/>
            <w:vMerge w:val="restart"/>
          </w:tcPr>
          <w:p w14:paraId="342BFDA3" w14:textId="77777777" w:rsidR="00B61F2A" w:rsidRPr="001362A6" w:rsidRDefault="00B61F2A" w:rsidP="00B61F2A">
            <w:pPr>
              <w:rPr>
                <w:rFonts w:ascii="Lato" w:hAnsi="Lato"/>
                <w:sz w:val="22"/>
                <w:szCs w:val="22"/>
              </w:rPr>
            </w:pPr>
            <w:r w:rsidRPr="001362A6">
              <w:rPr>
                <w:rFonts w:ascii="Lato" w:hAnsi="Lato"/>
                <w:sz w:val="22"/>
                <w:szCs w:val="22"/>
              </w:rPr>
              <w:t>2.9.7</w:t>
            </w:r>
          </w:p>
        </w:tc>
        <w:tc>
          <w:tcPr>
            <w:tcW w:w="5891" w:type="dxa"/>
            <w:vMerge w:val="restart"/>
            <w:tcBorders>
              <w:right w:val="single" w:sz="4" w:space="0" w:color="auto"/>
            </w:tcBorders>
          </w:tcPr>
          <w:p w14:paraId="16AE2185" w14:textId="77777777" w:rsidR="00B61F2A" w:rsidRPr="001362A6" w:rsidRDefault="00B61F2A" w:rsidP="00B61F2A">
            <w:pPr>
              <w:rPr>
                <w:rFonts w:ascii="Lato" w:hAnsi="Lato"/>
                <w:sz w:val="22"/>
                <w:szCs w:val="22"/>
              </w:rPr>
            </w:pPr>
            <w:r w:rsidRPr="001362A6">
              <w:rPr>
                <w:rFonts w:ascii="Lato" w:hAnsi="Lato"/>
                <w:sz w:val="22"/>
                <w:szCs w:val="22"/>
              </w:rPr>
              <w:t xml:space="preserve">Confirm the first annual audited accounts are within 18 months of incorporation/establishment and published within 6 months. </w:t>
            </w:r>
          </w:p>
        </w:tc>
        <w:tc>
          <w:tcPr>
            <w:tcW w:w="3188" w:type="dxa"/>
            <w:tcBorders>
              <w:top w:val="single" w:sz="4" w:space="0" w:color="auto"/>
              <w:left w:val="single" w:sz="4" w:space="0" w:color="auto"/>
              <w:bottom w:val="single" w:sz="4" w:space="0" w:color="auto"/>
              <w:right w:val="single" w:sz="4" w:space="0" w:color="auto"/>
            </w:tcBorders>
          </w:tcPr>
          <w:p w14:paraId="3148B3D9" w14:textId="77777777" w:rsidR="00B61F2A" w:rsidRPr="001362A6" w:rsidRDefault="00B61F2A" w:rsidP="00B61F2A">
            <w:pPr>
              <w:rPr>
                <w:rFonts w:ascii="Lato" w:hAnsi="Lato"/>
                <w:sz w:val="22"/>
                <w:szCs w:val="22"/>
              </w:rPr>
            </w:pPr>
          </w:p>
        </w:tc>
      </w:tr>
      <w:tr w:rsidR="00B61F2A" w:rsidRPr="001362A6" w14:paraId="436D7BA6" w14:textId="77777777" w:rsidTr="00990D73">
        <w:trPr>
          <w:cantSplit/>
          <w:trHeight w:val="254"/>
        </w:trPr>
        <w:tc>
          <w:tcPr>
            <w:tcW w:w="1316" w:type="dxa"/>
            <w:vMerge/>
          </w:tcPr>
          <w:p w14:paraId="20D4548A" w14:textId="77777777" w:rsidR="00B61F2A" w:rsidRPr="001362A6" w:rsidRDefault="00B61F2A" w:rsidP="00B61F2A">
            <w:pPr>
              <w:rPr>
                <w:rFonts w:ascii="Lato" w:hAnsi="Lato"/>
                <w:sz w:val="22"/>
                <w:szCs w:val="22"/>
              </w:rPr>
            </w:pPr>
          </w:p>
        </w:tc>
        <w:tc>
          <w:tcPr>
            <w:tcW w:w="5891" w:type="dxa"/>
            <w:vMerge/>
          </w:tcPr>
          <w:p w14:paraId="0CBBF68C" w14:textId="77777777" w:rsidR="00B61F2A" w:rsidRPr="001362A6" w:rsidRDefault="00B61F2A" w:rsidP="00B61F2A">
            <w:pPr>
              <w:rPr>
                <w:rFonts w:ascii="Lato" w:hAnsi="Lato"/>
                <w:sz w:val="22"/>
                <w:szCs w:val="22"/>
              </w:rPr>
            </w:pPr>
          </w:p>
        </w:tc>
        <w:tc>
          <w:tcPr>
            <w:tcW w:w="3188" w:type="dxa"/>
            <w:tcBorders>
              <w:top w:val="single" w:sz="4" w:space="0" w:color="auto"/>
            </w:tcBorders>
          </w:tcPr>
          <w:p w14:paraId="21EE061E" w14:textId="77777777" w:rsidR="00B61F2A" w:rsidRPr="001362A6" w:rsidRDefault="00B61F2A" w:rsidP="00B61F2A">
            <w:pPr>
              <w:rPr>
                <w:rFonts w:ascii="Lato" w:hAnsi="Lato"/>
                <w:sz w:val="22"/>
                <w:szCs w:val="22"/>
              </w:rPr>
            </w:pPr>
          </w:p>
        </w:tc>
      </w:tr>
      <w:tr w:rsidR="00B61F2A" w:rsidRPr="001362A6" w14:paraId="5718D763" w14:textId="77777777" w:rsidTr="00990D73">
        <w:tc>
          <w:tcPr>
            <w:tcW w:w="1316" w:type="dxa"/>
          </w:tcPr>
          <w:p w14:paraId="5A2D6579" w14:textId="77777777" w:rsidR="00B61F2A" w:rsidRPr="001362A6" w:rsidRDefault="00B61F2A" w:rsidP="00B61F2A">
            <w:pPr>
              <w:rPr>
                <w:rFonts w:ascii="Lato" w:hAnsi="Lato"/>
                <w:sz w:val="22"/>
                <w:szCs w:val="22"/>
              </w:rPr>
            </w:pPr>
          </w:p>
        </w:tc>
        <w:tc>
          <w:tcPr>
            <w:tcW w:w="5891" w:type="dxa"/>
          </w:tcPr>
          <w:p w14:paraId="1A9AA874" w14:textId="77777777" w:rsidR="00B61F2A" w:rsidRPr="001362A6" w:rsidRDefault="00B61F2A" w:rsidP="00B61F2A">
            <w:pPr>
              <w:rPr>
                <w:rFonts w:ascii="Lato" w:hAnsi="Lato"/>
                <w:sz w:val="22"/>
                <w:szCs w:val="22"/>
              </w:rPr>
            </w:pPr>
          </w:p>
        </w:tc>
        <w:tc>
          <w:tcPr>
            <w:tcW w:w="3188" w:type="dxa"/>
          </w:tcPr>
          <w:p w14:paraId="3A3D2748" w14:textId="77777777" w:rsidR="00B61F2A" w:rsidRPr="001362A6" w:rsidRDefault="00B61F2A" w:rsidP="00B61F2A">
            <w:pPr>
              <w:rPr>
                <w:rFonts w:ascii="Lato" w:hAnsi="Lato"/>
                <w:sz w:val="22"/>
                <w:szCs w:val="22"/>
              </w:rPr>
            </w:pPr>
          </w:p>
        </w:tc>
      </w:tr>
      <w:tr w:rsidR="00B61F2A" w:rsidRPr="001362A6" w14:paraId="649EFF14" w14:textId="77777777" w:rsidTr="00990D73">
        <w:tc>
          <w:tcPr>
            <w:tcW w:w="1316" w:type="dxa"/>
          </w:tcPr>
          <w:p w14:paraId="6F0BCFD2" w14:textId="77777777" w:rsidR="00B61F2A" w:rsidRPr="001362A6" w:rsidRDefault="00B61F2A" w:rsidP="00B61F2A">
            <w:pPr>
              <w:rPr>
                <w:rFonts w:ascii="Lato" w:hAnsi="Lato"/>
                <w:sz w:val="22"/>
                <w:szCs w:val="22"/>
              </w:rPr>
            </w:pPr>
            <w:r w:rsidRPr="001362A6">
              <w:rPr>
                <w:rFonts w:ascii="Lato" w:hAnsi="Lato"/>
                <w:sz w:val="22"/>
                <w:szCs w:val="22"/>
              </w:rPr>
              <w:t>2.9.8</w:t>
            </w:r>
          </w:p>
        </w:tc>
        <w:tc>
          <w:tcPr>
            <w:tcW w:w="5891" w:type="dxa"/>
          </w:tcPr>
          <w:p w14:paraId="3330A9D8" w14:textId="77777777" w:rsidR="00B61F2A" w:rsidRPr="001362A6" w:rsidRDefault="00B61F2A" w:rsidP="00B61F2A">
            <w:pPr>
              <w:rPr>
                <w:rFonts w:ascii="Lato" w:hAnsi="Lato"/>
                <w:sz w:val="22"/>
                <w:szCs w:val="22"/>
              </w:rPr>
            </w:pPr>
            <w:r w:rsidRPr="001362A6">
              <w:rPr>
                <w:rFonts w:ascii="Lato" w:hAnsi="Lato"/>
                <w:sz w:val="22"/>
                <w:szCs w:val="22"/>
              </w:rPr>
              <w:t xml:space="preserve">State where the following may be obtained (if not annexed): </w:t>
            </w:r>
          </w:p>
        </w:tc>
        <w:tc>
          <w:tcPr>
            <w:tcW w:w="3188" w:type="dxa"/>
            <w:tcBorders>
              <w:bottom w:val="single" w:sz="4" w:space="0" w:color="auto"/>
            </w:tcBorders>
          </w:tcPr>
          <w:p w14:paraId="6CF0955D" w14:textId="77777777" w:rsidR="00B61F2A" w:rsidRPr="001362A6" w:rsidRDefault="00B61F2A" w:rsidP="00B61F2A">
            <w:pPr>
              <w:rPr>
                <w:rFonts w:ascii="Lato" w:hAnsi="Lato"/>
                <w:sz w:val="22"/>
                <w:szCs w:val="22"/>
              </w:rPr>
            </w:pPr>
          </w:p>
        </w:tc>
      </w:tr>
      <w:tr w:rsidR="00B61F2A" w:rsidRPr="001362A6" w14:paraId="6BFDE722" w14:textId="77777777" w:rsidTr="00990D73">
        <w:trPr>
          <w:cantSplit/>
          <w:trHeight w:val="255"/>
        </w:trPr>
        <w:tc>
          <w:tcPr>
            <w:tcW w:w="1316" w:type="dxa"/>
          </w:tcPr>
          <w:p w14:paraId="42AC8A7E" w14:textId="77777777" w:rsidR="00B61F2A" w:rsidRPr="001362A6" w:rsidRDefault="00B61F2A" w:rsidP="00B61F2A">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7049D0A6" w14:textId="77777777" w:rsidR="00B61F2A" w:rsidRPr="001362A6" w:rsidRDefault="00B61F2A" w:rsidP="00B61F2A">
            <w:pPr>
              <w:rPr>
                <w:rFonts w:ascii="Lato" w:hAnsi="Lato"/>
                <w:sz w:val="22"/>
                <w:szCs w:val="22"/>
              </w:rPr>
            </w:pPr>
            <w:r w:rsidRPr="001362A6">
              <w:rPr>
                <w:rFonts w:ascii="Lato" w:hAnsi="Lato"/>
                <w:sz w:val="22"/>
                <w:szCs w:val="22"/>
              </w:rPr>
              <w:t xml:space="preserve">the constitutional document  </w:t>
            </w:r>
          </w:p>
        </w:tc>
        <w:tc>
          <w:tcPr>
            <w:tcW w:w="3188" w:type="dxa"/>
            <w:tcBorders>
              <w:top w:val="single" w:sz="4" w:space="0" w:color="auto"/>
              <w:left w:val="single" w:sz="4" w:space="0" w:color="auto"/>
              <w:bottom w:val="single" w:sz="4" w:space="0" w:color="auto"/>
              <w:right w:val="single" w:sz="4" w:space="0" w:color="auto"/>
            </w:tcBorders>
          </w:tcPr>
          <w:p w14:paraId="5AD65814" w14:textId="77777777" w:rsidR="00B61F2A" w:rsidRPr="001362A6" w:rsidRDefault="00B61F2A" w:rsidP="00B61F2A">
            <w:pPr>
              <w:rPr>
                <w:rFonts w:ascii="Lato" w:hAnsi="Lato"/>
                <w:sz w:val="22"/>
                <w:szCs w:val="22"/>
              </w:rPr>
            </w:pPr>
          </w:p>
        </w:tc>
      </w:tr>
      <w:tr w:rsidR="00B61F2A" w:rsidRPr="001362A6" w14:paraId="3F45393A" w14:textId="77777777" w:rsidTr="00990D73">
        <w:tc>
          <w:tcPr>
            <w:tcW w:w="1316" w:type="dxa"/>
          </w:tcPr>
          <w:p w14:paraId="0698E476" w14:textId="77777777" w:rsidR="00B61F2A" w:rsidRPr="001362A6" w:rsidRDefault="00B61F2A" w:rsidP="00B61F2A">
            <w:pPr>
              <w:jc w:val="right"/>
              <w:rPr>
                <w:rFonts w:ascii="Lato" w:hAnsi="Lato"/>
                <w:sz w:val="22"/>
                <w:szCs w:val="22"/>
              </w:rPr>
            </w:pPr>
          </w:p>
        </w:tc>
        <w:tc>
          <w:tcPr>
            <w:tcW w:w="5891" w:type="dxa"/>
          </w:tcPr>
          <w:p w14:paraId="328145EE" w14:textId="77777777" w:rsidR="00B61F2A" w:rsidRPr="001362A6" w:rsidRDefault="00B61F2A" w:rsidP="00B61F2A">
            <w:pPr>
              <w:rPr>
                <w:rFonts w:ascii="Lato" w:hAnsi="Lato"/>
                <w:sz w:val="22"/>
                <w:szCs w:val="22"/>
              </w:rPr>
            </w:pPr>
            <w:r w:rsidRPr="001362A6">
              <w:rPr>
                <w:rFonts w:ascii="Lato" w:hAnsi="Lato"/>
                <w:sz w:val="22"/>
                <w:szCs w:val="22"/>
              </w:rPr>
              <w:t>and</w:t>
            </w:r>
          </w:p>
        </w:tc>
        <w:tc>
          <w:tcPr>
            <w:tcW w:w="3188" w:type="dxa"/>
            <w:tcBorders>
              <w:bottom w:val="single" w:sz="4" w:space="0" w:color="auto"/>
            </w:tcBorders>
          </w:tcPr>
          <w:p w14:paraId="246484BE" w14:textId="77777777" w:rsidR="00B61F2A" w:rsidRPr="001362A6" w:rsidRDefault="00B61F2A" w:rsidP="00B61F2A">
            <w:pPr>
              <w:rPr>
                <w:rFonts w:ascii="Lato" w:hAnsi="Lato"/>
                <w:sz w:val="22"/>
                <w:szCs w:val="22"/>
              </w:rPr>
            </w:pPr>
          </w:p>
        </w:tc>
      </w:tr>
      <w:tr w:rsidR="00B61F2A" w:rsidRPr="001362A6" w14:paraId="732CF71D" w14:textId="77777777" w:rsidTr="00990D73">
        <w:tc>
          <w:tcPr>
            <w:tcW w:w="1316" w:type="dxa"/>
          </w:tcPr>
          <w:p w14:paraId="5DB1357E" w14:textId="77777777" w:rsidR="00B61F2A" w:rsidRPr="001362A6" w:rsidRDefault="00B61F2A" w:rsidP="00B61F2A">
            <w:pPr>
              <w:jc w:val="right"/>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725E114A" w14:textId="77777777" w:rsidR="00B61F2A" w:rsidRPr="001362A6" w:rsidRDefault="00B61F2A" w:rsidP="00B61F2A">
            <w:pPr>
              <w:rPr>
                <w:rFonts w:ascii="Lato" w:hAnsi="Lato"/>
                <w:sz w:val="22"/>
                <w:szCs w:val="22"/>
              </w:rPr>
            </w:pPr>
            <w:r w:rsidRPr="001362A6">
              <w:rPr>
                <w:rFonts w:ascii="Lato" w:hAnsi="Lato"/>
                <w:sz w:val="22"/>
                <w:szCs w:val="22"/>
              </w:rPr>
              <w:t xml:space="preserve">the latest annual/semi-annual reports  </w:t>
            </w:r>
          </w:p>
        </w:tc>
        <w:tc>
          <w:tcPr>
            <w:tcW w:w="3188" w:type="dxa"/>
            <w:tcBorders>
              <w:top w:val="single" w:sz="4" w:space="0" w:color="auto"/>
              <w:bottom w:val="single" w:sz="4" w:space="0" w:color="auto"/>
              <w:right w:val="single" w:sz="4" w:space="0" w:color="auto"/>
            </w:tcBorders>
          </w:tcPr>
          <w:p w14:paraId="1DCA4104" w14:textId="77777777" w:rsidR="00B61F2A" w:rsidRPr="001362A6" w:rsidRDefault="00B61F2A" w:rsidP="00B61F2A">
            <w:pPr>
              <w:rPr>
                <w:rFonts w:ascii="Lato" w:hAnsi="Lato"/>
                <w:sz w:val="22"/>
                <w:szCs w:val="22"/>
              </w:rPr>
            </w:pPr>
          </w:p>
        </w:tc>
      </w:tr>
      <w:tr w:rsidR="00B61F2A" w:rsidRPr="001362A6" w14:paraId="29FEF0E1" w14:textId="77777777" w:rsidTr="007E3170">
        <w:tc>
          <w:tcPr>
            <w:tcW w:w="1316" w:type="dxa"/>
          </w:tcPr>
          <w:p w14:paraId="1F110A60" w14:textId="77777777" w:rsidR="00B61F2A" w:rsidRPr="001362A6" w:rsidRDefault="00B61F2A" w:rsidP="00B61F2A">
            <w:pPr>
              <w:rPr>
                <w:rFonts w:ascii="Lato" w:hAnsi="Lato"/>
                <w:sz w:val="22"/>
                <w:szCs w:val="22"/>
              </w:rPr>
            </w:pPr>
          </w:p>
        </w:tc>
        <w:tc>
          <w:tcPr>
            <w:tcW w:w="5891" w:type="dxa"/>
          </w:tcPr>
          <w:p w14:paraId="6BC7BBA5" w14:textId="77777777" w:rsidR="00B61F2A" w:rsidRPr="001362A6" w:rsidRDefault="00B61F2A" w:rsidP="00B61F2A">
            <w:pPr>
              <w:rPr>
                <w:rFonts w:ascii="Lato" w:hAnsi="Lato"/>
                <w:sz w:val="22"/>
                <w:szCs w:val="22"/>
              </w:rPr>
            </w:pPr>
            <w:r w:rsidRPr="001362A6">
              <w:rPr>
                <w:rFonts w:ascii="Lato" w:hAnsi="Lato"/>
                <w:sz w:val="22"/>
                <w:szCs w:val="22"/>
              </w:rPr>
              <w:t>(available for inspection is not acceptable)</w:t>
            </w:r>
          </w:p>
        </w:tc>
        <w:tc>
          <w:tcPr>
            <w:tcW w:w="3188" w:type="dxa"/>
            <w:tcBorders>
              <w:top w:val="single" w:sz="4" w:space="0" w:color="auto"/>
              <w:bottom w:val="single" w:sz="4" w:space="0" w:color="auto"/>
            </w:tcBorders>
          </w:tcPr>
          <w:p w14:paraId="6876A0AD" w14:textId="77777777" w:rsidR="00B61F2A" w:rsidRPr="001362A6" w:rsidRDefault="00B61F2A" w:rsidP="00B61F2A">
            <w:pPr>
              <w:rPr>
                <w:rFonts w:ascii="Lato" w:hAnsi="Lato"/>
                <w:sz w:val="22"/>
                <w:szCs w:val="22"/>
              </w:rPr>
            </w:pPr>
          </w:p>
        </w:tc>
      </w:tr>
      <w:tr w:rsidR="00B61F2A" w:rsidRPr="001362A6" w14:paraId="2BB1DE92" w14:textId="77777777" w:rsidTr="007E3170">
        <w:tc>
          <w:tcPr>
            <w:tcW w:w="1316" w:type="dxa"/>
          </w:tcPr>
          <w:p w14:paraId="346BAE06" w14:textId="77777777" w:rsidR="00B61F2A" w:rsidRPr="001362A6" w:rsidRDefault="00B61F2A" w:rsidP="00B61F2A">
            <w:pPr>
              <w:jc w:val="right"/>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21FFDE32" w14:textId="77777777" w:rsidR="00B61F2A" w:rsidRPr="001362A6" w:rsidRDefault="00B61F2A" w:rsidP="00B61F2A">
            <w:pPr>
              <w:rPr>
                <w:rFonts w:ascii="Lato" w:hAnsi="Lato"/>
                <w:sz w:val="22"/>
                <w:szCs w:val="22"/>
              </w:rPr>
            </w:pPr>
            <w:r w:rsidRPr="001362A6">
              <w:rPr>
                <w:rFonts w:ascii="Lato" w:hAnsi="Lato"/>
                <w:sz w:val="22"/>
                <w:szCs w:val="22"/>
              </w:rPr>
              <w:t xml:space="preserve">the latest net asset value of the Qualifying Investor AIF, or </w:t>
            </w:r>
          </w:p>
        </w:tc>
        <w:tc>
          <w:tcPr>
            <w:tcW w:w="3188" w:type="dxa"/>
            <w:tcBorders>
              <w:top w:val="single" w:sz="4" w:space="0" w:color="auto"/>
              <w:left w:val="single" w:sz="4" w:space="0" w:color="auto"/>
              <w:bottom w:val="single" w:sz="4" w:space="0" w:color="auto"/>
              <w:right w:val="single" w:sz="4" w:space="0" w:color="auto"/>
            </w:tcBorders>
          </w:tcPr>
          <w:p w14:paraId="6FFBD89C" w14:textId="77777777" w:rsidR="00B61F2A" w:rsidRPr="001362A6" w:rsidRDefault="00B61F2A" w:rsidP="00B61F2A">
            <w:pPr>
              <w:rPr>
                <w:rFonts w:ascii="Lato" w:hAnsi="Lato"/>
                <w:sz w:val="22"/>
                <w:szCs w:val="22"/>
              </w:rPr>
            </w:pPr>
          </w:p>
        </w:tc>
      </w:tr>
      <w:tr w:rsidR="00B61F2A" w:rsidRPr="001362A6" w14:paraId="61D4BDD1" w14:textId="77777777" w:rsidTr="007E3170">
        <w:tc>
          <w:tcPr>
            <w:tcW w:w="1316" w:type="dxa"/>
          </w:tcPr>
          <w:p w14:paraId="61B4514B" w14:textId="77777777" w:rsidR="00B61F2A" w:rsidRPr="001362A6" w:rsidRDefault="00B61F2A" w:rsidP="00B61F2A">
            <w:pPr>
              <w:rPr>
                <w:rFonts w:ascii="Lato" w:hAnsi="Lato"/>
                <w:sz w:val="22"/>
                <w:szCs w:val="22"/>
              </w:rPr>
            </w:pPr>
          </w:p>
        </w:tc>
        <w:tc>
          <w:tcPr>
            <w:tcW w:w="5891" w:type="dxa"/>
          </w:tcPr>
          <w:p w14:paraId="5D9F844F" w14:textId="77777777" w:rsidR="00B61F2A" w:rsidRPr="001362A6" w:rsidRDefault="00B61F2A" w:rsidP="00B61F2A">
            <w:pPr>
              <w:rPr>
                <w:rFonts w:ascii="Lato" w:hAnsi="Lato"/>
                <w:sz w:val="22"/>
                <w:szCs w:val="22"/>
              </w:rPr>
            </w:pPr>
            <w:r w:rsidRPr="00590C6D">
              <w:rPr>
                <w:rFonts w:ascii="Lato" w:hAnsi="Lato"/>
                <w:sz w:val="22"/>
                <w:szCs w:val="22"/>
              </w:rPr>
              <w:t xml:space="preserve">the </w:t>
            </w:r>
            <w:r w:rsidRPr="001362A6">
              <w:rPr>
                <w:rFonts w:ascii="Lato" w:hAnsi="Lato"/>
                <w:sz w:val="22"/>
                <w:szCs w:val="22"/>
              </w:rPr>
              <w:t>latest market price of the unit of the Qualifying Investor AIF</w:t>
            </w:r>
          </w:p>
        </w:tc>
        <w:tc>
          <w:tcPr>
            <w:tcW w:w="3188" w:type="dxa"/>
            <w:tcBorders>
              <w:top w:val="single" w:sz="4" w:space="0" w:color="auto"/>
              <w:bottom w:val="single" w:sz="4" w:space="0" w:color="auto"/>
            </w:tcBorders>
          </w:tcPr>
          <w:p w14:paraId="4BA3B147" w14:textId="77777777" w:rsidR="00B61F2A" w:rsidRPr="001362A6" w:rsidRDefault="00B61F2A" w:rsidP="00B61F2A">
            <w:pPr>
              <w:rPr>
                <w:rFonts w:ascii="Lato" w:hAnsi="Lato"/>
                <w:sz w:val="22"/>
                <w:szCs w:val="22"/>
              </w:rPr>
            </w:pPr>
          </w:p>
        </w:tc>
      </w:tr>
      <w:tr w:rsidR="00B61F2A" w:rsidRPr="001362A6" w14:paraId="04650EF0" w14:textId="77777777" w:rsidTr="007E3170">
        <w:tc>
          <w:tcPr>
            <w:tcW w:w="1316" w:type="dxa"/>
          </w:tcPr>
          <w:p w14:paraId="3982F0A4" w14:textId="77777777" w:rsidR="00B61F2A" w:rsidRPr="001362A6" w:rsidRDefault="00B61F2A" w:rsidP="00B61F2A">
            <w:pPr>
              <w:jc w:val="right"/>
              <w:rPr>
                <w:rFonts w:ascii="Lato" w:hAnsi="Lato"/>
                <w:sz w:val="22"/>
                <w:szCs w:val="22"/>
              </w:rPr>
            </w:pPr>
            <w:r w:rsidRPr="001362A6">
              <w:rPr>
                <w:rFonts w:ascii="Lato" w:hAnsi="Lato"/>
                <w:sz w:val="22"/>
                <w:szCs w:val="22"/>
              </w:rPr>
              <w:t>d)</w:t>
            </w:r>
          </w:p>
        </w:tc>
        <w:tc>
          <w:tcPr>
            <w:tcW w:w="5891" w:type="dxa"/>
            <w:tcBorders>
              <w:right w:val="single" w:sz="4" w:space="0" w:color="auto"/>
            </w:tcBorders>
          </w:tcPr>
          <w:p w14:paraId="6F5684C3" w14:textId="77777777" w:rsidR="00B61F2A" w:rsidRPr="001362A6" w:rsidRDefault="00B61F2A" w:rsidP="00B61F2A">
            <w:pPr>
              <w:rPr>
                <w:rFonts w:ascii="Lato" w:hAnsi="Lato"/>
                <w:sz w:val="22"/>
                <w:szCs w:val="22"/>
              </w:rPr>
            </w:pPr>
            <w:r w:rsidRPr="001362A6">
              <w:rPr>
                <w:rFonts w:ascii="Lato" w:hAnsi="Lato"/>
                <w:sz w:val="22"/>
                <w:szCs w:val="22"/>
              </w:rPr>
              <w:t xml:space="preserve">the historical performance of the Qualifying Investor AIF, </w:t>
            </w:r>
          </w:p>
        </w:tc>
        <w:tc>
          <w:tcPr>
            <w:tcW w:w="3188" w:type="dxa"/>
            <w:tcBorders>
              <w:top w:val="single" w:sz="4" w:space="0" w:color="auto"/>
              <w:left w:val="single" w:sz="4" w:space="0" w:color="auto"/>
              <w:bottom w:val="single" w:sz="4" w:space="0" w:color="auto"/>
              <w:right w:val="single" w:sz="4" w:space="0" w:color="auto"/>
            </w:tcBorders>
          </w:tcPr>
          <w:p w14:paraId="65302E17" w14:textId="77777777" w:rsidR="00B61F2A" w:rsidRPr="001362A6" w:rsidRDefault="00B61F2A" w:rsidP="00B61F2A">
            <w:pPr>
              <w:rPr>
                <w:rFonts w:ascii="Lato" w:hAnsi="Lato"/>
                <w:sz w:val="22"/>
                <w:szCs w:val="22"/>
              </w:rPr>
            </w:pPr>
          </w:p>
        </w:tc>
      </w:tr>
      <w:tr w:rsidR="00B61F2A" w:rsidRPr="001362A6" w14:paraId="50BC3C3F" w14:textId="77777777" w:rsidTr="007E3170">
        <w:tc>
          <w:tcPr>
            <w:tcW w:w="1316" w:type="dxa"/>
          </w:tcPr>
          <w:p w14:paraId="33FAB3DA" w14:textId="77777777" w:rsidR="00B61F2A" w:rsidRPr="001362A6" w:rsidRDefault="00B61F2A" w:rsidP="00B61F2A">
            <w:pPr>
              <w:rPr>
                <w:rFonts w:ascii="Lato" w:hAnsi="Lato"/>
                <w:sz w:val="22"/>
                <w:szCs w:val="22"/>
              </w:rPr>
            </w:pPr>
          </w:p>
        </w:tc>
        <w:tc>
          <w:tcPr>
            <w:tcW w:w="5891" w:type="dxa"/>
          </w:tcPr>
          <w:p w14:paraId="33D2818C"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where available</w:t>
            </w:r>
          </w:p>
        </w:tc>
        <w:tc>
          <w:tcPr>
            <w:tcW w:w="3188" w:type="dxa"/>
            <w:tcBorders>
              <w:top w:val="single" w:sz="4" w:space="0" w:color="auto"/>
            </w:tcBorders>
          </w:tcPr>
          <w:p w14:paraId="2DC0990C" w14:textId="77777777" w:rsidR="00B61F2A" w:rsidRPr="001362A6" w:rsidRDefault="00B61F2A" w:rsidP="00B61F2A">
            <w:pPr>
              <w:rPr>
                <w:rFonts w:ascii="Lato" w:hAnsi="Lato"/>
                <w:sz w:val="22"/>
                <w:szCs w:val="22"/>
              </w:rPr>
            </w:pPr>
          </w:p>
        </w:tc>
      </w:tr>
      <w:tr w:rsidR="00B61F2A" w:rsidRPr="001362A6" w14:paraId="6A7DEF80" w14:textId="77777777" w:rsidTr="007E3170">
        <w:tc>
          <w:tcPr>
            <w:tcW w:w="1316" w:type="dxa"/>
          </w:tcPr>
          <w:p w14:paraId="60602363" w14:textId="77777777" w:rsidR="00B61F2A" w:rsidRPr="001362A6" w:rsidRDefault="00B61F2A" w:rsidP="00B61F2A">
            <w:pPr>
              <w:jc w:val="right"/>
              <w:rPr>
                <w:rFonts w:ascii="Lato" w:hAnsi="Lato"/>
                <w:sz w:val="22"/>
                <w:szCs w:val="22"/>
              </w:rPr>
            </w:pPr>
            <w:r w:rsidRPr="001362A6">
              <w:rPr>
                <w:rFonts w:ascii="Lato" w:hAnsi="Lato"/>
                <w:sz w:val="22"/>
                <w:szCs w:val="22"/>
              </w:rPr>
              <w:t>e)</w:t>
            </w:r>
          </w:p>
        </w:tc>
        <w:tc>
          <w:tcPr>
            <w:tcW w:w="5891" w:type="dxa"/>
          </w:tcPr>
          <w:p w14:paraId="633A7962"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This section applies so that AIFM’s must, for each of the EU</w:t>
            </w:r>
          </w:p>
        </w:tc>
        <w:tc>
          <w:tcPr>
            <w:tcW w:w="3188" w:type="dxa"/>
          </w:tcPr>
          <w:p w14:paraId="554F9E6F" w14:textId="77777777" w:rsidR="00B61F2A" w:rsidRPr="001362A6" w:rsidRDefault="00B61F2A" w:rsidP="00B61F2A">
            <w:pPr>
              <w:rPr>
                <w:rFonts w:ascii="Lato" w:hAnsi="Lato"/>
                <w:sz w:val="22"/>
                <w:szCs w:val="22"/>
              </w:rPr>
            </w:pPr>
          </w:p>
        </w:tc>
      </w:tr>
      <w:tr w:rsidR="00B61F2A" w:rsidRPr="001362A6" w14:paraId="1D31788B" w14:textId="77777777" w:rsidTr="007E3170">
        <w:tc>
          <w:tcPr>
            <w:tcW w:w="1316" w:type="dxa"/>
          </w:tcPr>
          <w:p w14:paraId="7C59DFE8" w14:textId="77777777" w:rsidR="00B61F2A" w:rsidRPr="001362A6" w:rsidRDefault="00B61F2A" w:rsidP="00B61F2A">
            <w:pPr>
              <w:jc w:val="right"/>
              <w:rPr>
                <w:rFonts w:ascii="Lato" w:hAnsi="Lato"/>
                <w:sz w:val="22"/>
                <w:szCs w:val="22"/>
              </w:rPr>
            </w:pPr>
          </w:p>
        </w:tc>
        <w:tc>
          <w:tcPr>
            <w:tcW w:w="5891" w:type="dxa"/>
          </w:tcPr>
          <w:p w14:paraId="1EEFC264"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 xml:space="preserve">AIFs that it manages and for each of the AIFs that it </w:t>
            </w:r>
          </w:p>
        </w:tc>
        <w:tc>
          <w:tcPr>
            <w:tcW w:w="3188" w:type="dxa"/>
          </w:tcPr>
          <w:p w14:paraId="6F013A96" w14:textId="77777777" w:rsidR="00B61F2A" w:rsidRPr="001362A6" w:rsidRDefault="00B61F2A" w:rsidP="00B61F2A">
            <w:pPr>
              <w:rPr>
                <w:rFonts w:ascii="Lato" w:hAnsi="Lato"/>
                <w:sz w:val="22"/>
                <w:szCs w:val="22"/>
              </w:rPr>
            </w:pPr>
          </w:p>
        </w:tc>
      </w:tr>
      <w:tr w:rsidR="00B61F2A" w:rsidRPr="001362A6" w14:paraId="143A1C2B" w14:textId="77777777" w:rsidTr="007E3170">
        <w:tc>
          <w:tcPr>
            <w:tcW w:w="1316" w:type="dxa"/>
          </w:tcPr>
          <w:p w14:paraId="0DEA1D47" w14:textId="77777777" w:rsidR="00B61F2A" w:rsidRPr="001362A6" w:rsidRDefault="00B61F2A" w:rsidP="00B61F2A">
            <w:pPr>
              <w:jc w:val="right"/>
              <w:rPr>
                <w:rFonts w:ascii="Lato" w:hAnsi="Lato"/>
                <w:sz w:val="22"/>
                <w:szCs w:val="22"/>
              </w:rPr>
            </w:pPr>
          </w:p>
        </w:tc>
        <w:tc>
          <w:tcPr>
            <w:tcW w:w="5891" w:type="dxa"/>
          </w:tcPr>
          <w:p w14:paraId="6971E9C8" w14:textId="77777777" w:rsidR="00B61F2A" w:rsidRPr="001362A6" w:rsidRDefault="00B61F2A" w:rsidP="00B61F2A">
            <w:pPr>
              <w:pStyle w:val="Heading3"/>
              <w:spacing w:before="0" w:after="0" w:line="240" w:lineRule="auto"/>
              <w:rPr>
                <w:rFonts w:ascii="Lato" w:hAnsi="Lato"/>
                <w:b w:val="0"/>
                <w:color w:val="auto"/>
                <w:sz w:val="22"/>
                <w:szCs w:val="22"/>
              </w:rPr>
            </w:pPr>
            <w:r w:rsidRPr="00590C6D">
              <w:rPr>
                <w:rFonts w:ascii="Lato" w:hAnsi="Lato"/>
                <w:b w:val="0"/>
                <w:color w:val="auto"/>
                <w:sz w:val="22"/>
                <w:szCs w:val="22"/>
              </w:rPr>
              <w:t xml:space="preserve">markets in </w:t>
            </w:r>
            <w:r w:rsidRPr="001362A6">
              <w:rPr>
                <w:rFonts w:ascii="Lato" w:hAnsi="Lato"/>
                <w:b w:val="0"/>
                <w:color w:val="auto"/>
                <w:sz w:val="22"/>
                <w:szCs w:val="22"/>
              </w:rPr>
              <w:t>the European Union, periodically disclose to unitholders:</w:t>
            </w:r>
          </w:p>
        </w:tc>
        <w:tc>
          <w:tcPr>
            <w:tcW w:w="3188" w:type="dxa"/>
            <w:tcBorders>
              <w:bottom w:val="single" w:sz="4" w:space="0" w:color="auto"/>
            </w:tcBorders>
          </w:tcPr>
          <w:p w14:paraId="52229850" w14:textId="77777777" w:rsidR="00B61F2A" w:rsidRPr="001362A6" w:rsidRDefault="00B61F2A" w:rsidP="00B61F2A">
            <w:pPr>
              <w:rPr>
                <w:rFonts w:ascii="Lato" w:hAnsi="Lato"/>
                <w:sz w:val="22"/>
                <w:szCs w:val="22"/>
              </w:rPr>
            </w:pPr>
          </w:p>
        </w:tc>
      </w:tr>
      <w:tr w:rsidR="00B61F2A" w:rsidRPr="001362A6" w14:paraId="0D4E52AE" w14:textId="77777777" w:rsidTr="007E3170">
        <w:tc>
          <w:tcPr>
            <w:tcW w:w="1316" w:type="dxa"/>
          </w:tcPr>
          <w:p w14:paraId="14574EB4" w14:textId="77777777" w:rsidR="00B61F2A" w:rsidRPr="001362A6" w:rsidRDefault="00B61F2A" w:rsidP="00B61F2A">
            <w:pPr>
              <w:jc w:val="right"/>
              <w:rPr>
                <w:rFonts w:ascii="Lato" w:hAnsi="Lato"/>
                <w:sz w:val="22"/>
                <w:szCs w:val="22"/>
              </w:rPr>
            </w:pPr>
          </w:p>
        </w:tc>
        <w:tc>
          <w:tcPr>
            <w:tcW w:w="5891" w:type="dxa"/>
            <w:tcBorders>
              <w:right w:val="single" w:sz="4" w:space="0" w:color="auto"/>
            </w:tcBorders>
          </w:tcPr>
          <w:p w14:paraId="747301E4"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 xml:space="preserve">(i)the percentage of the Qualifying Investor AIF’s assets </w:t>
            </w:r>
          </w:p>
        </w:tc>
        <w:tc>
          <w:tcPr>
            <w:tcW w:w="3188" w:type="dxa"/>
            <w:tcBorders>
              <w:top w:val="single" w:sz="4" w:space="0" w:color="auto"/>
              <w:left w:val="single" w:sz="4" w:space="0" w:color="auto"/>
              <w:bottom w:val="single" w:sz="4" w:space="0" w:color="auto"/>
              <w:right w:val="single" w:sz="4" w:space="0" w:color="auto"/>
            </w:tcBorders>
          </w:tcPr>
          <w:p w14:paraId="7B1C7200" w14:textId="77777777" w:rsidR="00B61F2A" w:rsidRPr="001362A6" w:rsidRDefault="00B61F2A" w:rsidP="00B61F2A">
            <w:pPr>
              <w:rPr>
                <w:rFonts w:ascii="Lato" w:hAnsi="Lato"/>
                <w:sz w:val="22"/>
                <w:szCs w:val="22"/>
              </w:rPr>
            </w:pPr>
          </w:p>
        </w:tc>
      </w:tr>
      <w:tr w:rsidR="00B61F2A" w:rsidRPr="001362A6" w14:paraId="2C98157E" w14:textId="77777777" w:rsidTr="007E3170">
        <w:tc>
          <w:tcPr>
            <w:tcW w:w="1316" w:type="dxa"/>
          </w:tcPr>
          <w:p w14:paraId="10C68740" w14:textId="77777777" w:rsidR="00B61F2A" w:rsidRPr="001362A6" w:rsidRDefault="00B61F2A" w:rsidP="00B61F2A">
            <w:pPr>
              <w:jc w:val="right"/>
              <w:rPr>
                <w:rFonts w:ascii="Lato" w:hAnsi="Lato"/>
                <w:sz w:val="22"/>
                <w:szCs w:val="22"/>
              </w:rPr>
            </w:pPr>
          </w:p>
        </w:tc>
        <w:tc>
          <w:tcPr>
            <w:tcW w:w="5891" w:type="dxa"/>
          </w:tcPr>
          <w:p w14:paraId="2B3F51E8" w14:textId="77777777" w:rsidR="00B61F2A" w:rsidRPr="001362A6" w:rsidRDefault="00B61F2A" w:rsidP="00B61F2A">
            <w:pPr>
              <w:pStyle w:val="Heading3"/>
              <w:spacing w:before="0" w:after="0" w:line="240" w:lineRule="auto"/>
              <w:rPr>
                <w:rFonts w:ascii="Lato" w:hAnsi="Lato"/>
                <w:b w:val="0"/>
                <w:color w:val="auto"/>
                <w:sz w:val="22"/>
                <w:szCs w:val="22"/>
              </w:rPr>
            </w:pPr>
            <w:r w:rsidRPr="00590C6D">
              <w:rPr>
                <w:rFonts w:ascii="Lato" w:hAnsi="Lato"/>
                <w:b w:val="0"/>
                <w:color w:val="auto"/>
                <w:sz w:val="22"/>
                <w:szCs w:val="22"/>
              </w:rPr>
              <w:t xml:space="preserve">which </w:t>
            </w:r>
            <w:r w:rsidRPr="001362A6">
              <w:rPr>
                <w:rFonts w:ascii="Lato" w:hAnsi="Lato"/>
                <w:b w:val="0"/>
                <w:color w:val="auto"/>
                <w:sz w:val="22"/>
                <w:szCs w:val="22"/>
              </w:rPr>
              <w:t xml:space="preserve">are subject to special arrangements arising from </w:t>
            </w:r>
          </w:p>
        </w:tc>
        <w:tc>
          <w:tcPr>
            <w:tcW w:w="3188" w:type="dxa"/>
            <w:tcBorders>
              <w:top w:val="single" w:sz="4" w:space="0" w:color="auto"/>
            </w:tcBorders>
          </w:tcPr>
          <w:p w14:paraId="3735F8D7" w14:textId="77777777" w:rsidR="00B61F2A" w:rsidRPr="001362A6" w:rsidRDefault="00B61F2A" w:rsidP="00B61F2A">
            <w:pPr>
              <w:rPr>
                <w:rFonts w:ascii="Lato" w:hAnsi="Lato"/>
                <w:sz w:val="22"/>
                <w:szCs w:val="22"/>
              </w:rPr>
            </w:pPr>
          </w:p>
        </w:tc>
      </w:tr>
      <w:tr w:rsidR="00B61F2A" w:rsidRPr="001362A6" w14:paraId="17293F89" w14:textId="77777777" w:rsidTr="007E3170">
        <w:tc>
          <w:tcPr>
            <w:tcW w:w="1316" w:type="dxa"/>
          </w:tcPr>
          <w:p w14:paraId="617D3DE4" w14:textId="77777777" w:rsidR="00B61F2A" w:rsidRPr="001362A6" w:rsidRDefault="00B61F2A" w:rsidP="00B61F2A">
            <w:pPr>
              <w:jc w:val="right"/>
              <w:rPr>
                <w:rFonts w:ascii="Lato" w:hAnsi="Lato"/>
                <w:sz w:val="22"/>
                <w:szCs w:val="22"/>
              </w:rPr>
            </w:pPr>
          </w:p>
        </w:tc>
        <w:tc>
          <w:tcPr>
            <w:tcW w:w="5891" w:type="dxa"/>
          </w:tcPr>
          <w:p w14:paraId="1CBC39BC" w14:textId="77777777" w:rsidR="00B61F2A" w:rsidRPr="001362A6" w:rsidRDefault="00B61F2A" w:rsidP="00B61F2A">
            <w:pPr>
              <w:pStyle w:val="Heading3"/>
              <w:spacing w:before="0" w:after="0" w:line="240" w:lineRule="auto"/>
              <w:rPr>
                <w:rFonts w:ascii="Lato" w:hAnsi="Lato"/>
                <w:b w:val="0"/>
                <w:color w:val="auto"/>
                <w:sz w:val="22"/>
                <w:szCs w:val="22"/>
              </w:rPr>
            </w:pPr>
            <w:r w:rsidRPr="00590C6D">
              <w:rPr>
                <w:rFonts w:ascii="Lato" w:hAnsi="Lato"/>
                <w:b w:val="0"/>
                <w:color w:val="auto"/>
                <w:sz w:val="22"/>
                <w:szCs w:val="22"/>
              </w:rPr>
              <w:t>their illiquid</w:t>
            </w:r>
            <w:r w:rsidRPr="001362A6">
              <w:rPr>
                <w:rFonts w:ascii="Lato" w:hAnsi="Lato"/>
                <w:b w:val="0"/>
                <w:color w:val="auto"/>
                <w:sz w:val="22"/>
                <w:szCs w:val="22"/>
              </w:rPr>
              <w:t xml:space="preserve"> nature </w:t>
            </w:r>
          </w:p>
        </w:tc>
        <w:tc>
          <w:tcPr>
            <w:tcW w:w="3188" w:type="dxa"/>
            <w:tcBorders>
              <w:bottom w:val="single" w:sz="4" w:space="0" w:color="auto"/>
            </w:tcBorders>
          </w:tcPr>
          <w:p w14:paraId="7BFF95F8" w14:textId="77777777" w:rsidR="00B61F2A" w:rsidRPr="001362A6" w:rsidRDefault="00B61F2A" w:rsidP="00B61F2A">
            <w:pPr>
              <w:rPr>
                <w:rFonts w:ascii="Lato" w:hAnsi="Lato"/>
                <w:sz w:val="22"/>
                <w:szCs w:val="22"/>
              </w:rPr>
            </w:pPr>
          </w:p>
        </w:tc>
      </w:tr>
      <w:tr w:rsidR="00B61F2A" w:rsidRPr="001362A6" w14:paraId="4BCAE738" w14:textId="77777777" w:rsidTr="007E3170">
        <w:tc>
          <w:tcPr>
            <w:tcW w:w="1316" w:type="dxa"/>
          </w:tcPr>
          <w:p w14:paraId="247728BD" w14:textId="77777777" w:rsidR="00B61F2A" w:rsidRPr="001362A6" w:rsidRDefault="00B61F2A" w:rsidP="00B61F2A">
            <w:pPr>
              <w:jc w:val="right"/>
              <w:rPr>
                <w:rFonts w:ascii="Lato" w:hAnsi="Lato"/>
                <w:sz w:val="22"/>
                <w:szCs w:val="22"/>
              </w:rPr>
            </w:pPr>
          </w:p>
        </w:tc>
        <w:tc>
          <w:tcPr>
            <w:tcW w:w="5891" w:type="dxa"/>
            <w:tcBorders>
              <w:right w:val="single" w:sz="4" w:space="0" w:color="auto"/>
            </w:tcBorders>
          </w:tcPr>
          <w:p w14:paraId="0A629675"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(ii) any new arrangements for managing the liquidity of the</w:t>
            </w:r>
          </w:p>
        </w:tc>
        <w:tc>
          <w:tcPr>
            <w:tcW w:w="3188" w:type="dxa"/>
            <w:tcBorders>
              <w:top w:val="single" w:sz="4" w:space="0" w:color="auto"/>
              <w:left w:val="single" w:sz="4" w:space="0" w:color="auto"/>
              <w:bottom w:val="single" w:sz="4" w:space="0" w:color="auto"/>
              <w:right w:val="single" w:sz="4" w:space="0" w:color="auto"/>
            </w:tcBorders>
          </w:tcPr>
          <w:p w14:paraId="0332B809" w14:textId="77777777" w:rsidR="00B61F2A" w:rsidRPr="001362A6" w:rsidRDefault="00B61F2A" w:rsidP="00B61F2A">
            <w:pPr>
              <w:rPr>
                <w:rFonts w:ascii="Lato" w:hAnsi="Lato"/>
                <w:sz w:val="22"/>
                <w:szCs w:val="22"/>
              </w:rPr>
            </w:pPr>
          </w:p>
        </w:tc>
      </w:tr>
      <w:tr w:rsidR="00B61F2A" w:rsidRPr="001362A6" w14:paraId="1B8EA73F" w14:textId="77777777" w:rsidTr="007E3170">
        <w:tc>
          <w:tcPr>
            <w:tcW w:w="1316" w:type="dxa"/>
          </w:tcPr>
          <w:p w14:paraId="421520CB" w14:textId="77777777" w:rsidR="00B61F2A" w:rsidRPr="001362A6" w:rsidRDefault="00B61F2A" w:rsidP="00B61F2A">
            <w:pPr>
              <w:jc w:val="right"/>
              <w:rPr>
                <w:rFonts w:ascii="Lato" w:hAnsi="Lato"/>
                <w:sz w:val="22"/>
                <w:szCs w:val="22"/>
              </w:rPr>
            </w:pPr>
          </w:p>
        </w:tc>
        <w:tc>
          <w:tcPr>
            <w:tcW w:w="5891" w:type="dxa"/>
          </w:tcPr>
          <w:p w14:paraId="3F97E73C"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Qualifying Investor AIF</w:t>
            </w:r>
          </w:p>
        </w:tc>
        <w:tc>
          <w:tcPr>
            <w:tcW w:w="3188" w:type="dxa"/>
            <w:tcBorders>
              <w:top w:val="single" w:sz="4" w:space="0" w:color="auto"/>
              <w:bottom w:val="single" w:sz="4" w:space="0" w:color="auto"/>
            </w:tcBorders>
          </w:tcPr>
          <w:p w14:paraId="418EBA52" w14:textId="77777777" w:rsidR="00B61F2A" w:rsidRPr="001362A6" w:rsidRDefault="00B61F2A" w:rsidP="00B61F2A">
            <w:pPr>
              <w:rPr>
                <w:rFonts w:ascii="Lato" w:hAnsi="Lato"/>
                <w:sz w:val="22"/>
                <w:szCs w:val="22"/>
              </w:rPr>
            </w:pPr>
          </w:p>
        </w:tc>
      </w:tr>
      <w:tr w:rsidR="00B61F2A" w:rsidRPr="001362A6" w14:paraId="2EE8D74B" w14:textId="77777777" w:rsidTr="007E3170">
        <w:tc>
          <w:tcPr>
            <w:tcW w:w="1316" w:type="dxa"/>
          </w:tcPr>
          <w:p w14:paraId="4AB2CBFE" w14:textId="77777777" w:rsidR="00B61F2A" w:rsidRPr="001362A6" w:rsidRDefault="00B61F2A" w:rsidP="00B61F2A">
            <w:pPr>
              <w:jc w:val="right"/>
              <w:rPr>
                <w:rFonts w:ascii="Lato" w:hAnsi="Lato"/>
                <w:sz w:val="22"/>
                <w:szCs w:val="22"/>
              </w:rPr>
            </w:pPr>
          </w:p>
        </w:tc>
        <w:tc>
          <w:tcPr>
            <w:tcW w:w="5891" w:type="dxa"/>
            <w:tcBorders>
              <w:right w:val="single" w:sz="4" w:space="0" w:color="auto"/>
            </w:tcBorders>
          </w:tcPr>
          <w:p w14:paraId="48489A47"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 xml:space="preserve">(iii)the current risk profile of the Qualifying Investor AIF </w:t>
            </w:r>
          </w:p>
        </w:tc>
        <w:tc>
          <w:tcPr>
            <w:tcW w:w="3188" w:type="dxa"/>
            <w:tcBorders>
              <w:top w:val="single" w:sz="4" w:space="0" w:color="auto"/>
              <w:left w:val="single" w:sz="4" w:space="0" w:color="auto"/>
              <w:bottom w:val="single" w:sz="4" w:space="0" w:color="auto"/>
              <w:right w:val="single" w:sz="4" w:space="0" w:color="auto"/>
            </w:tcBorders>
          </w:tcPr>
          <w:p w14:paraId="245368D1" w14:textId="77777777" w:rsidR="00B61F2A" w:rsidRPr="001362A6" w:rsidRDefault="00B61F2A" w:rsidP="00B61F2A">
            <w:pPr>
              <w:rPr>
                <w:rFonts w:ascii="Lato" w:hAnsi="Lato"/>
                <w:sz w:val="22"/>
                <w:szCs w:val="22"/>
              </w:rPr>
            </w:pPr>
          </w:p>
        </w:tc>
      </w:tr>
      <w:tr w:rsidR="00B61F2A" w:rsidRPr="001362A6" w14:paraId="0A577D80" w14:textId="77777777" w:rsidTr="007E3170">
        <w:tc>
          <w:tcPr>
            <w:tcW w:w="1316" w:type="dxa"/>
          </w:tcPr>
          <w:p w14:paraId="35982905" w14:textId="77777777" w:rsidR="00B61F2A" w:rsidRPr="001362A6" w:rsidRDefault="00B61F2A" w:rsidP="00B61F2A">
            <w:pPr>
              <w:jc w:val="right"/>
              <w:rPr>
                <w:rFonts w:ascii="Lato" w:hAnsi="Lato"/>
                <w:sz w:val="22"/>
                <w:szCs w:val="22"/>
              </w:rPr>
            </w:pPr>
          </w:p>
        </w:tc>
        <w:tc>
          <w:tcPr>
            <w:tcW w:w="5891" w:type="dxa"/>
          </w:tcPr>
          <w:p w14:paraId="296A7750" w14:textId="77777777" w:rsidR="00B61F2A" w:rsidRPr="001362A6" w:rsidRDefault="00B61F2A" w:rsidP="00B61F2A">
            <w:pPr>
              <w:pStyle w:val="Heading3"/>
              <w:spacing w:before="0" w:after="0" w:line="240" w:lineRule="auto"/>
              <w:rPr>
                <w:rFonts w:ascii="Lato" w:hAnsi="Lato"/>
                <w:b w:val="0"/>
                <w:color w:val="auto"/>
                <w:sz w:val="22"/>
                <w:szCs w:val="22"/>
              </w:rPr>
            </w:pPr>
            <w:r w:rsidRPr="00590C6D">
              <w:rPr>
                <w:rFonts w:ascii="Lato" w:hAnsi="Lato"/>
                <w:b w:val="0"/>
                <w:color w:val="auto"/>
                <w:sz w:val="22"/>
                <w:szCs w:val="22"/>
              </w:rPr>
              <w:t xml:space="preserve">and </w:t>
            </w:r>
            <w:r w:rsidRPr="001362A6">
              <w:rPr>
                <w:rFonts w:ascii="Lato" w:hAnsi="Lato"/>
                <w:b w:val="0"/>
                <w:color w:val="auto"/>
                <w:sz w:val="22"/>
                <w:szCs w:val="22"/>
              </w:rPr>
              <w:t xml:space="preserve">the risk management systems employed by the AIFM </w:t>
            </w:r>
          </w:p>
        </w:tc>
        <w:tc>
          <w:tcPr>
            <w:tcW w:w="3188" w:type="dxa"/>
            <w:tcBorders>
              <w:top w:val="single" w:sz="4" w:space="0" w:color="auto"/>
            </w:tcBorders>
          </w:tcPr>
          <w:p w14:paraId="74701160" w14:textId="77777777" w:rsidR="00B61F2A" w:rsidRPr="001362A6" w:rsidRDefault="00B61F2A" w:rsidP="00B61F2A">
            <w:pPr>
              <w:rPr>
                <w:rFonts w:ascii="Lato" w:hAnsi="Lato"/>
                <w:sz w:val="22"/>
                <w:szCs w:val="22"/>
              </w:rPr>
            </w:pPr>
          </w:p>
        </w:tc>
      </w:tr>
      <w:tr w:rsidR="00B61F2A" w:rsidRPr="001362A6" w14:paraId="50C4A7B8" w14:textId="77777777" w:rsidTr="007E3170">
        <w:tc>
          <w:tcPr>
            <w:tcW w:w="1316" w:type="dxa"/>
          </w:tcPr>
          <w:p w14:paraId="59764115" w14:textId="77777777" w:rsidR="00B61F2A" w:rsidRPr="001362A6" w:rsidRDefault="00B61F2A" w:rsidP="00B61F2A">
            <w:pPr>
              <w:jc w:val="right"/>
              <w:rPr>
                <w:rFonts w:ascii="Lato" w:hAnsi="Lato"/>
                <w:sz w:val="22"/>
                <w:szCs w:val="22"/>
              </w:rPr>
            </w:pPr>
          </w:p>
        </w:tc>
        <w:tc>
          <w:tcPr>
            <w:tcW w:w="5891" w:type="dxa"/>
          </w:tcPr>
          <w:p w14:paraId="28ABBB91" w14:textId="77777777" w:rsidR="00B61F2A" w:rsidRPr="001362A6" w:rsidRDefault="00B61F2A" w:rsidP="00B61F2A">
            <w:pPr>
              <w:pStyle w:val="Heading3"/>
              <w:spacing w:before="0" w:after="0" w:line="240" w:lineRule="auto"/>
              <w:rPr>
                <w:rFonts w:ascii="Lato" w:hAnsi="Lato"/>
                <w:b w:val="0"/>
                <w:color w:val="auto"/>
                <w:sz w:val="22"/>
                <w:szCs w:val="22"/>
              </w:rPr>
            </w:pPr>
            <w:r w:rsidRPr="00590C6D">
              <w:rPr>
                <w:rFonts w:ascii="Lato" w:hAnsi="Lato"/>
                <w:b w:val="0"/>
                <w:color w:val="auto"/>
                <w:sz w:val="22"/>
                <w:szCs w:val="22"/>
              </w:rPr>
              <w:t>to manage</w:t>
            </w:r>
            <w:r w:rsidRPr="001362A6">
              <w:rPr>
                <w:rFonts w:ascii="Lato" w:hAnsi="Lato"/>
                <w:b w:val="0"/>
                <w:color w:val="auto"/>
                <w:sz w:val="22"/>
                <w:szCs w:val="22"/>
              </w:rPr>
              <w:t xml:space="preserve"> those risks</w:t>
            </w:r>
          </w:p>
        </w:tc>
        <w:tc>
          <w:tcPr>
            <w:tcW w:w="3188" w:type="dxa"/>
          </w:tcPr>
          <w:p w14:paraId="5F476398" w14:textId="77777777" w:rsidR="00B61F2A" w:rsidRPr="001362A6" w:rsidRDefault="00B61F2A" w:rsidP="00B61F2A">
            <w:pPr>
              <w:rPr>
                <w:rFonts w:ascii="Lato" w:hAnsi="Lato"/>
                <w:sz w:val="22"/>
                <w:szCs w:val="22"/>
              </w:rPr>
            </w:pPr>
          </w:p>
        </w:tc>
      </w:tr>
      <w:tr w:rsidR="00B61F2A" w:rsidRPr="001362A6" w14:paraId="04B25011" w14:textId="77777777" w:rsidTr="00D47A86">
        <w:tc>
          <w:tcPr>
            <w:tcW w:w="1316" w:type="dxa"/>
          </w:tcPr>
          <w:p w14:paraId="23630E18" w14:textId="77777777" w:rsidR="00B61F2A" w:rsidRPr="001362A6" w:rsidRDefault="00B61F2A" w:rsidP="00B61F2A">
            <w:pPr>
              <w:jc w:val="right"/>
              <w:rPr>
                <w:rFonts w:ascii="Lato" w:hAnsi="Lato"/>
                <w:sz w:val="22"/>
                <w:szCs w:val="22"/>
              </w:rPr>
            </w:pPr>
            <w:r w:rsidRPr="001362A6">
              <w:rPr>
                <w:rFonts w:ascii="Lato" w:hAnsi="Lato"/>
                <w:sz w:val="22"/>
                <w:szCs w:val="22"/>
              </w:rPr>
              <w:t>f)</w:t>
            </w:r>
          </w:p>
        </w:tc>
        <w:tc>
          <w:tcPr>
            <w:tcW w:w="5891" w:type="dxa"/>
          </w:tcPr>
          <w:p w14:paraId="2A2076CD"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 xml:space="preserve">This section applies so that AIFMs managing EU AIFs </w:t>
            </w:r>
          </w:p>
        </w:tc>
        <w:tc>
          <w:tcPr>
            <w:tcW w:w="3188" w:type="dxa"/>
          </w:tcPr>
          <w:p w14:paraId="3A7A6646" w14:textId="77777777" w:rsidR="00B61F2A" w:rsidRPr="001362A6" w:rsidRDefault="00B61F2A" w:rsidP="00B61F2A">
            <w:pPr>
              <w:rPr>
                <w:rFonts w:ascii="Lato" w:hAnsi="Lato"/>
                <w:sz w:val="22"/>
                <w:szCs w:val="22"/>
              </w:rPr>
            </w:pPr>
          </w:p>
        </w:tc>
      </w:tr>
      <w:tr w:rsidR="00B61F2A" w:rsidRPr="001362A6" w14:paraId="2C09A99B" w14:textId="77777777" w:rsidTr="00D47A86">
        <w:tc>
          <w:tcPr>
            <w:tcW w:w="1316" w:type="dxa"/>
          </w:tcPr>
          <w:p w14:paraId="47B65E56" w14:textId="77777777" w:rsidR="00B61F2A" w:rsidRPr="001362A6" w:rsidRDefault="00B61F2A" w:rsidP="00B61F2A">
            <w:pPr>
              <w:jc w:val="right"/>
              <w:rPr>
                <w:rFonts w:ascii="Lato" w:hAnsi="Lato"/>
                <w:sz w:val="22"/>
                <w:szCs w:val="22"/>
              </w:rPr>
            </w:pPr>
          </w:p>
        </w:tc>
        <w:tc>
          <w:tcPr>
            <w:tcW w:w="5891" w:type="dxa"/>
          </w:tcPr>
          <w:p w14:paraId="3A4DF1FE"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 xml:space="preserve">Employing leverage  must, for each such AIF disclose, on a </w:t>
            </w:r>
          </w:p>
        </w:tc>
        <w:tc>
          <w:tcPr>
            <w:tcW w:w="3188" w:type="dxa"/>
          </w:tcPr>
          <w:p w14:paraId="5B497490" w14:textId="77777777" w:rsidR="00B61F2A" w:rsidRPr="001362A6" w:rsidRDefault="00B61F2A" w:rsidP="00B61F2A">
            <w:pPr>
              <w:rPr>
                <w:rFonts w:ascii="Lato" w:hAnsi="Lato"/>
                <w:sz w:val="22"/>
                <w:szCs w:val="22"/>
              </w:rPr>
            </w:pPr>
          </w:p>
        </w:tc>
      </w:tr>
      <w:tr w:rsidR="00B61F2A" w:rsidRPr="001362A6" w14:paraId="08F9A409" w14:textId="77777777" w:rsidTr="007E3170">
        <w:trPr>
          <w:trHeight w:val="323"/>
        </w:trPr>
        <w:tc>
          <w:tcPr>
            <w:tcW w:w="1316" w:type="dxa"/>
          </w:tcPr>
          <w:p w14:paraId="09BC6B5D" w14:textId="77777777" w:rsidR="00B61F2A" w:rsidRPr="001362A6" w:rsidRDefault="00B61F2A" w:rsidP="00B61F2A">
            <w:pPr>
              <w:jc w:val="right"/>
              <w:rPr>
                <w:rFonts w:ascii="Lato" w:hAnsi="Lato"/>
                <w:sz w:val="22"/>
                <w:szCs w:val="22"/>
              </w:rPr>
            </w:pPr>
          </w:p>
        </w:tc>
        <w:tc>
          <w:tcPr>
            <w:tcW w:w="5891" w:type="dxa"/>
          </w:tcPr>
          <w:p w14:paraId="1C6F9046"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Regular basis:</w:t>
            </w:r>
          </w:p>
        </w:tc>
        <w:tc>
          <w:tcPr>
            <w:tcW w:w="3188" w:type="dxa"/>
            <w:tcBorders>
              <w:bottom w:val="single" w:sz="4" w:space="0" w:color="auto"/>
            </w:tcBorders>
          </w:tcPr>
          <w:p w14:paraId="7EFE9DD3" w14:textId="77777777" w:rsidR="00B61F2A" w:rsidRPr="001362A6" w:rsidRDefault="00B61F2A" w:rsidP="00B61F2A">
            <w:pPr>
              <w:rPr>
                <w:rFonts w:ascii="Lato" w:hAnsi="Lato"/>
                <w:sz w:val="22"/>
                <w:szCs w:val="22"/>
              </w:rPr>
            </w:pPr>
          </w:p>
        </w:tc>
      </w:tr>
      <w:tr w:rsidR="00B61F2A" w:rsidRPr="001362A6" w14:paraId="058A4D6B" w14:textId="77777777" w:rsidTr="007E3170">
        <w:tc>
          <w:tcPr>
            <w:tcW w:w="1316" w:type="dxa"/>
          </w:tcPr>
          <w:p w14:paraId="6C16B4D3" w14:textId="77777777" w:rsidR="00B61F2A" w:rsidRPr="001362A6" w:rsidRDefault="00B61F2A" w:rsidP="00B61F2A">
            <w:pPr>
              <w:jc w:val="right"/>
              <w:rPr>
                <w:rFonts w:ascii="Lato" w:hAnsi="Lato"/>
                <w:sz w:val="22"/>
                <w:szCs w:val="22"/>
              </w:rPr>
            </w:pPr>
          </w:p>
        </w:tc>
        <w:tc>
          <w:tcPr>
            <w:tcW w:w="5891" w:type="dxa"/>
            <w:tcBorders>
              <w:right w:val="single" w:sz="4" w:space="0" w:color="auto"/>
            </w:tcBorders>
          </w:tcPr>
          <w:p w14:paraId="3E23EE66"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 xml:space="preserve">(i)any changes to the maximum level of leverage which the </w:t>
            </w:r>
          </w:p>
        </w:tc>
        <w:tc>
          <w:tcPr>
            <w:tcW w:w="3188" w:type="dxa"/>
            <w:tcBorders>
              <w:top w:val="single" w:sz="4" w:space="0" w:color="auto"/>
              <w:left w:val="single" w:sz="4" w:space="0" w:color="auto"/>
              <w:bottom w:val="single" w:sz="4" w:space="0" w:color="auto"/>
              <w:right w:val="single" w:sz="4" w:space="0" w:color="auto"/>
            </w:tcBorders>
          </w:tcPr>
          <w:p w14:paraId="037DA0B1" w14:textId="77777777" w:rsidR="00B61F2A" w:rsidRPr="001362A6" w:rsidRDefault="00B61F2A" w:rsidP="00B61F2A">
            <w:pPr>
              <w:rPr>
                <w:rFonts w:ascii="Lato" w:hAnsi="Lato"/>
                <w:sz w:val="22"/>
                <w:szCs w:val="22"/>
              </w:rPr>
            </w:pPr>
          </w:p>
        </w:tc>
      </w:tr>
      <w:tr w:rsidR="00B61F2A" w:rsidRPr="001362A6" w14:paraId="4F1BDB47" w14:textId="77777777" w:rsidTr="007E3170">
        <w:tc>
          <w:tcPr>
            <w:tcW w:w="1316" w:type="dxa"/>
          </w:tcPr>
          <w:p w14:paraId="25C8AE4E" w14:textId="77777777" w:rsidR="00B61F2A" w:rsidRPr="001362A6" w:rsidRDefault="00B61F2A" w:rsidP="00B61F2A">
            <w:pPr>
              <w:rPr>
                <w:rFonts w:ascii="Lato" w:hAnsi="Lato"/>
                <w:sz w:val="22"/>
                <w:szCs w:val="22"/>
              </w:rPr>
            </w:pPr>
          </w:p>
        </w:tc>
        <w:tc>
          <w:tcPr>
            <w:tcW w:w="5891" w:type="dxa"/>
          </w:tcPr>
          <w:p w14:paraId="1ED3B52A"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AIFM may employ on behalf of the AIF as well as any right of</w:t>
            </w:r>
          </w:p>
        </w:tc>
        <w:tc>
          <w:tcPr>
            <w:tcW w:w="3188" w:type="dxa"/>
            <w:tcBorders>
              <w:top w:val="single" w:sz="4" w:space="0" w:color="auto"/>
            </w:tcBorders>
          </w:tcPr>
          <w:p w14:paraId="3AD9C308" w14:textId="77777777" w:rsidR="00B61F2A" w:rsidRPr="001362A6" w:rsidRDefault="00B61F2A" w:rsidP="00B61F2A">
            <w:pPr>
              <w:rPr>
                <w:rFonts w:ascii="Lato" w:hAnsi="Lato"/>
                <w:sz w:val="22"/>
                <w:szCs w:val="22"/>
              </w:rPr>
            </w:pPr>
          </w:p>
        </w:tc>
      </w:tr>
      <w:tr w:rsidR="00B61F2A" w:rsidRPr="001362A6" w14:paraId="411C05F0" w14:textId="77777777" w:rsidTr="007E3170">
        <w:tc>
          <w:tcPr>
            <w:tcW w:w="1316" w:type="dxa"/>
          </w:tcPr>
          <w:p w14:paraId="7AB816AB" w14:textId="77777777" w:rsidR="00B61F2A" w:rsidRPr="001362A6" w:rsidRDefault="00B61F2A" w:rsidP="00B61F2A">
            <w:pPr>
              <w:rPr>
                <w:rFonts w:ascii="Lato" w:hAnsi="Lato"/>
                <w:sz w:val="22"/>
                <w:szCs w:val="22"/>
              </w:rPr>
            </w:pPr>
          </w:p>
        </w:tc>
        <w:tc>
          <w:tcPr>
            <w:tcW w:w="5891" w:type="dxa"/>
          </w:tcPr>
          <w:p w14:paraId="034AA333"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The reuse of collateral or any guarantee granted under the</w:t>
            </w:r>
          </w:p>
        </w:tc>
        <w:tc>
          <w:tcPr>
            <w:tcW w:w="3188" w:type="dxa"/>
          </w:tcPr>
          <w:p w14:paraId="61637F6B" w14:textId="77777777" w:rsidR="00B61F2A" w:rsidRPr="001362A6" w:rsidRDefault="00B61F2A" w:rsidP="00B61F2A">
            <w:pPr>
              <w:rPr>
                <w:rFonts w:ascii="Lato" w:hAnsi="Lato"/>
                <w:sz w:val="22"/>
                <w:szCs w:val="22"/>
              </w:rPr>
            </w:pPr>
          </w:p>
        </w:tc>
      </w:tr>
      <w:tr w:rsidR="00B61F2A" w:rsidRPr="001362A6" w14:paraId="38AAC683" w14:textId="77777777" w:rsidTr="007E3170">
        <w:tc>
          <w:tcPr>
            <w:tcW w:w="1316" w:type="dxa"/>
          </w:tcPr>
          <w:p w14:paraId="6B1C9F67" w14:textId="77777777" w:rsidR="00B61F2A" w:rsidRPr="001362A6" w:rsidRDefault="00B61F2A" w:rsidP="00B61F2A">
            <w:pPr>
              <w:rPr>
                <w:rFonts w:ascii="Lato" w:hAnsi="Lato"/>
                <w:sz w:val="22"/>
                <w:szCs w:val="22"/>
              </w:rPr>
            </w:pPr>
          </w:p>
        </w:tc>
        <w:tc>
          <w:tcPr>
            <w:tcW w:w="5891" w:type="dxa"/>
          </w:tcPr>
          <w:p w14:paraId="441C1CBE"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Leveraging arrangement</w:t>
            </w:r>
          </w:p>
        </w:tc>
        <w:tc>
          <w:tcPr>
            <w:tcW w:w="3188" w:type="dxa"/>
            <w:tcBorders>
              <w:bottom w:val="single" w:sz="4" w:space="0" w:color="auto"/>
            </w:tcBorders>
          </w:tcPr>
          <w:p w14:paraId="05877547" w14:textId="77777777" w:rsidR="00B61F2A" w:rsidRPr="001362A6" w:rsidRDefault="00B61F2A" w:rsidP="00B61F2A">
            <w:pPr>
              <w:rPr>
                <w:rFonts w:ascii="Lato" w:hAnsi="Lato"/>
                <w:sz w:val="22"/>
                <w:szCs w:val="22"/>
              </w:rPr>
            </w:pPr>
          </w:p>
        </w:tc>
      </w:tr>
      <w:tr w:rsidR="00B61F2A" w:rsidRPr="001362A6" w14:paraId="210B3F95" w14:textId="77777777" w:rsidTr="007E3170">
        <w:tc>
          <w:tcPr>
            <w:tcW w:w="1316" w:type="dxa"/>
          </w:tcPr>
          <w:p w14:paraId="0A8E5F64"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12EE43F7"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(ii)the total amount of leverage employed by that AIF</w:t>
            </w:r>
          </w:p>
        </w:tc>
        <w:tc>
          <w:tcPr>
            <w:tcW w:w="3188" w:type="dxa"/>
            <w:tcBorders>
              <w:top w:val="single" w:sz="4" w:space="0" w:color="auto"/>
              <w:left w:val="single" w:sz="4" w:space="0" w:color="auto"/>
              <w:bottom w:val="single" w:sz="4" w:space="0" w:color="auto"/>
              <w:right w:val="single" w:sz="4" w:space="0" w:color="auto"/>
            </w:tcBorders>
          </w:tcPr>
          <w:p w14:paraId="59B21CE4" w14:textId="77777777" w:rsidR="00B61F2A" w:rsidRPr="001362A6" w:rsidRDefault="00B61F2A" w:rsidP="00B61F2A">
            <w:pPr>
              <w:rPr>
                <w:rFonts w:ascii="Lato" w:hAnsi="Lato"/>
                <w:sz w:val="22"/>
                <w:szCs w:val="22"/>
              </w:rPr>
            </w:pPr>
          </w:p>
        </w:tc>
      </w:tr>
      <w:tr w:rsidR="00B61F2A" w:rsidRPr="001362A6" w14:paraId="34F341BC" w14:textId="77777777" w:rsidTr="007E3170">
        <w:tc>
          <w:tcPr>
            <w:tcW w:w="1316" w:type="dxa"/>
          </w:tcPr>
          <w:p w14:paraId="4792E80F" w14:textId="77777777" w:rsidR="00B61F2A" w:rsidRPr="001362A6" w:rsidRDefault="00B61F2A" w:rsidP="00B61F2A">
            <w:pPr>
              <w:rPr>
                <w:rFonts w:ascii="Lato" w:hAnsi="Lato"/>
                <w:sz w:val="22"/>
                <w:szCs w:val="22"/>
              </w:rPr>
            </w:pPr>
          </w:p>
        </w:tc>
        <w:tc>
          <w:tcPr>
            <w:tcW w:w="5891" w:type="dxa"/>
          </w:tcPr>
          <w:p w14:paraId="69DD5260" w14:textId="77777777" w:rsidR="00B61F2A" w:rsidRPr="001362A6" w:rsidRDefault="00B61F2A" w:rsidP="00B61F2A">
            <w:pPr>
              <w:pStyle w:val="Heading3"/>
              <w:spacing w:before="0" w:after="0" w:line="240" w:lineRule="auto"/>
              <w:rPr>
                <w:rFonts w:ascii="Lato" w:hAnsi="Lato"/>
                <w:b w:val="0"/>
                <w:color w:val="auto"/>
                <w:sz w:val="22"/>
                <w:szCs w:val="22"/>
              </w:rPr>
            </w:pPr>
          </w:p>
        </w:tc>
        <w:tc>
          <w:tcPr>
            <w:tcW w:w="3188" w:type="dxa"/>
            <w:tcBorders>
              <w:top w:val="single" w:sz="4" w:space="0" w:color="auto"/>
            </w:tcBorders>
          </w:tcPr>
          <w:p w14:paraId="6AAE1F4A" w14:textId="77777777" w:rsidR="00B61F2A" w:rsidRPr="001362A6" w:rsidRDefault="00B61F2A" w:rsidP="00B61F2A">
            <w:pPr>
              <w:rPr>
                <w:rFonts w:ascii="Lato" w:hAnsi="Lato"/>
                <w:sz w:val="22"/>
                <w:szCs w:val="22"/>
              </w:rPr>
            </w:pPr>
          </w:p>
        </w:tc>
      </w:tr>
      <w:tr w:rsidR="00B61F2A" w:rsidRPr="001362A6" w14:paraId="37CE49BC" w14:textId="77777777" w:rsidTr="00990D73">
        <w:tc>
          <w:tcPr>
            <w:tcW w:w="1316" w:type="dxa"/>
          </w:tcPr>
          <w:p w14:paraId="732D99B1" w14:textId="77777777" w:rsidR="00B61F2A" w:rsidRPr="001362A6" w:rsidRDefault="00B61F2A" w:rsidP="00B61F2A">
            <w:pPr>
              <w:rPr>
                <w:rFonts w:ascii="Lato" w:hAnsi="Lato"/>
                <w:b/>
                <w:bCs/>
                <w:sz w:val="22"/>
                <w:szCs w:val="22"/>
              </w:rPr>
            </w:pPr>
            <w:r w:rsidRPr="001362A6">
              <w:rPr>
                <w:rFonts w:ascii="Lato" w:hAnsi="Lato"/>
                <w:b/>
                <w:bCs/>
                <w:sz w:val="22"/>
                <w:szCs w:val="22"/>
              </w:rPr>
              <w:t>2.10</w:t>
            </w:r>
          </w:p>
        </w:tc>
        <w:tc>
          <w:tcPr>
            <w:tcW w:w="5891" w:type="dxa"/>
          </w:tcPr>
          <w:p w14:paraId="376E17AF" w14:textId="77777777" w:rsidR="00B61F2A" w:rsidRPr="001362A6" w:rsidRDefault="00B61F2A" w:rsidP="00B61F2A">
            <w:pPr>
              <w:pStyle w:val="Heading3"/>
              <w:spacing w:before="0" w:after="0" w:line="240" w:lineRule="auto"/>
              <w:rPr>
                <w:rFonts w:ascii="Lato" w:hAnsi="Lato"/>
                <w:color w:val="auto"/>
                <w:sz w:val="22"/>
                <w:szCs w:val="22"/>
              </w:rPr>
            </w:pPr>
            <w:r w:rsidRPr="001362A6">
              <w:rPr>
                <w:rFonts w:ascii="Lato" w:hAnsi="Lato"/>
                <w:color w:val="auto"/>
                <w:sz w:val="22"/>
                <w:szCs w:val="22"/>
              </w:rPr>
              <w:t>Subscription and Redemption Procedures</w:t>
            </w:r>
          </w:p>
        </w:tc>
        <w:tc>
          <w:tcPr>
            <w:tcW w:w="3188" w:type="dxa"/>
          </w:tcPr>
          <w:p w14:paraId="158F5C22" w14:textId="77777777" w:rsidR="00B61F2A" w:rsidRPr="001362A6" w:rsidRDefault="00B61F2A" w:rsidP="00B61F2A">
            <w:pPr>
              <w:rPr>
                <w:rFonts w:ascii="Lato" w:hAnsi="Lato"/>
                <w:sz w:val="22"/>
                <w:szCs w:val="22"/>
              </w:rPr>
            </w:pPr>
          </w:p>
        </w:tc>
      </w:tr>
      <w:tr w:rsidR="00B61F2A" w:rsidRPr="001362A6" w14:paraId="1CCF3FF8" w14:textId="77777777" w:rsidTr="007E3170">
        <w:tc>
          <w:tcPr>
            <w:tcW w:w="1316" w:type="dxa"/>
          </w:tcPr>
          <w:p w14:paraId="7FEF92C6" w14:textId="77777777" w:rsidR="00B61F2A" w:rsidRPr="001362A6" w:rsidRDefault="00B61F2A" w:rsidP="00B61F2A">
            <w:pPr>
              <w:rPr>
                <w:rFonts w:ascii="Lato" w:hAnsi="Lato"/>
                <w:b/>
                <w:bCs/>
                <w:sz w:val="22"/>
                <w:szCs w:val="22"/>
              </w:rPr>
            </w:pPr>
          </w:p>
        </w:tc>
        <w:tc>
          <w:tcPr>
            <w:tcW w:w="5891" w:type="dxa"/>
          </w:tcPr>
          <w:p w14:paraId="24DEC233" w14:textId="77777777" w:rsidR="00B61F2A" w:rsidRPr="001362A6" w:rsidRDefault="00B61F2A" w:rsidP="00B61F2A">
            <w:pPr>
              <w:pStyle w:val="Heading3"/>
              <w:spacing w:before="0" w:after="0" w:line="240" w:lineRule="auto"/>
              <w:rPr>
                <w:rFonts w:ascii="Lato" w:hAnsi="Lato"/>
                <w:color w:val="auto"/>
                <w:sz w:val="22"/>
                <w:szCs w:val="22"/>
              </w:rPr>
            </w:pPr>
          </w:p>
        </w:tc>
        <w:tc>
          <w:tcPr>
            <w:tcW w:w="3188" w:type="dxa"/>
            <w:tcBorders>
              <w:bottom w:val="single" w:sz="4" w:space="0" w:color="auto"/>
            </w:tcBorders>
          </w:tcPr>
          <w:p w14:paraId="10CCD335" w14:textId="77777777" w:rsidR="00B61F2A" w:rsidRPr="001362A6" w:rsidRDefault="00B61F2A" w:rsidP="00B61F2A">
            <w:pPr>
              <w:rPr>
                <w:rFonts w:ascii="Lato" w:hAnsi="Lato"/>
                <w:sz w:val="22"/>
                <w:szCs w:val="22"/>
              </w:rPr>
            </w:pPr>
          </w:p>
        </w:tc>
      </w:tr>
      <w:tr w:rsidR="00B61F2A" w:rsidRPr="001362A6" w14:paraId="59454A6F" w14:textId="77777777" w:rsidTr="007E3170">
        <w:tc>
          <w:tcPr>
            <w:tcW w:w="1316" w:type="dxa"/>
          </w:tcPr>
          <w:p w14:paraId="55D5CAE9" w14:textId="77777777" w:rsidR="00B61F2A" w:rsidRPr="001362A6" w:rsidRDefault="00B61F2A" w:rsidP="00B61F2A">
            <w:pPr>
              <w:rPr>
                <w:rFonts w:ascii="Lato" w:hAnsi="Lato"/>
                <w:bCs/>
                <w:sz w:val="22"/>
                <w:szCs w:val="22"/>
              </w:rPr>
            </w:pPr>
            <w:r w:rsidRPr="001362A6">
              <w:rPr>
                <w:rFonts w:ascii="Lato" w:hAnsi="Lato"/>
                <w:bCs/>
                <w:sz w:val="22"/>
                <w:szCs w:val="22"/>
              </w:rPr>
              <w:t>2.10.1</w:t>
            </w:r>
          </w:p>
        </w:tc>
        <w:tc>
          <w:tcPr>
            <w:tcW w:w="5891" w:type="dxa"/>
            <w:tcBorders>
              <w:right w:val="single" w:sz="4" w:space="0" w:color="auto"/>
            </w:tcBorders>
          </w:tcPr>
          <w:p w14:paraId="05D620DE"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Provide a description of the AIF’s liquidity risk management</w:t>
            </w:r>
          </w:p>
        </w:tc>
        <w:tc>
          <w:tcPr>
            <w:tcW w:w="3188" w:type="dxa"/>
            <w:tcBorders>
              <w:top w:val="single" w:sz="4" w:space="0" w:color="auto"/>
              <w:left w:val="single" w:sz="4" w:space="0" w:color="auto"/>
              <w:bottom w:val="single" w:sz="4" w:space="0" w:color="auto"/>
              <w:right w:val="single" w:sz="4" w:space="0" w:color="auto"/>
            </w:tcBorders>
          </w:tcPr>
          <w:p w14:paraId="02B79E6C" w14:textId="77777777" w:rsidR="00B61F2A" w:rsidRPr="001362A6" w:rsidRDefault="00B61F2A" w:rsidP="00B61F2A">
            <w:pPr>
              <w:rPr>
                <w:rFonts w:ascii="Lato" w:hAnsi="Lato"/>
                <w:sz w:val="22"/>
                <w:szCs w:val="22"/>
              </w:rPr>
            </w:pPr>
          </w:p>
        </w:tc>
      </w:tr>
      <w:tr w:rsidR="00B61F2A" w:rsidRPr="001362A6" w14:paraId="3ACA3B34" w14:textId="77777777" w:rsidTr="007E3170">
        <w:tc>
          <w:tcPr>
            <w:tcW w:w="1316" w:type="dxa"/>
          </w:tcPr>
          <w:p w14:paraId="52455CD1" w14:textId="77777777" w:rsidR="00B61F2A" w:rsidRPr="001362A6" w:rsidRDefault="00B61F2A" w:rsidP="00B61F2A">
            <w:pPr>
              <w:rPr>
                <w:rFonts w:ascii="Lato" w:hAnsi="Lato"/>
                <w:b/>
                <w:bCs/>
                <w:sz w:val="22"/>
                <w:szCs w:val="22"/>
              </w:rPr>
            </w:pPr>
          </w:p>
        </w:tc>
        <w:tc>
          <w:tcPr>
            <w:tcW w:w="5891" w:type="dxa"/>
          </w:tcPr>
          <w:p w14:paraId="4A069C43" w14:textId="77777777" w:rsidR="00B61F2A" w:rsidRPr="001362A6" w:rsidRDefault="00B61F2A" w:rsidP="00B61F2A">
            <w:pPr>
              <w:pStyle w:val="Heading3"/>
              <w:spacing w:before="0" w:after="0" w:line="240" w:lineRule="auto"/>
              <w:rPr>
                <w:rFonts w:ascii="Lato" w:hAnsi="Lato"/>
                <w:color w:val="auto"/>
                <w:sz w:val="22"/>
                <w:szCs w:val="22"/>
              </w:rPr>
            </w:pPr>
          </w:p>
        </w:tc>
        <w:tc>
          <w:tcPr>
            <w:tcW w:w="3188" w:type="dxa"/>
            <w:tcBorders>
              <w:top w:val="single" w:sz="4" w:space="0" w:color="auto"/>
              <w:bottom w:val="single" w:sz="4" w:space="0" w:color="auto"/>
            </w:tcBorders>
          </w:tcPr>
          <w:p w14:paraId="7AA5841D" w14:textId="77777777" w:rsidR="00B61F2A" w:rsidRPr="001362A6" w:rsidRDefault="00B61F2A" w:rsidP="00B61F2A">
            <w:pPr>
              <w:rPr>
                <w:rFonts w:ascii="Lato" w:hAnsi="Lato"/>
                <w:sz w:val="22"/>
                <w:szCs w:val="22"/>
              </w:rPr>
            </w:pPr>
          </w:p>
        </w:tc>
      </w:tr>
      <w:tr w:rsidR="00B61F2A" w:rsidRPr="001362A6" w14:paraId="26C473EF" w14:textId="77777777" w:rsidTr="00990D73">
        <w:tc>
          <w:tcPr>
            <w:tcW w:w="1316" w:type="dxa"/>
          </w:tcPr>
          <w:p w14:paraId="7B4E1EAA" w14:textId="77777777" w:rsidR="00B61F2A" w:rsidRPr="001362A6" w:rsidRDefault="00B61F2A" w:rsidP="00B61F2A">
            <w:pPr>
              <w:rPr>
                <w:rFonts w:ascii="Lato" w:hAnsi="Lato"/>
                <w:bCs/>
                <w:sz w:val="22"/>
                <w:szCs w:val="22"/>
              </w:rPr>
            </w:pPr>
            <w:r w:rsidRPr="001362A6">
              <w:rPr>
                <w:rFonts w:ascii="Lato" w:hAnsi="Lato"/>
                <w:bCs/>
                <w:sz w:val="22"/>
                <w:szCs w:val="22"/>
              </w:rPr>
              <w:t>2.10.2</w:t>
            </w:r>
          </w:p>
        </w:tc>
        <w:tc>
          <w:tcPr>
            <w:tcW w:w="5891" w:type="dxa"/>
            <w:tcBorders>
              <w:right w:val="single" w:sz="4" w:space="0" w:color="auto"/>
            </w:tcBorders>
          </w:tcPr>
          <w:p w14:paraId="7EFB6BB8"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 xml:space="preserve">State that the Qualifying Investor AIF will make the issue </w:t>
            </w:r>
          </w:p>
        </w:tc>
        <w:tc>
          <w:tcPr>
            <w:tcW w:w="3188" w:type="dxa"/>
            <w:tcBorders>
              <w:top w:val="single" w:sz="4" w:space="0" w:color="auto"/>
              <w:left w:val="single" w:sz="4" w:space="0" w:color="auto"/>
              <w:bottom w:val="single" w:sz="4" w:space="0" w:color="auto"/>
              <w:right w:val="single" w:sz="4" w:space="0" w:color="auto"/>
            </w:tcBorders>
          </w:tcPr>
          <w:p w14:paraId="0E607DBD" w14:textId="77777777" w:rsidR="00B61F2A" w:rsidRPr="001362A6" w:rsidRDefault="00B61F2A" w:rsidP="00B61F2A">
            <w:pPr>
              <w:rPr>
                <w:rFonts w:ascii="Lato" w:hAnsi="Lato"/>
                <w:sz w:val="22"/>
                <w:szCs w:val="22"/>
              </w:rPr>
            </w:pPr>
          </w:p>
        </w:tc>
      </w:tr>
      <w:tr w:rsidR="00B61F2A" w:rsidRPr="001362A6" w14:paraId="357FF6E4" w14:textId="77777777" w:rsidTr="00990D73">
        <w:tc>
          <w:tcPr>
            <w:tcW w:w="1316" w:type="dxa"/>
          </w:tcPr>
          <w:p w14:paraId="59A05B1C" w14:textId="77777777" w:rsidR="00B61F2A" w:rsidRPr="001362A6" w:rsidRDefault="00B61F2A" w:rsidP="00B61F2A">
            <w:pPr>
              <w:rPr>
                <w:rFonts w:ascii="Lato" w:hAnsi="Lato"/>
                <w:bCs/>
                <w:sz w:val="22"/>
                <w:szCs w:val="22"/>
              </w:rPr>
            </w:pPr>
          </w:p>
        </w:tc>
        <w:tc>
          <w:tcPr>
            <w:tcW w:w="5891" w:type="dxa"/>
          </w:tcPr>
          <w:p w14:paraId="77D41F5B" w14:textId="77777777" w:rsidR="00B61F2A" w:rsidRPr="001362A6" w:rsidRDefault="00B61F2A" w:rsidP="00B61F2A">
            <w:pPr>
              <w:pStyle w:val="Heading3"/>
              <w:spacing w:before="0" w:after="0" w:line="240" w:lineRule="auto"/>
              <w:rPr>
                <w:rFonts w:ascii="Lato" w:hAnsi="Lato"/>
                <w:b w:val="0"/>
                <w:color w:val="auto"/>
                <w:sz w:val="22"/>
                <w:szCs w:val="22"/>
              </w:rPr>
            </w:pPr>
            <w:r w:rsidRPr="00590C6D">
              <w:rPr>
                <w:rFonts w:ascii="Lato" w:hAnsi="Lato"/>
                <w:b w:val="0"/>
                <w:color w:val="auto"/>
                <w:sz w:val="22"/>
                <w:szCs w:val="22"/>
              </w:rPr>
              <w:t xml:space="preserve">and </w:t>
            </w:r>
            <w:r w:rsidRPr="001362A6">
              <w:rPr>
                <w:rFonts w:ascii="Lato" w:hAnsi="Lato"/>
                <w:b w:val="0"/>
                <w:color w:val="auto"/>
                <w:sz w:val="22"/>
                <w:szCs w:val="22"/>
              </w:rPr>
              <w:t xml:space="preserve">redemption prices of their units available promptly to </w:t>
            </w:r>
          </w:p>
        </w:tc>
        <w:tc>
          <w:tcPr>
            <w:tcW w:w="3188" w:type="dxa"/>
            <w:tcBorders>
              <w:top w:val="single" w:sz="4" w:space="0" w:color="auto"/>
            </w:tcBorders>
          </w:tcPr>
          <w:p w14:paraId="1FC3CC43" w14:textId="77777777" w:rsidR="00B61F2A" w:rsidRPr="001362A6" w:rsidRDefault="00B61F2A" w:rsidP="00B61F2A">
            <w:pPr>
              <w:rPr>
                <w:rFonts w:ascii="Lato" w:hAnsi="Lato"/>
                <w:sz w:val="22"/>
                <w:szCs w:val="22"/>
              </w:rPr>
            </w:pPr>
          </w:p>
        </w:tc>
      </w:tr>
      <w:tr w:rsidR="00B61F2A" w:rsidRPr="001362A6" w14:paraId="04BEA480" w14:textId="77777777" w:rsidTr="00990D73">
        <w:tc>
          <w:tcPr>
            <w:tcW w:w="1316" w:type="dxa"/>
          </w:tcPr>
          <w:p w14:paraId="092F466C" w14:textId="77777777" w:rsidR="00B61F2A" w:rsidRPr="001362A6" w:rsidRDefault="00B61F2A" w:rsidP="00B61F2A">
            <w:pPr>
              <w:rPr>
                <w:rFonts w:ascii="Lato" w:hAnsi="Lato"/>
                <w:bCs/>
                <w:sz w:val="22"/>
                <w:szCs w:val="22"/>
              </w:rPr>
            </w:pPr>
          </w:p>
        </w:tc>
        <w:tc>
          <w:tcPr>
            <w:tcW w:w="5891" w:type="dxa"/>
          </w:tcPr>
          <w:p w14:paraId="75AD5C8C" w14:textId="77777777" w:rsidR="00B61F2A" w:rsidRPr="001362A6" w:rsidRDefault="00B61F2A" w:rsidP="00B61F2A">
            <w:pPr>
              <w:pStyle w:val="Heading3"/>
              <w:spacing w:before="0" w:after="0" w:line="240" w:lineRule="auto"/>
              <w:rPr>
                <w:rFonts w:ascii="Lato" w:hAnsi="Lato"/>
                <w:b w:val="0"/>
                <w:color w:val="auto"/>
                <w:sz w:val="22"/>
                <w:szCs w:val="22"/>
              </w:rPr>
            </w:pPr>
            <w:r w:rsidRPr="00590C6D">
              <w:rPr>
                <w:rFonts w:ascii="Lato" w:hAnsi="Lato"/>
                <w:b w:val="0"/>
                <w:color w:val="auto"/>
                <w:sz w:val="22"/>
                <w:szCs w:val="22"/>
              </w:rPr>
              <w:t xml:space="preserve">unitholders </w:t>
            </w:r>
            <w:r w:rsidRPr="001362A6">
              <w:rPr>
                <w:rFonts w:ascii="Lato" w:hAnsi="Lato"/>
                <w:b w:val="0"/>
                <w:color w:val="auto"/>
                <w:sz w:val="22"/>
                <w:szCs w:val="22"/>
              </w:rPr>
              <w:t>on request</w:t>
            </w:r>
          </w:p>
        </w:tc>
        <w:tc>
          <w:tcPr>
            <w:tcW w:w="3188" w:type="dxa"/>
          </w:tcPr>
          <w:p w14:paraId="16C4535C" w14:textId="77777777" w:rsidR="00B61F2A" w:rsidRPr="001362A6" w:rsidRDefault="00B61F2A" w:rsidP="00B61F2A">
            <w:pPr>
              <w:rPr>
                <w:rFonts w:ascii="Lato" w:hAnsi="Lato"/>
                <w:sz w:val="22"/>
                <w:szCs w:val="22"/>
              </w:rPr>
            </w:pPr>
          </w:p>
        </w:tc>
      </w:tr>
      <w:tr w:rsidR="00B61F2A" w:rsidRPr="001362A6" w14:paraId="68B0626C" w14:textId="77777777" w:rsidTr="00990D73">
        <w:tc>
          <w:tcPr>
            <w:tcW w:w="1316" w:type="dxa"/>
          </w:tcPr>
          <w:p w14:paraId="20B97F32" w14:textId="77777777" w:rsidR="00B61F2A" w:rsidRPr="001362A6" w:rsidRDefault="00B61F2A" w:rsidP="00B61F2A">
            <w:pPr>
              <w:rPr>
                <w:rFonts w:ascii="Lato" w:hAnsi="Lato"/>
                <w:bCs/>
                <w:sz w:val="22"/>
                <w:szCs w:val="22"/>
              </w:rPr>
            </w:pPr>
          </w:p>
        </w:tc>
        <w:tc>
          <w:tcPr>
            <w:tcW w:w="5891" w:type="dxa"/>
          </w:tcPr>
          <w:p w14:paraId="07515997" w14:textId="77777777" w:rsidR="00B61F2A" w:rsidRPr="001362A6" w:rsidRDefault="00B61F2A" w:rsidP="00B61F2A">
            <w:pPr>
              <w:pStyle w:val="Heading3"/>
              <w:spacing w:before="0" w:after="0" w:line="240" w:lineRule="auto"/>
              <w:rPr>
                <w:rFonts w:ascii="Lato" w:hAnsi="Lato"/>
                <w:b w:val="0"/>
                <w:color w:val="auto"/>
                <w:sz w:val="22"/>
                <w:szCs w:val="22"/>
              </w:rPr>
            </w:pPr>
          </w:p>
        </w:tc>
        <w:tc>
          <w:tcPr>
            <w:tcW w:w="3188" w:type="dxa"/>
            <w:tcBorders>
              <w:bottom w:val="single" w:sz="4" w:space="0" w:color="auto"/>
            </w:tcBorders>
          </w:tcPr>
          <w:p w14:paraId="56E6A0B7" w14:textId="77777777" w:rsidR="00B61F2A" w:rsidRPr="001362A6" w:rsidRDefault="00B61F2A" w:rsidP="00B61F2A">
            <w:pPr>
              <w:rPr>
                <w:rFonts w:ascii="Lato" w:hAnsi="Lato"/>
                <w:sz w:val="22"/>
                <w:szCs w:val="22"/>
              </w:rPr>
            </w:pPr>
          </w:p>
        </w:tc>
      </w:tr>
      <w:tr w:rsidR="00B61F2A" w:rsidRPr="001362A6" w14:paraId="5C171674" w14:textId="77777777" w:rsidTr="00990D73">
        <w:tc>
          <w:tcPr>
            <w:tcW w:w="1316" w:type="dxa"/>
          </w:tcPr>
          <w:p w14:paraId="51BCB02F" w14:textId="77777777" w:rsidR="00B61F2A" w:rsidRPr="001362A6" w:rsidRDefault="00B61F2A" w:rsidP="00B61F2A">
            <w:pPr>
              <w:rPr>
                <w:rFonts w:ascii="Lato" w:hAnsi="Lato"/>
                <w:bCs/>
                <w:sz w:val="22"/>
                <w:szCs w:val="22"/>
              </w:rPr>
            </w:pPr>
            <w:r w:rsidRPr="001362A6">
              <w:rPr>
                <w:rFonts w:ascii="Lato" w:hAnsi="Lato"/>
                <w:bCs/>
                <w:sz w:val="22"/>
                <w:szCs w:val="22"/>
              </w:rPr>
              <w:t>2.10.3 (a)</w:t>
            </w:r>
          </w:p>
        </w:tc>
        <w:tc>
          <w:tcPr>
            <w:tcW w:w="5891" w:type="dxa"/>
            <w:tcBorders>
              <w:right w:val="single" w:sz="4" w:space="0" w:color="auto"/>
            </w:tcBorders>
          </w:tcPr>
          <w:p w14:paraId="4EBFEAF1"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 xml:space="preserve">Disclose that the Qualifying investor AIF  shall not issue </w:t>
            </w:r>
          </w:p>
        </w:tc>
        <w:tc>
          <w:tcPr>
            <w:tcW w:w="3188" w:type="dxa"/>
            <w:tcBorders>
              <w:top w:val="single" w:sz="4" w:space="0" w:color="auto"/>
              <w:left w:val="single" w:sz="4" w:space="0" w:color="auto"/>
              <w:bottom w:val="single" w:sz="4" w:space="0" w:color="auto"/>
              <w:right w:val="single" w:sz="4" w:space="0" w:color="auto"/>
            </w:tcBorders>
          </w:tcPr>
          <w:p w14:paraId="33A500A9" w14:textId="77777777" w:rsidR="00B61F2A" w:rsidRPr="001362A6" w:rsidRDefault="00B61F2A" w:rsidP="00B61F2A">
            <w:pPr>
              <w:rPr>
                <w:rFonts w:ascii="Lato" w:hAnsi="Lato"/>
                <w:sz w:val="22"/>
                <w:szCs w:val="22"/>
              </w:rPr>
            </w:pPr>
          </w:p>
        </w:tc>
      </w:tr>
      <w:tr w:rsidR="00B61F2A" w:rsidRPr="001362A6" w14:paraId="28F68061" w14:textId="77777777" w:rsidTr="00990D73">
        <w:tc>
          <w:tcPr>
            <w:tcW w:w="1316" w:type="dxa"/>
          </w:tcPr>
          <w:p w14:paraId="7CC54FC8" w14:textId="77777777" w:rsidR="00B61F2A" w:rsidRPr="001362A6" w:rsidRDefault="00B61F2A" w:rsidP="00B61F2A">
            <w:pPr>
              <w:rPr>
                <w:rFonts w:ascii="Lato" w:hAnsi="Lato"/>
                <w:bCs/>
                <w:sz w:val="22"/>
                <w:szCs w:val="22"/>
              </w:rPr>
            </w:pPr>
          </w:p>
        </w:tc>
        <w:tc>
          <w:tcPr>
            <w:tcW w:w="5891" w:type="dxa"/>
          </w:tcPr>
          <w:p w14:paraId="38929E39" w14:textId="77777777" w:rsidR="00B61F2A" w:rsidRPr="001362A6" w:rsidRDefault="00B61F2A" w:rsidP="00B61F2A">
            <w:pPr>
              <w:pStyle w:val="Heading3"/>
              <w:spacing w:before="0" w:after="0" w:line="240" w:lineRule="auto"/>
              <w:rPr>
                <w:rFonts w:ascii="Lato" w:hAnsi="Lato"/>
                <w:b w:val="0"/>
                <w:color w:val="auto"/>
                <w:sz w:val="22"/>
                <w:szCs w:val="22"/>
              </w:rPr>
            </w:pPr>
            <w:r w:rsidRPr="00590C6D">
              <w:rPr>
                <w:rFonts w:ascii="Lato" w:hAnsi="Lato"/>
                <w:b w:val="0"/>
                <w:color w:val="auto"/>
                <w:sz w:val="22"/>
                <w:szCs w:val="22"/>
              </w:rPr>
              <w:t xml:space="preserve">units, </w:t>
            </w:r>
            <w:r w:rsidRPr="001362A6">
              <w:rPr>
                <w:rFonts w:ascii="Lato" w:hAnsi="Lato"/>
                <w:b w:val="0"/>
                <w:color w:val="auto"/>
                <w:sz w:val="22"/>
                <w:szCs w:val="22"/>
              </w:rPr>
              <w:t xml:space="preserve">or if issued shall cancel such units unless the equivalent of the net issue price is paid into the assets of the Qualifying Investor AIF within a reasonable time.  </w:t>
            </w:r>
          </w:p>
        </w:tc>
        <w:tc>
          <w:tcPr>
            <w:tcW w:w="3188" w:type="dxa"/>
            <w:tcBorders>
              <w:top w:val="single" w:sz="4" w:space="0" w:color="auto"/>
            </w:tcBorders>
          </w:tcPr>
          <w:p w14:paraId="6BCCC034" w14:textId="77777777" w:rsidR="00B61F2A" w:rsidRPr="001362A6" w:rsidRDefault="00B61F2A" w:rsidP="00B61F2A">
            <w:pPr>
              <w:rPr>
                <w:rFonts w:ascii="Lato" w:hAnsi="Lato"/>
                <w:sz w:val="22"/>
                <w:szCs w:val="22"/>
              </w:rPr>
            </w:pPr>
          </w:p>
        </w:tc>
      </w:tr>
      <w:tr w:rsidR="00B61F2A" w:rsidRPr="001362A6" w14:paraId="3EBA3787" w14:textId="77777777" w:rsidTr="00990D73">
        <w:tc>
          <w:tcPr>
            <w:tcW w:w="1316" w:type="dxa"/>
          </w:tcPr>
          <w:p w14:paraId="13A7DBE3" w14:textId="77777777" w:rsidR="00B61F2A" w:rsidRPr="001362A6" w:rsidRDefault="00B61F2A" w:rsidP="00B61F2A">
            <w:pPr>
              <w:rPr>
                <w:rFonts w:ascii="Lato" w:hAnsi="Lato"/>
                <w:bCs/>
                <w:sz w:val="22"/>
                <w:szCs w:val="22"/>
              </w:rPr>
            </w:pPr>
          </w:p>
        </w:tc>
        <w:tc>
          <w:tcPr>
            <w:tcW w:w="5891" w:type="dxa"/>
          </w:tcPr>
          <w:p w14:paraId="29AB545B" w14:textId="77777777" w:rsidR="00B61F2A" w:rsidRPr="001362A6" w:rsidRDefault="00B61F2A" w:rsidP="00B61F2A">
            <w:pPr>
              <w:pStyle w:val="Heading3"/>
              <w:spacing w:before="0" w:after="0" w:line="240" w:lineRule="auto"/>
              <w:rPr>
                <w:rFonts w:ascii="Lato" w:hAnsi="Lato"/>
                <w:b w:val="0"/>
                <w:color w:val="auto"/>
                <w:sz w:val="22"/>
                <w:szCs w:val="22"/>
              </w:rPr>
            </w:pPr>
          </w:p>
        </w:tc>
        <w:tc>
          <w:tcPr>
            <w:tcW w:w="3188" w:type="dxa"/>
            <w:tcBorders>
              <w:bottom w:val="single" w:sz="4" w:space="0" w:color="auto"/>
            </w:tcBorders>
          </w:tcPr>
          <w:p w14:paraId="2CCFE613" w14:textId="77777777" w:rsidR="00B61F2A" w:rsidRPr="001362A6" w:rsidRDefault="00B61F2A" w:rsidP="00B61F2A">
            <w:pPr>
              <w:rPr>
                <w:rFonts w:ascii="Lato" w:hAnsi="Lato"/>
                <w:sz w:val="22"/>
                <w:szCs w:val="22"/>
              </w:rPr>
            </w:pPr>
          </w:p>
        </w:tc>
      </w:tr>
      <w:tr w:rsidR="00B61F2A" w:rsidRPr="001362A6" w14:paraId="5DE8216D" w14:textId="77777777" w:rsidTr="00990D73">
        <w:tc>
          <w:tcPr>
            <w:tcW w:w="1316" w:type="dxa"/>
          </w:tcPr>
          <w:p w14:paraId="08F0FA9B" w14:textId="77777777" w:rsidR="00B61F2A" w:rsidRPr="001362A6" w:rsidRDefault="00B61F2A" w:rsidP="00B61F2A">
            <w:pPr>
              <w:jc w:val="right"/>
              <w:rPr>
                <w:rFonts w:ascii="Lato" w:hAnsi="Lato"/>
                <w:bCs/>
                <w:sz w:val="22"/>
                <w:szCs w:val="22"/>
              </w:rPr>
            </w:pPr>
            <w:r w:rsidRPr="001362A6">
              <w:rPr>
                <w:rFonts w:ascii="Lato" w:hAnsi="Lato"/>
                <w:bCs/>
                <w:sz w:val="22"/>
                <w:szCs w:val="22"/>
              </w:rPr>
              <w:lastRenderedPageBreak/>
              <w:t>(b)</w:t>
            </w:r>
          </w:p>
        </w:tc>
        <w:tc>
          <w:tcPr>
            <w:tcW w:w="5891" w:type="dxa"/>
            <w:tcBorders>
              <w:right w:val="single" w:sz="4" w:space="0" w:color="auto"/>
            </w:tcBorders>
          </w:tcPr>
          <w:p w14:paraId="1FCAC781"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Specify the “reasonable time”.</w:t>
            </w:r>
          </w:p>
        </w:tc>
        <w:tc>
          <w:tcPr>
            <w:tcW w:w="3188" w:type="dxa"/>
            <w:tcBorders>
              <w:top w:val="single" w:sz="4" w:space="0" w:color="auto"/>
              <w:left w:val="single" w:sz="4" w:space="0" w:color="auto"/>
              <w:bottom w:val="single" w:sz="4" w:space="0" w:color="auto"/>
              <w:right w:val="single" w:sz="4" w:space="0" w:color="auto"/>
            </w:tcBorders>
          </w:tcPr>
          <w:p w14:paraId="4154665F" w14:textId="77777777" w:rsidR="00B61F2A" w:rsidRPr="001362A6" w:rsidRDefault="00B61F2A" w:rsidP="00B61F2A">
            <w:pPr>
              <w:rPr>
                <w:rFonts w:ascii="Lato" w:hAnsi="Lato"/>
                <w:sz w:val="22"/>
                <w:szCs w:val="22"/>
              </w:rPr>
            </w:pPr>
          </w:p>
        </w:tc>
      </w:tr>
      <w:tr w:rsidR="00B61F2A" w:rsidRPr="001362A6" w14:paraId="573962C8" w14:textId="77777777" w:rsidTr="00990D73">
        <w:tc>
          <w:tcPr>
            <w:tcW w:w="1316" w:type="dxa"/>
          </w:tcPr>
          <w:p w14:paraId="2D57476A" w14:textId="77777777" w:rsidR="00B61F2A" w:rsidRPr="001362A6" w:rsidRDefault="00B61F2A" w:rsidP="00B61F2A">
            <w:pPr>
              <w:rPr>
                <w:rFonts w:ascii="Lato" w:hAnsi="Lato"/>
                <w:sz w:val="22"/>
                <w:szCs w:val="22"/>
              </w:rPr>
            </w:pPr>
          </w:p>
        </w:tc>
        <w:tc>
          <w:tcPr>
            <w:tcW w:w="5891" w:type="dxa"/>
          </w:tcPr>
          <w:p w14:paraId="085B67CE" w14:textId="77777777" w:rsidR="00B61F2A" w:rsidRPr="001362A6" w:rsidRDefault="00B61F2A" w:rsidP="00B61F2A">
            <w:pPr>
              <w:pStyle w:val="Heading3"/>
              <w:spacing w:before="0" w:after="0" w:line="240" w:lineRule="auto"/>
              <w:rPr>
                <w:rFonts w:ascii="Lato" w:hAnsi="Lato"/>
                <w:b w:val="0"/>
                <w:bCs/>
                <w:color w:val="auto"/>
                <w:sz w:val="22"/>
                <w:szCs w:val="22"/>
              </w:rPr>
            </w:pPr>
          </w:p>
        </w:tc>
        <w:tc>
          <w:tcPr>
            <w:tcW w:w="3188" w:type="dxa"/>
            <w:tcBorders>
              <w:top w:val="single" w:sz="4" w:space="0" w:color="auto"/>
              <w:bottom w:val="single" w:sz="4" w:space="0" w:color="auto"/>
            </w:tcBorders>
          </w:tcPr>
          <w:p w14:paraId="35AA0973" w14:textId="77777777" w:rsidR="00B61F2A" w:rsidRPr="001362A6" w:rsidRDefault="00B61F2A" w:rsidP="00B61F2A">
            <w:pPr>
              <w:rPr>
                <w:rFonts w:ascii="Lato" w:hAnsi="Lato"/>
                <w:sz w:val="22"/>
                <w:szCs w:val="22"/>
              </w:rPr>
            </w:pPr>
          </w:p>
        </w:tc>
      </w:tr>
      <w:tr w:rsidR="00B61F2A" w:rsidRPr="001362A6" w14:paraId="2ED88EE9" w14:textId="77777777" w:rsidTr="00990D73">
        <w:trPr>
          <w:cantSplit/>
          <w:trHeight w:val="255"/>
        </w:trPr>
        <w:tc>
          <w:tcPr>
            <w:tcW w:w="1316" w:type="dxa"/>
            <w:vMerge w:val="restart"/>
          </w:tcPr>
          <w:p w14:paraId="4F8F82F9" w14:textId="77777777" w:rsidR="00B61F2A" w:rsidRPr="001362A6" w:rsidRDefault="00B61F2A" w:rsidP="00B61F2A">
            <w:pPr>
              <w:rPr>
                <w:rFonts w:ascii="Lato" w:hAnsi="Lato"/>
                <w:sz w:val="22"/>
                <w:szCs w:val="22"/>
              </w:rPr>
            </w:pPr>
            <w:r w:rsidRPr="001362A6">
              <w:rPr>
                <w:rFonts w:ascii="Lato" w:hAnsi="Lato"/>
                <w:sz w:val="22"/>
                <w:szCs w:val="22"/>
              </w:rPr>
              <w:t>2.10.4</w:t>
            </w:r>
          </w:p>
        </w:tc>
        <w:tc>
          <w:tcPr>
            <w:tcW w:w="5891" w:type="dxa"/>
            <w:vMerge w:val="restart"/>
            <w:tcBorders>
              <w:right w:val="single" w:sz="4" w:space="0" w:color="auto"/>
            </w:tcBorders>
          </w:tcPr>
          <w:p w14:paraId="4FA06F03" w14:textId="77777777" w:rsidR="00B61F2A" w:rsidRPr="001362A6" w:rsidRDefault="00B61F2A" w:rsidP="00B61F2A">
            <w:pPr>
              <w:rPr>
                <w:rFonts w:ascii="Lato" w:hAnsi="Lato"/>
                <w:sz w:val="22"/>
                <w:szCs w:val="22"/>
              </w:rPr>
            </w:pPr>
            <w:r w:rsidRPr="001362A6">
              <w:rPr>
                <w:rFonts w:ascii="Lato" w:hAnsi="Lato"/>
                <w:sz w:val="22"/>
                <w:szCs w:val="22"/>
              </w:rPr>
              <w:t>Confirm that dealing must be carried out on a forward pricing basis i.e. the Net Asset Value next computed after receipt of subscription and redemption requests.</w:t>
            </w:r>
          </w:p>
        </w:tc>
        <w:tc>
          <w:tcPr>
            <w:tcW w:w="3188" w:type="dxa"/>
            <w:tcBorders>
              <w:top w:val="single" w:sz="4" w:space="0" w:color="auto"/>
              <w:left w:val="single" w:sz="4" w:space="0" w:color="auto"/>
              <w:bottom w:val="single" w:sz="4" w:space="0" w:color="auto"/>
              <w:right w:val="single" w:sz="4" w:space="0" w:color="auto"/>
            </w:tcBorders>
          </w:tcPr>
          <w:p w14:paraId="58CF96C9" w14:textId="77777777" w:rsidR="00B61F2A" w:rsidRPr="001362A6" w:rsidRDefault="00B61F2A" w:rsidP="00B61F2A">
            <w:pPr>
              <w:rPr>
                <w:rFonts w:ascii="Lato" w:hAnsi="Lato"/>
                <w:sz w:val="22"/>
                <w:szCs w:val="22"/>
              </w:rPr>
            </w:pPr>
          </w:p>
        </w:tc>
      </w:tr>
      <w:tr w:rsidR="00B61F2A" w:rsidRPr="001362A6" w14:paraId="300DE9C2" w14:textId="77777777" w:rsidTr="00990D73">
        <w:trPr>
          <w:cantSplit/>
          <w:trHeight w:val="254"/>
        </w:trPr>
        <w:tc>
          <w:tcPr>
            <w:tcW w:w="1316" w:type="dxa"/>
            <w:vMerge/>
          </w:tcPr>
          <w:p w14:paraId="44EF5E15" w14:textId="77777777" w:rsidR="00B61F2A" w:rsidRPr="001362A6" w:rsidRDefault="00B61F2A" w:rsidP="00B61F2A">
            <w:pPr>
              <w:rPr>
                <w:rFonts w:ascii="Lato" w:hAnsi="Lato"/>
                <w:sz w:val="22"/>
                <w:szCs w:val="22"/>
              </w:rPr>
            </w:pPr>
          </w:p>
        </w:tc>
        <w:tc>
          <w:tcPr>
            <w:tcW w:w="5891" w:type="dxa"/>
            <w:vMerge/>
          </w:tcPr>
          <w:p w14:paraId="2DF91283" w14:textId="77777777" w:rsidR="00B61F2A" w:rsidRPr="001362A6" w:rsidRDefault="00B61F2A" w:rsidP="00B61F2A">
            <w:pPr>
              <w:rPr>
                <w:rFonts w:ascii="Lato" w:hAnsi="Lato"/>
                <w:sz w:val="22"/>
                <w:szCs w:val="22"/>
              </w:rPr>
            </w:pPr>
          </w:p>
        </w:tc>
        <w:tc>
          <w:tcPr>
            <w:tcW w:w="3188" w:type="dxa"/>
            <w:tcBorders>
              <w:top w:val="single" w:sz="4" w:space="0" w:color="auto"/>
            </w:tcBorders>
          </w:tcPr>
          <w:p w14:paraId="4747FEFC" w14:textId="77777777" w:rsidR="00B61F2A" w:rsidRPr="001362A6" w:rsidRDefault="00B61F2A" w:rsidP="00B61F2A">
            <w:pPr>
              <w:rPr>
                <w:rFonts w:ascii="Lato" w:hAnsi="Lato"/>
                <w:sz w:val="22"/>
                <w:szCs w:val="22"/>
              </w:rPr>
            </w:pPr>
          </w:p>
        </w:tc>
      </w:tr>
      <w:tr w:rsidR="00B61F2A" w:rsidRPr="001362A6" w14:paraId="0B6F49E4" w14:textId="77777777" w:rsidTr="00990D73">
        <w:tc>
          <w:tcPr>
            <w:tcW w:w="1316" w:type="dxa"/>
          </w:tcPr>
          <w:p w14:paraId="20CD73A5" w14:textId="77777777" w:rsidR="00B61F2A" w:rsidRPr="001362A6" w:rsidRDefault="00B61F2A" w:rsidP="00B61F2A">
            <w:pPr>
              <w:rPr>
                <w:rFonts w:ascii="Lato" w:hAnsi="Lato"/>
                <w:sz w:val="22"/>
                <w:szCs w:val="22"/>
              </w:rPr>
            </w:pPr>
          </w:p>
        </w:tc>
        <w:tc>
          <w:tcPr>
            <w:tcW w:w="5891" w:type="dxa"/>
          </w:tcPr>
          <w:p w14:paraId="04DA5551" w14:textId="77777777" w:rsidR="00B61F2A" w:rsidRPr="001362A6" w:rsidRDefault="00B61F2A" w:rsidP="00B61F2A">
            <w:pPr>
              <w:rPr>
                <w:rFonts w:ascii="Lato" w:hAnsi="Lato"/>
                <w:sz w:val="22"/>
                <w:szCs w:val="22"/>
              </w:rPr>
            </w:pPr>
          </w:p>
        </w:tc>
        <w:tc>
          <w:tcPr>
            <w:tcW w:w="3188" w:type="dxa"/>
          </w:tcPr>
          <w:p w14:paraId="4707A5C5" w14:textId="77777777" w:rsidR="00B61F2A" w:rsidRPr="001362A6" w:rsidRDefault="00B61F2A" w:rsidP="00B61F2A">
            <w:pPr>
              <w:rPr>
                <w:rFonts w:ascii="Lato" w:hAnsi="Lato"/>
                <w:sz w:val="22"/>
                <w:szCs w:val="22"/>
              </w:rPr>
            </w:pPr>
          </w:p>
        </w:tc>
      </w:tr>
      <w:tr w:rsidR="00B61F2A" w:rsidRPr="001362A6" w14:paraId="7FE59A7F" w14:textId="77777777" w:rsidTr="00990D73">
        <w:tc>
          <w:tcPr>
            <w:tcW w:w="1316" w:type="dxa"/>
          </w:tcPr>
          <w:p w14:paraId="477262B4" w14:textId="77777777" w:rsidR="00B61F2A" w:rsidRPr="001362A6" w:rsidRDefault="00B61F2A" w:rsidP="00B61F2A">
            <w:pPr>
              <w:rPr>
                <w:rFonts w:ascii="Lato" w:hAnsi="Lato"/>
                <w:b/>
                <w:sz w:val="22"/>
                <w:szCs w:val="22"/>
              </w:rPr>
            </w:pPr>
            <w:r w:rsidRPr="001362A6">
              <w:rPr>
                <w:rFonts w:ascii="Lato" w:hAnsi="Lato"/>
                <w:b/>
                <w:sz w:val="22"/>
                <w:szCs w:val="22"/>
              </w:rPr>
              <w:t>2.11</w:t>
            </w:r>
          </w:p>
        </w:tc>
        <w:tc>
          <w:tcPr>
            <w:tcW w:w="5891" w:type="dxa"/>
          </w:tcPr>
          <w:p w14:paraId="0A417A0C" w14:textId="77777777" w:rsidR="00B61F2A" w:rsidRPr="001362A6" w:rsidRDefault="00B61F2A" w:rsidP="00B61F2A">
            <w:pPr>
              <w:rPr>
                <w:rFonts w:ascii="Lato" w:hAnsi="Lato"/>
                <w:b/>
                <w:sz w:val="22"/>
                <w:szCs w:val="22"/>
              </w:rPr>
            </w:pPr>
            <w:r w:rsidRPr="001362A6">
              <w:rPr>
                <w:rFonts w:ascii="Lato" w:hAnsi="Lato"/>
                <w:b/>
                <w:sz w:val="22"/>
                <w:szCs w:val="22"/>
              </w:rPr>
              <w:t xml:space="preserve">Dealing Day(s) </w:t>
            </w:r>
          </w:p>
        </w:tc>
        <w:tc>
          <w:tcPr>
            <w:tcW w:w="3188" w:type="dxa"/>
            <w:tcBorders>
              <w:bottom w:val="single" w:sz="4" w:space="0" w:color="auto"/>
            </w:tcBorders>
          </w:tcPr>
          <w:p w14:paraId="0CF3CBFF" w14:textId="77777777" w:rsidR="00B61F2A" w:rsidRPr="001362A6" w:rsidRDefault="00B61F2A" w:rsidP="00B61F2A">
            <w:pPr>
              <w:rPr>
                <w:rFonts w:ascii="Lato" w:hAnsi="Lato"/>
                <w:sz w:val="22"/>
                <w:szCs w:val="22"/>
              </w:rPr>
            </w:pPr>
          </w:p>
        </w:tc>
      </w:tr>
      <w:tr w:rsidR="00B61F2A" w:rsidRPr="001362A6" w14:paraId="3DC06750" w14:textId="77777777" w:rsidTr="00990D73">
        <w:tc>
          <w:tcPr>
            <w:tcW w:w="1316" w:type="dxa"/>
          </w:tcPr>
          <w:p w14:paraId="2665086D" w14:textId="77777777" w:rsidR="00B61F2A" w:rsidRPr="001362A6" w:rsidRDefault="00B61F2A" w:rsidP="00B61F2A">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0D01150B" w14:textId="77777777" w:rsidR="00B61F2A" w:rsidRPr="001362A6" w:rsidRDefault="00B61F2A" w:rsidP="00B61F2A">
            <w:pPr>
              <w:rPr>
                <w:rFonts w:ascii="Lato" w:hAnsi="Lato"/>
                <w:sz w:val="22"/>
                <w:szCs w:val="22"/>
              </w:rPr>
            </w:pPr>
            <w:r w:rsidRPr="001362A6">
              <w:rPr>
                <w:rFonts w:ascii="Lato" w:hAnsi="Lato"/>
                <w:sz w:val="22"/>
                <w:szCs w:val="22"/>
              </w:rPr>
              <w:t xml:space="preserve">In the case of open-ended Qualifying Investor AIFs, provide </w:t>
            </w:r>
          </w:p>
        </w:tc>
        <w:tc>
          <w:tcPr>
            <w:tcW w:w="3188" w:type="dxa"/>
            <w:tcBorders>
              <w:top w:val="single" w:sz="4" w:space="0" w:color="auto"/>
              <w:bottom w:val="single" w:sz="4" w:space="0" w:color="auto"/>
              <w:right w:val="single" w:sz="4" w:space="0" w:color="auto"/>
            </w:tcBorders>
          </w:tcPr>
          <w:p w14:paraId="7D90F97F" w14:textId="77777777" w:rsidR="00B61F2A" w:rsidRPr="001362A6" w:rsidRDefault="00B61F2A" w:rsidP="00B61F2A">
            <w:pPr>
              <w:rPr>
                <w:rFonts w:ascii="Lato" w:hAnsi="Lato"/>
                <w:sz w:val="22"/>
                <w:szCs w:val="22"/>
              </w:rPr>
            </w:pPr>
          </w:p>
        </w:tc>
      </w:tr>
      <w:tr w:rsidR="00B61F2A" w:rsidRPr="001362A6" w14:paraId="61DD9D71" w14:textId="77777777" w:rsidTr="00990D73">
        <w:tc>
          <w:tcPr>
            <w:tcW w:w="1316" w:type="dxa"/>
          </w:tcPr>
          <w:p w14:paraId="19482A60" w14:textId="77777777" w:rsidR="00B61F2A" w:rsidRPr="001362A6" w:rsidRDefault="00B61F2A" w:rsidP="00B61F2A">
            <w:pPr>
              <w:rPr>
                <w:rFonts w:ascii="Lato" w:hAnsi="Lato"/>
                <w:sz w:val="22"/>
                <w:szCs w:val="22"/>
              </w:rPr>
            </w:pPr>
          </w:p>
        </w:tc>
        <w:tc>
          <w:tcPr>
            <w:tcW w:w="5891" w:type="dxa"/>
          </w:tcPr>
          <w:p w14:paraId="008E7534" w14:textId="77777777" w:rsidR="00B61F2A" w:rsidRPr="001362A6" w:rsidRDefault="00B61F2A" w:rsidP="00B61F2A">
            <w:pPr>
              <w:rPr>
                <w:rFonts w:ascii="Lato" w:hAnsi="Lato"/>
                <w:sz w:val="22"/>
                <w:szCs w:val="22"/>
              </w:rPr>
            </w:pPr>
            <w:r w:rsidRPr="00590C6D">
              <w:rPr>
                <w:rFonts w:ascii="Lato" w:hAnsi="Lato"/>
                <w:sz w:val="22"/>
                <w:szCs w:val="22"/>
              </w:rPr>
              <w:t>for</w:t>
            </w:r>
            <w:r w:rsidRPr="001362A6">
              <w:rPr>
                <w:rFonts w:ascii="Lato" w:hAnsi="Lato"/>
                <w:sz w:val="22"/>
                <w:szCs w:val="22"/>
              </w:rPr>
              <w:t xml:space="preserve"> at least one dealing day per quarter.  </w:t>
            </w:r>
          </w:p>
        </w:tc>
        <w:tc>
          <w:tcPr>
            <w:tcW w:w="3188" w:type="dxa"/>
            <w:tcBorders>
              <w:top w:val="single" w:sz="4" w:space="0" w:color="auto"/>
            </w:tcBorders>
          </w:tcPr>
          <w:p w14:paraId="7432F493" w14:textId="77777777" w:rsidR="00B61F2A" w:rsidRPr="001362A6" w:rsidRDefault="00B61F2A" w:rsidP="00B61F2A">
            <w:pPr>
              <w:rPr>
                <w:rFonts w:ascii="Lato" w:hAnsi="Lato"/>
                <w:sz w:val="22"/>
                <w:szCs w:val="22"/>
              </w:rPr>
            </w:pPr>
          </w:p>
        </w:tc>
      </w:tr>
      <w:tr w:rsidR="00B61F2A" w:rsidRPr="001362A6" w14:paraId="166203CE" w14:textId="77777777" w:rsidTr="00990D73">
        <w:tc>
          <w:tcPr>
            <w:tcW w:w="1316" w:type="dxa"/>
          </w:tcPr>
          <w:p w14:paraId="0DEDEEF7" w14:textId="77777777" w:rsidR="00B61F2A" w:rsidRPr="001362A6" w:rsidRDefault="00B61F2A" w:rsidP="00B61F2A">
            <w:pPr>
              <w:rPr>
                <w:rFonts w:ascii="Lato" w:hAnsi="Lato"/>
                <w:sz w:val="22"/>
                <w:szCs w:val="22"/>
              </w:rPr>
            </w:pPr>
          </w:p>
        </w:tc>
        <w:tc>
          <w:tcPr>
            <w:tcW w:w="5891" w:type="dxa"/>
          </w:tcPr>
          <w:p w14:paraId="7BF53751"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09582A78" w14:textId="77777777" w:rsidR="00B61F2A" w:rsidRPr="001362A6" w:rsidRDefault="00B61F2A" w:rsidP="00B61F2A">
            <w:pPr>
              <w:rPr>
                <w:rFonts w:ascii="Lato" w:hAnsi="Lato"/>
                <w:sz w:val="22"/>
                <w:szCs w:val="22"/>
              </w:rPr>
            </w:pPr>
          </w:p>
        </w:tc>
      </w:tr>
      <w:tr w:rsidR="00B61F2A" w:rsidRPr="001362A6" w14:paraId="229AAEA5" w14:textId="77777777" w:rsidTr="00990D73">
        <w:trPr>
          <w:cantSplit/>
          <w:trHeight w:val="257"/>
        </w:trPr>
        <w:tc>
          <w:tcPr>
            <w:tcW w:w="1316" w:type="dxa"/>
            <w:vMerge w:val="restart"/>
          </w:tcPr>
          <w:p w14:paraId="4938B0E1" w14:textId="77777777" w:rsidR="00B61F2A" w:rsidRPr="001362A6" w:rsidRDefault="00B61F2A" w:rsidP="00B61F2A">
            <w:pPr>
              <w:jc w:val="right"/>
              <w:rPr>
                <w:rFonts w:ascii="Lato" w:hAnsi="Lato"/>
                <w:sz w:val="22"/>
                <w:szCs w:val="22"/>
              </w:rPr>
            </w:pPr>
            <w:r w:rsidRPr="001362A6">
              <w:rPr>
                <w:rFonts w:ascii="Lato" w:hAnsi="Lato"/>
                <w:sz w:val="22"/>
                <w:szCs w:val="22"/>
              </w:rPr>
              <w:t>b)</w:t>
            </w:r>
          </w:p>
        </w:tc>
        <w:tc>
          <w:tcPr>
            <w:tcW w:w="5891" w:type="dxa"/>
            <w:vMerge w:val="restart"/>
            <w:tcBorders>
              <w:right w:val="single" w:sz="4" w:space="0" w:color="auto"/>
            </w:tcBorders>
          </w:tcPr>
          <w:p w14:paraId="1EE686AD" w14:textId="77777777" w:rsidR="00B61F2A" w:rsidRPr="001362A6" w:rsidRDefault="00B61F2A" w:rsidP="00B61F2A">
            <w:pPr>
              <w:jc w:val="both"/>
              <w:rPr>
                <w:rFonts w:ascii="Lato" w:hAnsi="Lato"/>
                <w:sz w:val="22"/>
                <w:szCs w:val="22"/>
              </w:rPr>
            </w:pPr>
            <w:r w:rsidRPr="001362A6">
              <w:rPr>
                <w:rFonts w:ascii="Lato" w:hAnsi="Lato"/>
                <w:sz w:val="22"/>
                <w:szCs w:val="22"/>
              </w:rPr>
              <w:t>If the prospectus provides wording to the effect that “</w:t>
            </w:r>
            <w:r w:rsidRPr="001362A6">
              <w:rPr>
                <w:rFonts w:ascii="Lato" w:hAnsi="Lato"/>
                <w:b/>
                <w:bCs/>
                <w:sz w:val="22"/>
                <w:szCs w:val="22"/>
              </w:rPr>
              <w:t>or</w:t>
            </w:r>
            <w:r w:rsidRPr="001362A6">
              <w:rPr>
                <w:rFonts w:ascii="Lato" w:hAnsi="Lato"/>
                <w:sz w:val="22"/>
                <w:szCs w:val="22"/>
              </w:rPr>
              <w:t xml:space="preserve"> such other dealing days as the directors /management company determine”, include a provision to clarify that there will be at least one dealing day per quarter and that all unitholders will be notified in advance.</w:t>
            </w:r>
          </w:p>
        </w:tc>
        <w:tc>
          <w:tcPr>
            <w:tcW w:w="3188" w:type="dxa"/>
            <w:tcBorders>
              <w:top w:val="single" w:sz="4" w:space="0" w:color="auto"/>
              <w:bottom w:val="single" w:sz="4" w:space="0" w:color="auto"/>
              <w:right w:val="single" w:sz="4" w:space="0" w:color="auto"/>
            </w:tcBorders>
          </w:tcPr>
          <w:p w14:paraId="0CC953A6" w14:textId="77777777" w:rsidR="00B61F2A" w:rsidRPr="001362A6" w:rsidRDefault="00B61F2A" w:rsidP="00B61F2A">
            <w:pPr>
              <w:rPr>
                <w:rFonts w:ascii="Lato" w:hAnsi="Lato"/>
                <w:sz w:val="22"/>
                <w:szCs w:val="22"/>
              </w:rPr>
            </w:pPr>
          </w:p>
        </w:tc>
      </w:tr>
      <w:tr w:rsidR="00B61F2A" w:rsidRPr="001362A6" w14:paraId="6D04FA33" w14:textId="77777777" w:rsidTr="00990D73">
        <w:trPr>
          <w:cantSplit/>
          <w:trHeight w:val="254"/>
        </w:trPr>
        <w:tc>
          <w:tcPr>
            <w:tcW w:w="1316" w:type="dxa"/>
            <w:vMerge/>
          </w:tcPr>
          <w:p w14:paraId="232AB148" w14:textId="77777777" w:rsidR="00B61F2A" w:rsidRPr="001362A6" w:rsidRDefault="00B61F2A" w:rsidP="00B61F2A">
            <w:pPr>
              <w:jc w:val="right"/>
              <w:rPr>
                <w:rFonts w:ascii="Lato" w:hAnsi="Lato"/>
                <w:sz w:val="22"/>
                <w:szCs w:val="22"/>
              </w:rPr>
            </w:pPr>
          </w:p>
        </w:tc>
        <w:tc>
          <w:tcPr>
            <w:tcW w:w="5891" w:type="dxa"/>
            <w:vMerge/>
          </w:tcPr>
          <w:p w14:paraId="37DFD99E" w14:textId="77777777" w:rsidR="00B61F2A" w:rsidRPr="001362A6" w:rsidRDefault="00B61F2A" w:rsidP="00B61F2A">
            <w:pPr>
              <w:rPr>
                <w:rFonts w:ascii="Lato" w:hAnsi="Lato"/>
                <w:sz w:val="22"/>
                <w:szCs w:val="22"/>
              </w:rPr>
            </w:pPr>
          </w:p>
        </w:tc>
        <w:tc>
          <w:tcPr>
            <w:tcW w:w="3188" w:type="dxa"/>
            <w:tcBorders>
              <w:top w:val="single" w:sz="4" w:space="0" w:color="auto"/>
            </w:tcBorders>
          </w:tcPr>
          <w:p w14:paraId="21AC60A9" w14:textId="77777777" w:rsidR="00B61F2A" w:rsidRPr="001362A6" w:rsidRDefault="00B61F2A" w:rsidP="00B61F2A">
            <w:pPr>
              <w:rPr>
                <w:rFonts w:ascii="Lato" w:hAnsi="Lato"/>
                <w:sz w:val="22"/>
                <w:szCs w:val="22"/>
              </w:rPr>
            </w:pPr>
          </w:p>
        </w:tc>
      </w:tr>
      <w:tr w:rsidR="00B61F2A" w:rsidRPr="001362A6" w14:paraId="7BB470D3" w14:textId="77777777" w:rsidTr="00990D73">
        <w:trPr>
          <w:cantSplit/>
          <w:trHeight w:val="254"/>
        </w:trPr>
        <w:tc>
          <w:tcPr>
            <w:tcW w:w="1316" w:type="dxa"/>
            <w:vMerge/>
          </w:tcPr>
          <w:p w14:paraId="72FF6951" w14:textId="77777777" w:rsidR="00B61F2A" w:rsidRPr="001362A6" w:rsidRDefault="00B61F2A" w:rsidP="00B61F2A">
            <w:pPr>
              <w:jc w:val="right"/>
              <w:rPr>
                <w:rFonts w:ascii="Lato" w:hAnsi="Lato"/>
                <w:sz w:val="22"/>
                <w:szCs w:val="22"/>
              </w:rPr>
            </w:pPr>
          </w:p>
        </w:tc>
        <w:tc>
          <w:tcPr>
            <w:tcW w:w="5891" w:type="dxa"/>
            <w:vMerge/>
          </w:tcPr>
          <w:p w14:paraId="4B782CC1" w14:textId="77777777" w:rsidR="00B61F2A" w:rsidRPr="001362A6" w:rsidRDefault="00B61F2A" w:rsidP="00B61F2A">
            <w:pPr>
              <w:rPr>
                <w:rFonts w:ascii="Lato" w:hAnsi="Lato"/>
                <w:sz w:val="22"/>
                <w:szCs w:val="22"/>
              </w:rPr>
            </w:pPr>
          </w:p>
        </w:tc>
        <w:tc>
          <w:tcPr>
            <w:tcW w:w="3188" w:type="dxa"/>
          </w:tcPr>
          <w:p w14:paraId="5C59CA58" w14:textId="77777777" w:rsidR="00B61F2A" w:rsidRPr="001362A6" w:rsidRDefault="00B61F2A" w:rsidP="00B61F2A">
            <w:pPr>
              <w:rPr>
                <w:rFonts w:ascii="Lato" w:hAnsi="Lato"/>
                <w:sz w:val="22"/>
                <w:szCs w:val="22"/>
              </w:rPr>
            </w:pPr>
          </w:p>
        </w:tc>
      </w:tr>
      <w:tr w:rsidR="00B61F2A" w:rsidRPr="001362A6" w14:paraId="29BF634F" w14:textId="77777777" w:rsidTr="00990D73">
        <w:trPr>
          <w:cantSplit/>
          <w:trHeight w:val="254"/>
        </w:trPr>
        <w:tc>
          <w:tcPr>
            <w:tcW w:w="1316" w:type="dxa"/>
            <w:vMerge/>
          </w:tcPr>
          <w:p w14:paraId="54594D35" w14:textId="77777777" w:rsidR="00B61F2A" w:rsidRPr="001362A6" w:rsidRDefault="00B61F2A" w:rsidP="00B61F2A">
            <w:pPr>
              <w:jc w:val="right"/>
              <w:rPr>
                <w:rFonts w:ascii="Lato" w:hAnsi="Lato"/>
                <w:sz w:val="22"/>
                <w:szCs w:val="22"/>
              </w:rPr>
            </w:pPr>
          </w:p>
        </w:tc>
        <w:tc>
          <w:tcPr>
            <w:tcW w:w="5891" w:type="dxa"/>
            <w:vMerge/>
          </w:tcPr>
          <w:p w14:paraId="00F3BC28" w14:textId="77777777" w:rsidR="00B61F2A" w:rsidRPr="001362A6" w:rsidRDefault="00B61F2A" w:rsidP="00B61F2A">
            <w:pPr>
              <w:rPr>
                <w:rFonts w:ascii="Lato" w:hAnsi="Lato"/>
                <w:sz w:val="22"/>
                <w:szCs w:val="22"/>
              </w:rPr>
            </w:pPr>
          </w:p>
        </w:tc>
        <w:tc>
          <w:tcPr>
            <w:tcW w:w="3188" w:type="dxa"/>
          </w:tcPr>
          <w:p w14:paraId="2185EC1A" w14:textId="77777777" w:rsidR="00B61F2A" w:rsidRPr="001362A6" w:rsidRDefault="00B61F2A" w:rsidP="00B61F2A">
            <w:pPr>
              <w:rPr>
                <w:rFonts w:ascii="Lato" w:hAnsi="Lato"/>
                <w:sz w:val="22"/>
                <w:szCs w:val="22"/>
              </w:rPr>
            </w:pPr>
          </w:p>
        </w:tc>
      </w:tr>
      <w:tr w:rsidR="00B61F2A" w:rsidRPr="001362A6" w14:paraId="17173558" w14:textId="77777777" w:rsidTr="00990D73">
        <w:tc>
          <w:tcPr>
            <w:tcW w:w="1316" w:type="dxa"/>
          </w:tcPr>
          <w:p w14:paraId="2E51A614" w14:textId="77777777" w:rsidR="00B61F2A" w:rsidRPr="001362A6" w:rsidRDefault="00B61F2A" w:rsidP="00B61F2A">
            <w:pPr>
              <w:rPr>
                <w:rFonts w:ascii="Lato" w:hAnsi="Lato"/>
                <w:sz w:val="22"/>
                <w:szCs w:val="22"/>
              </w:rPr>
            </w:pPr>
          </w:p>
        </w:tc>
        <w:tc>
          <w:tcPr>
            <w:tcW w:w="5891" w:type="dxa"/>
          </w:tcPr>
          <w:p w14:paraId="0D5D1D54" w14:textId="77777777" w:rsidR="00B61F2A" w:rsidRPr="001362A6" w:rsidRDefault="00B61F2A" w:rsidP="00B61F2A">
            <w:pPr>
              <w:rPr>
                <w:rFonts w:ascii="Lato" w:hAnsi="Lato"/>
                <w:sz w:val="22"/>
                <w:szCs w:val="22"/>
              </w:rPr>
            </w:pPr>
            <w:r w:rsidRPr="001362A6">
              <w:rPr>
                <w:rFonts w:ascii="Lato" w:hAnsi="Lato"/>
                <w:sz w:val="22"/>
                <w:szCs w:val="22"/>
              </w:rPr>
              <w:t xml:space="preserve">     </w:t>
            </w:r>
          </w:p>
        </w:tc>
        <w:tc>
          <w:tcPr>
            <w:tcW w:w="3188" w:type="dxa"/>
            <w:tcBorders>
              <w:bottom w:val="single" w:sz="4" w:space="0" w:color="auto"/>
            </w:tcBorders>
          </w:tcPr>
          <w:p w14:paraId="483AE95B" w14:textId="77777777" w:rsidR="00B61F2A" w:rsidRPr="001362A6" w:rsidRDefault="00B61F2A" w:rsidP="00B61F2A">
            <w:pPr>
              <w:rPr>
                <w:rFonts w:ascii="Lato" w:hAnsi="Lato"/>
                <w:sz w:val="22"/>
                <w:szCs w:val="22"/>
              </w:rPr>
            </w:pPr>
          </w:p>
        </w:tc>
      </w:tr>
      <w:tr w:rsidR="00B61F2A" w:rsidRPr="001362A6" w14:paraId="024DDDB4" w14:textId="77777777" w:rsidTr="00990D73">
        <w:trPr>
          <w:cantSplit/>
          <w:trHeight w:val="257"/>
        </w:trPr>
        <w:tc>
          <w:tcPr>
            <w:tcW w:w="1316" w:type="dxa"/>
            <w:vMerge w:val="restart"/>
          </w:tcPr>
          <w:p w14:paraId="706634B4" w14:textId="77777777" w:rsidR="00B61F2A" w:rsidRPr="001362A6" w:rsidRDefault="00B61F2A" w:rsidP="00B61F2A">
            <w:pPr>
              <w:jc w:val="right"/>
              <w:rPr>
                <w:rFonts w:ascii="Lato" w:hAnsi="Lato"/>
                <w:sz w:val="22"/>
                <w:szCs w:val="22"/>
              </w:rPr>
            </w:pPr>
            <w:r w:rsidRPr="001362A6">
              <w:rPr>
                <w:rFonts w:ascii="Lato" w:hAnsi="Lato"/>
                <w:sz w:val="22"/>
                <w:szCs w:val="22"/>
              </w:rPr>
              <w:t>c)</w:t>
            </w:r>
          </w:p>
        </w:tc>
        <w:tc>
          <w:tcPr>
            <w:tcW w:w="5891" w:type="dxa"/>
            <w:vMerge w:val="restart"/>
            <w:tcBorders>
              <w:right w:val="single" w:sz="4" w:space="0" w:color="auto"/>
            </w:tcBorders>
          </w:tcPr>
          <w:p w14:paraId="1C00BF06" w14:textId="77777777" w:rsidR="00B61F2A" w:rsidRPr="001362A6" w:rsidRDefault="00B61F2A" w:rsidP="00B61F2A">
            <w:pPr>
              <w:jc w:val="both"/>
              <w:rPr>
                <w:rFonts w:ascii="Lato" w:hAnsi="Lato"/>
                <w:sz w:val="22"/>
                <w:szCs w:val="22"/>
              </w:rPr>
            </w:pPr>
            <w:r w:rsidRPr="001362A6">
              <w:rPr>
                <w:rFonts w:ascii="Lato" w:hAnsi="Lato"/>
                <w:sz w:val="22"/>
                <w:szCs w:val="22"/>
              </w:rPr>
              <w:t>If the prospectus provides wording to the effect that “</w:t>
            </w:r>
            <w:r w:rsidRPr="001362A6">
              <w:rPr>
                <w:rFonts w:ascii="Lato" w:hAnsi="Lato"/>
                <w:b/>
                <w:bCs/>
                <w:sz w:val="22"/>
                <w:szCs w:val="22"/>
              </w:rPr>
              <w:t>and</w:t>
            </w:r>
            <w:r w:rsidRPr="001362A6">
              <w:rPr>
                <w:rFonts w:ascii="Lato" w:hAnsi="Lato"/>
                <w:sz w:val="22"/>
                <w:szCs w:val="22"/>
              </w:rPr>
              <w:t xml:space="preserve"> such other dealing days as the directors/management company determine”, include a provision to clarify that all unitholders will be notified in advance.</w:t>
            </w:r>
          </w:p>
        </w:tc>
        <w:tc>
          <w:tcPr>
            <w:tcW w:w="3188" w:type="dxa"/>
            <w:tcBorders>
              <w:top w:val="single" w:sz="4" w:space="0" w:color="auto"/>
              <w:bottom w:val="single" w:sz="4" w:space="0" w:color="auto"/>
              <w:right w:val="single" w:sz="4" w:space="0" w:color="auto"/>
            </w:tcBorders>
          </w:tcPr>
          <w:p w14:paraId="63AD16BB" w14:textId="77777777" w:rsidR="00B61F2A" w:rsidRPr="001362A6" w:rsidRDefault="00B61F2A" w:rsidP="00B61F2A">
            <w:pPr>
              <w:rPr>
                <w:rFonts w:ascii="Lato" w:hAnsi="Lato"/>
                <w:sz w:val="22"/>
                <w:szCs w:val="22"/>
              </w:rPr>
            </w:pPr>
          </w:p>
        </w:tc>
      </w:tr>
      <w:tr w:rsidR="00B61F2A" w:rsidRPr="001362A6" w14:paraId="7EB271A8" w14:textId="77777777" w:rsidTr="00990D73">
        <w:trPr>
          <w:cantSplit/>
          <w:trHeight w:val="254"/>
        </w:trPr>
        <w:tc>
          <w:tcPr>
            <w:tcW w:w="1316" w:type="dxa"/>
            <w:vMerge/>
          </w:tcPr>
          <w:p w14:paraId="003EE6BC" w14:textId="77777777" w:rsidR="00B61F2A" w:rsidRPr="001362A6" w:rsidRDefault="00B61F2A" w:rsidP="00B61F2A">
            <w:pPr>
              <w:jc w:val="right"/>
              <w:rPr>
                <w:rFonts w:ascii="Lato" w:hAnsi="Lato"/>
                <w:sz w:val="22"/>
                <w:szCs w:val="22"/>
              </w:rPr>
            </w:pPr>
          </w:p>
        </w:tc>
        <w:tc>
          <w:tcPr>
            <w:tcW w:w="5891" w:type="dxa"/>
            <w:vMerge/>
          </w:tcPr>
          <w:p w14:paraId="08267173" w14:textId="77777777" w:rsidR="00B61F2A" w:rsidRPr="001362A6" w:rsidRDefault="00B61F2A" w:rsidP="00B61F2A">
            <w:pPr>
              <w:rPr>
                <w:rFonts w:ascii="Lato" w:hAnsi="Lato"/>
                <w:sz w:val="22"/>
                <w:szCs w:val="22"/>
              </w:rPr>
            </w:pPr>
          </w:p>
        </w:tc>
        <w:tc>
          <w:tcPr>
            <w:tcW w:w="3188" w:type="dxa"/>
            <w:tcBorders>
              <w:top w:val="single" w:sz="4" w:space="0" w:color="auto"/>
            </w:tcBorders>
          </w:tcPr>
          <w:p w14:paraId="45DB0743" w14:textId="77777777" w:rsidR="00B61F2A" w:rsidRPr="001362A6" w:rsidRDefault="00B61F2A" w:rsidP="00B61F2A">
            <w:pPr>
              <w:rPr>
                <w:rFonts w:ascii="Lato" w:hAnsi="Lato"/>
                <w:sz w:val="22"/>
                <w:szCs w:val="22"/>
              </w:rPr>
            </w:pPr>
          </w:p>
        </w:tc>
      </w:tr>
      <w:tr w:rsidR="00B61F2A" w:rsidRPr="001362A6" w14:paraId="428F7B51" w14:textId="77777777" w:rsidTr="00990D73">
        <w:trPr>
          <w:cantSplit/>
          <w:trHeight w:val="254"/>
        </w:trPr>
        <w:tc>
          <w:tcPr>
            <w:tcW w:w="1316" w:type="dxa"/>
            <w:vMerge/>
          </w:tcPr>
          <w:p w14:paraId="1EBF4121" w14:textId="77777777" w:rsidR="00B61F2A" w:rsidRPr="001362A6" w:rsidRDefault="00B61F2A" w:rsidP="00B61F2A">
            <w:pPr>
              <w:jc w:val="right"/>
              <w:rPr>
                <w:rFonts w:ascii="Lato" w:hAnsi="Lato"/>
                <w:sz w:val="22"/>
                <w:szCs w:val="22"/>
              </w:rPr>
            </w:pPr>
          </w:p>
        </w:tc>
        <w:tc>
          <w:tcPr>
            <w:tcW w:w="5891" w:type="dxa"/>
            <w:vMerge/>
          </w:tcPr>
          <w:p w14:paraId="2A3255A6" w14:textId="77777777" w:rsidR="00B61F2A" w:rsidRPr="001362A6" w:rsidRDefault="00B61F2A" w:rsidP="00B61F2A">
            <w:pPr>
              <w:rPr>
                <w:rFonts w:ascii="Lato" w:hAnsi="Lato"/>
                <w:sz w:val="22"/>
                <w:szCs w:val="22"/>
              </w:rPr>
            </w:pPr>
          </w:p>
        </w:tc>
        <w:tc>
          <w:tcPr>
            <w:tcW w:w="3188" w:type="dxa"/>
          </w:tcPr>
          <w:p w14:paraId="680C7FCB" w14:textId="77777777" w:rsidR="00B61F2A" w:rsidRPr="001362A6" w:rsidRDefault="00B61F2A" w:rsidP="00B61F2A">
            <w:pPr>
              <w:rPr>
                <w:rFonts w:ascii="Lato" w:hAnsi="Lato"/>
                <w:sz w:val="22"/>
                <w:szCs w:val="22"/>
              </w:rPr>
            </w:pPr>
          </w:p>
        </w:tc>
      </w:tr>
      <w:tr w:rsidR="00B61F2A" w:rsidRPr="001362A6" w14:paraId="114F5D69" w14:textId="77777777" w:rsidTr="00990D73">
        <w:trPr>
          <w:cantSplit/>
          <w:trHeight w:val="254"/>
        </w:trPr>
        <w:tc>
          <w:tcPr>
            <w:tcW w:w="1316" w:type="dxa"/>
            <w:vMerge/>
          </w:tcPr>
          <w:p w14:paraId="157AB3D6" w14:textId="77777777" w:rsidR="00B61F2A" w:rsidRPr="001362A6" w:rsidRDefault="00B61F2A" w:rsidP="00B61F2A">
            <w:pPr>
              <w:jc w:val="right"/>
              <w:rPr>
                <w:rFonts w:ascii="Lato" w:hAnsi="Lato"/>
                <w:sz w:val="22"/>
                <w:szCs w:val="22"/>
              </w:rPr>
            </w:pPr>
          </w:p>
        </w:tc>
        <w:tc>
          <w:tcPr>
            <w:tcW w:w="5891" w:type="dxa"/>
            <w:vMerge/>
          </w:tcPr>
          <w:p w14:paraId="1F51D151" w14:textId="77777777" w:rsidR="00B61F2A" w:rsidRPr="001362A6" w:rsidRDefault="00B61F2A" w:rsidP="00B61F2A">
            <w:pPr>
              <w:rPr>
                <w:rFonts w:ascii="Lato" w:hAnsi="Lato"/>
                <w:sz w:val="22"/>
                <w:szCs w:val="22"/>
              </w:rPr>
            </w:pPr>
          </w:p>
        </w:tc>
        <w:tc>
          <w:tcPr>
            <w:tcW w:w="3188" w:type="dxa"/>
          </w:tcPr>
          <w:p w14:paraId="20D7C939" w14:textId="77777777" w:rsidR="00B61F2A" w:rsidRPr="001362A6" w:rsidRDefault="00B61F2A" w:rsidP="00B61F2A">
            <w:pPr>
              <w:rPr>
                <w:rFonts w:ascii="Lato" w:hAnsi="Lato"/>
                <w:sz w:val="22"/>
                <w:szCs w:val="22"/>
              </w:rPr>
            </w:pPr>
          </w:p>
        </w:tc>
      </w:tr>
      <w:tr w:rsidR="00B61F2A" w:rsidRPr="001362A6" w14:paraId="1B588438" w14:textId="77777777" w:rsidTr="00990D73">
        <w:trPr>
          <w:cantSplit/>
          <w:trHeight w:val="254"/>
        </w:trPr>
        <w:tc>
          <w:tcPr>
            <w:tcW w:w="1316" w:type="dxa"/>
          </w:tcPr>
          <w:p w14:paraId="2CBF467C" w14:textId="77777777" w:rsidR="00B61F2A" w:rsidRPr="001362A6" w:rsidRDefault="00B61F2A" w:rsidP="00B61F2A">
            <w:pPr>
              <w:jc w:val="right"/>
              <w:rPr>
                <w:rFonts w:ascii="Lato" w:hAnsi="Lato"/>
                <w:sz w:val="22"/>
                <w:szCs w:val="22"/>
              </w:rPr>
            </w:pPr>
          </w:p>
        </w:tc>
        <w:tc>
          <w:tcPr>
            <w:tcW w:w="5891" w:type="dxa"/>
          </w:tcPr>
          <w:p w14:paraId="40FFC582" w14:textId="77777777" w:rsidR="00B61F2A" w:rsidRPr="001362A6" w:rsidRDefault="00B61F2A" w:rsidP="00B61F2A">
            <w:pPr>
              <w:rPr>
                <w:rFonts w:ascii="Lato" w:hAnsi="Lato"/>
                <w:sz w:val="22"/>
                <w:szCs w:val="22"/>
              </w:rPr>
            </w:pPr>
          </w:p>
        </w:tc>
        <w:tc>
          <w:tcPr>
            <w:tcW w:w="3188" w:type="dxa"/>
          </w:tcPr>
          <w:p w14:paraId="2F48EA7D" w14:textId="77777777" w:rsidR="00B61F2A" w:rsidRPr="001362A6" w:rsidRDefault="00B61F2A" w:rsidP="00B61F2A">
            <w:pPr>
              <w:rPr>
                <w:rFonts w:ascii="Lato" w:hAnsi="Lato"/>
                <w:sz w:val="22"/>
                <w:szCs w:val="22"/>
              </w:rPr>
            </w:pPr>
          </w:p>
        </w:tc>
      </w:tr>
      <w:tr w:rsidR="00B61F2A" w:rsidRPr="001362A6" w14:paraId="0CECDA3A" w14:textId="77777777" w:rsidTr="00990D73">
        <w:tc>
          <w:tcPr>
            <w:tcW w:w="1316" w:type="dxa"/>
          </w:tcPr>
          <w:p w14:paraId="2DD524C6" w14:textId="77777777" w:rsidR="00B61F2A" w:rsidRPr="001362A6" w:rsidRDefault="00B61F2A" w:rsidP="00B61F2A">
            <w:pPr>
              <w:rPr>
                <w:rFonts w:ascii="Lato" w:hAnsi="Lato"/>
                <w:sz w:val="22"/>
                <w:szCs w:val="22"/>
              </w:rPr>
            </w:pPr>
          </w:p>
        </w:tc>
        <w:tc>
          <w:tcPr>
            <w:tcW w:w="5891" w:type="dxa"/>
          </w:tcPr>
          <w:p w14:paraId="64F07DE5" w14:textId="77777777" w:rsidR="00B61F2A" w:rsidRPr="001362A6" w:rsidRDefault="00B61F2A" w:rsidP="00B61F2A">
            <w:pPr>
              <w:pStyle w:val="Heading1"/>
              <w:spacing w:before="0" w:after="0" w:line="240" w:lineRule="auto"/>
              <w:rPr>
                <w:rFonts w:ascii="Lato" w:hAnsi="Lato"/>
                <w:b/>
                <w:color w:val="auto"/>
                <w:sz w:val="22"/>
                <w:szCs w:val="22"/>
              </w:rPr>
            </w:pPr>
            <w:r w:rsidRPr="001362A6">
              <w:rPr>
                <w:rFonts w:ascii="Lato" w:hAnsi="Lato"/>
                <w:b/>
                <w:color w:val="auto"/>
                <w:sz w:val="22"/>
                <w:szCs w:val="22"/>
              </w:rPr>
              <w:t>Subscriptions</w:t>
            </w:r>
          </w:p>
        </w:tc>
        <w:tc>
          <w:tcPr>
            <w:tcW w:w="3188" w:type="dxa"/>
            <w:tcBorders>
              <w:bottom w:val="single" w:sz="4" w:space="0" w:color="auto"/>
            </w:tcBorders>
          </w:tcPr>
          <w:p w14:paraId="791A9C58" w14:textId="77777777" w:rsidR="00B61F2A" w:rsidRPr="001362A6" w:rsidRDefault="00B61F2A" w:rsidP="00B61F2A">
            <w:pPr>
              <w:rPr>
                <w:rFonts w:ascii="Lato" w:hAnsi="Lato"/>
                <w:sz w:val="22"/>
                <w:szCs w:val="22"/>
              </w:rPr>
            </w:pPr>
          </w:p>
        </w:tc>
      </w:tr>
      <w:tr w:rsidR="00B61F2A" w:rsidRPr="001362A6" w14:paraId="0CC0333B" w14:textId="77777777" w:rsidTr="00990D73">
        <w:trPr>
          <w:cantSplit/>
          <w:trHeight w:val="255"/>
        </w:trPr>
        <w:tc>
          <w:tcPr>
            <w:tcW w:w="1316" w:type="dxa"/>
            <w:vMerge w:val="restart"/>
          </w:tcPr>
          <w:p w14:paraId="757C9917" w14:textId="77777777" w:rsidR="00B61F2A" w:rsidRPr="001362A6" w:rsidRDefault="00B61F2A" w:rsidP="00B61F2A">
            <w:pPr>
              <w:rPr>
                <w:rFonts w:ascii="Lato" w:hAnsi="Lato"/>
                <w:b/>
                <w:sz w:val="22"/>
                <w:szCs w:val="22"/>
              </w:rPr>
            </w:pPr>
            <w:r w:rsidRPr="001362A6">
              <w:rPr>
                <w:rFonts w:ascii="Lato" w:hAnsi="Lato"/>
                <w:b/>
                <w:sz w:val="22"/>
                <w:szCs w:val="22"/>
              </w:rPr>
              <w:t>2.12      a)</w:t>
            </w:r>
          </w:p>
        </w:tc>
        <w:tc>
          <w:tcPr>
            <w:tcW w:w="5891" w:type="dxa"/>
            <w:vMerge w:val="restart"/>
            <w:tcBorders>
              <w:right w:val="single" w:sz="4" w:space="0" w:color="auto"/>
            </w:tcBorders>
          </w:tcPr>
          <w:p w14:paraId="480A0622" w14:textId="77777777" w:rsidR="00B61F2A" w:rsidRPr="001362A6" w:rsidRDefault="00B61F2A" w:rsidP="00B61F2A">
            <w:pPr>
              <w:rPr>
                <w:rFonts w:ascii="Lato" w:hAnsi="Lato"/>
                <w:sz w:val="22"/>
                <w:szCs w:val="22"/>
              </w:rPr>
            </w:pPr>
            <w:r w:rsidRPr="001362A6">
              <w:rPr>
                <w:rFonts w:ascii="Lato" w:hAnsi="Lato"/>
                <w:sz w:val="22"/>
                <w:szCs w:val="22"/>
              </w:rPr>
              <w:t>Provide that units will be issued at NAV per unit (plus duties and charges – if applicable);</w:t>
            </w:r>
          </w:p>
        </w:tc>
        <w:tc>
          <w:tcPr>
            <w:tcW w:w="3188" w:type="dxa"/>
            <w:tcBorders>
              <w:top w:val="single" w:sz="4" w:space="0" w:color="auto"/>
              <w:left w:val="single" w:sz="4" w:space="0" w:color="auto"/>
              <w:bottom w:val="single" w:sz="4" w:space="0" w:color="auto"/>
              <w:right w:val="single" w:sz="4" w:space="0" w:color="auto"/>
            </w:tcBorders>
          </w:tcPr>
          <w:p w14:paraId="439A2D14" w14:textId="77777777" w:rsidR="00B61F2A" w:rsidRPr="001362A6" w:rsidRDefault="00B61F2A" w:rsidP="00B61F2A">
            <w:pPr>
              <w:rPr>
                <w:rFonts w:ascii="Lato" w:hAnsi="Lato"/>
                <w:sz w:val="22"/>
                <w:szCs w:val="22"/>
              </w:rPr>
            </w:pPr>
          </w:p>
        </w:tc>
      </w:tr>
      <w:tr w:rsidR="00B61F2A" w:rsidRPr="001362A6" w14:paraId="19B2B247" w14:textId="77777777" w:rsidTr="00990D73">
        <w:trPr>
          <w:cantSplit/>
          <w:trHeight w:val="254"/>
        </w:trPr>
        <w:tc>
          <w:tcPr>
            <w:tcW w:w="1316" w:type="dxa"/>
            <w:vMerge/>
          </w:tcPr>
          <w:p w14:paraId="447A258A" w14:textId="77777777" w:rsidR="00B61F2A" w:rsidRPr="001362A6" w:rsidRDefault="00B61F2A" w:rsidP="00B61F2A">
            <w:pPr>
              <w:rPr>
                <w:rFonts w:ascii="Lato" w:hAnsi="Lato"/>
                <w:sz w:val="22"/>
                <w:szCs w:val="22"/>
              </w:rPr>
            </w:pPr>
          </w:p>
        </w:tc>
        <w:tc>
          <w:tcPr>
            <w:tcW w:w="5891" w:type="dxa"/>
            <w:vMerge/>
          </w:tcPr>
          <w:p w14:paraId="1CFF076F" w14:textId="77777777" w:rsidR="00B61F2A" w:rsidRPr="001362A6" w:rsidRDefault="00B61F2A" w:rsidP="00B61F2A">
            <w:pPr>
              <w:rPr>
                <w:rFonts w:ascii="Lato" w:hAnsi="Lato"/>
                <w:sz w:val="22"/>
                <w:szCs w:val="22"/>
              </w:rPr>
            </w:pPr>
          </w:p>
        </w:tc>
        <w:tc>
          <w:tcPr>
            <w:tcW w:w="3188" w:type="dxa"/>
            <w:tcBorders>
              <w:top w:val="single" w:sz="4" w:space="0" w:color="auto"/>
            </w:tcBorders>
          </w:tcPr>
          <w:p w14:paraId="7ECD012A" w14:textId="77777777" w:rsidR="00B61F2A" w:rsidRPr="001362A6" w:rsidRDefault="00B61F2A" w:rsidP="00B61F2A">
            <w:pPr>
              <w:rPr>
                <w:rFonts w:ascii="Lato" w:hAnsi="Lato"/>
                <w:sz w:val="22"/>
                <w:szCs w:val="22"/>
              </w:rPr>
            </w:pPr>
          </w:p>
        </w:tc>
      </w:tr>
      <w:tr w:rsidR="00B61F2A" w:rsidRPr="001362A6" w14:paraId="41A3E685" w14:textId="77777777" w:rsidTr="00990D73">
        <w:tc>
          <w:tcPr>
            <w:tcW w:w="1316" w:type="dxa"/>
          </w:tcPr>
          <w:p w14:paraId="776E17BE" w14:textId="77777777" w:rsidR="00B61F2A" w:rsidRPr="001362A6" w:rsidRDefault="00B61F2A" w:rsidP="00B61F2A">
            <w:pPr>
              <w:rPr>
                <w:rFonts w:ascii="Lato" w:hAnsi="Lato"/>
                <w:sz w:val="22"/>
                <w:szCs w:val="22"/>
              </w:rPr>
            </w:pPr>
          </w:p>
        </w:tc>
        <w:tc>
          <w:tcPr>
            <w:tcW w:w="5891" w:type="dxa"/>
          </w:tcPr>
          <w:p w14:paraId="5591DEF1"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58229466" w14:textId="77777777" w:rsidR="00B61F2A" w:rsidRPr="001362A6" w:rsidRDefault="00B61F2A" w:rsidP="00B61F2A">
            <w:pPr>
              <w:rPr>
                <w:rFonts w:ascii="Lato" w:hAnsi="Lato"/>
                <w:sz w:val="22"/>
                <w:szCs w:val="22"/>
              </w:rPr>
            </w:pPr>
          </w:p>
        </w:tc>
      </w:tr>
      <w:tr w:rsidR="00B61F2A" w:rsidRPr="001362A6" w14:paraId="4F05BDE2" w14:textId="77777777" w:rsidTr="00990D73">
        <w:tc>
          <w:tcPr>
            <w:tcW w:w="1316" w:type="dxa"/>
          </w:tcPr>
          <w:p w14:paraId="47CF5182" w14:textId="77777777" w:rsidR="00B61F2A" w:rsidRPr="001362A6" w:rsidRDefault="00B61F2A" w:rsidP="00B61F2A">
            <w:pPr>
              <w:jc w:val="right"/>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7776D638" w14:textId="77777777" w:rsidR="00B61F2A" w:rsidRPr="001362A6" w:rsidRDefault="00B61F2A" w:rsidP="00B61F2A">
            <w:pPr>
              <w:rPr>
                <w:rFonts w:ascii="Lato" w:hAnsi="Lato"/>
                <w:sz w:val="22"/>
                <w:szCs w:val="22"/>
              </w:rPr>
            </w:pPr>
            <w:r w:rsidRPr="001362A6">
              <w:rPr>
                <w:rFonts w:ascii="Lato" w:hAnsi="Lato"/>
                <w:sz w:val="22"/>
                <w:szCs w:val="22"/>
              </w:rPr>
              <w:t>Maximum subscription charge (if any);</w:t>
            </w:r>
          </w:p>
        </w:tc>
        <w:tc>
          <w:tcPr>
            <w:tcW w:w="3188" w:type="dxa"/>
            <w:tcBorders>
              <w:top w:val="single" w:sz="4" w:space="0" w:color="auto"/>
              <w:bottom w:val="single" w:sz="4" w:space="0" w:color="auto"/>
              <w:right w:val="single" w:sz="4" w:space="0" w:color="auto"/>
            </w:tcBorders>
          </w:tcPr>
          <w:p w14:paraId="25051510" w14:textId="77777777" w:rsidR="00B61F2A" w:rsidRPr="001362A6" w:rsidRDefault="00B61F2A" w:rsidP="00B61F2A">
            <w:pPr>
              <w:rPr>
                <w:rFonts w:ascii="Lato" w:hAnsi="Lato"/>
                <w:sz w:val="22"/>
                <w:szCs w:val="22"/>
              </w:rPr>
            </w:pPr>
          </w:p>
        </w:tc>
      </w:tr>
      <w:tr w:rsidR="00B61F2A" w:rsidRPr="001362A6" w14:paraId="0E5D8CD4" w14:textId="77777777" w:rsidTr="00990D73">
        <w:tc>
          <w:tcPr>
            <w:tcW w:w="1316" w:type="dxa"/>
          </w:tcPr>
          <w:p w14:paraId="2A527459" w14:textId="77777777" w:rsidR="00B61F2A" w:rsidRPr="001362A6" w:rsidRDefault="00B61F2A" w:rsidP="00B61F2A">
            <w:pPr>
              <w:rPr>
                <w:rFonts w:ascii="Lato" w:hAnsi="Lato"/>
                <w:sz w:val="22"/>
                <w:szCs w:val="22"/>
              </w:rPr>
            </w:pPr>
          </w:p>
        </w:tc>
        <w:tc>
          <w:tcPr>
            <w:tcW w:w="5891" w:type="dxa"/>
          </w:tcPr>
          <w:p w14:paraId="38464DBA"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7C20B8C6" w14:textId="77777777" w:rsidR="00B61F2A" w:rsidRPr="001362A6" w:rsidRDefault="00B61F2A" w:rsidP="00B61F2A">
            <w:pPr>
              <w:rPr>
                <w:rFonts w:ascii="Lato" w:hAnsi="Lato"/>
                <w:sz w:val="22"/>
                <w:szCs w:val="22"/>
              </w:rPr>
            </w:pPr>
          </w:p>
        </w:tc>
      </w:tr>
      <w:tr w:rsidR="00B61F2A" w:rsidRPr="001362A6" w14:paraId="4444C376" w14:textId="77777777" w:rsidTr="00990D73">
        <w:tc>
          <w:tcPr>
            <w:tcW w:w="1316" w:type="dxa"/>
          </w:tcPr>
          <w:p w14:paraId="35F04F19" w14:textId="77777777" w:rsidR="00B61F2A" w:rsidRPr="001362A6" w:rsidRDefault="00B61F2A" w:rsidP="00B61F2A">
            <w:pPr>
              <w:rPr>
                <w:rFonts w:ascii="Lato" w:hAnsi="Lato"/>
                <w:sz w:val="22"/>
                <w:szCs w:val="22"/>
              </w:rPr>
            </w:pPr>
            <w:r w:rsidRPr="001362A6">
              <w:rPr>
                <w:rFonts w:ascii="Lato" w:hAnsi="Lato"/>
                <w:sz w:val="22"/>
                <w:szCs w:val="22"/>
              </w:rPr>
              <w:t>2.12.1</w:t>
            </w:r>
          </w:p>
        </w:tc>
        <w:tc>
          <w:tcPr>
            <w:tcW w:w="5891" w:type="dxa"/>
            <w:tcBorders>
              <w:right w:val="single" w:sz="4" w:space="0" w:color="auto"/>
            </w:tcBorders>
          </w:tcPr>
          <w:p w14:paraId="5F1740C1" w14:textId="77777777" w:rsidR="00B61F2A" w:rsidRPr="001362A6" w:rsidRDefault="00B61F2A" w:rsidP="00B61F2A">
            <w:pPr>
              <w:rPr>
                <w:rFonts w:ascii="Lato" w:hAnsi="Lato"/>
                <w:sz w:val="22"/>
                <w:szCs w:val="22"/>
              </w:rPr>
            </w:pPr>
            <w:r w:rsidRPr="001362A6">
              <w:rPr>
                <w:rFonts w:ascii="Lato" w:hAnsi="Lato"/>
                <w:sz w:val="22"/>
                <w:szCs w:val="22"/>
              </w:rPr>
              <w:t>Deferred sales charge (if any);</w:t>
            </w:r>
          </w:p>
        </w:tc>
        <w:tc>
          <w:tcPr>
            <w:tcW w:w="3188" w:type="dxa"/>
            <w:tcBorders>
              <w:top w:val="single" w:sz="4" w:space="0" w:color="auto"/>
              <w:bottom w:val="single" w:sz="4" w:space="0" w:color="auto"/>
              <w:right w:val="single" w:sz="4" w:space="0" w:color="auto"/>
            </w:tcBorders>
          </w:tcPr>
          <w:p w14:paraId="1A1C21AE" w14:textId="77777777" w:rsidR="00B61F2A" w:rsidRPr="001362A6" w:rsidRDefault="00B61F2A" w:rsidP="00B61F2A">
            <w:pPr>
              <w:rPr>
                <w:rFonts w:ascii="Lato" w:hAnsi="Lato"/>
                <w:sz w:val="22"/>
                <w:szCs w:val="22"/>
              </w:rPr>
            </w:pPr>
          </w:p>
        </w:tc>
      </w:tr>
      <w:tr w:rsidR="00B61F2A" w:rsidRPr="001362A6" w14:paraId="41515B47" w14:textId="77777777" w:rsidTr="00990D73">
        <w:tc>
          <w:tcPr>
            <w:tcW w:w="1316" w:type="dxa"/>
          </w:tcPr>
          <w:p w14:paraId="1D0B6900" w14:textId="77777777" w:rsidR="00B61F2A" w:rsidRPr="001362A6" w:rsidRDefault="00B61F2A" w:rsidP="00B61F2A">
            <w:pPr>
              <w:rPr>
                <w:rFonts w:ascii="Lato" w:hAnsi="Lato"/>
                <w:sz w:val="22"/>
                <w:szCs w:val="22"/>
              </w:rPr>
            </w:pPr>
          </w:p>
        </w:tc>
        <w:tc>
          <w:tcPr>
            <w:tcW w:w="5891" w:type="dxa"/>
          </w:tcPr>
          <w:p w14:paraId="59C7E463"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64919D6D" w14:textId="77777777" w:rsidR="00B61F2A" w:rsidRPr="001362A6" w:rsidRDefault="00B61F2A" w:rsidP="00B61F2A">
            <w:pPr>
              <w:rPr>
                <w:rFonts w:ascii="Lato" w:hAnsi="Lato"/>
                <w:sz w:val="22"/>
                <w:szCs w:val="22"/>
              </w:rPr>
            </w:pPr>
          </w:p>
        </w:tc>
      </w:tr>
      <w:tr w:rsidR="00B61F2A" w:rsidRPr="001362A6" w14:paraId="717FA4B7" w14:textId="77777777" w:rsidTr="00990D73">
        <w:tc>
          <w:tcPr>
            <w:tcW w:w="1316" w:type="dxa"/>
          </w:tcPr>
          <w:p w14:paraId="69279638" w14:textId="77777777" w:rsidR="00B61F2A" w:rsidRPr="001362A6" w:rsidRDefault="00B61F2A" w:rsidP="00B61F2A">
            <w:pPr>
              <w:rPr>
                <w:rFonts w:ascii="Lato" w:hAnsi="Lato"/>
                <w:sz w:val="22"/>
                <w:szCs w:val="22"/>
              </w:rPr>
            </w:pPr>
            <w:r w:rsidRPr="001362A6">
              <w:rPr>
                <w:rFonts w:ascii="Lato" w:hAnsi="Lato"/>
                <w:sz w:val="22"/>
                <w:szCs w:val="22"/>
              </w:rPr>
              <w:t>2.12.2</w:t>
            </w:r>
          </w:p>
        </w:tc>
        <w:tc>
          <w:tcPr>
            <w:tcW w:w="5891" w:type="dxa"/>
            <w:tcBorders>
              <w:right w:val="single" w:sz="4" w:space="0" w:color="auto"/>
            </w:tcBorders>
          </w:tcPr>
          <w:p w14:paraId="2EBAE3F9" w14:textId="77777777" w:rsidR="00B61F2A" w:rsidRPr="001362A6" w:rsidRDefault="00B61F2A" w:rsidP="00B61F2A">
            <w:pPr>
              <w:rPr>
                <w:rFonts w:ascii="Lato" w:hAnsi="Lato"/>
                <w:sz w:val="22"/>
                <w:szCs w:val="22"/>
              </w:rPr>
            </w:pPr>
            <w:r w:rsidRPr="001362A6">
              <w:rPr>
                <w:rFonts w:ascii="Lato" w:hAnsi="Lato"/>
                <w:sz w:val="22"/>
                <w:szCs w:val="22"/>
              </w:rPr>
              <w:t>Initial offer price;</w:t>
            </w:r>
          </w:p>
        </w:tc>
        <w:tc>
          <w:tcPr>
            <w:tcW w:w="3188" w:type="dxa"/>
            <w:tcBorders>
              <w:top w:val="single" w:sz="4" w:space="0" w:color="auto"/>
              <w:left w:val="single" w:sz="4" w:space="0" w:color="auto"/>
              <w:bottom w:val="single" w:sz="4" w:space="0" w:color="auto"/>
              <w:right w:val="single" w:sz="4" w:space="0" w:color="auto"/>
            </w:tcBorders>
          </w:tcPr>
          <w:p w14:paraId="52C88413" w14:textId="77777777" w:rsidR="00B61F2A" w:rsidRPr="001362A6" w:rsidRDefault="00B61F2A" w:rsidP="00B61F2A">
            <w:pPr>
              <w:rPr>
                <w:rFonts w:ascii="Lato" w:hAnsi="Lato"/>
                <w:sz w:val="22"/>
                <w:szCs w:val="22"/>
              </w:rPr>
            </w:pPr>
          </w:p>
        </w:tc>
      </w:tr>
      <w:tr w:rsidR="00B61F2A" w:rsidRPr="001362A6" w14:paraId="67B194BE" w14:textId="77777777" w:rsidTr="00990D73">
        <w:tc>
          <w:tcPr>
            <w:tcW w:w="1316" w:type="dxa"/>
          </w:tcPr>
          <w:p w14:paraId="48DEFC30" w14:textId="77777777" w:rsidR="00B61F2A" w:rsidRPr="001362A6" w:rsidRDefault="00B61F2A" w:rsidP="00B61F2A">
            <w:pPr>
              <w:rPr>
                <w:rFonts w:ascii="Lato" w:hAnsi="Lato"/>
                <w:sz w:val="22"/>
                <w:szCs w:val="22"/>
              </w:rPr>
            </w:pPr>
          </w:p>
        </w:tc>
        <w:tc>
          <w:tcPr>
            <w:tcW w:w="5891" w:type="dxa"/>
          </w:tcPr>
          <w:p w14:paraId="2D7D9315"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458057B5" w14:textId="77777777" w:rsidR="00B61F2A" w:rsidRPr="001362A6" w:rsidRDefault="00B61F2A" w:rsidP="00B61F2A">
            <w:pPr>
              <w:rPr>
                <w:rFonts w:ascii="Lato" w:hAnsi="Lato"/>
                <w:sz w:val="22"/>
                <w:szCs w:val="22"/>
              </w:rPr>
            </w:pPr>
          </w:p>
        </w:tc>
      </w:tr>
      <w:tr w:rsidR="00B61F2A" w:rsidRPr="001362A6" w14:paraId="67597587" w14:textId="77777777" w:rsidTr="00990D73">
        <w:tc>
          <w:tcPr>
            <w:tcW w:w="1316" w:type="dxa"/>
          </w:tcPr>
          <w:p w14:paraId="22A41CA2" w14:textId="77777777" w:rsidR="00B61F2A" w:rsidRPr="001362A6" w:rsidRDefault="00B61F2A" w:rsidP="00B61F2A">
            <w:pPr>
              <w:rPr>
                <w:rFonts w:ascii="Lato" w:hAnsi="Lato"/>
                <w:sz w:val="22"/>
                <w:szCs w:val="22"/>
              </w:rPr>
            </w:pPr>
            <w:r w:rsidRPr="001362A6">
              <w:rPr>
                <w:rFonts w:ascii="Lato" w:hAnsi="Lato"/>
                <w:sz w:val="22"/>
                <w:szCs w:val="22"/>
              </w:rPr>
              <w:t>2.12.3</w:t>
            </w:r>
          </w:p>
        </w:tc>
        <w:tc>
          <w:tcPr>
            <w:tcW w:w="5891" w:type="dxa"/>
            <w:tcBorders>
              <w:right w:val="single" w:sz="4" w:space="0" w:color="auto"/>
            </w:tcBorders>
          </w:tcPr>
          <w:p w14:paraId="0CEB4401" w14:textId="77777777" w:rsidR="00B61F2A" w:rsidRPr="001362A6" w:rsidRDefault="00B61F2A" w:rsidP="00B61F2A">
            <w:pPr>
              <w:rPr>
                <w:rFonts w:ascii="Lato" w:hAnsi="Lato"/>
                <w:sz w:val="22"/>
                <w:szCs w:val="22"/>
              </w:rPr>
            </w:pPr>
            <w:r w:rsidRPr="001362A6">
              <w:rPr>
                <w:rFonts w:ascii="Lato" w:hAnsi="Lato"/>
                <w:sz w:val="22"/>
                <w:szCs w:val="22"/>
              </w:rPr>
              <w:t>Initial offer period;</w:t>
            </w:r>
          </w:p>
        </w:tc>
        <w:tc>
          <w:tcPr>
            <w:tcW w:w="3188" w:type="dxa"/>
            <w:tcBorders>
              <w:top w:val="single" w:sz="4" w:space="0" w:color="auto"/>
              <w:left w:val="single" w:sz="4" w:space="0" w:color="auto"/>
              <w:bottom w:val="single" w:sz="4" w:space="0" w:color="auto"/>
              <w:right w:val="single" w:sz="4" w:space="0" w:color="auto"/>
            </w:tcBorders>
          </w:tcPr>
          <w:p w14:paraId="389C82FA" w14:textId="77777777" w:rsidR="00B61F2A" w:rsidRPr="001362A6" w:rsidRDefault="00B61F2A" w:rsidP="00B61F2A">
            <w:pPr>
              <w:rPr>
                <w:rFonts w:ascii="Lato" w:hAnsi="Lato"/>
                <w:sz w:val="22"/>
                <w:szCs w:val="22"/>
              </w:rPr>
            </w:pPr>
          </w:p>
        </w:tc>
      </w:tr>
      <w:tr w:rsidR="00B61F2A" w:rsidRPr="001362A6" w14:paraId="3BAE237C" w14:textId="77777777" w:rsidTr="00990D73">
        <w:tc>
          <w:tcPr>
            <w:tcW w:w="1316" w:type="dxa"/>
          </w:tcPr>
          <w:p w14:paraId="6DFEAB89" w14:textId="77777777" w:rsidR="00B61F2A" w:rsidRPr="001362A6" w:rsidRDefault="00B61F2A" w:rsidP="00B61F2A">
            <w:pPr>
              <w:jc w:val="right"/>
              <w:rPr>
                <w:rFonts w:ascii="Lato" w:hAnsi="Lato"/>
                <w:sz w:val="22"/>
                <w:szCs w:val="22"/>
              </w:rPr>
            </w:pPr>
            <w:r w:rsidRPr="001362A6">
              <w:rPr>
                <w:rFonts w:ascii="Lato" w:hAnsi="Lato"/>
                <w:sz w:val="22"/>
                <w:szCs w:val="22"/>
              </w:rPr>
              <w:t>(i)</w:t>
            </w:r>
          </w:p>
        </w:tc>
        <w:tc>
          <w:tcPr>
            <w:tcW w:w="5891" w:type="dxa"/>
            <w:tcBorders>
              <w:right w:val="single" w:sz="4" w:space="0" w:color="auto"/>
            </w:tcBorders>
          </w:tcPr>
          <w:p w14:paraId="5E078B66" w14:textId="77777777" w:rsidR="00B61F2A" w:rsidRPr="001362A6" w:rsidRDefault="00B61F2A" w:rsidP="00B61F2A">
            <w:pPr>
              <w:rPr>
                <w:rFonts w:ascii="Lato" w:hAnsi="Lato"/>
                <w:sz w:val="22"/>
                <w:szCs w:val="22"/>
              </w:rPr>
            </w:pPr>
            <w:r w:rsidRPr="001362A6">
              <w:rPr>
                <w:rFonts w:ascii="Lato" w:hAnsi="Lato"/>
                <w:sz w:val="22"/>
                <w:szCs w:val="22"/>
              </w:rPr>
              <w:t>Confirm this is for a period no longer than 6 months</w:t>
            </w:r>
          </w:p>
        </w:tc>
        <w:tc>
          <w:tcPr>
            <w:tcW w:w="3188" w:type="dxa"/>
            <w:tcBorders>
              <w:top w:val="single" w:sz="4" w:space="0" w:color="auto"/>
              <w:bottom w:val="single" w:sz="4" w:space="0" w:color="auto"/>
              <w:right w:val="single" w:sz="4" w:space="0" w:color="auto"/>
            </w:tcBorders>
          </w:tcPr>
          <w:p w14:paraId="627B9FCB" w14:textId="77777777" w:rsidR="00B61F2A" w:rsidRPr="001362A6" w:rsidRDefault="00B61F2A" w:rsidP="00B61F2A">
            <w:pPr>
              <w:rPr>
                <w:rFonts w:ascii="Lato" w:hAnsi="Lato"/>
                <w:sz w:val="22"/>
                <w:szCs w:val="22"/>
              </w:rPr>
            </w:pPr>
          </w:p>
        </w:tc>
      </w:tr>
      <w:tr w:rsidR="00B61F2A" w:rsidRPr="001362A6" w14:paraId="182BB0A2" w14:textId="77777777" w:rsidTr="00990D73">
        <w:tc>
          <w:tcPr>
            <w:tcW w:w="1316" w:type="dxa"/>
          </w:tcPr>
          <w:p w14:paraId="229425BD" w14:textId="77777777" w:rsidR="00B61F2A" w:rsidRPr="001362A6" w:rsidRDefault="00B61F2A" w:rsidP="00B61F2A">
            <w:pPr>
              <w:jc w:val="right"/>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28788766" w14:textId="77777777" w:rsidR="00B61F2A" w:rsidRPr="001362A6" w:rsidRDefault="00B61F2A" w:rsidP="00B61F2A">
            <w:pPr>
              <w:rPr>
                <w:rFonts w:ascii="Lato" w:hAnsi="Lato"/>
                <w:sz w:val="22"/>
                <w:szCs w:val="22"/>
              </w:rPr>
            </w:pPr>
            <w:r w:rsidRPr="001362A6">
              <w:rPr>
                <w:rFonts w:ascii="Lato" w:hAnsi="Lato"/>
                <w:sz w:val="22"/>
                <w:szCs w:val="22"/>
              </w:rPr>
              <w:t>If the Qualifying Investor AIFs is established as venture</w:t>
            </w:r>
          </w:p>
        </w:tc>
        <w:tc>
          <w:tcPr>
            <w:tcW w:w="3188" w:type="dxa"/>
            <w:tcBorders>
              <w:top w:val="single" w:sz="4" w:space="0" w:color="auto"/>
              <w:left w:val="single" w:sz="4" w:space="0" w:color="auto"/>
              <w:bottom w:val="single" w:sz="4" w:space="0" w:color="auto"/>
              <w:right w:val="single" w:sz="4" w:space="0" w:color="auto"/>
            </w:tcBorders>
          </w:tcPr>
          <w:p w14:paraId="32EF0F53" w14:textId="77777777" w:rsidR="00B61F2A" w:rsidRPr="001362A6" w:rsidRDefault="00B61F2A" w:rsidP="00B61F2A">
            <w:pPr>
              <w:rPr>
                <w:rFonts w:ascii="Lato" w:hAnsi="Lato"/>
                <w:sz w:val="22"/>
                <w:szCs w:val="22"/>
              </w:rPr>
            </w:pPr>
          </w:p>
        </w:tc>
      </w:tr>
      <w:tr w:rsidR="00B61F2A" w:rsidRPr="001362A6" w14:paraId="1E28FC42" w14:textId="77777777" w:rsidTr="00990D73">
        <w:tc>
          <w:tcPr>
            <w:tcW w:w="1316" w:type="dxa"/>
          </w:tcPr>
          <w:p w14:paraId="5F23E348" w14:textId="77777777" w:rsidR="00B61F2A" w:rsidRPr="001362A6" w:rsidRDefault="00B61F2A" w:rsidP="00B61F2A">
            <w:pPr>
              <w:jc w:val="right"/>
              <w:rPr>
                <w:rFonts w:ascii="Lato" w:hAnsi="Lato"/>
                <w:sz w:val="22"/>
                <w:szCs w:val="22"/>
              </w:rPr>
            </w:pPr>
          </w:p>
        </w:tc>
        <w:tc>
          <w:tcPr>
            <w:tcW w:w="5891" w:type="dxa"/>
          </w:tcPr>
          <w:p w14:paraId="7ED33657" w14:textId="77777777" w:rsidR="00B61F2A" w:rsidRPr="001362A6" w:rsidRDefault="00B61F2A" w:rsidP="00B61F2A">
            <w:pPr>
              <w:rPr>
                <w:rFonts w:ascii="Lato" w:hAnsi="Lato"/>
                <w:sz w:val="22"/>
                <w:szCs w:val="22"/>
              </w:rPr>
            </w:pPr>
            <w:r w:rsidRPr="001362A6">
              <w:rPr>
                <w:rFonts w:ascii="Lato" w:hAnsi="Lato"/>
                <w:sz w:val="22"/>
                <w:szCs w:val="22"/>
              </w:rPr>
              <w:t>capital, development capital, private equity, real estate or loan originating Qualifying Investor AIFs , the initial offer period may extend up to two years and six months provided that the terms of the offer ensure that early unitholders are not prejudiced by the arrangements. Where such Qualifying Investor AIFs have multiple closings, this period must commence no later than the date of first closing.</w:t>
            </w:r>
          </w:p>
        </w:tc>
        <w:tc>
          <w:tcPr>
            <w:tcW w:w="3188" w:type="dxa"/>
            <w:tcBorders>
              <w:top w:val="single" w:sz="4" w:space="0" w:color="auto"/>
            </w:tcBorders>
          </w:tcPr>
          <w:p w14:paraId="07D8AB1C" w14:textId="77777777" w:rsidR="00B61F2A" w:rsidRPr="001362A6" w:rsidRDefault="00B61F2A" w:rsidP="00B61F2A">
            <w:pPr>
              <w:rPr>
                <w:rFonts w:ascii="Lato" w:hAnsi="Lato"/>
                <w:sz w:val="22"/>
                <w:szCs w:val="22"/>
              </w:rPr>
            </w:pPr>
          </w:p>
        </w:tc>
      </w:tr>
      <w:tr w:rsidR="00B61F2A" w:rsidRPr="001362A6" w14:paraId="5211AAE5" w14:textId="77777777" w:rsidTr="00990D73">
        <w:tc>
          <w:tcPr>
            <w:tcW w:w="1316" w:type="dxa"/>
          </w:tcPr>
          <w:p w14:paraId="25623477" w14:textId="77777777" w:rsidR="00B61F2A" w:rsidRPr="001362A6" w:rsidRDefault="00B61F2A" w:rsidP="00B61F2A">
            <w:pPr>
              <w:rPr>
                <w:rFonts w:ascii="Lato" w:hAnsi="Lato"/>
                <w:sz w:val="22"/>
                <w:szCs w:val="22"/>
              </w:rPr>
            </w:pPr>
          </w:p>
        </w:tc>
        <w:tc>
          <w:tcPr>
            <w:tcW w:w="5891" w:type="dxa"/>
          </w:tcPr>
          <w:p w14:paraId="43836D75"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240AEC22" w14:textId="77777777" w:rsidR="00B61F2A" w:rsidRPr="001362A6" w:rsidRDefault="00B61F2A" w:rsidP="00B61F2A">
            <w:pPr>
              <w:rPr>
                <w:rFonts w:ascii="Lato" w:hAnsi="Lato"/>
                <w:sz w:val="22"/>
                <w:szCs w:val="22"/>
              </w:rPr>
            </w:pPr>
          </w:p>
        </w:tc>
      </w:tr>
      <w:tr w:rsidR="00B61F2A" w:rsidRPr="001362A6" w14:paraId="10D43778" w14:textId="77777777" w:rsidTr="00990D73">
        <w:trPr>
          <w:cantSplit/>
          <w:trHeight w:val="255"/>
        </w:trPr>
        <w:tc>
          <w:tcPr>
            <w:tcW w:w="1316" w:type="dxa"/>
            <w:vMerge w:val="restart"/>
          </w:tcPr>
          <w:p w14:paraId="0AD5E52B" w14:textId="77777777" w:rsidR="00B61F2A" w:rsidRPr="001362A6" w:rsidRDefault="00B61F2A" w:rsidP="00B61F2A">
            <w:pPr>
              <w:rPr>
                <w:rFonts w:ascii="Lato" w:hAnsi="Lato"/>
                <w:sz w:val="22"/>
                <w:szCs w:val="22"/>
              </w:rPr>
            </w:pPr>
            <w:r w:rsidRPr="001362A6">
              <w:rPr>
                <w:rFonts w:ascii="Lato" w:hAnsi="Lato"/>
                <w:sz w:val="22"/>
                <w:szCs w:val="22"/>
              </w:rPr>
              <w:t>2.12.4</w:t>
            </w:r>
          </w:p>
        </w:tc>
        <w:tc>
          <w:tcPr>
            <w:tcW w:w="5891" w:type="dxa"/>
            <w:vMerge w:val="restart"/>
            <w:tcBorders>
              <w:right w:val="single" w:sz="4" w:space="0" w:color="auto"/>
            </w:tcBorders>
          </w:tcPr>
          <w:p w14:paraId="4AC54B28" w14:textId="77777777" w:rsidR="00B61F2A" w:rsidRPr="001362A6" w:rsidRDefault="00B61F2A" w:rsidP="00B61F2A">
            <w:pPr>
              <w:jc w:val="both"/>
              <w:rPr>
                <w:rFonts w:ascii="Lato" w:hAnsi="Lato"/>
                <w:sz w:val="22"/>
                <w:szCs w:val="22"/>
              </w:rPr>
            </w:pPr>
            <w:r w:rsidRPr="001362A6">
              <w:rPr>
                <w:rFonts w:ascii="Lato" w:hAnsi="Lato"/>
                <w:sz w:val="22"/>
                <w:szCs w:val="22"/>
              </w:rPr>
              <w:t xml:space="preserve">Details of how ownership will be confirmed e.g. unit/share certificates or </w:t>
            </w:r>
            <w:r w:rsidRPr="001362A6">
              <w:rPr>
                <w:rFonts w:ascii="Lato" w:hAnsi="Lato"/>
                <w:sz w:val="22"/>
                <w:szCs w:val="22"/>
                <w:u w:val="single"/>
              </w:rPr>
              <w:t>written</w:t>
            </w:r>
            <w:r w:rsidRPr="001362A6">
              <w:rPr>
                <w:rFonts w:ascii="Lato" w:hAnsi="Lato"/>
                <w:sz w:val="22"/>
                <w:szCs w:val="22"/>
              </w:rPr>
              <w:t xml:space="preserve"> confirmation of entry on the register.</w:t>
            </w:r>
          </w:p>
        </w:tc>
        <w:tc>
          <w:tcPr>
            <w:tcW w:w="3188" w:type="dxa"/>
            <w:tcBorders>
              <w:top w:val="single" w:sz="4" w:space="0" w:color="auto"/>
              <w:bottom w:val="single" w:sz="4" w:space="0" w:color="auto"/>
              <w:right w:val="single" w:sz="4" w:space="0" w:color="auto"/>
            </w:tcBorders>
          </w:tcPr>
          <w:p w14:paraId="0DE121A4" w14:textId="77777777" w:rsidR="00B61F2A" w:rsidRPr="001362A6" w:rsidRDefault="00B61F2A" w:rsidP="00B61F2A">
            <w:pPr>
              <w:rPr>
                <w:rFonts w:ascii="Lato" w:hAnsi="Lato"/>
                <w:sz w:val="22"/>
                <w:szCs w:val="22"/>
              </w:rPr>
            </w:pPr>
            <w:r w:rsidRPr="001362A6">
              <w:rPr>
                <w:rFonts w:ascii="Lato" w:hAnsi="Lato"/>
                <w:sz w:val="22"/>
                <w:szCs w:val="22"/>
              </w:rPr>
              <w:t xml:space="preserve"> </w:t>
            </w:r>
          </w:p>
        </w:tc>
      </w:tr>
      <w:tr w:rsidR="00B61F2A" w:rsidRPr="001362A6" w14:paraId="44342A23" w14:textId="77777777" w:rsidTr="00990D73">
        <w:trPr>
          <w:cantSplit/>
          <w:trHeight w:val="254"/>
        </w:trPr>
        <w:tc>
          <w:tcPr>
            <w:tcW w:w="1316" w:type="dxa"/>
            <w:vMerge/>
          </w:tcPr>
          <w:p w14:paraId="3860B47C" w14:textId="77777777" w:rsidR="00B61F2A" w:rsidRPr="001362A6" w:rsidRDefault="00B61F2A" w:rsidP="00B61F2A">
            <w:pPr>
              <w:rPr>
                <w:rFonts w:ascii="Lato" w:hAnsi="Lato"/>
                <w:sz w:val="22"/>
                <w:szCs w:val="22"/>
              </w:rPr>
            </w:pPr>
          </w:p>
        </w:tc>
        <w:tc>
          <w:tcPr>
            <w:tcW w:w="5891" w:type="dxa"/>
            <w:vMerge/>
          </w:tcPr>
          <w:p w14:paraId="70F8D43B" w14:textId="77777777" w:rsidR="00B61F2A" w:rsidRPr="001362A6" w:rsidRDefault="00B61F2A" w:rsidP="00B61F2A">
            <w:pPr>
              <w:rPr>
                <w:rFonts w:ascii="Lato" w:hAnsi="Lato"/>
                <w:sz w:val="22"/>
                <w:szCs w:val="22"/>
              </w:rPr>
            </w:pPr>
          </w:p>
        </w:tc>
        <w:tc>
          <w:tcPr>
            <w:tcW w:w="3188" w:type="dxa"/>
            <w:tcBorders>
              <w:top w:val="single" w:sz="4" w:space="0" w:color="auto"/>
              <w:left w:val="single" w:sz="4" w:space="0" w:color="auto"/>
              <w:bottom w:val="single" w:sz="4" w:space="0" w:color="auto"/>
              <w:right w:val="single" w:sz="4" w:space="0" w:color="auto"/>
            </w:tcBorders>
          </w:tcPr>
          <w:p w14:paraId="14F2DDD0" w14:textId="77777777" w:rsidR="00B61F2A" w:rsidRPr="001362A6" w:rsidRDefault="00B61F2A" w:rsidP="00B61F2A">
            <w:pPr>
              <w:rPr>
                <w:rFonts w:ascii="Lato" w:hAnsi="Lato"/>
                <w:sz w:val="22"/>
                <w:szCs w:val="22"/>
              </w:rPr>
            </w:pPr>
          </w:p>
        </w:tc>
      </w:tr>
      <w:tr w:rsidR="00B61F2A" w:rsidRPr="001362A6" w14:paraId="7ADC9331" w14:textId="77777777" w:rsidTr="00990D73">
        <w:tc>
          <w:tcPr>
            <w:tcW w:w="1316" w:type="dxa"/>
          </w:tcPr>
          <w:p w14:paraId="204155B0" w14:textId="77777777" w:rsidR="00B61F2A" w:rsidRPr="001362A6" w:rsidRDefault="00B61F2A" w:rsidP="00B61F2A">
            <w:pPr>
              <w:rPr>
                <w:rFonts w:ascii="Lato" w:hAnsi="Lato"/>
                <w:sz w:val="22"/>
                <w:szCs w:val="22"/>
              </w:rPr>
            </w:pPr>
          </w:p>
        </w:tc>
        <w:tc>
          <w:tcPr>
            <w:tcW w:w="5891" w:type="dxa"/>
          </w:tcPr>
          <w:p w14:paraId="0580F3AB" w14:textId="77777777" w:rsidR="00B61F2A" w:rsidRPr="001362A6" w:rsidRDefault="00B61F2A" w:rsidP="00B61F2A">
            <w:pPr>
              <w:rPr>
                <w:rFonts w:ascii="Lato" w:hAnsi="Lato"/>
                <w:sz w:val="22"/>
                <w:szCs w:val="22"/>
              </w:rPr>
            </w:pPr>
          </w:p>
        </w:tc>
        <w:tc>
          <w:tcPr>
            <w:tcW w:w="3188" w:type="dxa"/>
            <w:tcBorders>
              <w:top w:val="single" w:sz="4" w:space="0" w:color="auto"/>
            </w:tcBorders>
          </w:tcPr>
          <w:p w14:paraId="3F109979" w14:textId="77777777" w:rsidR="00B61F2A" w:rsidRPr="001362A6" w:rsidRDefault="00B61F2A" w:rsidP="00B61F2A">
            <w:pPr>
              <w:rPr>
                <w:rFonts w:ascii="Lato" w:hAnsi="Lato"/>
                <w:sz w:val="22"/>
                <w:szCs w:val="22"/>
              </w:rPr>
            </w:pPr>
          </w:p>
        </w:tc>
      </w:tr>
      <w:tr w:rsidR="00B61F2A" w:rsidRPr="001362A6" w14:paraId="7CD338C7" w14:textId="77777777" w:rsidTr="00990D73">
        <w:tc>
          <w:tcPr>
            <w:tcW w:w="1316" w:type="dxa"/>
          </w:tcPr>
          <w:p w14:paraId="7B07AFA4" w14:textId="77777777" w:rsidR="00B61F2A" w:rsidRPr="001362A6" w:rsidRDefault="00B61F2A" w:rsidP="00B61F2A">
            <w:pPr>
              <w:rPr>
                <w:rFonts w:ascii="Lato" w:hAnsi="Lato"/>
                <w:sz w:val="22"/>
                <w:szCs w:val="22"/>
              </w:rPr>
            </w:pPr>
            <w:r w:rsidRPr="001362A6">
              <w:rPr>
                <w:rFonts w:ascii="Lato" w:hAnsi="Lato"/>
                <w:sz w:val="22"/>
                <w:szCs w:val="22"/>
              </w:rPr>
              <w:t>2.12.5</w:t>
            </w:r>
          </w:p>
        </w:tc>
        <w:tc>
          <w:tcPr>
            <w:tcW w:w="5891" w:type="dxa"/>
          </w:tcPr>
          <w:p w14:paraId="70EA15B2" w14:textId="77777777" w:rsidR="00B61F2A" w:rsidRPr="001362A6" w:rsidRDefault="00B61F2A" w:rsidP="00B61F2A">
            <w:pPr>
              <w:rPr>
                <w:rFonts w:ascii="Lato" w:hAnsi="Lato"/>
                <w:sz w:val="22"/>
                <w:szCs w:val="22"/>
                <w:u w:val="single"/>
              </w:rPr>
            </w:pPr>
            <w:r w:rsidRPr="001362A6">
              <w:rPr>
                <w:rFonts w:ascii="Lato" w:hAnsi="Lato"/>
                <w:sz w:val="22"/>
                <w:szCs w:val="22"/>
              </w:rPr>
              <w:t>Disclose the types and main characteristics of the units and in particular:</w:t>
            </w:r>
          </w:p>
        </w:tc>
        <w:tc>
          <w:tcPr>
            <w:tcW w:w="3188" w:type="dxa"/>
            <w:tcBorders>
              <w:bottom w:val="single" w:sz="4" w:space="0" w:color="auto"/>
            </w:tcBorders>
          </w:tcPr>
          <w:p w14:paraId="5F4F35E3" w14:textId="77777777" w:rsidR="00B61F2A" w:rsidRPr="001362A6" w:rsidRDefault="00B61F2A" w:rsidP="00B61F2A">
            <w:pPr>
              <w:rPr>
                <w:rFonts w:ascii="Lato" w:hAnsi="Lato"/>
                <w:sz w:val="22"/>
                <w:szCs w:val="22"/>
              </w:rPr>
            </w:pPr>
          </w:p>
        </w:tc>
      </w:tr>
      <w:tr w:rsidR="00B61F2A" w:rsidRPr="001362A6" w14:paraId="05341C9F" w14:textId="77777777" w:rsidTr="00990D73">
        <w:tc>
          <w:tcPr>
            <w:tcW w:w="1316" w:type="dxa"/>
          </w:tcPr>
          <w:p w14:paraId="4E361909"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0C6B5A18" w14:textId="77777777" w:rsidR="00B61F2A" w:rsidRPr="001362A6" w:rsidRDefault="00B61F2A" w:rsidP="00B61F2A">
            <w:pPr>
              <w:rPr>
                <w:rFonts w:ascii="Lato" w:hAnsi="Lato"/>
                <w:sz w:val="22"/>
                <w:szCs w:val="22"/>
              </w:rPr>
            </w:pPr>
            <w:r w:rsidRPr="001362A6">
              <w:rPr>
                <w:rFonts w:ascii="Lato" w:hAnsi="Lato"/>
                <w:sz w:val="22"/>
                <w:szCs w:val="22"/>
              </w:rPr>
              <w:t>•</w:t>
            </w:r>
            <w:r w:rsidRPr="001362A6">
              <w:rPr>
                <w:rFonts w:ascii="Lato" w:hAnsi="Lato"/>
                <w:sz w:val="22"/>
                <w:szCs w:val="22"/>
              </w:rPr>
              <w:tab/>
              <w:t xml:space="preserve">the nature of the right (real, personal or other) </w:t>
            </w:r>
          </w:p>
        </w:tc>
        <w:tc>
          <w:tcPr>
            <w:tcW w:w="3188" w:type="dxa"/>
            <w:tcBorders>
              <w:top w:val="single" w:sz="4" w:space="0" w:color="auto"/>
              <w:left w:val="single" w:sz="4" w:space="0" w:color="auto"/>
              <w:bottom w:val="single" w:sz="4" w:space="0" w:color="auto"/>
              <w:right w:val="single" w:sz="4" w:space="0" w:color="auto"/>
            </w:tcBorders>
          </w:tcPr>
          <w:p w14:paraId="0D6C0CCF" w14:textId="77777777" w:rsidR="00B61F2A" w:rsidRPr="001362A6" w:rsidRDefault="00B61F2A" w:rsidP="00B61F2A">
            <w:pPr>
              <w:rPr>
                <w:rFonts w:ascii="Lato" w:hAnsi="Lato"/>
                <w:sz w:val="22"/>
                <w:szCs w:val="22"/>
              </w:rPr>
            </w:pPr>
          </w:p>
        </w:tc>
      </w:tr>
      <w:tr w:rsidR="00B61F2A" w:rsidRPr="001362A6" w14:paraId="36E3F80D" w14:textId="77777777" w:rsidTr="00990D73">
        <w:tc>
          <w:tcPr>
            <w:tcW w:w="1316" w:type="dxa"/>
          </w:tcPr>
          <w:p w14:paraId="3B3AB4D0" w14:textId="77777777" w:rsidR="00B61F2A" w:rsidRPr="001362A6" w:rsidRDefault="00B61F2A" w:rsidP="00B61F2A">
            <w:pPr>
              <w:rPr>
                <w:rFonts w:ascii="Lato" w:hAnsi="Lato"/>
                <w:sz w:val="22"/>
                <w:szCs w:val="22"/>
              </w:rPr>
            </w:pPr>
          </w:p>
        </w:tc>
        <w:tc>
          <w:tcPr>
            <w:tcW w:w="5891" w:type="dxa"/>
          </w:tcPr>
          <w:p w14:paraId="56375A1D" w14:textId="77777777" w:rsidR="00B61F2A" w:rsidRPr="001362A6" w:rsidRDefault="00B61F2A" w:rsidP="00B61F2A">
            <w:pPr>
              <w:rPr>
                <w:rFonts w:ascii="Lato" w:hAnsi="Lato"/>
                <w:sz w:val="22"/>
                <w:szCs w:val="22"/>
              </w:rPr>
            </w:pPr>
            <w:r w:rsidRPr="001362A6">
              <w:rPr>
                <w:rFonts w:ascii="Lato" w:hAnsi="Lato"/>
                <w:sz w:val="22"/>
                <w:szCs w:val="22"/>
              </w:rPr>
              <w:t>represented by the unit;</w:t>
            </w:r>
          </w:p>
        </w:tc>
        <w:tc>
          <w:tcPr>
            <w:tcW w:w="3188" w:type="dxa"/>
            <w:tcBorders>
              <w:top w:val="single" w:sz="4" w:space="0" w:color="auto"/>
              <w:bottom w:val="single" w:sz="4" w:space="0" w:color="auto"/>
            </w:tcBorders>
          </w:tcPr>
          <w:p w14:paraId="24890079" w14:textId="77777777" w:rsidR="00B61F2A" w:rsidRPr="001362A6" w:rsidRDefault="00B61F2A" w:rsidP="00B61F2A">
            <w:pPr>
              <w:rPr>
                <w:rFonts w:ascii="Lato" w:hAnsi="Lato"/>
                <w:sz w:val="22"/>
                <w:szCs w:val="22"/>
              </w:rPr>
            </w:pPr>
          </w:p>
        </w:tc>
      </w:tr>
      <w:tr w:rsidR="00B61F2A" w:rsidRPr="001362A6" w14:paraId="5ED9E3CB" w14:textId="77777777" w:rsidTr="00990D73">
        <w:tc>
          <w:tcPr>
            <w:tcW w:w="1316" w:type="dxa"/>
          </w:tcPr>
          <w:p w14:paraId="62AFD93F"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0F2E2D84" w14:textId="77777777" w:rsidR="00B61F2A" w:rsidRPr="001362A6" w:rsidRDefault="00B61F2A" w:rsidP="00B61F2A">
            <w:pPr>
              <w:rPr>
                <w:rFonts w:ascii="Lato" w:hAnsi="Lato"/>
                <w:sz w:val="22"/>
                <w:szCs w:val="22"/>
              </w:rPr>
            </w:pPr>
            <w:r w:rsidRPr="001362A6">
              <w:rPr>
                <w:rFonts w:ascii="Lato" w:hAnsi="Lato"/>
                <w:sz w:val="22"/>
                <w:szCs w:val="22"/>
              </w:rPr>
              <w:t>•</w:t>
            </w:r>
            <w:r w:rsidRPr="001362A6">
              <w:rPr>
                <w:rFonts w:ascii="Lato" w:hAnsi="Lato"/>
                <w:sz w:val="22"/>
                <w:szCs w:val="22"/>
              </w:rPr>
              <w:tab/>
              <w:t>whether there are original securities or certificates</w:t>
            </w:r>
          </w:p>
        </w:tc>
        <w:tc>
          <w:tcPr>
            <w:tcW w:w="3188" w:type="dxa"/>
            <w:tcBorders>
              <w:top w:val="single" w:sz="4" w:space="0" w:color="auto"/>
              <w:left w:val="single" w:sz="4" w:space="0" w:color="auto"/>
              <w:bottom w:val="single" w:sz="4" w:space="0" w:color="auto"/>
              <w:right w:val="single" w:sz="4" w:space="0" w:color="auto"/>
            </w:tcBorders>
          </w:tcPr>
          <w:p w14:paraId="7994DC71" w14:textId="77777777" w:rsidR="00B61F2A" w:rsidRPr="001362A6" w:rsidRDefault="00B61F2A" w:rsidP="00B61F2A">
            <w:pPr>
              <w:rPr>
                <w:rFonts w:ascii="Lato" w:hAnsi="Lato"/>
                <w:sz w:val="22"/>
                <w:szCs w:val="22"/>
              </w:rPr>
            </w:pPr>
          </w:p>
        </w:tc>
      </w:tr>
      <w:tr w:rsidR="00B61F2A" w:rsidRPr="001362A6" w14:paraId="4EF3AE08" w14:textId="77777777" w:rsidTr="00FB541F">
        <w:tc>
          <w:tcPr>
            <w:tcW w:w="1316" w:type="dxa"/>
          </w:tcPr>
          <w:p w14:paraId="6804CF9D" w14:textId="77777777" w:rsidR="00B61F2A" w:rsidRPr="001362A6" w:rsidRDefault="00B61F2A" w:rsidP="00B61F2A">
            <w:pPr>
              <w:rPr>
                <w:rFonts w:ascii="Lato" w:hAnsi="Lato"/>
                <w:sz w:val="22"/>
                <w:szCs w:val="22"/>
              </w:rPr>
            </w:pPr>
          </w:p>
        </w:tc>
        <w:tc>
          <w:tcPr>
            <w:tcW w:w="5891" w:type="dxa"/>
          </w:tcPr>
          <w:p w14:paraId="1B9DB751" w14:textId="77777777" w:rsidR="00B61F2A" w:rsidRPr="001362A6" w:rsidRDefault="00B61F2A" w:rsidP="00B61F2A">
            <w:pPr>
              <w:rPr>
                <w:rFonts w:ascii="Lato" w:hAnsi="Lato"/>
                <w:sz w:val="22"/>
                <w:szCs w:val="22"/>
              </w:rPr>
            </w:pPr>
            <w:r w:rsidRPr="001362A6">
              <w:rPr>
                <w:rFonts w:ascii="Lato" w:hAnsi="Lato"/>
                <w:sz w:val="22"/>
                <w:szCs w:val="22"/>
              </w:rPr>
              <w:t xml:space="preserve">providing evidence of title;  </w:t>
            </w:r>
          </w:p>
        </w:tc>
        <w:tc>
          <w:tcPr>
            <w:tcW w:w="3188" w:type="dxa"/>
            <w:tcBorders>
              <w:top w:val="single" w:sz="4" w:space="0" w:color="auto"/>
              <w:bottom w:val="single" w:sz="4" w:space="0" w:color="auto"/>
            </w:tcBorders>
          </w:tcPr>
          <w:p w14:paraId="0C8E6CE1" w14:textId="77777777" w:rsidR="00B61F2A" w:rsidRPr="001362A6" w:rsidRDefault="00B61F2A" w:rsidP="00B61F2A">
            <w:pPr>
              <w:rPr>
                <w:rFonts w:ascii="Lato" w:hAnsi="Lato"/>
                <w:sz w:val="22"/>
                <w:szCs w:val="22"/>
              </w:rPr>
            </w:pPr>
          </w:p>
        </w:tc>
      </w:tr>
      <w:tr w:rsidR="00B61F2A" w:rsidRPr="001362A6" w14:paraId="2313822E" w14:textId="77777777" w:rsidTr="00FB541F">
        <w:tc>
          <w:tcPr>
            <w:tcW w:w="1316" w:type="dxa"/>
          </w:tcPr>
          <w:p w14:paraId="75684EE1"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3DA7161C" w14:textId="77777777" w:rsidR="00B61F2A" w:rsidRPr="001362A6" w:rsidRDefault="00B61F2A" w:rsidP="00B61F2A">
            <w:pPr>
              <w:numPr>
                <w:ilvl w:val="0"/>
                <w:numId w:val="15"/>
              </w:numPr>
              <w:ind w:left="719" w:hanging="719"/>
              <w:rPr>
                <w:rFonts w:ascii="Lato" w:hAnsi="Lato"/>
                <w:sz w:val="22"/>
                <w:szCs w:val="22"/>
              </w:rPr>
            </w:pPr>
            <w:r w:rsidRPr="001362A6">
              <w:rPr>
                <w:rFonts w:ascii="Lato" w:hAnsi="Lato"/>
                <w:sz w:val="22"/>
                <w:szCs w:val="22"/>
              </w:rPr>
              <w:t xml:space="preserve">state whether there is entry in a register or in an </w:t>
            </w:r>
          </w:p>
        </w:tc>
        <w:tc>
          <w:tcPr>
            <w:tcW w:w="3188" w:type="dxa"/>
            <w:tcBorders>
              <w:top w:val="single" w:sz="4" w:space="0" w:color="auto"/>
              <w:left w:val="single" w:sz="4" w:space="0" w:color="auto"/>
              <w:bottom w:val="single" w:sz="4" w:space="0" w:color="auto"/>
              <w:right w:val="single" w:sz="4" w:space="0" w:color="auto"/>
            </w:tcBorders>
          </w:tcPr>
          <w:p w14:paraId="4E07FA20" w14:textId="77777777" w:rsidR="00B61F2A" w:rsidRPr="001362A6" w:rsidRDefault="00B61F2A" w:rsidP="00B61F2A">
            <w:pPr>
              <w:rPr>
                <w:rFonts w:ascii="Lato" w:hAnsi="Lato"/>
                <w:sz w:val="22"/>
                <w:szCs w:val="22"/>
              </w:rPr>
            </w:pPr>
          </w:p>
        </w:tc>
      </w:tr>
      <w:tr w:rsidR="00B61F2A" w:rsidRPr="001362A6" w14:paraId="1E82059E" w14:textId="77777777" w:rsidTr="00FB541F">
        <w:tc>
          <w:tcPr>
            <w:tcW w:w="1316" w:type="dxa"/>
          </w:tcPr>
          <w:p w14:paraId="3E75EF69" w14:textId="77777777" w:rsidR="00B61F2A" w:rsidRPr="001362A6" w:rsidRDefault="00B61F2A" w:rsidP="00B61F2A">
            <w:pPr>
              <w:rPr>
                <w:rFonts w:ascii="Lato" w:hAnsi="Lato"/>
                <w:sz w:val="22"/>
                <w:szCs w:val="22"/>
              </w:rPr>
            </w:pPr>
          </w:p>
        </w:tc>
        <w:tc>
          <w:tcPr>
            <w:tcW w:w="5891" w:type="dxa"/>
          </w:tcPr>
          <w:p w14:paraId="4D6E5AAC" w14:textId="77777777" w:rsidR="00B61F2A" w:rsidRPr="001362A6" w:rsidRDefault="00B61F2A" w:rsidP="00B61F2A">
            <w:pPr>
              <w:ind w:left="719"/>
              <w:rPr>
                <w:rFonts w:ascii="Lato" w:hAnsi="Lato"/>
                <w:sz w:val="22"/>
                <w:szCs w:val="22"/>
              </w:rPr>
            </w:pPr>
            <w:r w:rsidRPr="001362A6">
              <w:rPr>
                <w:rFonts w:ascii="Lato" w:hAnsi="Lato"/>
                <w:sz w:val="22"/>
                <w:szCs w:val="22"/>
              </w:rPr>
              <w:t>account,</w:t>
            </w:r>
          </w:p>
        </w:tc>
        <w:tc>
          <w:tcPr>
            <w:tcW w:w="3188" w:type="dxa"/>
            <w:tcBorders>
              <w:top w:val="single" w:sz="4" w:space="0" w:color="auto"/>
              <w:bottom w:val="single" w:sz="4" w:space="0" w:color="auto"/>
            </w:tcBorders>
          </w:tcPr>
          <w:p w14:paraId="1D9955EC" w14:textId="77777777" w:rsidR="00B61F2A" w:rsidRPr="001362A6" w:rsidRDefault="00B61F2A" w:rsidP="00B61F2A">
            <w:pPr>
              <w:rPr>
                <w:rFonts w:ascii="Lato" w:hAnsi="Lato"/>
                <w:sz w:val="22"/>
                <w:szCs w:val="22"/>
              </w:rPr>
            </w:pPr>
          </w:p>
        </w:tc>
      </w:tr>
      <w:tr w:rsidR="00B61F2A" w:rsidRPr="001362A6" w14:paraId="7758AB5A" w14:textId="77777777" w:rsidTr="00FB541F">
        <w:tc>
          <w:tcPr>
            <w:tcW w:w="1316" w:type="dxa"/>
          </w:tcPr>
          <w:p w14:paraId="7D1E51CA"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0F34B8F5" w14:textId="77777777" w:rsidR="00B61F2A" w:rsidRPr="001362A6" w:rsidRDefault="00B61F2A" w:rsidP="00B61F2A">
            <w:pPr>
              <w:rPr>
                <w:rFonts w:ascii="Lato" w:hAnsi="Lato"/>
                <w:sz w:val="22"/>
                <w:szCs w:val="22"/>
              </w:rPr>
            </w:pPr>
            <w:r w:rsidRPr="001362A6">
              <w:rPr>
                <w:rFonts w:ascii="Lato" w:hAnsi="Lato"/>
                <w:sz w:val="22"/>
                <w:szCs w:val="22"/>
              </w:rPr>
              <w:t>•</w:t>
            </w:r>
            <w:r w:rsidRPr="001362A6">
              <w:rPr>
                <w:rFonts w:ascii="Lato" w:hAnsi="Lato"/>
                <w:sz w:val="22"/>
                <w:szCs w:val="22"/>
              </w:rPr>
              <w:tab/>
              <w:t>the characteristics of the units;</w:t>
            </w:r>
          </w:p>
        </w:tc>
        <w:tc>
          <w:tcPr>
            <w:tcW w:w="3188" w:type="dxa"/>
            <w:tcBorders>
              <w:top w:val="single" w:sz="4" w:space="0" w:color="auto"/>
              <w:left w:val="single" w:sz="4" w:space="0" w:color="auto"/>
              <w:bottom w:val="single" w:sz="4" w:space="0" w:color="auto"/>
              <w:right w:val="single" w:sz="4" w:space="0" w:color="auto"/>
            </w:tcBorders>
          </w:tcPr>
          <w:p w14:paraId="74A84B2B" w14:textId="77777777" w:rsidR="00B61F2A" w:rsidRPr="001362A6" w:rsidRDefault="00B61F2A" w:rsidP="00B61F2A">
            <w:pPr>
              <w:rPr>
                <w:rFonts w:ascii="Lato" w:hAnsi="Lato"/>
                <w:sz w:val="22"/>
                <w:szCs w:val="22"/>
              </w:rPr>
            </w:pPr>
          </w:p>
        </w:tc>
      </w:tr>
      <w:tr w:rsidR="00B61F2A" w:rsidRPr="001362A6" w14:paraId="1BC33052" w14:textId="77777777" w:rsidTr="00990D73">
        <w:tc>
          <w:tcPr>
            <w:tcW w:w="1316" w:type="dxa"/>
          </w:tcPr>
          <w:p w14:paraId="1FB289EB"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1F61B758" w14:textId="77777777" w:rsidR="00B61F2A" w:rsidRPr="001362A6" w:rsidRDefault="00B61F2A" w:rsidP="00B61F2A">
            <w:pPr>
              <w:numPr>
                <w:ilvl w:val="0"/>
                <w:numId w:val="15"/>
              </w:numPr>
              <w:ind w:hanging="720"/>
              <w:rPr>
                <w:rFonts w:ascii="Lato" w:hAnsi="Lato"/>
                <w:sz w:val="22"/>
                <w:szCs w:val="22"/>
              </w:rPr>
            </w:pPr>
            <w:r w:rsidRPr="001362A6">
              <w:rPr>
                <w:rFonts w:ascii="Lato" w:hAnsi="Lato"/>
                <w:sz w:val="22"/>
                <w:szCs w:val="22"/>
              </w:rPr>
              <w:t xml:space="preserve">state that they are registered and </w:t>
            </w:r>
          </w:p>
        </w:tc>
        <w:tc>
          <w:tcPr>
            <w:tcW w:w="3188" w:type="dxa"/>
            <w:tcBorders>
              <w:top w:val="single" w:sz="4" w:space="0" w:color="auto"/>
              <w:left w:val="single" w:sz="4" w:space="0" w:color="auto"/>
              <w:bottom w:val="single" w:sz="4" w:space="0" w:color="auto"/>
              <w:right w:val="single" w:sz="4" w:space="0" w:color="auto"/>
            </w:tcBorders>
          </w:tcPr>
          <w:p w14:paraId="02C35C93" w14:textId="77777777" w:rsidR="00B61F2A" w:rsidRPr="001362A6" w:rsidRDefault="00B61F2A" w:rsidP="00B61F2A">
            <w:pPr>
              <w:rPr>
                <w:rFonts w:ascii="Lato" w:hAnsi="Lato"/>
                <w:sz w:val="22"/>
                <w:szCs w:val="22"/>
              </w:rPr>
            </w:pPr>
          </w:p>
        </w:tc>
      </w:tr>
      <w:tr w:rsidR="00B61F2A" w:rsidRPr="001362A6" w14:paraId="35869051" w14:textId="77777777" w:rsidTr="00990D73">
        <w:tc>
          <w:tcPr>
            <w:tcW w:w="1316" w:type="dxa"/>
          </w:tcPr>
          <w:p w14:paraId="2A21871E"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634965C2" w14:textId="77777777" w:rsidR="00B61F2A" w:rsidRPr="001362A6" w:rsidDel="00DE7833" w:rsidRDefault="00B61F2A" w:rsidP="00B61F2A">
            <w:pPr>
              <w:numPr>
                <w:ilvl w:val="0"/>
                <w:numId w:val="15"/>
              </w:numPr>
              <w:ind w:hanging="720"/>
              <w:rPr>
                <w:rFonts w:ascii="Lato" w:hAnsi="Lato"/>
                <w:sz w:val="22"/>
                <w:szCs w:val="22"/>
              </w:rPr>
            </w:pPr>
            <w:r w:rsidRPr="001362A6">
              <w:rPr>
                <w:rFonts w:ascii="Lato" w:hAnsi="Lato"/>
                <w:sz w:val="22"/>
                <w:szCs w:val="22"/>
              </w:rPr>
              <w:t>give an indication of any denominations which</w:t>
            </w:r>
          </w:p>
        </w:tc>
        <w:tc>
          <w:tcPr>
            <w:tcW w:w="3188" w:type="dxa"/>
            <w:tcBorders>
              <w:top w:val="single" w:sz="4" w:space="0" w:color="auto"/>
              <w:left w:val="single" w:sz="4" w:space="0" w:color="auto"/>
              <w:bottom w:val="single" w:sz="4" w:space="0" w:color="auto"/>
              <w:right w:val="single" w:sz="4" w:space="0" w:color="auto"/>
            </w:tcBorders>
          </w:tcPr>
          <w:p w14:paraId="11D1B7D8" w14:textId="77777777" w:rsidR="00B61F2A" w:rsidRPr="001362A6" w:rsidRDefault="00B61F2A" w:rsidP="00B61F2A">
            <w:pPr>
              <w:rPr>
                <w:rFonts w:ascii="Lato" w:hAnsi="Lato"/>
                <w:sz w:val="22"/>
                <w:szCs w:val="22"/>
              </w:rPr>
            </w:pPr>
          </w:p>
        </w:tc>
      </w:tr>
      <w:tr w:rsidR="00B61F2A" w:rsidRPr="001362A6" w14:paraId="676899F2" w14:textId="77777777" w:rsidTr="00990D73">
        <w:tc>
          <w:tcPr>
            <w:tcW w:w="1316" w:type="dxa"/>
          </w:tcPr>
          <w:p w14:paraId="065B4BC5" w14:textId="77777777" w:rsidR="00B61F2A" w:rsidRPr="001362A6" w:rsidRDefault="00B61F2A" w:rsidP="00B61F2A">
            <w:pPr>
              <w:rPr>
                <w:rFonts w:ascii="Lato" w:hAnsi="Lato"/>
                <w:sz w:val="22"/>
                <w:szCs w:val="22"/>
              </w:rPr>
            </w:pPr>
          </w:p>
        </w:tc>
        <w:tc>
          <w:tcPr>
            <w:tcW w:w="5891" w:type="dxa"/>
          </w:tcPr>
          <w:p w14:paraId="77767DF5" w14:textId="77777777" w:rsidR="00B61F2A" w:rsidRPr="001362A6" w:rsidRDefault="00B61F2A" w:rsidP="00B61F2A">
            <w:pPr>
              <w:ind w:left="719"/>
              <w:rPr>
                <w:rFonts w:ascii="Lato" w:hAnsi="Lato"/>
                <w:sz w:val="22"/>
                <w:szCs w:val="22"/>
              </w:rPr>
            </w:pPr>
            <w:r w:rsidRPr="001362A6">
              <w:rPr>
                <w:rFonts w:ascii="Lato" w:hAnsi="Lato"/>
                <w:sz w:val="22"/>
                <w:szCs w:val="22"/>
              </w:rPr>
              <w:t>may be provided for;</w:t>
            </w:r>
          </w:p>
        </w:tc>
        <w:tc>
          <w:tcPr>
            <w:tcW w:w="3188" w:type="dxa"/>
            <w:tcBorders>
              <w:top w:val="single" w:sz="4" w:space="0" w:color="auto"/>
              <w:bottom w:val="single" w:sz="4" w:space="0" w:color="auto"/>
            </w:tcBorders>
          </w:tcPr>
          <w:p w14:paraId="17CB2574" w14:textId="77777777" w:rsidR="00B61F2A" w:rsidRPr="001362A6" w:rsidRDefault="00B61F2A" w:rsidP="00B61F2A">
            <w:pPr>
              <w:rPr>
                <w:rFonts w:ascii="Lato" w:hAnsi="Lato"/>
                <w:sz w:val="22"/>
                <w:szCs w:val="22"/>
              </w:rPr>
            </w:pPr>
          </w:p>
        </w:tc>
      </w:tr>
      <w:tr w:rsidR="00B61F2A" w:rsidRPr="001362A6" w14:paraId="3BACD4E4" w14:textId="77777777" w:rsidTr="00990D73">
        <w:tc>
          <w:tcPr>
            <w:tcW w:w="1316" w:type="dxa"/>
          </w:tcPr>
          <w:p w14:paraId="32E6CBB5"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5B219CB8" w14:textId="77777777" w:rsidR="00B61F2A" w:rsidRPr="001362A6" w:rsidRDefault="00B61F2A" w:rsidP="00B61F2A">
            <w:pPr>
              <w:rPr>
                <w:rFonts w:ascii="Lato" w:hAnsi="Lato"/>
                <w:sz w:val="22"/>
                <w:szCs w:val="22"/>
              </w:rPr>
            </w:pPr>
            <w:r w:rsidRPr="001362A6">
              <w:rPr>
                <w:rFonts w:ascii="Lato" w:hAnsi="Lato"/>
                <w:sz w:val="22"/>
                <w:szCs w:val="22"/>
              </w:rPr>
              <w:t>•</w:t>
            </w:r>
            <w:r w:rsidRPr="001362A6">
              <w:rPr>
                <w:rFonts w:ascii="Lato" w:hAnsi="Lato"/>
                <w:sz w:val="22"/>
                <w:szCs w:val="22"/>
              </w:rPr>
              <w:tab/>
              <w:t>an indication of unitholders’ voting rights; and</w:t>
            </w:r>
          </w:p>
        </w:tc>
        <w:tc>
          <w:tcPr>
            <w:tcW w:w="3188" w:type="dxa"/>
            <w:tcBorders>
              <w:top w:val="single" w:sz="4" w:space="0" w:color="auto"/>
              <w:left w:val="single" w:sz="4" w:space="0" w:color="auto"/>
              <w:bottom w:val="single" w:sz="4" w:space="0" w:color="auto"/>
              <w:right w:val="single" w:sz="4" w:space="0" w:color="auto"/>
            </w:tcBorders>
          </w:tcPr>
          <w:p w14:paraId="33862100" w14:textId="77777777" w:rsidR="00B61F2A" w:rsidRPr="001362A6" w:rsidRDefault="00B61F2A" w:rsidP="00B61F2A">
            <w:pPr>
              <w:rPr>
                <w:rFonts w:ascii="Lato" w:hAnsi="Lato"/>
                <w:sz w:val="22"/>
                <w:szCs w:val="22"/>
              </w:rPr>
            </w:pPr>
          </w:p>
        </w:tc>
      </w:tr>
      <w:tr w:rsidR="00B61F2A" w:rsidRPr="001362A6" w14:paraId="24ED3581" w14:textId="77777777" w:rsidTr="00990D73">
        <w:tc>
          <w:tcPr>
            <w:tcW w:w="1316" w:type="dxa"/>
          </w:tcPr>
          <w:p w14:paraId="70700B23"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15683587" w14:textId="77777777" w:rsidR="00B61F2A" w:rsidRPr="001362A6" w:rsidRDefault="00B61F2A" w:rsidP="00B61F2A">
            <w:pPr>
              <w:rPr>
                <w:rFonts w:ascii="Lato" w:hAnsi="Lato"/>
                <w:sz w:val="22"/>
                <w:szCs w:val="22"/>
              </w:rPr>
            </w:pPr>
            <w:r w:rsidRPr="001362A6">
              <w:rPr>
                <w:rFonts w:ascii="Lato" w:hAnsi="Lato"/>
                <w:sz w:val="22"/>
                <w:szCs w:val="22"/>
              </w:rPr>
              <w:t>•</w:t>
            </w:r>
            <w:r w:rsidRPr="001362A6">
              <w:rPr>
                <w:rFonts w:ascii="Lato" w:hAnsi="Lato"/>
                <w:sz w:val="22"/>
                <w:szCs w:val="22"/>
              </w:rPr>
              <w:tab/>
              <w:t xml:space="preserve">the circumstances in which winding-up of the </w:t>
            </w:r>
          </w:p>
        </w:tc>
        <w:tc>
          <w:tcPr>
            <w:tcW w:w="3188" w:type="dxa"/>
            <w:tcBorders>
              <w:top w:val="single" w:sz="4" w:space="0" w:color="auto"/>
              <w:left w:val="single" w:sz="4" w:space="0" w:color="auto"/>
              <w:bottom w:val="single" w:sz="4" w:space="0" w:color="auto"/>
              <w:right w:val="single" w:sz="4" w:space="0" w:color="auto"/>
            </w:tcBorders>
          </w:tcPr>
          <w:p w14:paraId="59DA409A" w14:textId="77777777" w:rsidR="00B61F2A" w:rsidRPr="001362A6" w:rsidRDefault="00B61F2A" w:rsidP="00B61F2A">
            <w:pPr>
              <w:rPr>
                <w:rFonts w:ascii="Lato" w:hAnsi="Lato"/>
                <w:sz w:val="22"/>
                <w:szCs w:val="22"/>
              </w:rPr>
            </w:pPr>
          </w:p>
        </w:tc>
      </w:tr>
      <w:tr w:rsidR="00B61F2A" w:rsidRPr="001362A6" w14:paraId="53B935CD" w14:textId="77777777" w:rsidTr="00990D73">
        <w:tc>
          <w:tcPr>
            <w:tcW w:w="1316" w:type="dxa"/>
          </w:tcPr>
          <w:p w14:paraId="3B2A5C5F" w14:textId="77777777" w:rsidR="00B61F2A" w:rsidRPr="001362A6" w:rsidRDefault="00B61F2A" w:rsidP="00B61F2A">
            <w:pPr>
              <w:rPr>
                <w:rFonts w:ascii="Lato" w:hAnsi="Lato"/>
                <w:sz w:val="22"/>
                <w:szCs w:val="22"/>
              </w:rPr>
            </w:pPr>
          </w:p>
        </w:tc>
        <w:tc>
          <w:tcPr>
            <w:tcW w:w="5891" w:type="dxa"/>
          </w:tcPr>
          <w:p w14:paraId="63267F6D" w14:textId="77777777" w:rsidR="00B61F2A" w:rsidRPr="001362A6" w:rsidRDefault="00B61F2A" w:rsidP="00B61F2A">
            <w:pPr>
              <w:ind w:left="719"/>
              <w:rPr>
                <w:rFonts w:ascii="Lato" w:hAnsi="Lato"/>
                <w:sz w:val="22"/>
                <w:szCs w:val="22"/>
              </w:rPr>
            </w:pPr>
            <w:r w:rsidRPr="001362A6">
              <w:rPr>
                <w:rFonts w:ascii="Lato" w:hAnsi="Lato"/>
                <w:sz w:val="22"/>
                <w:szCs w:val="22"/>
              </w:rPr>
              <w:t>Qualifying Investor AIF can be decided on and winding-up procedure, in particular as regards the rights of unitholders</w:t>
            </w:r>
          </w:p>
        </w:tc>
        <w:tc>
          <w:tcPr>
            <w:tcW w:w="3188" w:type="dxa"/>
            <w:tcBorders>
              <w:top w:val="single" w:sz="4" w:space="0" w:color="auto"/>
            </w:tcBorders>
          </w:tcPr>
          <w:p w14:paraId="56F36D69" w14:textId="77777777" w:rsidR="00B61F2A" w:rsidRPr="001362A6" w:rsidRDefault="00B61F2A" w:rsidP="00B61F2A">
            <w:pPr>
              <w:rPr>
                <w:rFonts w:ascii="Lato" w:hAnsi="Lato"/>
                <w:sz w:val="22"/>
                <w:szCs w:val="22"/>
              </w:rPr>
            </w:pPr>
          </w:p>
        </w:tc>
      </w:tr>
      <w:tr w:rsidR="00B61F2A" w:rsidRPr="001362A6" w14:paraId="5517B403" w14:textId="77777777" w:rsidTr="00990D73">
        <w:tc>
          <w:tcPr>
            <w:tcW w:w="1316" w:type="dxa"/>
          </w:tcPr>
          <w:p w14:paraId="0351DF74" w14:textId="77777777" w:rsidR="00B61F2A" w:rsidRPr="001362A6" w:rsidRDefault="00B61F2A" w:rsidP="00B61F2A">
            <w:pPr>
              <w:rPr>
                <w:rFonts w:ascii="Lato" w:hAnsi="Lato"/>
                <w:sz w:val="22"/>
                <w:szCs w:val="22"/>
              </w:rPr>
            </w:pPr>
          </w:p>
        </w:tc>
        <w:tc>
          <w:tcPr>
            <w:tcW w:w="5891" w:type="dxa"/>
          </w:tcPr>
          <w:p w14:paraId="76F620C8" w14:textId="77777777" w:rsidR="00B61F2A" w:rsidRPr="001362A6" w:rsidRDefault="00B61F2A" w:rsidP="00B61F2A">
            <w:pPr>
              <w:rPr>
                <w:rFonts w:ascii="Lato" w:hAnsi="Lato"/>
                <w:sz w:val="22"/>
                <w:szCs w:val="22"/>
              </w:rPr>
            </w:pPr>
          </w:p>
        </w:tc>
        <w:tc>
          <w:tcPr>
            <w:tcW w:w="3188" w:type="dxa"/>
          </w:tcPr>
          <w:p w14:paraId="5B5488FA" w14:textId="77777777" w:rsidR="00B61F2A" w:rsidRPr="001362A6" w:rsidRDefault="00B61F2A" w:rsidP="00B61F2A">
            <w:pPr>
              <w:rPr>
                <w:rFonts w:ascii="Lato" w:hAnsi="Lato"/>
                <w:sz w:val="22"/>
                <w:szCs w:val="22"/>
              </w:rPr>
            </w:pPr>
          </w:p>
        </w:tc>
      </w:tr>
      <w:tr w:rsidR="00B61F2A" w:rsidRPr="001362A6" w14:paraId="4AA9E6CB" w14:textId="77777777" w:rsidTr="00990D73">
        <w:tc>
          <w:tcPr>
            <w:tcW w:w="1316" w:type="dxa"/>
          </w:tcPr>
          <w:p w14:paraId="0961C517" w14:textId="77777777" w:rsidR="00B61F2A" w:rsidRPr="001362A6" w:rsidRDefault="00B61F2A" w:rsidP="00B61F2A">
            <w:pPr>
              <w:rPr>
                <w:rFonts w:ascii="Lato" w:hAnsi="Lato"/>
                <w:sz w:val="22"/>
                <w:szCs w:val="22"/>
              </w:rPr>
            </w:pPr>
            <w:r w:rsidRPr="001362A6">
              <w:rPr>
                <w:rFonts w:ascii="Lato" w:hAnsi="Lato"/>
                <w:sz w:val="22"/>
                <w:szCs w:val="22"/>
              </w:rPr>
              <w:t>2.12.6</w:t>
            </w:r>
          </w:p>
        </w:tc>
        <w:tc>
          <w:tcPr>
            <w:tcW w:w="5891" w:type="dxa"/>
            <w:tcBorders>
              <w:right w:val="single" w:sz="4" w:space="0" w:color="auto"/>
            </w:tcBorders>
          </w:tcPr>
          <w:p w14:paraId="06D2A959" w14:textId="77777777" w:rsidR="00B61F2A" w:rsidRPr="001362A6" w:rsidRDefault="00B61F2A" w:rsidP="00B61F2A">
            <w:pPr>
              <w:rPr>
                <w:rFonts w:ascii="Lato" w:hAnsi="Lato"/>
                <w:sz w:val="22"/>
                <w:szCs w:val="22"/>
              </w:rPr>
            </w:pPr>
            <w:r w:rsidRPr="001362A6">
              <w:rPr>
                <w:rFonts w:ascii="Lato" w:hAnsi="Lato"/>
                <w:sz w:val="22"/>
                <w:szCs w:val="22"/>
              </w:rPr>
              <w:t xml:space="preserve">Where the Qualifying Investor AIF proposes to issue partly </w:t>
            </w:r>
          </w:p>
        </w:tc>
        <w:tc>
          <w:tcPr>
            <w:tcW w:w="3188" w:type="dxa"/>
            <w:tcBorders>
              <w:top w:val="single" w:sz="4" w:space="0" w:color="auto"/>
              <w:left w:val="single" w:sz="4" w:space="0" w:color="auto"/>
              <w:bottom w:val="single" w:sz="4" w:space="0" w:color="auto"/>
              <w:right w:val="single" w:sz="4" w:space="0" w:color="auto"/>
            </w:tcBorders>
          </w:tcPr>
          <w:p w14:paraId="5AB77254" w14:textId="77777777" w:rsidR="00B61F2A" w:rsidRPr="001362A6" w:rsidRDefault="00B61F2A" w:rsidP="00B61F2A">
            <w:pPr>
              <w:rPr>
                <w:rFonts w:ascii="Lato" w:hAnsi="Lato"/>
                <w:sz w:val="22"/>
                <w:szCs w:val="22"/>
              </w:rPr>
            </w:pPr>
          </w:p>
        </w:tc>
      </w:tr>
      <w:tr w:rsidR="00B61F2A" w:rsidRPr="001362A6" w14:paraId="3908B71E" w14:textId="77777777" w:rsidTr="00990D73">
        <w:tc>
          <w:tcPr>
            <w:tcW w:w="1316" w:type="dxa"/>
          </w:tcPr>
          <w:p w14:paraId="7307D142" w14:textId="77777777" w:rsidR="00B61F2A" w:rsidRPr="001362A6" w:rsidRDefault="00B61F2A" w:rsidP="00B61F2A">
            <w:pPr>
              <w:rPr>
                <w:rFonts w:ascii="Lato" w:hAnsi="Lato"/>
                <w:sz w:val="22"/>
                <w:szCs w:val="22"/>
              </w:rPr>
            </w:pPr>
          </w:p>
        </w:tc>
        <w:tc>
          <w:tcPr>
            <w:tcW w:w="5891" w:type="dxa"/>
          </w:tcPr>
          <w:p w14:paraId="0DF3D72D" w14:textId="77777777" w:rsidR="00B61F2A" w:rsidRPr="001362A6" w:rsidRDefault="00B61F2A" w:rsidP="00B61F2A">
            <w:pPr>
              <w:rPr>
                <w:rFonts w:ascii="Lato" w:hAnsi="Lato"/>
                <w:sz w:val="22"/>
                <w:szCs w:val="22"/>
              </w:rPr>
            </w:pPr>
            <w:r w:rsidRPr="00590C6D">
              <w:rPr>
                <w:rFonts w:ascii="Lato" w:hAnsi="Lato"/>
                <w:sz w:val="22"/>
                <w:szCs w:val="22"/>
              </w:rPr>
              <w:t>paid</w:t>
            </w:r>
            <w:r w:rsidRPr="001362A6">
              <w:rPr>
                <w:rFonts w:ascii="Lato" w:hAnsi="Lato"/>
                <w:sz w:val="22"/>
                <w:szCs w:val="22"/>
              </w:rPr>
              <w:t xml:space="preserve"> units disclose the nature of the commitment, which </w:t>
            </w:r>
          </w:p>
        </w:tc>
        <w:tc>
          <w:tcPr>
            <w:tcW w:w="3188" w:type="dxa"/>
            <w:tcBorders>
              <w:top w:val="single" w:sz="4" w:space="0" w:color="auto"/>
            </w:tcBorders>
          </w:tcPr>
          <w:p w14:paraId="5E92991C" w14:textId="77777777" w:rsidR="00B61F2A" w:rsidRPr="001362A6" w:rsidRDefault="00B61F2A" w:rsidP="00B61F2A">
            <w:pPr>
              <w:rPr>
                <w:rFonts w:ascii="Lato" w:hAnsi="Lato"/>
                <w:sz w:val="22"/>
                <w:szCs w:val="22"/>
              </w:rPr>
            </w:pPr>
          </w:p>
        </w:tc>
      </w:tr>
      <w:tr w:rsidR="00B61F2A" w:rsidRPr="001362A6" w14:paraId="36602500" w14:textId="77777777" w:rsidTr="00990D73">
        <w:tc>
          <w:tcPr>
            <w:tcW w:w="1316" w:type="dxa"/>
          </w:tcPr>
          <w:p w14:paraId="1E65BB9D" w14:textId="77777777" w:rsidR="00B61F2A" w:rsidRPr="001362A6" w:rsidRDefault="00B61F2A" w:rsidP="00B61F2A">
            <w:pPr>
              <w:rPr>
                <w:rFonts w:ascii="Lato" w:hAnsi="Lato"/>
                <w:sz w:val="22"/>
                <w:szCs w:val="22"/>
              </w:rPr>
            </w:pPr>
          </w:p>
        </w:tc>
        <w:tc>
          <w:tcPr>
            <w:tcW w:w="5891" w:type="dxa"/>
          </w:tcPr>
          <w:p w14:paraId="3FDB34FA" w14:textId="77777777" w:rsidR="00B61F2A" w:rsidRPr="001362A6" w:rsidRDefault="00B61F2A" w:rsidP="00B61F2A">
            <w:pPr>
              <w:rPr>
                <w:rFonts w:ascii="Lato" w:hAnsi="Lato"/>
                <w:sz w:val="22"/>
                <w:szCs w:val="22"/>
              </w:rPr>
            </w:pPr>
            <w:r w:rsidRPr="00590C6D">
              <w:rPr>
                <w:rFonts w:ascii="Lato" w:hAnsi="Lato"/>
                <w:sz w:val="22"/>
                <w:szCs w:val="22"/>
              </w:rPr>
              <w:t>unitholders</w:t>
            </w:r>
            <w:r w:rsidRPr="001362A6">
              <w:rPr>
                <w:rFonts w:ascii="Lato" w:hAnsi="Lato"/>
                <w:sz w:val="22"/>
                <w:szCs w:val="22"/>
              </w:rPr>
              <w:t xml:space="preserve"> will enter into</w:t>
            </w:r>
          </w:p>
        </w:tc>
        <w:tc>
          <w:tcPr>
            <w:tcW w:w="3188" w:type="dxa"/>
          </w:tcPr>
          <w:p w14:paraId="578C2479" w14:textId="77777777" w:rsidR="00B61F2A" w:rsidRPr="001362A6" w:rsidRDefault="00B61F2A" w:rsidP="00B61F2A">
            <w:pPr>
              <w:rPr>
                <w:rFonts w:ascii="Lato" w:hAnsi="Lato"/>
                <w:sz w:val="22"/>
                <w:szCs w:val="22"/>
              </w:rPr>
            </w:pPr>
          </w:p>
        </w:tc>
      </w:tr>
      <w:tr w:rsidR="00B61F2A" w:rsidRPr="001362A6" w14:paraId="7E6A5DAB" w14:textId="77777777" w:rsidTr="00990D73">
        <w:tc>
          <w:tcPr>
            <w:tcW w:w="1316" w:type="dxa"/>
          </w:tcPr>
          <w:p w14:paraId="2178522F" w14:textId="77777777" w:rsidR="00B61F2A" w:rsidRPr="001362A6" w:rsidRDefault="00B61F2A" w:rsidP="00B61F2A">
            <w:pPr>
              <w:rPr>
                <w:rFonts w:ascii="Lato" w:hAnsi="Lato"/>
                <w:sz w:val="22"/>
                <w:szCs w:val="22"/>
              </w:rPr>
            </w:pPr>
          </w:p>
        </w:tc>
        <w:tc>
          <w:tcPr>
            <w:tcW w:w="5891" w:type="dxa"/>
          </w:tcPr>
          <w:p w14:paraId="1FF59F1B" w14:textId="77777777" w:rsidR="00B61F2A" w:rsidRPr="001362A6" w:rsidRDefault="00B61F2A" w:rsidP="00B61F2A">
            <w:pPr>
              <w:rPr>
                <w:rFonts w:ascii="Lato" w:hAnsi="Lato"/>
                <w:sz w:val="22"/>
                <w:szCs w:val="22"/>
              </w:rPr>
            </w:pPr>
          </w:p>
        </w:tc>
        <w:tc>
          <w:tcPr>
            <w:tcW w:w="3188" w:type="dxa"/>
          </w:tcPr>
          <w:p w14:paraId="2CE593F8" w14:textId="77777777" w:rsidR="00B61F2A" w:rsidRPr="001362A6" w:rsidRDefault="00B61F2A" w:rsidP="00B61F2A">
            <w:pPr>
              <w:rPr>
                <w:rFonts w:ascii="Lato" w:hAnsi="Lato"/>
                <w:sz w:val="22"/>
                <w:szCs w:val="22"/>
              </w:rPr>
            </w:pPr>
          </w:p>
        </w:tc>
      </w:tr>
      <w:tr w:rsidR="00B61F2A" w:rsidRPr="001362A6" w14:paraId="3CAD4666" w14:textId="77777777" w:rsidTr="00990D73">
        <w:tc>
          <w:tcPr>
            <w:tcW w:w="1316" w:type="dxa"/>
          </w:tcPr>
          <w:p w14:paraId="51985B63" w14:textId="77777777" w:rsidR="00B61F2A" w:rsidRPr="001362A6" w:rsidRDefault="00B61F2A" w:rsidP="00B61F2A">
            <w:pPr>
              <w:rPr>
                <w:rFonts w:ascii="Lato" w:hAnsi="Lato"/>
                <w:b/>
                <w:sz w:val="22"/>
                <w:szCs w:val="22"/>
              </w:rPr>
            </w:pPr>
            <w:r w:rsidRPr="001362A6">
              <w:rPr>
                <w:rFonts w:ascii="Lato" w:hAnsi="Lato"/>
                <w:b/>
                <w:sz w:val="22"/>
                <w:szCs w:val="22"/>
              </w:rPr>
              <w:t>2.13</w:t>
            </w:r>
          </w:p>
        </w:tc>
        <w:tc>
          <w:tcPr>
            <w:tcW w:w="5891" w:type="dxa"/>
          </w:tcPr>
          <w:p w14:paraId="5CF6BEF4" w14:textId="77777777" w:rsidR="00B61F2A" w:rsidRPr="001362A6" w:rsidRDefault="00B61F2A" w:rsidP="00B61F2A">
            <w:pPr>
              <w:pStyle w:val="Heading1"/>
              <w:spacing w:before="0" w:after="0" w:line="240" w:lineRule="auto"/>
              <w:rPr>
                <w:rFonts w:ascii="Lato" w:hAnsi="Lato"/>
                <w:b/>
                <w:color w:val="auto"/>
                <w:sz w:val="22"/>
                <w:szCs w:val="22"/>
              </w:rPr>
            </w:pPr>
            <w:r w:rsidRPr="001362A6">
              <w:rPr>
                <w:rFonts w:ascii="Lato" w:hAnsi="Lato"/>
                <w:b/>
                <w:color w:val="auto"/>
                <w:sz w:val="22"/>
                <w:szCs w:val="22"/>
              </w:rPr>
              <w:t>Redemptions</w:t>
            </w:r>
          </w:p>
        </w:tc>
        <w:tc>
          <w:tcPr>
            <w:tcW w:w="3188" w:type="dxa"/>
            <w:tcBorders>
              <w:bottom w:val="single" w:sz="4" w:space="0" w:color="auto"/>
            </w:tcBorders>
          </w:tcPr>
          <w:p w14:paraId="01087641" w14:textId="77777777" w:rsidR="00B61F2A" w:rsidRPr="001362A6" w:rsidRDefault="00B61F2A" w:rsidP="00B61F2A">
            <w:pPr>
              <w:rPr>
                <w:rFonts w:ascii="Lato" w:hAnsi="Lato"/>
                <w:sz w:val="22"/>
                <w:szCs w:val="22"/>
              </w:rPr>
            </w:pPr>
          </w:p>
        </w:tc>
      </w:tr>
      <w:tr w:rsidR="00B61F2A" w:rsidRPr="001362A6" w14:paraId="6237D3F1" w14:textId="77777777" w:rsidTr="00990D73">
        <w:trPr>
          <w:cantSplit/>
          <w:trHeight w:val="255"/>
        </w:trPr>
        <w:tc>
          <w:tcPr>
            <w:tcW w:w="1316" w:type="dxa"/>
            <w:vMerge w:val="restart"/>
          </w:tcPr>
          <w:p w14:paraId="5E728607" w14:textId="77777777" w:rsidR="00B61F2A" w:rsidRPr="001362A6" w:rsidRDefault="00B61F2A" w:rsidP="00B61F2A">
            <w:pPr>
              <w:rPr>
                <w:rFonts w:ascii="Lato" w:hAnsi="Lato"/>
                <w:sz w:val="22"/>
                <w:szCs w:val="22"/>
              </w:rPr>
            </w:pPr>
            <w:r w:rsidRPr="001362A6">
              <w:rPr>
                <w:rFonts w:ascii="Lato" w:hAnsi="Lato"/>
                <w:sz w:val="22"/>
                <w:szCs w:val="22"/>
              </w:rPr>
              <w:t>2.13.1</w:t>
            </w:r>
          </w:p>
        </w:tc>
        <w:tc>
          <w:tcPr>
            <w:tcW w:w="5891" w:type="dxa"/>
            <w:vMerge w:val="restart"/>
            <w:tcBorders>
              <w:right w:val="single" w:sz="4" w:space="0" w:color="auto"/>
            </w:tcBorders>
          </w:tcPr>
          <w:p w14:paraId="6A8CB114" w14:textId="77777777" w:rsidR="00B61F2A" w:rsidRPr="001362A6" w:rsidRDefault="00B61F2A" w:rsidP="00B61F2A">
            <w:pPr>
              <w:rPr>
                <w:rFonts w:ascii="Lato" w:hAnsi="Lato"/>
                <w:sz w:val="22"/>
                <w:szCs w:val="22"/>
              </w:rPr>
            </w:pPr>
            <w:r w:rsidRPr="001362A6">
              <w:rPr>
                <w:rFonts w:ascii="Lato" w:hAnsi="Lato"/>
                <w:sz w:val="22"/>
                <w:szCs w:val="22"/>
              </w:rPr>
              <w:t>Provide that units will be redeemed at NAV per unit (less duties and charges – if applicable);</w:t>
            </w:r>
          </w:p>
        </w:tc>
        <w:tc>
          <w:tcPr>
            <w:tcW w:w="3188" w:type="dxa"/>
            <w:tcBorders>
              <w:top w:val="single" w:sz="4" w:space="0" w:color="auto"/>
              <w:left w:val="single" w:sz="4" w:space="0" w:color="auto"/>
              <w:bottom w:val="single" w:sz="4" w:space="0" w:color="auto"/>
              <w:right w:val="single" w:sz="4" w:space="0" w:color="auto"/>
            </w:tcBorders>
          </w:tcPr>
          <w:p w14:paraId="327233BE" w14:textId="77777777" w:rsidR="00B61F2A" w:rsidRPr="001362A6" w:rsidRDefault="00B61F2A" w:rsidP="00B61F2A">
            <w:pPr>
              <w:rPr>
                <w:rFonts w:ascii="Lato" w:hAnsi="Lato"/>
                <w:sz w:val="22"/>
                <w:szCs w:val="22"/>
              </w:rPr>
            </w:pPr>
          </w:p>
        </w:tc>
      </w:tr>
      <w:tr w:rsidR="00B61F2A" w:rsidRPr="001362A6" w14:paraId="1F12A0FA" w14:textId="77777777" w:rsidTr="00990D73">
        <w:trPr>
          <w:cantSplit/>
          <w:trHeight w:val="254"/>
        </w:trPr>
        <w:tc>
          <w:tcPr>
            <w:tcW w:w="1316" w:type="dxa"/>
            <w:vMerge/>
          </w:tcPr>
          <w:p w14:paraId="12CAAF2D" w14:textId="77777777" w:rsidR="00B61F2A" w:rsidRPr="001362A6" w:rsidRDefault="00B61F2A" w:rsidP="00B61F2A">
            <w:pPr>
              <w:rPr>
                <w:rFonts w:ascii="Lato" w:hAnsi="Lato"/>
                <w:sz w:val="22"/>
                <w:szCs w:val="22"/>
              </w:rPr>
            </w:pPr>
          </w:p>
        </w:tc>
        <w:tc>
          <w:tcPr>
            <w:tcW w:w="5891" w:type="dxa"/>
            <w:vMerge/>
          </w:tcPr>
          <w:p w14:paraId="04AF1709" w14:textId="77777777" w:rsidR="00B61F2A" w:rsidRPr="001362A6" w:rsidRDefault="00B61F2A" w:rsidP="00B61F2A">
            <w:pPr>
              <w:rPr>
                <w:rFonts w:ascii="Lato" w:hAnsi="Lato"/>
                <w:sz w:val="22"/>
                <w:szCs w:val="22"/>
              </w:rPr>
            </w:pPr>
          </w:p>
        </w:tc>
        <w:tc>
          <w:tcPr>
            <w:tcW w:w="3188" w:type="dxa"/>
            <w:tcBorders>
              <w:top w:val="single" w:sz="4" w:space="0" w:color="auto"/>
            </w:tcBorders>
          </w:tcPr>
          <w:p w14:paraId="4C1364E6" w14:textId="77777777" w:rsidR="00B61F2A" w:rsidRPr="001362A6" w:rsidRDefault="00B61F2A" w:rsidP="00B61F2A">
            <w:pPr>
              <w:rPr>
                <w:rFonts w:ascii="Lato" w:hAnsi="Lato"/>
                <w:sz w:val="22"/>
                <w:szCs w:val="22"/>
              </w:rPr>
            </w:pPr>
          </w:p>
        </w:tc>
      </w:tr>
      <w:tr w:rsidR="00B61F2A" w:rsidRPr="001362A6" w14:paraId="4F275675" w14:textId="77777777" w:rsidTr="00990D73">
        <w:tc>
          <w:tcPr>
            <w:tcW w:w="1316" w:type="dxa"/>
          </w:tcPr>
          <w:p w14:paraId="28B64CFF" w14:textId="77777777" w:rsidR="00B61F2A" w:rsidRPr="001362A6" w:rsidRDefault="00B61F2A" w:rsidP="00B61F2A">
            <w:pPr>
              <w:rPr>
                <w:rFonts w:ascii="Lato" w:hAnsi="Lato"/>
                <w:sz w:val="22"/>
                <w:szCs w:val="22"/>
              </w:rPr>
            </w:pPr>
          </w:p>
        </w:tc>
        <w:tc>
          <w:tcPr>
            <w:tcW w:w="5891" w:type="dxa"/>
          </w:tcPr>
          <w:p w14:paraId="74B4929F"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4E69E29C" w14:textId="77777777" w:rsidR="00B61F2A" w:rsidRPr="001362A6" w:rsidRDefault="00B61F2A" w:rsidP="00B61F2A">
            <w:pPr>
              <w:rPr>
                <w:rFonts w:ascii="Lato" w:hAnsi="Lato"/>
                <w:sz w:val="22"/>
                <w:szCs w:val="22"/>
              </w:rPr>
            </w:pPr>
          </w:p>
        </w:tc>
      </w:tr>
      <w:tr w:rsidR="00B61F2A" w:rsidRPr="001362A6" w14:paraId="58A6E23D" w14:textId="77777777" w:rsidTr="00990D73">
        <w:tc>
          <w:tcPr>
            <w:tcW w:w="1316" w:type="dxa"/>
          </w:tcPr>
          <w:p w14:paraId="332CB3E6" w14:textId="77777777" w:rsidR="00B61F2A" w:rsidRPr="001362A6" w:rsidRDefault="00B61F2A" w:rsidP="00B61F2A">
            <w:pPr>
              <w:rPr>
                <w:rFonts w:ascii="Lato" w:hAnsi="Lato"/>
                <w:sz w:val="22"/>
                <w:szCs w:val="22"/>
              </w:rPr>
            </w:pPr>
            <w:r w:rsidRPr="001362A6">
              <w:rPr>
                <w:rFonts w:ascii="Lato" w:hAnsi="Lato"/>
                <w:sz w:val="22"/>
                <w:szCs w:val="22"/>
              </w:rPr>
              <w:t>2.13.2  a)</w:t>
            </w:r>
          </w:p>
        </w:tc>
        <w:tc>
          <w:tcPr>
            <w:tcW w:w="5891" w:type="dxa"/>
            <w:tcBorders>
              <w:right w:val="single" w:sz="4" w:space="0" w:color="auto"/>
            </w:tcBorders>
          </w:tcPr>
          <w:p w14:paraId="54FE5FE3" w14:textId="77777777" w:rsidR="00B61F2A" w:rsidRPr="001362A6" w:rsidRDefault="00B61F2A" w:rsidP="00B61F2A">
            <w:pPr>
              <w:pStyle w:val="Heading1"/>
              <w:spacing w:before="0" w:after="0" w:line="240" w:lineRule="auto"/>
              <w:rPr>
                <w:rFonts w:ascii="Lato" w:hAnsi="Lato"/>
                <w:color w:val="auto"/>
                <w:sz w:val="22"/>
                <w:szCs w:val="22"/>
              </w:rPr>
            </w:pPr>
            <w:r w:rsidRPr="001362A6">
              <w:rPr>
                <w:rFonts w:ascii="Lato" w:hAnsi="Lato"/>
                <w:color w:val="auto"/>
                <w:sz w:val="22"/>
                <w:szCs w:val="22"/>
              </w:rPr>
              <w:t>Maximum redemption charge, if any:</w:t>
            </w:r>
          </w:p>
        </w:tc>
        <w:tc>
          <w:tcPr>
            <w:tcW w:w="3188" w:type="dxa"/>
            <w:tcBorders>
              <w:top w:val="single" w:sz="4" w:space="0" w:color="auto"/>
              <w:left w:val="single" w:sz="4" w:space="0" w:color="auto"/>
              <w:bottom w:val="single" w:sz="4" w:space="0" w:color="auto"/>
              <w:right w:val="single" w:sz="4" w:space="0" w:color="auto"/>
            </w:tcBorders>
          </w:tcPr>
          <w:p w14:paraId="3DB15F6E" w14:textId="77777777" w:rsidR="00B61F2A" w:rsidRPr="001362A6" w:rsidRDefault="00B61F2A" w:rsidP="00B61F2A">
            <w:pPr>
              <w:rPr>
                <w:rFonts w:ascii="Lato" w:hAnsi="Lato"/>
                <w:sz w:val="22"/>
                <w:szCs w:val="22"/>
              </w:rPr>
            </w:pPr>
          </w:p>
        </w:tc>
      </w:tr>
      <w:tr w:rsidR="00B61F2A" w:rsidRPr="001362A6" w14:paraId="1D0FC98F" w14:textId="77777777" w:rsidTr="00A70AEC">
        <w:tc>
          <w:tcPr>
            <w:tcW w:w="1316" w:type="dxa"/>
          </w:tcPr>
          <w:p w14:paraId="154231DA" w14:textId="77777777" w:rsidR="00B61F2A" w:rsidRPr="001362A6" w:rsidRDefault="00B61F2A" w:rsidP="00B61F2A">
            <w:pPr>
              <w:jc w:val="right"/>
              <w:rPr>
                <w:rFonts w:ascii="Lato" w:hAnsi="Lato"/>
                <w:sz w:val="22"/>
                <w:szCs w:val="22"/>
              </w:rPr>
            </w:pPr>
          </w:p>
        </w:tc>
        <w:tc>
          <w:tcPr>
            <w:tcW w:w="5891" w:type="dxa"/>
          </w:tcPr>
          <w:p w14:paraId="277F3D0E" w14:textId="77777777" w:rsidR="00B61F2A" w:rsidRPr="001362A6" w:rsidRDefault="00B61F2A" w:rsidP="00B61F2A">
            <w:pPr>
              <w:rPr>
                <w:rFonts w:ascii="Lato" w:hAnsi="Lato"/>
                <w:sz w:val="22"/>
                <w:szCs w:val="22"/>
              </w:rPr>
            </w:pPr>
          </w:p>
        </w:tc>
        <w:tc>
          <w:tcPr>
            <w:tcW w:w="3188" w:type="dxa"/>
            <w:tcBorders>
              <w:top w:val="single" w:sz="4" w:space="0" w:color="auto"/>
            </w:tcBorders>
          </w:tcPr>
          <w:p w14:paraId="57561927" w14:textId="77777777" w:rsidR="00B61F2A" w:rsidRPr="001362A6" w:rsidRDefault="00B61F2A" w:rsidP="00B61F2A">
            <w:pPr>
              <w:rPr>
                <w:rFonts w:ascii="Lato" w:hAnsi="Lato"/>
                <w:sz w:val="22"/>
                <w:szCs w:val="22"/>
              </w:rPr>
            </w:pPr>
          </w:p>
        </w:tc>
      </w:tr>
      <w:tr w:rsidR="00B61F2A" w:rsidRPr="001362A6" w14:paraId="25E446F5" w14:textId="77777777" w:rsidTr="00A70AEC">
        <w:tc>
          <w:tcPr>
            <w:tcW w:w="1316" w:type="dxa"/>
          </w:tcPr>
          <w:p w14:paraId="01B42501" w14:textId="77777777" w:rsidR="00B61F2A" w:rsidRPr="001362A6" w:rsidRDefault="00B61F2A" w:rsidP="00B61F2A">
            <w:pPr>
              <w:jc w:val="right"/>
              <w:rPr>
                <w:rFonts w:ascii="Lato" w:hAnsi="Lato"/>
                <w:sz w:val="22"/>
                <w:szCs w:val="22"/>
              </w:rPr>
            </w:pPr>
          </w:p>
        </w:tc>
        <w:tc>
          <w:tcPr>
            <w:tcW w:w="5891" w:type="dxa"/>
          </w:tcPr>
          <w:p w14:paraId="76FC57B9" w14:textId="77777777" w:rsidR="00B61F2A" w:rsidRPr="001362A6" w:rsidRDefault="00B61F2A" w:rsidP="00B61F2A">
            <w:pPr>
              <w:rPr>
                <w:rFonts w:ascii="Lato" w:hAnsi="Lato"/>
                <w:sz w:val="22"/>
                <w:szCs w:val="22"/>
              </w:rPr>
            </w:pPr>
            <w:r w:rsidRPr="001362A6">
              <w:rPr>
                <w:rFonts w:ascii="Lato" w:hAnsi="Lato"/>
                <w:sz w:val="22"/>
                <w:szCs w:val="22"/>
              </w:rPr>
              <w:t xml:space="preserve">Note: the maximum charge relating to the redemption or </w:t>
            </w:r>
          </w:p>
        </w:tc>
        <w:tc>
          <w:tcPr>
            <w:tcW w:w="3188" w:type="dxa"/>
          </w:tcPr>
          <w:p w14:paraId="49BE5589" w14:textId="77777777" w:rsidR="00B61F2A" w:rsidRPr="001362A6" w:rsidRDefault="00B61F2A" w:rsidP="00B61F2A">
            <w:pPr>
              <w:rPr>
                <w:rFonts w:ascii="Lato" w:hAnsi="Lato"/>
                <w:sz w:val="22"/>
                <w:szCs w:val="22"/>
              </w:rPr>
            </w:pPr>
          </w:p>
        </w:tc>
      </w:tr>
      <w:tr w:rsidR="00B61F2A" w:rsidRPr="001362A6" w14:paraId="286C3F76" w14:textId="77777777" w:rsidTr="00A70AEC">
        <w:tc>
          <w:tcPr>
            <w:tcW w:w="1316" w:type="dxa"/>
          </w:tcPr>
          <w:p w14:paraId="4182E4D8" w14:textId="77777777" w:rsidR="00B61F2A" w:rsidRPr="001362A6" w:rsidRDefault="00B61F2A" w:rsidP="00B61F2A">
            <w:pPr>
              <w:jc w:val="right"/>
              <w:rPr>
                <w:rFonts w:ascii="Lato" w:hAnsi="Lato"/>
                <w:sz w:val="22"/>
                <w:szCs w:val="22"/>
              </w:rPr>
            </w:pPr>
          </w:p>
        </w:tc>
        <w:tc>
          <w:tcPr>
            <w:tcW w:w="5891" w:type="dxa"/>
          </w:tcPr>
          <w:p w14:paraId="55920304" w14:textId="77777777" w:rsidR="00B61F2A" w:rsidRPr="001362A6" w:rsidRDefault="00B61F2A" w:rsidP="00B61F2A">
            <w:pPr>
              <w:rPr>
                <w:rFonts w:ascii="Lato" w:hAnsi="Lato"/>
                <w:sz w:val="22"/>
                <w:szCs w:val="22"/>
              </w:rPr>
            </w:pPr>
            <w:r w:rsidRPr="001362A6">
              <w:rPr>
                <w:rFonts w:ascii="Lato" w:hAnsi="Lato"/>
                <w:sz w:val="22"/>
                <w:szCs w:val="22"/>
              </w:rPr>
              <w:t xml:space="preserve">repurchase of units may not be increased without approval </w:t>
            </w:r>
          </w:p>
        </w:tc>
        <w:tc>
          <w:tcPr>
            <w:tcW w:w="3188" w:type="dxa"/>
          </w:tcPr>
          <w:p w14:paraId="5D8A9468" w14:textId="77777777" w:rsidR="00B61F2A" w:rsidRPr="001362A6" w:rsidRDefault="00B61F2A" w:rsidP="00B61F2A">
            <w:pPr>
              <w:rPr>
                <w:rFonts w:ascii="Lato" w:hAnsi="Lato"/>
                <w:sz w:val="22"/>
                <w:szCs w:val="22"/>
              </w:rPr>
            </w:pPr>
          </w:p>
        </w:tc>
      </w:tr>
      <w:tr w:rsidR="00B61F2A" w:rsidRPr="001362A6" w14:paraId="6C1458CE" w14:textId="77777777" w:rsidTr="00A70AEC">
        <w:tc>
          <w:tcPr>
            <w:tcW w:w="1316" w:type="dxa"/>
          </w:tcPr>
          <w:p w14:paraId="5BCB5800" w14:textId="77777777" w:rsidR="00B61F2A" w:rsidRPr="001362A6" w:rsidRDefault="00B61F2A" w:rsidP="00B61F2A">
            <w:pPr>
              <w:jc w:val="right"/>
              <w:rPr>
                <w:rFonts w:ascii="Lato" w:hAnsi="Lato"/>
                <w:sz w:val="22"/>
                <w:szCs w:val="22"/>
              </w:rPr>
            </w:pPr>
          </w:p>
        </w:tc>
        <w:tc>
          <w:tcPr>
            <w:tcW w:w="5891" w:type="dxa"/>
          </w:tcPr>
          <w:p w14:paraId="22FBD271" w14:textId="77777777" w:rsidR="00B61F2A" w:rsidRPr="001362A6" w:rsidRDefault="00B61F2A" w:rsidP="00B61F2A">
            <w:pPr>
              <w:rPr>
                <w:rFonts w:ascii="Lato" w:hAnsi="Lato"/>
                <w:sz w:val="22"/>
                <w:szCs w:val="22"/>
              </w:rPr>
            </w:pPr>
            <w:r w:rsidRPr="00590C6D">
              <w:rPr>
                <w:rFonts w:ascii="Lato" w:hAnsi="Lato"/>
                <w:sz w:val="22"/>
                <w:szCs w:val="22"/>
              </w:rPr>
              <w:t xml:space="preserve">on </w:t>
            </w:r>
            <w:r w:rsidRPr="001362A6">
              <w:rPr>
                <w:rFonts w:ascii="Lato" w:hAnsi="Lato"/>
                <w:sz w:val="22"/>
                <w:szCs w:val="22"/>
              </w:rPr>
              <w:t xml:space="preserve">the basis of a majority of votes cast at a general meeting.  </w:t>
            </w:r>
          </w:p>
        </w:tc>
        <w:tc>
          <w:tcPr>
            <w:tcW w:w="3188" w:type="dxa"/>
          </w:tcPr>
          <w:p w14:paraId="31C4F5BE" w14:textId="77777777" w:rsidR="00B61F2A" w:rsidRPr="001362A6" w:rsidRDefault="00B61F2A" w:rsidP="00B61F2A">
            <w:pPr>
              <w:rPr>
                <w:rFonts w:ascii="Lato" w:hAnsi="Lato"/>
                <w:sz w:val="22"/>
                <w:szCs w:val="22"/>
              </w:rPr>
            </w:pPr>
          </w:p>
        </w:tc>
      </w:tr>
      <w:tr w:rsidR="00B61F2A" w:rsidRPr="001362A6" w14:paraId="6242377A" w14:textId="77777777" w:rsidTr="00A70AEC">
        <w:tc>
          <w:tcPr>
            <w:tcW w:w="1316" w:type="dxa"/>
          </w:tcPr>
          <w:p w14:paraId="639FCE6B" w14:textId="77777777" w:rsidR="00B61F2A" w:rsidRPr="001362A6" w:rsidRDefault="00B61F2A" w:rsidP="00B61F2A">
            <w:pPr>
              <w:jc w:val="right"/>
              <w:rPr>
                <w:rFonts w:ascii="Lato" w:hAnsi="Lato"/>
                <w:sz w:val="22"/>
                <w:szCs w:val="22"/>
              </w:rPr>
            </w:pPr>
          </w:p>
        </w:tc>
        <w:tc>
          <w:tcPr>
            <w:tcW w:w="5891" w:type="dxa"/>
          </w:tcPr>
          <w:p w14:paraId="04BEDB2E" w14:textId="77777777" w:rsidR="00B61F2A" w:rsidRPr="001362A6" w:rsidRDefault="00B61F2A" w:rsidP="00B61F2A">
            <w:pPr>
              <w:rPr>
                <w:rFonts w:ascii="Lato" w:hAnsi="Lato"/>
                <w:sz w:val="22"/>
                <w:szCs w:val="22"/>
              </w:rPr>
            </w:pPr>
            <w:r w:rsidRPr="00590C6D">
              <w:rPr>
                <w:rFonts w:ascii="Lato" w:hAnsi="Lato"/>
                <w:sz w:val="22"/>
                <w:szCs w:val="22"/>
              </w:rPr>
              <w:t>In the</w:t>
            </w:r>
            <w:r w:rsidRPr="001362A6">
              <w:rPr>
                <w:rFonts w:ascii="Lato" w:hAnsi="Lato"/>
                <w:sz w:val="22"/>
                <w:szCs w:val="22"/>
              </w:rPr>
              <w:t xml:space="preserve"> event of an increase in the redemption or repurchase </w:t>
            </w:r>
          </w:p>
        </w:tc>
        <w:tc>
          <w:tcPr>
            <w:tcW w:w="3188" w:type="dxa"/>
          </w:tcPr>
          <w:p w14:paraId="28EB344D" w14:textId="77777777" w:rsidR="00B61F2A" w:rsidRPr="001362A6" w:rsidRDefault="00B61F2A" w:rsidP="00B61F2A">
            <w:pPr>
              <w:rPr>
                <w:rFonts w:ascii="Lato" w:hAnsi="Lato"/>
                <w:sz w:val="22"/>
                <w:szCs w:val="22"/>
              </w:rPr>
            </w:pPr>
          </w:p>
        </w:tc>
      </w:tr>
      <w:tr w:rsidR="00B61F2A" w:rsidRPr="001362A6" w14:paraId="405E3912" w14:textId="77777777" w:rsidTr="00A70AEC">
        <w:tc>
          <w:tcPr>
            <w:tcW w:w="1316" w:type="dxa"/>
          </w:tcPr>
          <w:p w14:paraId="2157246E" w14:textId="77777777" w:rsidR="00B61F2A" w:rsidRPr="001362A6" w:rsidRDefault="00B61F2A" w:rsidP="00B61F2A">
            <w:pPr>
              <w:jc w:val="right"/>
              <w:rPr>
                <w:rFonts w:ascii="Lato" w:hAnsi="Lato"/>
                <w:sz w:val="22"/>
                <w:szCs w:val="22"/>
              </w:rPr>
            </w:pPr>
          </w:p>
        </w:tc>
        <w:tc>
          <w:tcPr>
            <w:tcW w:w="5891" w:type="dxa"/>
          </w:tcPr>
          <w:p w14:paraId="271D5306" w14:textId="77777777" w:rsidR="00B61F2A" w:rsidRPr="001362A6" w:rsidRDefault="00B61F2A" w:rsidP="00B61F2A">
            <w:pPr>
              <w:rPr>
                <w:rFonts w:ascii="Lato" w:hAnsi="Lato"/>
                <w:sz w:val="22"/>
                <w:szCs w:val="22"/>
              </w:rPr>
            </w:pPr>
            <w:r w:rsidRPr="00590C6D">
              <w:rPr>
                <w:rFonts w:ascii="Lato" w:hAnsi="Lato"/>
                <w:sz w:val="22"/>
                <w:szCs w:val="22"/>
              </w:rPr>
              <w:t>charge a</w:t>
            </w:r>
            <w:r w:rsidRPr="001362A6">
              <w:rPr>
                <w:rFonts w:ascii="Lato" w:hAnsi="Lato"/>
                <w:sz w:val="22"/>
                <w:szCs w:val="22"/>
              </w:rPr>
              <w:t xml:space="preserve"> reasonable notification period must be provided </w:t>
            </w:r>
          </w:p>
        </w:tc>
        <w:tc>
          <w:tcPr>
            <w:tcW w:w="3188" w:type="dxa"/>
          </w:tcPr>
          <w:p w14:paraId="2B06D676" w14:textId="77777777" w:rsidR="00B61F2A" w:rsidRPr="001362A6" w:rsidRDefault="00B61F2A" w:rsidP="00B61F2A">
            <w:pPr>
              <w:rPr>
                <w:rFonts w:ascii="Lato" w:hAnsi="Lato"/>
                <w:sz w:val="22"/>
                <w:szCs w:val="22"/>
              </w:rPr>
            </w:pPr>
          </w:p>
        </w:tc>
      </w:tr>
      <w:tr w:rsidR="00B61F2A" w:rsidRPr="001362A6" w14:paraId="0E889E2F" w14:textId="77777777" w:rsidTr="00A70AEC">
        <w:tc>
          <w:tcPr>
            <w:tcW w:w="1316" w:type="dxa"/>
          </w:tcPr>
          <w:p w14:paraId="79C036F6" w14:textId="77777777" w:rsidR="00B61F2A" w:rsidRPr="001362A6" w:rsidRDefault="00B61F2A" w:rsidP="00B61F2A">
            <w:pPr>
              <w:jc w:val="right"/>
              <w:rPr>
                <w:rFonts w:ascii="Lato" w:hAnsi="Lato"/>
                <w:sz w:val="22"/>
                <w:szCs w:val="22"/>
              </w:rPr>
            </w:pPr>
          </w:p>
        </w:tc>
        <w:tc>
          <w:tcPr>
            <w:tcW w:w="5891" w:type="dxa"/>
          </w:tcPr>
          <w:p w14:paraId="5E0969E3" w14:textId="77777777" w:rsidR="00B61F2A" w:rsidRPr="001362A6" w:rsidRDefault="00B61F2A" w:rsidP="00B61F2A">
            <w:pPr>
              <w:rPr>
                <w:rFonts w:ascii="Lato" w:hAnsi="Lato"/>
                <w:sz w:val="22"/>
                <w:szCs w:val="22"/>
              </w:rPr>
            </w:pPr>
            <w:r w:rsidRPr="00590C6D">
              <w:rPr>
                <w:rFonts w:ascii="Lato" w:hAnsi="Lato"/>
                <w:sz w:val="22"/>
                <w:szCs w:val="22"/>
              </w:rPr>
              <w:t xml:space="preserve">by the </w:t>
            </w:r>
            <w:r w:rsidRPr="001362A6">
              <w:rPr>
                <w:rFonts w:ascii="Lato" w:hAnsi="Lato"/>
                <w:sz w:val="22"/>
                <w:szCs w:val="22"/>
              </w:rPr>
              <w:t xml:space="preserve">Qualifying Investor AIF to enable unitholders </w:t>
            </w:r>
          </w:p>
        </w:tc>
        <w:tc>
          <w:tcPr>
            <w:tcW w:w="3188" w:type="dxa"/>
          </w:tcPr>
          <w:p w14:paraId="2A30004F" w14:textId="77777777" w:rsidR="00B61F2A" w:rsidRPr="001362A6" w:rsidRDefault="00B61F2A" w:rsidP="00B61F2A">
            <w:pPr>
              <w:rPr>
                <w:rFonts w:ascii="Lato" w:hAnsi="Lato"/>
                <w:sz w:val="22"/>
                <w:szCs w:val="22"/>
              </w:rPr>
            </w:pPr>
          </w:p>
        </w:tc>
      </w:tr>
      <w:tr w:rsidR="00B61F2A" w:rsidRPr="001362A6" w14:paraId="6B45D7F5" w14:textId="77777777" w:rsidTr="00A70AEC">
        <w:tc>
          <w:tcPr>
            <w:tcW w:w="1316" w:type="dxa"/>
          </w:tcPr>
          <w:p w14:paraId="2A292F7E" w14:textId="77777777" w:rsidR="00B61F2A" w:rsidRPr="001362A6" w:rsidRDefault="00B61F2A" w:rsidP="00B61F2A">
            <w:pPr>
              <w:jc w:val="right"/>
              <w:rPr>
                <w:rFonts w:ascii="Lato" w:hAnsi="Lato"/>
                <w:sz w:val="22"/>
                <w:szCs w:val="22"/>
              </w:rPr>
            </w:pPr>
          </w:p>
        </w:tc>
        <w:tc>
          <w:tcPr>
            <w:tcW w:w="5891" w:type="dxa"/>
          </w:tcPr>
          <w:p w14:paraId="090FB404" w14:textId="77777777" w:rsidR="00B61F2A" w:rsidRPr="001362A6" w:rsidRDefault="00B61F2A" w:rsidP="00B61F2A">
            <w:pPr>
              <w:rPr>
                <w:rFonts w:ascii="Lato" w:hAnsi="Lato"/>
                <w:sz w:val="22"/>
                <w:szCs w:val="22"/>
              </w:rPr>
            </w:pPr>
            <w:r w:rsidRPr="00590C6D">
              <w:rPr>
                <w:rFonts w:ascii="Lato" w:hAnsi="Lato"/>
                <w:sz w:val="22"/>
                <w:szCs w:val="22"/>
              </w:rPr>
              <w:t>redeem their</w:t>
            </w:r>
            <w:r w:rsidRPr="001362A6">
              <w:rPr>
                <w:rFonts w:ascii="Lato" w:hAnsi="Lato"/>
                <w:sz w:val="22"/>
                <w:szCs w:val="22"/>
              </w:rPr>
              <w:t xml:space="preserve"> Units prior to the implementation of the increase.</w:t>
            </w:r>
          </w:p>
        </w:tc>
        <w:tc>
          <w:tcPr>
            <w:tcW w:w="3188" w:type="dxa"/>
          </w:tcPr>
          <w:p w14:paraId="3A79BC9E" w14:textId="77777777" w:rsidR="00B61F2A" w:rsidRPr="001362A6" w:rsidRDefault="00B61F2A" w:rsidP="00B61F2A">
            <w:pPr>
              <w:rPr>
                <w:rFonts w:ascii="Lato" w:hAnsi="Lato"/>
                <w:sz w:val="22"/>
                <w:szCs w:val="22"/>
              </w:rPr>
            </w:pPr>
          </w:p>
        </w:tc>
      </w:tr>
      <w:tr w:rsidR="00B61F2A" w:rsidRPr="001362A6" w14:paraId="1A519882" w14:textId="77777777" w:rsidTr="00A70AEC">
        <w:tc>
          <w:tcPr>
            <w:tcW w:w="1316" w:type="dxa"/>
          </w:tcPr>
          <w:p w14:paraId="717AB4AF" w14:textId="77777777" w:rsidR="00B61F2A" w:rsidRPr="001362A6" w:rsidRDefault="00B61F2A" w:rsidP="00B61F2A">
            <w:pPr>
              <w:jc w:val="right"/>
              <w:rPr>
                <w:rFonts w:ascii="Lato" w:hAnsi="Lato"/>
                <w:sz w:val="22"/>
                <w:szCs w:val="22"/>
              </w:rPr>
            </w:pPr>
          </w:p>
        </w:tc>
        <w:tc>
          <w:tcPr>
            <w:tcW w:w="5891" w:type="dxa"/>
          </w:tcPr>
          <w:p w14:paraId="0B727FF5" w14:textId="77777777" w:rsidR="00B61F2A" w:rsidRPr="001362A6" w:rsidRDefault="00B61F2A" w:rsidP="00B61F2A">
            <w:pPr>
              <w:rPr>
                <w:rFonts w:ascii="Lato" w:hAnsi="Lato"/>
                <w:sz w:val="22"/>
                <w:szCs w:val="22"/>
              </w:rPr>
            </w:pPr>
            <w:r w:rsidRPr="001362A6">
              <w:rPr>
                <w:rFonts w:ascii="Lato" w:hAnsi="Lato"/>
                <w:sz w:val="22"/>
                <w:szCs w:val="22"/>
              </w:rPr>
              <w:t>Note: In the case of open-ended Qualifying Investor AIF</w:t>
            </w:r>
          </w:p>
        </w:tc>
        <w:tc>
          <w:tcPr>
            <w:tcW w:w="3188" w:type="dxa"/>
          </w:tcPr>
          <w:p w14:paraId="42A3A083" w14:textId="77777777" w:rsidR="00B61F2A" w:rsidRPr="001362A6" w:rsidRDefault="00B61F2A" w:rsidP="00B61F2A">
            <w:pPr>
              <w:rPr>
                <w:rFonts w:ascii="Lato" w:hAnsi="Lato"/>
                <w:sz w:val="22"/>
                <w:szCs w:val="22"/>
              </w:rPr>
            </w:pPr>
          </w:p>
        </w:tc>
      </w:tr>
      <w:tr w:rsidR="00B61F2A" w:rsidRPr="001362A6" w14:paraId="64BCA61C" w14:textId="77777777" w:rsidTr="00A70AEC">
        <w:tc>
          <w:tcPr>
            <w:tcW w:w="1316" w:type="dxa"/>
          </w:tcPr>
          <w:p w14:paraId="475481AD" w14:textId="77777777" w:rsidR="00B61F2A" w:rsidRPr="001362A6" w:rsidRDefault="00B61F2A" w:rsidP="00B61F2A">
            <w:pPr>
              <w:jc w:val="right"/>
              <w:rPr>
                <w:rFonts w:ascii="Lato" w:hAnsi="Lato"/>
                <w:sz w:val="22"/>
                <w:szCs w:val="22"/>
              </w:rPr>
            </w:pPr>
            <w:r w:rsidRPr="001362A6">
              <w:rPr>
                <w:rFonts w:ascii="Lato" w:hAnsi="Lato"/>
                <w:sz w:val="22"/>
                <w:szCs w:val="22"/>
              </w:rPr>
              <w:t xml:space="preserve">     </w:t>
            </w:r>
          </w:p>
        </w:tc>
        <w:tc>
          <w:tcPr>
            <w:tcW w:w="5891" w:type="dxa"/>
          </w:tcPr>
          <w:p w14:paraId="0FFFAA82" w14:textId="77777777" w:rsidR="00B61F2A" w:rsidRPr="001362A6" w:rsidRDefault="00B61F2A" w:rsidP="00B61F2A">
            <w:pPr>
              <w:rPr>
                <w:rFonts w:ascii="Lato" w:hAnsi="Lato"/>
                <w:sz w:val="22"/>
                <w:szCs w:val="22"/>
              </w:rPr>
            </w:pPr>
            <w:r w:rsidRPr="001362A6">
              <w:rPr>
                <w:rFonts w:ascii="Lato" w:hAnsi="Lato"/>
                <w:sz w:val="22"/>
                <w:szCs w:val="22"/>
              </w:rPr>
              <w:t>the redemption charge may not exceed 5% of net asset value per unit.</w:t>
            </w:r>
          </w:p>
        </w:tc>
        <w:tc>
          <w:tcPr>
            <w:tcW w:w="3188" w:type="dxa"/>
          </w:tcPr>
          <w:p w14:paraId="5E3CFCD7" w14:textId="77777777" w:rsidR="00B61F2A" w:rsidRPr="001362A6" w:rsidRDefault="00B61F2A" w:rsidP="00B61F2A">
            <w:pPr>
              <w:rPr>
                <w:rFonts w:ascii="Lato" w:hAnsi="Lato"/>
                <w:sz w:val="22"/>
                <w:szCs w:val="22"/>
              </w:rPr>
            </w:pPr>
          </w:p>
        </w:tc>
      </w:tr>
      <w:tr w:rsidR="00B61F2A" w:rsidRPr="001362A6" w14:paraId="7B99527C" w14:textId="77777777" w:rsidTr="00A70AEC">
        <w:tc>
          <w:tcPr>
            <w:tcW w:w="1316" w:type="dxa"/>
          </w:tcPr>
          <w:p w14:paraId="343D707E" w14:textId="77777777" w:rsidR="00B61F2A" w:rsidRPr="001362A6" w:rsidRDefault="00B61F2A" w:rsidP="00B61F2A">
            <w:pPr>
              <w:jc w:val="center"/>
              <w:rPr>
                <w:rFonts w:ascii="Lato" w:hAnsi="Lato"/>
                <w:sz w:val="22"/>
                <w:szCs w:val="22"/>
              </w:rPr>
            </w:pPr>
          </w:p>
        </w:tc>
        <w:tc>
          <w:tcPr>
            <w:tcW w:w="5891" w:type="dxa"/>
          </w:tcPr>
          <w:p w14:paraId="34114FF7" w14:textId="77777777" w:rsidR="00B61F2A" w:rsidRPr="001362A6" w:rsidRDefault="00B61F2A" w:rsidP="00B61F2A">
            <w:pPr>
              <w:rPr>
                <w:rFonts w:ascii="Lato" w:hAnsi="Lato"/>
                <w:sz w:val="22"/>
                <w:szCs w:val="22"/>
              </w:rPr>
            </w:pPr>
          </w:p>
        </w:tc>
        <w:tc>
          <w:tcPr>
            <w:tcW w:w="3188" w:type="dxa"/>
          </w:tcPr>
          <w:p w14:paraId="1735876E" w14:textId="77777777" w:rsidR="00B61F2A" w:rsidRPr="001362A6" w:rsidRDefault="00B61F2A" w:rsidP="00B61F2A">
            <w:pPr>
              <w:rPr>
                <w:rFonts w:ascii="Lato" w:hAnsi="Lato"/>
                <w:sz w:val="22"/>
                <w:szCs w:val="22"/>
              </w:rPr>
            </w:pPr>
          </w:p>
        </w:tc>
      </w:tr>
      <w:tr w:rsidR="00B61F2A" w:rsidRPr="001362A6" w14:paraId="72E48B79" w14:textId="77777777" w:rsidTr="00990D73">
        <w:tc>
          <w:tcPr>
            <w:tcW w:w="1316" w:type="dxa"/>
          </w:tcPr>
          <w:p w14:paraId="43FE62D9" w14:textId="77777777" w:rsidR="00B61F2A" w:rsidRPr="001362A6" w:rsidRDefault="00B61F2A" w:rsidP="00B61F2A">
            <w:pPr>
              <w:jc w:val="center"/>
              <w:rPr>
                <w:rFonts w:ascii="Lato" w:hAnsi="Lato"/>
                <w:sz w:val="22"/>
                <w:szCs w:val="22"/>
              </w:rPr>
            </w:pPr>
            <w:r w:rsidRPr="001362A6">
              <w:rPr>
                <w:rFonts w:ascii="Lato" w:hAnsi="Lato"/>
                <w:sz w:val="22"/>
                <w:szCs w:val="22"/>
              </w:rPr>
              <w:t>2.13.3</w:t>
            </w:r>
          </w:p>
        </w:tc>
        <w:tc>
          <w:tcPr>
            <w:tcW w:w="5891" w:type="dxa"/>
          </w:tcPr>
          <w:p w14:paraId="1122E5CB" w14:textId="77777777" w:rsidR="00B61F2A" w:rsidRPr="001362A6" w:rsidRDefault="00B61F2A" w:rsidP="00B61F2A">
            <w:pPr>
              <w:rPr>
                <w:rFonts w:ascii="Lato" w:hAnsi="Lato"/>
                <w:sz w:val="22"/>
                <w:szCs w:val="22"/>
              </w:rPr>
            </w:pPr>
            <w:r w:rsidRPr="001362A6">
              <w:rPr>
                <w:rFonts w:ascii="Lato" w:hAnsi="Lato"/>
                <w:sz w:val="22"/>
                <w:szCs w:val="22"/>
              </w:rPr>
              <w:t>Open Ended Qualifying Investor AIF</w:t>
            </w:r>
          </w:p>
        </w:tc>
        <w:tc>
          <w:tcPr>
            <w:tcW w:w="3188" w:type="dxa"/>
            <w:tcBorders>
              <w:bottom w:val="single" w:sz="4" w:space="0" w:color="auto"/>
            </w:tcBorders>
          </w:tcPr>
          <w:p w14:paraId="02D650C0" w14:textId="77777777" w:rsidR="00B61F2A" w:rsidRPr="001362A6" w:rsidRDefault="00B61F2A" w:rsidP="00B61F2A">
            <w:pPr>
              <w:rPr>
                <w:rFonts w:ascii="Lato" w:hAnsi="Lato"/>
                <w:sz w:val="22"/>
                <w:szCs w:val="22"/>
              </w:rPr>
            </w:pPr>
          </w:p>
        </w:tc>
      </w:tr>
      <w:tr w:rsidR="00B61F2A" w:rsidRPr="001362A6" w14:paraId="07EF5072" w14:textId="77777777" w:rsidTr="00990D73">
        <w:tc>
          <w:tcPr>
            <w:tcW w:w="1316" w:type="dxa"/>
          </w:tcPr>
          <w:p w14:paraId="44C783DD" w14:textId="77777777" w:rsidR="00B61F2A" w:rsidRPr="001362A6" w:rsidRDefault="00B61F2A" w:rsidP="00B61F2A">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351A9D36" w14:textId="77777777" w:rsidR="00B61F2A" w:rsidRPr="001362A6" w:rsidRDefault="00B61F2A" w:rsidP="00B61F2A">
            <w:pPr>
              <w:rPr>
                <w:rFonts w:ascii="Lato" w:hAnsi="Lato"/>
                <w:sz w:val="22"/>
                <w:szCs w:val="22"/>
              </w:rPr>
            </w:pPr>
            <w:r w:rsidRPr="001362A6">
              <w:rPr>
                <w:rFonts w:ascii="Lato" w:hAnsi="Lato"/>
                <w:sz w:val="22"/>
                <w:szCs w:val="22"/>
              </w:rPr>
              <w:t xml:space="preserve">Disclose that redemption facilities must be provided on at </w:t>
            </w:r>
          </w:p>
        </w:tc>
        <w:tc>
          <w:tcPr>
            <w:tcW w:w="3188" w:type="dxa"/>
            <w:tcBorders>
              <w:top w:val="single" w:sz="4" w:space="0" w:color="auto"/>
              <w:left w:val="single" w:sz="4" w:space="0" w:color="auto"/>
              <w:bottom w:val="single" w:sz="4" w:space="0" w:color="auto"/>
              <w:right w:val="single" w:sz="4" w:space="0" w:color="auto"/>
            </w:tcBorders>
          </w:tcPr>
          <w:p w14:paraId="590DF7FB" w14:textId="77777777" w:rsidR="00B61F2A" w:rsidRPr="001362A6" w:rsidRDefault="00B61F2A" w:rsidP="00B61F2A">
            <w:pPr>
              <w:rPr>
                <w:rFonts w:ascii="Lato" w:hAnsi="Lato"/>
                <w:sz w:val="22"/>
                <w:szCs w:val="22"/>
              </w:rPr>
            </w:pPr>
          </w:p>
        </w:tc>
      </w:tr>
      <w:tr w:rsidR="00B61F2A" w:rsidRPr="001362A6" w14:paraId="2E92367D" w14:textId="77777777" w:rsidTr="00990D73">
        <w:tc>
          <w:tcPr>
            <w:tcW w:w="1316" w:type="dxa"/>
          </w:tcPr>
          <w:p w14:paraId="02EDED59" w14:textId="77777777" w:rsidR="00B61F2A" w:rsidRPr="001362A6" w:rsidRDefault="00B61F2A" w:rsidP="00B61F2A">
            <w:pPr>
              <w:jc w:val="right"/>
              <w:rPr>
                <w:rFonts w:ascii="Lato" w:hAnsi="Lato"/>
                <w:sz w:val="22"/>
                <w:szCs w:val="22"/>
              </w:rPr>
            </w:pPr>
          </w:p>
        </w:tc>
        <w:tc>
          <w:tcPr>
            <w:tcW w:w="5891" w:type="dxa"/>
          </w:tcPr>
          <w:p w14:paraId="7CB73131" w14:textId="77777777" w:rsidR="00B61F2A" w:rsidRPr="001362A6" w:rsidRDefault="00B61F2A" w:rsidP="00B61F2A">
            <w:pPr>
              <w:rPr>
                <w:rFonts w:ascii="Lato" w:hAnsi="Lato"/>
                <w:sz w:val="22"/>
                <w:szCs w:val="22"/>
              </w:rPr>
            </w:pPr>
            <w:r w:rsidRPr="00590C6D">
              <w:rPr>
                <w:rFonts w:ascii="Lato" w:hAnsi="Lato"/>
                <w:sz w:val="22"/>
                <w:szCs w:val="22"/>
              </w:rPr>
              <w:t>least</w:t>
            </w:r>
            <w:r w:rsidRPr="001362A6">
              <w:rPr>
                <w:rFonts w:ascii="Lato" w:hAnsi="Lato"/>
                <w:sz w:val="22"/>
                <w:szCs w:val="22"/>
              </w:rPr>
              <w:t xml:space="preserve"> a quarterly basis</w:t>
            </w:r>
          </w:p>
        </w:tc>
        <w:tc>
          <w:tcPr>
            <w:tcW w:w="3188" w:type="dxa"/>
            <w:tcBorders>
              <w:top w:val="single" w:sz="4" w:space="0" w:color="auto"/>
            </w:tcBorders>
          </w:tcPr>
          <w:p w14:paraId="1AE7180C" w14:textId="77777777" w:rsidR="00B61F2A" w:rsidRPr="001362A6" w:rsidRDefault="00B61F2A" w:rsidP="00B61F2A">
            <w:pPr>
              <w:rPr>
                <w:rFonts w:ascii="Lato" w:hAnsi="Lato"/>
                <w:sz w:val="22"/>
                <w:szCs w:val="22"/>
              </w:rPr>
            </w:pPr>
          </w:p>
        </w:tc>
      </w:tr>
      <w:tr w:rsidR="00B61F2A" w:rsidRPr="001362A6" w14:paraId="789BD9EA" w14:textId="77777777" w:rsidTr="00990D73">
        <w:tc>
          <w:tcPr>
            <w:tcW w:w="1316" w:type="dxa"/>
          </w:tcPr>
          <w:p w14:paraId="3A4120BE" w14:textId="77777777" w:rsidR="00B61F2A" w:rsidRPr="001362A6" w:rsidRDefault="00B61F2A" w:rsidP="00B61F2A">
            <w:pPr>
              <w:jc w:val="right"/>
              <w:rPr>
                <w:rFonts w:ascii="Lato" w:hAnsi="Lato"/>
                <w:sz w:val="22"/>
                <w:szCs w:val="22"/>
              </w:rPr>
            </w:pPr>
            <w:r w:rsidRPr="001362A6">
              <w:rPr>
                <w:rFonts w:ascii="Lato" w:hAnsi="Lato"/>
                <w:sz w:val="22"/>
                <w:szCs w:val="22"/>
              </w:rPr>
              <w:t>b)</w:t>
            </w:r>
          </w:p>
        </w:tc>
        <w:tc>
          <w:tcPr>
            <w:tcW w:w="5891" w:type="dxa"/>
          </w:tcPr>
          <w:p w14:paraId="6F91EFDD" w14:textId="77777777" w:rsidR="00B61F2A" w:rsidRPr="001362A6" w:rsidRDefault="00B61F2A" w:rsidP="00B61F2A">
            <w:pPr>
              <w:rPr>
                <w:rFonts w:ascii="Lato" w:hAnsi="Lato"/>
                <w:sz w:val="22"/>
                <w:szCs w:val="22"/>
              </w:rPr>
            </w:pPr>
            <w:r w:rsidRPr="001362A6">
              <w:rPr>
                <w:rFonts w:ascii="Lato" w:hAnsi="Lato"/>
                <w:sz w:val="22"/>
                <w:szCs w:val="22"/>
              </w:rPr>
              <w:t xml:space="preserve">Provide that the Qualifying Investor AIF will redeem when </w:t>
            </w:r>
          </w:p>
        </w:tc>
        <w:tc>
          <w:tcPr>
            <w:tcW w:w="3188" w:type="dxa"/>
          </w:tcPr>
          <w:p w14:paraId="4CABDF21" w14:textId="77777777" w:rsidR="00B61F2A" w:rsidRPr="001362A6" w:rsidRDefault="00B61F2A" w:rsidP="00B61F2A">
            <w:pPr>
              <w:rPr>
                <w:rFonts w:ascii="Lato" w:hAnsi="Lato"/>
                <w:sz w:val="22"/>
                <w:szCs w:val="22"/>
              </w:rPr>
            </w:pPr>
          </w:p>
        </w:tc>
      </w:tr>
      <w:tr w:rsidR="00B61F2A" w:rsidRPr="001362A6" w14:paraId="1DC8CC2C" w14:textId="77777777" w:rsidTr="00990D73">
        <w:tc>
          <w:tcPr>
            <w:tcW w:w="1316" w:type="dxa"/>
          </w:tcPr>
          <w:p w14:paraId="0E03D98D" w14:textId="77777777" w:rsidR="00B61F2A" w:rsidRPr="001362A6" w:rsidRDefault="00B61F2A" w:rsidP="00B61F2A">
            <w:pPr>
              <w:jc w:val="right"/>
              <w:rPr>
                <w:rFonts w:ascii="Lato" w:hAnsi="Lato"/>
                <w:sz w:val="22"/>
                <w:szCs w:val="22"/>
              </w:rPr>
            </w:pPr>
          </w:p>
        </w:tc>
        <w:tc>
          <w:tcPr>
            <w:tcW w:w="5891" w:type="dxa"/>
          </w:tcPr>
          <w:p w14:paraId="44BDAD4C" w14:textId="77777777" w:rsidR="00B61F2A" w:rsidRPr="001362A6" w:rsidRDefault="00B61F2A" w:rsidP="00B61F2A">
            <w:pPr>
              <w:rPr>
                <w:rFonts w:ascii="Lato" w:hAnsi="Lato"/>
                <w:sz w:val="22"/>
                <w:szCs w:val="22"/>
              </w:rPr>
            </w:pPr>
            <w:r w:rsidRPr="001362A6">
              <w:rPr>
                <w:rFonts w:ascii="Lato" w:hAnsi="Lato"/>
                <w:sz w:val="22"/>
                <w:szCs w:val="22"/>
              </w:rPr>
              <w:t>requested at least:</w:t>
            </w:r>
          </w:p>
        </w:tc>
        <w:tc>
          <w:tcPr>
            <w:tcW w:w="3188" w:type="dxa"/>
            <w:tcBorders>
              <w:bottom w:val="single" w:sz="4" w:space="0" w:color="auto"/>
            </w:tcBorders>
          </w:tcPr>
          <w:p w14:paraId="3BAE037E" w14:textId="77777777" w:rsidR="00B61F2A" w:rsidRPr="001362A6" w:rsidRDefault="00B61F2A" w:rsidP="00B61F2A">
            <w:pPr>
              <w:rPr>
                <w:rFonts w:ascii="Lato" w:hAnsi="Lato"/>
                <w:sz w:val="22"/>
                <w:szCs w:val="22"/>
              </w:rPr>
            </w:pPr>
          </w:p>
        </w:tc>
      </w:tr>
      <w:tr w:rsidR="00B61F2A" w:rsidRPr="001362A6" w14:paraId="5E1D1223" w14:textId="77777777" w:rsidTr="00990D73">
        <w:tc>
          <w:tcPr>
            <w:tcW w:w="1316" w:type="dxa"/>
          </w:tcPr>
          <w:p w14:paraId="3B4D6DD4" w14:textId="77777777" w:rsidR="00B61F2A" w:rsidRPr="001362A6" w:rsidRDefault="00B61F2A" w:rsidP="00B61F2A">
            <w:pPr>
              <w:jc w:val="right"/>
              <w:rPr>
                <w:rFonts w:ascii="Lato" w:hAnsi="Lato"/>
                <w:sz w:val="22"/>
                <w:szCs w:val="22"/>
              </w:rPr>
            </w:pPr>
            <w:r w:rsidRPr="001362A6">
              <w:rPr>
                <w:rFonts w:ascii="Lato" w:hAnsi="Lato"/>
                <w:sz w:val="22"/>
                <w:szCs w:val="22"/>
              </w:rPr>
              <w:t>(i)</w:t>
            </w:r>
          </w:p>
        </w:tc>
        <w:tc>
          <w:tcPr>
            <w:tcW w:w="5891" w:type="dxa"/>
            <w:tcBorders>
              <w:right w:val="single" w:sz="4" w:space="0" w:color="auto"/>
            </w:tcBorders>
          </w:tcPr>
          <w:p w14:paraId="247B408C" w14:textId="77777777" w:rsidR="00B61F2A" w:rsidRPr="001362A6" w:rsidRDefault="00B61F2A" w:rsidP="00B61F2A">
            <w:pPr>
              <w:rPr>
                <w:rFonts w:ascii="Lato" w:hAnsi="Lato"/>
                <w:sz w:val="22"/>
                <w:szCs w:val="22"/>
              </w:rPr>
            </w:pPr>
            <w:r w:rsidRPr="001362A6">
              <w:rPr>
                <w:rFonts w:ascii="Lato" w:hAnsi="Lato"/>
                <w:sz w:val="22"/>
                <w:szCs w:val="22"/>
              </w:rPr>
              <w:t>10% of net assets on a monthly basis; or</w:t>
            </w:r>
          </w:p>
        </w:tc>
        <w:tc>
          <w:tcPr>
            <w:tcW w:w="3188" w:type="dxa"/>
            <w:tcBorders>
              <w:top w:val="single" w:sz="4" w:space="0" w:color="auto"/>
              <w:left w:val="single" w:sz="4" w:space="0" w:color="auto"/>
              <w:bottom w:val="single" w:sz="4" w:space="0" w:color="auto"/>
              <w:right w:val="single" w:sz="4" w:space="0" w:color="auto"/>
            </w:tcBorders>
          </w:tcPr>
          <w:p w14:paraId="27680F3B" w14:textId="77777777" w:rsidR="00B61F2A" w:rsidRPr="001362A6" w:rsidRDefault="00B61F2A" w:rsidP="00B61F2A">
            <w:pPr>
              <w:rPr>
                <w:rFonts w:ascii="Lato" w:hAnsi="Lato"/>
                <w:sz w:val="22"/>
                <w:szCs w:val="22"/>
              </w:rPr>
            </w:pPr>
          </w:p>
        </w:tc>
      </w:tr>
      <w:tr w:rsidR="00B61F2A" w:rsidRPr="001362A6" w14:paraId="276B7EB3" w14:textId="77777777" w:rsidTr="007E3170">
        <w:tc>
          <w:tcPr>
            <w:tcW w:w="1316" w:type="dxa"/>
          </w:tcPr>
          <w:p w14:paraId="1C4DC267" w14:textId="77777777" w:rsidR="00B61F2A" w:rsidRPr="001362A6" w:rsidRDefault="00B61F2A" w:rsidP="00B61F2A">
            <w:pPr>
              <w:jc w:val="right"/>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6E279C4B" w14:textId="77777777" w:rsidR="00B61F2A" w:rsidRPr="001362A6" w:rsidRDefault="00B61F2A" w:rsidP="00B61F2A">
            <w:pPr>
              <w:rPr>
                <w:rFonts w:ascii="Lato" w:hAnsi="Lato"/>
                <w:sz w:val="22"/>
                <w:szCs w:val="22"/>
              </w:rPr>
            </w:pPr>
            <w:r w:rsidRPr="001362A6">
              <w:rPr>
                <w:rFonts w:ascii="Lato" w:hAnsi="Lato"/>
                <w:sz w:val="22"/>
                <w:szCs w:val="22"/>
              </w:rPr>
              <w:t>25% of net assets on a quarterly basis</w:t>
            </w:r>
          </w:p>
        </w:tc>
        <w:tc>
          <w:tcPr>
            <w:tcW w:w="3188" w:type="dxa"/>
            <w:tcBorders>
              <w:top w:val="single" w:sz="4" w:space="0" w:color="auto"/>
              <w:left w:val="single" w:sz="4" w:space="0" w:color="auto"/>
              <w:bottom w:val="single" w:sz="4" w:space="0" w:color="auto"/>
              <w:right w:val="single" w:sz="4" w:space="0" w:color="auto"/>
            </w:tcBorders>
          </w:tcPr>
          <w:p w14:paraId="00A3CFE7" w14:textId="77777777" w:rsidR="00B61F2A" w:rsidRPr="001362A6" w:rsidRDefault="00B61F2A" w:rsidP="00B61F2A">
            <w:pPr>
              <w:rPr>
                <w:rFonts w:ascii="Lato" w:hAnsi="Lato"/>
                <w:sz w:val="22"/>
                <w:szCs w:val="22"/>
              </w:rPr>
            </w:pPr>
          </w:p>
        </w:tc>
      </w:tr>
      <w:tr w:rsidR="00B61F2A" w:rsidRPr="001362A6" w14:paraId="6FFA0643" w14:textId="77777777" w:rsidTr="007E3170">
        <w:tc>
          <w:tcPr>
            <w:tcW w:w="1316" w:type="dxa"/>
          </w:tcPr>
          <w:p w14:paraId="61E87231" w14:textId="77777777" w:rsidR="00B61F2A" w:rsidRPr="001362A6" w:rsidRDefault="00B61F2A" w:rsidP="00B61F2A">
            <w:pPr>
              <w:jc w:val="right"/>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2D71ACFD" w14:textId="77777777" w:rsidR="00B61F2A" w:rsidRPr="001362A6" w:rsidRDefault="00B61F2A" w:rsidP="00B61F2A">
            <w:pPr>
              <w:rPr>
                <w:rFonts w:ascii="Lato" w:hAnsi="Lato"/>
                <w:sz w:val="22"/>
                <w:szCs w:val="22"/>
              </w:rPr>
            </w:pPr>
            <w:r w:rsidRPr="001362A6">
              <w:rPr>
                <w:rFonts w:ascii="Lato" w:hAnsi="Lato"/>
                <w:sz w:val="22"/>
              </w:rPr>
              <w:t xml:space="preserve">Disclose that any request for redemption on such dealing </w:t>
            </w:r>
          </w:p>
        </w:tc>
        <w:tc>
          <w:tcPr>
            <w:tcW w:w="3188" w:type="dxa"/>
            <w:tcBorders>
              <w:top w:val="single" w:sz="4" w:space="0" w:color="auto"/>
              <w:left w:val="single" w:sz="4" w:space="0" w:color="auto"/>
              <w:bottom w:val="single" w:sz="4" w:space="0" w:color="auto"/>
              <w:right w:val="single" w:sz="4" w:space="0" w:color="auto"/>
            </w:tcBorders>
          </w:tcPr>
          <w:p w14:paraId="7D062658" w14:textId="77777777" w:rsidR="00B61F2A" w:rsidRPr="001362A6" w:rsidRDefault="00B61F2A" w:rsidP="00B61F2A">
            <w:pPr>
              <w:rPr>
                <w:rFonts w:ascii="Lato" w:hAnsi="Lato"/>
                <w:sz w:val="22"/>
                <w:szCs w:val="22"/>
              </w:rPr>
            </w:pPr>
          </w:p>
        </w:tc>
      </w:tr>
      <w:tr w:rsidR="00B61F2A" w:rsidRPr="001362A6" w14:paraId="599E1A90" w14:textId="77777777" w:rsidTr="007E3170">
        <w:tc>
          <w:tcPr>
            <w:tcW w:w="1316" w:type="dxa"/>
          </w:tcPr>
          <w:p w14:paraId="65CF21C3" w14:textId="77777777" w:rsidR="00B61F2A" w:rsidRPr="001362A6" w:rsidRDefault="00B61F2A" w:rsidP="00B61F2A">
            <w:pPr>
              <w:jc w:val="right"/>
              <w:rPr>
                <w:rFonts w:ascii="Lato" w:hAnsi="Lato"/>
                <w:sz w:val="22"/>
                <w:szCs w:val="22"/>
              </w:rPr>
            </w:pPr>
          </w:p>
        </w:tc>
        <w:tc>
          <w:tcPr>
            <w:tcW w:w="5891" w:type="dxa"/>
          </w:tcPr>
          <w:p w14:paraId="564F258F" w14:textId="77777777" w:rsidR="00B61F2A" w:rsidRPr="001362A6" w:rsidRDefault="00B61F2A" w:rsidP="00B61F2A">
            <w:pPr>
              <w:rPr>
                <w:rFonts w:ascii="Lato" w:hAnsi="Lato"/>
                <w:sz w:val="22"/>
              </w:rPr>
            </w:pPr>
            <w:r w:rsidRPr="00590C6D">
              <w:rPr>
                <w:rFonts w:ascii="Lato" w:hAnsi="Lato"/>
                <w:sz w:val="22"/>
              </w:rPr>
              <w:t xml:space="preserve">day </w:t>
            </w:r>
            <w:r w:rsidRPr="001362A6">
              <w:rPr>
                <w:rFonts w:ascii="Lato" w:hAnsi="Lato"/>
                <w:sz w:val="22"/>
              </w:rPr>
              <w:t xml:space="preserve">that is above10%/25% of net assets, as appropriate, </w:t>
            </w:r>
          </w:p>
        </w:tc>
        <w:tc>
          <w:tcPr>
            <w:tcW w:w="3188" w:type="dxa"/>
            <w:tcBorders>
              <w:top w:val="single" w:sz="4" w:space="0" w:color="auto"/>
            </w:tcBorders>
          </w:tcPr>
          <w:p w14:paraId="3560B21F" w14:textId="77777777" w:rsidR="00B61F2A" w:rsidRPr="001362A6" w:rsidRDefault="00B61F2A" w:rsidP="00B61F2A">
            <w:pPr>
              <w:rPr>
                <w:rFonts w:ascii="Lato" w:hAnsi="Lato"/>
                <w:sz w:val="22"/>
                <w:szCs w:val="22"/>
              </w:rPr>
            </w:pPr>
          </w:p>
        </w:tc>
      </w:tr>
      <w:tr w:rsidR="00B61F2A" w:rsidRPr="001362A6" w14:paraId="075A1D58" w14:textId="77777777" w:rsidTr="007E3170">
        <w:tc>
          <w:tcPr>
            <w:tcW w:w="1316" w:type="dxa"/>
          </w:tcPr>
          <w:p w14:paraId="216DF535" w14:textId="77777777" w:rsidR="00B61F2A" w:rsidRPr="001362A6" w:rsidRDefault="00B61F2A" w:rsidP="00B61F2A">
            <w:pPr>
              <w:jc w:val="right"/>
              <w:rPr>
                <w:rFonts w:ascii="Lato" w:hAnsi="Lato"/>
                <w:sz w:val="22"/>
                <w:szCs w:val="22"/>
              </w:rPr>
            </w:pPr>
          </w:p>
        </w:tc>
        <w:tc>
          <w:tcPr>
            <w:tcW w:w="5891" w:type="dxa"/>
          </w:tcPr>
          <w:p w14:paraId="1264C581" w14:textId="77777777" w:rsidR="00B61F2A" w:rsidRPr="001362A6" w:rsidRDefault="00B61F2A" w:rsidP="00B61F2A">
            <w:pPr>
              <w:rPr>
                <w:rFonts w:ascii="Lato" w:hAnsi="Lato"/>
                <w:sz w:val="22"/>
                <w:szCs w:val="22"/>
              </w:rPr>
            </w:pPr>
            <w:r w:rsidRPr="00590C6D">
              <w:rPr>
                <w:rFonts w:ascii="Lato" w:hAnsi="Lato"/>
                <w:sz w:val="22"/>
              </w:rPr>
              <w:t xml:space="preserve">shall  </w:t>
            </w:r>
            <w:r w:rsidRPr="001362A6">
              <w:rPr>
                <w:rFonts w:ascii="Lato" w:hAnsi="Lato"/>
                <w:sz w:val="22"/>
              </w:rPr>
              <w:t>be reduced rateably and disclose clearly the procedure for treatment of unsatisfied redemption requests.  This must be applied consistently throughout the life of the Qualifying Investor AIF</w:t>
            </w:r>
          </w:p>
        </w:tc>
        <w:tc>
          <w:tcPr>
            <w:tcW w:w="3188" w:type="dxa"/>
          </w:tcPr>
          <w:p w14:paraId="3EF991C6" w14:textId="77777777" w:rsidR="00B61F2A" w:rsidRPr="001362A6" w:rsidRDefault="00B61F2A" w:rsidP="00B61F2A">
            <w:pPr>
              <w:rPr>
                <w:rFonts w:ascii="Lato" w:hAnsi="Lato"/>
                <w:sz w:val="22"/>
                <w:szCs w:val="22"/>
              </w:rPr>
            </w:pPr>
          </w:p>
        </w:tc>
      </w:tr>
      <w:tr w:rsidR="00B61F2A" w:rsidRPr="001362A6" w14:paraId="36D468FF" w14:textId="77777777" w:rsidTr="007E3170">
        <w:tc>
          <w:tcPr>
            <w:tcW w:w="1316" w:type="dxa"/>
          </w:tcPr>
          <w:p w14:paraId="2724663A" w14:textId="77777777" w:rsidR="00B61F2A" w:rsidRPr="001362A6" w:rsidRDefault="00B61F2A" w:rsidP="00B61F2A">
            <w:pPr>
              <w:jc w:val="right"/>
              <w:rPr>
                <w:rFonts w:ascii="Lato" w:hAnsi="Lato"/>
                <w:sz w:val="22"/>
                <w:szCs w:val="22"/>
              </w:rPr>
            </w:pPr>
          </w:p>
        </w:tc>
        <w:tc>
          <w:tcPr>
            <w:tcW w:w="5891" w:type="dxa"/>
          </w:tcPr>
          <w:p w14:paraId="3A728DD2" w14:textId="77777777" w:rsidR="00B61F2A" w:rsidRPr="001362A6" w:rsidRDefault="00B61F2A" w:rsidP="00B61F2A">
            <w:pPr>
              <w:rPr>
                <w:rFonts w:ascii="Lato" w:hAnsi="Lato"/>
                <w:sz w:val="22"/>
                <w:szCs w:val="22"/>
              </w:rPr>
            </w:pPr>
          </w:p>
        </w:tc>
        <w:tc>
          <w:tcPr>
            <w:tcW w:w="3188" w:type="dxa"/>
          </w:tcPr>
          <w:p w14:paraId="57B78775" w14:textId="77777777" w:rsidR="00B61F2A" w:rsidRPr="001362A6" w:rsidRDefault="00B61F2A" w:rsidP="00B61F2A">
            <w:pPr>
              <w:rPr>
                <w:rFonts w:ascii="Lato" w:hAnsi="Lato"/>
                <w:sz w:val="22"/>
                <w:szCs w:val="22"/>
              </w:rPr>
            </w:pPr>
          </w:p>
        </w:tc>
      </w:tr>
      <w:tr w:rsidR="00B61F2A" w:rsidRPr="001362A6" w14:paraId="724F3023" w14:textId="77777777" w:rsidTr="007E3170">
        <w:tc>
          <w:tcPr>
            <w:tcW w:w="1316" w:type="dxa"/>
          </w:tcPr>
          <w:p w14:paraId="0DCCE225" w14:textId="77777777" w:rsidR="00B61F2A" w:rsidRPr="001362A6" w:rsidRDefault="00B61F2A" w:rsidP="00B61F2A">
            <w:pPr>
              <w:jc w:val="right"/>
              <w:rPr>
                <w:rFonts w:ascii="Lato" w:hAnsi="Lato"/>
                <w:sz w:val="22"/>
                <w:szCs w:val="22"/>
              </w:rPr>
            </w:pPr>
          </w:p>
        </w:tc>
        <w:tc>
          <w:tcPr>
            <w:tcW w:w="5891" w:type="dxa"/>
          </w:tcPr>
          <w:p w14:paraId="080C6150" w14:textId="77777777" w:rsidR="00B61F2A" w:rsidRPr="001362A6" w:rsidRDefault="00B61F2A" w:rsidP="00B61F2A">
            <w:pPr>
              <w:rPr>
                <w:rFonts w:ascii="Lato" w:hAnsi="Lato"/>
                <w:sz w:val="22"/>
                <w:szCs w:val="22"/>
              </w:rPr>
            </w:pPr>
          </w:p>
        </w:tc>
        <w:tc>
          <w:tcPr>
            <w:tcW w:w="3188" w:type="dxa"/>
          </w:tcPr>
          <w:p w14:paraId="5DFDF28F" w14:textId="77777777" w:rsidR="00B61F2A" w:rsidRPr="001362A6" w:rsidRDefault="00B61F2A" w:rsidP="00B61F2A">
            <w:pPr>
              <w:rPr>
                <w:rFonts w:ascii="Lato" w:hAnsi="Lato"/>
                <w:sz w:val="22"/>
                <w:szCs w:val="22"/>
              </w:rPr>
            </w:pPr>
          </w:p>
        </w:tc>
      </w:tr>
      <w:tr w:rsidR="00B61F2A" w:rsidRPr="001362A6" w14:paraId="4C71B87E" w14:textId="77777777" w:rsidTr="007E3170">
        <w:tc>
          <w:tcPr>
            <w:tcW w:w="1316" w:type="dxa"/>
          </w:tcPr>
          <w:p w14:paraId="62F6A6E6" w14:textId="77777777" w:rsidR="00B61F2A" w:rsidRPr="001362A6" w:rsidRDefault="00B61F2A" w:rsidP="00B61F2A">
            <w:pPr>
              <w:jc w:val="right"/>
              <w:rPr>
                <w:rFonts w:ascii="Lato" w:hAnsi="Lato"/>
                <w:sz w:val="22"/>
                <w:szCs w:val="22"/>
              </w:rPr>
            </w:pPr>
          </w:p>
        </w:tc>
        <w:tc>
          <w:tcPr>
            <w:tcW w:w="5891" w:type="dxa"/>
          </w:tcPr>
          <w:p w14:paraId="2B6DACE2" w14:textId="77777777" w:rsidR="00B61F2A" w:rsidRPr="001362A6" w:rsidRDefault="00B61F2A" w:rsidP="00B61F2A">
            <w:pPr>
              <w:rPr>
                <w:rFonts w:ascii="Lato" w:hAnsi="Lato"/>
                <w:sz w:val="22"/>
                <w:szCs w:val="22"/>
              </w:rPr>
            </w:pPr>
          </w:p>
        </w:tc>
        <w:tc>
          <w:tcPr>
            <w:tcW w:w="3188" w:type="dxa"/>
          </w:tcPr>
          <w:p w14:paraId="298E2016" w14:textId="77777777" w:rsidR="00B61F2A" w:rsidRPr="001362A6" w:rsidRDefault="00B61F2A" w:rsidP="00B61F2A">
            <w:pPr>
              <w:rPr>
                <w:rFonts w:ascii="Lato" w:hAnsi="Lato"/>
                <w:sz w:val="22"/>
                <w:szCs w:val="22"/>
              </w:rPr>
            </w:pPr>
          </w:p>
        </w:tc>
      </w:tr>
      <w:tr w:rsidR="00B61F2A" w:rsidRPr="001362A6" w14:paraId="5119C50F" w14:textId="77777777" w:rsidTr="007E3170">
        <w:tc>
          <w:tcPr>
            <w:tcW w:w="1316" w:type="dxa"/>
          </w:tcPr>
          <w:p w14:paraId="41BFA512" w14:textId="77777777" w:rsidR="00B61F2A" w:rsidRPr="001362A6" w:rsidRDefault="00B61F2A" w:rsidP="00B61F2A">
            <w:pPr>
              <w:jc w:val="center"/>
              <w:rPr>
                <w:rFonts w:ascii="Lato" w:hAnsi="Lato"/>
                <w:sz w:val="22"/>
                <w:szCs w:val="22"/>
              </w:rPr>
            </w:pPr>
          </w:p>
        </w:tc>
        <w:tc>
          <w:tcPr>
            <w:tcW w:w="5891" w:type="dxa"/>
          </w:tcPr>
          <w:p w14:paraId="702C8192" w14:textId="77777777" w:rsidR="00B61F2A" w:rsidRPr="001362A6" w:rsidRDefault="00B61F2A" w:rsidP="00B61F2A">
            <w:pPr>
              <w:rPr>
                <w:rFonts w:ascii="Lato" w:hAnsi="Lato"/>
                <w:sz w:val="22"/>
                <w:szCs w:val="22"/>
              </w:rPr>
            </w:pPr>
          </w:p>
        </w:tc>
        <w:tc>
          <w:tcPr>
            <w:tcW w:w="3188" w:type="dxa"/>
          </w:tcPr>
          <w:p w14:paraId="7673BCAA" w14:textId="77777777" w:rsidR="00B61F2A" w:rsidRPr="001362A6" w:rsidRDefault="00B61F2A" w:rsidP="00B61F2A">
            <w:pPr>
              <w:rPr>
                <w:rFonts w:ascii="Lato" w:hAnsi="Lato"/>
                <w:sz w:val="22"/>
                <w:szCs w:val="22"/>
              </w:rPr>
            </w:pPr>
          </w:p>
        </w:tc>
      </w:tr>
      <w:tr w:rsidR="00B61F2A" w:rsidRPr="001362A6" w14:paraId="32871E4F" w14:textId="77777777" w:rsidTr="00A70AEC">
        <w:tc>
          <w:tcPr>
            <w:tcW w:w="1316" w:type="dxa"/>
          </w:tcPr>
          <w:p w14:paraId="64A9C1AA" w14:textId="77777777" w:rsidR="00B61F2A" w:rsidRPr="001362A6" w:rsidRDefault="00B61F2A" w:rsidP="00B61F2A">
            <w:pPr>
              <w:jc w:val="center"/>
              <w:rPr>
                <w:rFonts w:ascii="Lato" w:hAnsi="Lato"/>
                <w:sz w:val="22"/>
                <w:szCs w:val="22"/>
              </w:rPr>
            </w:pPr>
            <w:r w:rsidRPr="001362A6">
              <w:rPr>
                <w:rFonts w:ascii="Lato" w:hAnsi="Lato"/>
                <w:sz w:val="22"/>
                <w:szCs w:val="22"/>
              </w:rPr>
              <w:t>2.13.4</w:t>
            </w:r>
          </w:p>
        </w:tc>
        <w:tc>
          <w:tcPr>
            <w:tcW w:w="5891" w:type="dxa"/>
          </w:tcPr>
          <w:p w14:paraId="5F778234" w14:textId="77777777" w:rsidR="00B61F2A" w:rsidRPr="001362A6" w:rsidRDefault="00B61F2A" w:rsidP="00B61F2A">
            <w:pPr>
              <w:rPr>
                <w:rFonts w:ascii="Lato" w:hAnsi="Lato"/>
                <w:sz w:val="22"/>
                <w:szCs w:val="22"/>
              </w:rPr>
            </w:pPr>
            <w:r w:rsidRPr="001362A6">
              <w:rPr>
                <w:rFonts w:ascii="Lato" w:hAnsi="Lato"/>
                <w:sz w:val="22"/>
                <w:szCs w:val="22"/>
              </w:rPr>
              <w:t>Open-Ended Qualifying Investor AIF with limited liquidity</w:t>
            </w:r>
          </w:p>
        </w:tc>
        <w:tc>
          <w:tcPr>
            <w:tcW w:w="3188" w:type="dxa"/>
            <w:tcBorders>
              <w:bottom w:val="single" w:sz="4" w:space="0" w:color="auto"/>
            </w:tcBorders>
          </w:tcPr>
          <w:p w14:paraId="06CAF0DE" w14:textId="77777777" w:rsidR="00B61F2A" w:rsidRPr="001362A6" w:rsidRDefault="00B61F2A" w:rsidP="00B61F2A">
            <w:pPr>
              <w:rPr>
                <w:rFonts w:ascii="Lato" w:hAnsi="Lato"/>
                <w:sz w:val="22"/>
                <w:szCs w:val="22"/>
              </w:rPr>
            </w:pPr>
          </w:p>
        </w:tc>
      </w:tr>
      <w:tr w:rsidR="00B61F2A" w:rsidRPr="001362A6" w14:paraId="7182BB8E" w14:textId="77777777" w:rsidTr="00A70AEC">
        <w:tc>
          <w:tcPr>
            <w:tcW w:w="1316" w:type="dxa"/>
          </w:tcPr>
          <w:p w14:paraId="04A2963E" w14:textId="77777777" w:rsidR="00B61F2A" w:rsidRPr="001362A6" w:rsidRDefault="00B61F2A" w:rsidP="00B61F2A">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6C6A7E52" w14:textId="77777777" w:rsidR="00B61F2A" w:rsidRPr="001362A6" w:rsidRDefault="00B61F2A" w:rsidP="00B61F2A">
            <w:pPr>
              <w:rPr>
                <w:rFonts w:ascii="Lato" w:hAnsi="Lato"/>
                <w:sz w:val="22"/>
                <w:szCs w:val="22"/>
              </w:rPr>
            </w:pPr>
            <w:r w:rsidRPr="001362A6">
              <w:rPr>
                <w:rFonts w:ascii="Lato" w:hAnsi="Lato"/>
                <w:sz w:val="22"/>
                <w:szCs w:val="22"/>
              </w:rPr>
              <w:t>Disclose the frequency of redemptions</w:t>
            </w:r>
          </w:p>
        </w:tc>
        <w:tc>
          <w:tcPr>
            <w:tcW w:w="3188" w:type="dxa"/>
            <w:tcBorders>
              <w:top w:val="single" w:sz="4" w:space="0" w:color="auto"/>
              <w:left w:val="single" w:sz="4" w:space="0" w:color="auto"/>
              <w:bottom w:val="single" w:sz="4" w:space="0" w:color="auto"/>
              <w:right w:val="single" w:sz="4" w:space="0" w:color="auto"/>
            </w:tcBorders>
          </w:tcPr>
          <w:p w14:paraId="4C7CF9AA" w14:textId="77777777" w:rsidR="00B61F2A" w:rsidRPr="001362A6" w:rsidRDefault="00B61F2A" w:rsidP="00B61F2A">
            <w:pPr>
              <w:rPr>
                <w:rFonts w:ascii="Lato" w:hAnsi="Lato"/>
                <w:sz w:val="22"/>
                <w:szCs w:val="22"/>
              </w:rPr>
            </w:pPr>
          </w:p>
        </w:tc>
      </w:tr>
      <w:tr w:rsidR="00B61F2A" w:rsidRPr="001362A6" w14:paraId="211D4068" w14:textId="77777777" w:rsidTr="00A70AEC">
        <w:tc>
          <w:tcPr>
            <w:tcW w:w="1316" w:type="dxa"/>
          </w:tcPr>
          <w:p w14:paraId="3F623DC2" w14:textId="77777777" w:rsidR="00B61F2A" w:rsidRPr="001362A6" w:rsidRDefault="00B61F2A" w:rsidP="00B61F2A">
            <w:pPr>
              <w:jc w:val="right"/>
              <w:rPr>
                <w:rFonts w:ascii="Lato" w:hAnsi="Lato"/>
                <w:sz w:val="22"/>
                <w:szCs w:val="22"/>
              </w:rPr>
            </w:pPr>
          </w:p>
        </w:tc>
        <w:tc>
          <w:tcPr>
            <w:tcW w:w="5891" w:type="dxa"/>
          </w:tcPr>
          <w:p w14:paraId="36E80907"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7EAF2B4E" w14:textId="77777777" w:rsidR="00B61F2A" w:rsidRPr="001362A6" w:rsidRDefault="00B61F2A" w:rsidP="00B61F2A">
            <w:pPr>
              <w:rPr>
                <w:rFonts w:ascii="Lato" w:hAnsi="Lato"/>
                <w:sz w:val="22"/>
                <w:szCs w:val="22"/>
              </w:rPr>
            </w:pPr>
          </w:p>
        </w:tc>
      </w:tr>
      <w:tr w:rsidR="00B61F2A" w:rsidRPr="001362A6" w14:paraId="62E5241A" w14:textId="77777777" w:rsidTr="00A70AEC">
        <w:tc>
          <w:tcPr>
            <w:tcW w:w="1316" w:type="dxa"/>
          </w:tcPr>
          <w:p w14:paraId="7A3C8D00" w14:textId="77777777" w:rsidR="00B61F2A" w:rsidRPr="001362A6" w:rsidRDefault="00B61F2A" w:rsidP="00B61F2A">
            <w:pPr>
              <w:jc w:val="right"/>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7FFA342E" w14:textId="77777777" w:rsidR="00B61F2A" w:rsidRPr="001362A6" w:rsidRDefault="00B61F2A" w:rsidP="00B61F2A">
            <w:pPr>
              <w:rPr>
                <w:rFonts w:ascii="Lato" w:hAnsi="Lato"/>
                <w:sz w:val="22"/>
                <w:szCs w:val="22"/>
              </w:rPr>
            </w:pPr>
            <w:r w:rsidRPr="001362A6">
              <w:rPr>
                <w:rFonts w:ascii="Lato" w:hAnsi="Lato"/>
                <w:sz w:val="22"/>
                <w:szCs w:val="22"/>
              </w:rPr>
              <w:t>Disclose the minimum redemption quotas</w:t>
            </w:r>
          </w:p>
        </w:tc>
        <w:tc>
          <w:tcPr>
            <w:tcW w:w="3188" w:type="dxa"/>
            <w:tcBorders>
              <w:top w:val="single" w:sz="4" w:space="0" w:color="auto"/>
              <w:left w:val="single" w:sz="4" w:space="0" w:color="auto"/>
              <w:bottom w:val="single" w:sz="4" w:space="0" w:color="auto"/>
              <w:right w:val="single" w:sz="4" w:space="0" w:color="auto"/>
            </w:tcBorders>
          </w:tcPr>
          <w:p w14:paraId="3CB0BA3A" w14:textId="77777777" w:rsidR="00B61F2A" w:rsidRPr="001362A6" w:rsidRDefault="00B61F2A" w:rsidP="00B61F2A">
            <w:pPr>
              <w:rPr>
                <w:rFonts w:ascii="Lato" w:hAnsi="Lato"/>
                <w:sz w:val="22"/>
                <w:szCs w:val="22"/>
              </w:rPr>
            </w:pPr>
          </w:p>
        </w:tc>
      </w:tr>
      <w:tr w:rsidR="00B61F2A" w:rsidRPr="001362A6" w14:paraId="71F36B57" w14:textId="77777777" w:rsidTr="00A70AEC">
        <w:tc>
          <w:tcPr>
            <w:tcW w:w="1316" w:type="dxa"/>
          </w:tcPr>
          <w:p w14:paraId="0BA6DBE8" w14:textId="77777777" w:rsidR="00B61F2A" w:rsidRPr="001362A6" w:rsidRDefault="00B61F2A" w:rsidP="00B61F2A">
            <w:pPr>
              <w:jc w:val="center"/>
              <w:rPr>
                <w:rFonts w:ascii="Lato" w:hAnsi="Lato"/>
                <w:sz w:val="22"/>
                <w:szCs w:val="22"/>
              </w:rPr>
            </w:pPr>
          </w:p>
        </w:tc>
        <w:tc>
          <w:tcPr>
            <w:tcW w:w="5891" w:type="dxa"/>
          </w:tcPr>
          <w:p w14:paraId="1B4EFA52" w14:textId="77777777" w:rsidR="00B61F2A" w:rsidRPr="001362A6" w:rsidRDefault="00B61F2A" w:rsidP="00B61F2A">
            <w:pPr>
              <w:rPr>
                <w:rFonts w:ascii="Lato" w:hAnsi="Lato"/>
                <w:sz w:val="22"/>
                <w:szCs w:val="22"/>
              </w:rPr>
            </w:pPr>
          </w:p>
        </w:tc>
        <w:tc>
          <w:tcPr>
            <w:tcW w:w="3188" w:type="dxa"/>
            <w:tcBorders>
              <w:top w:val="single" w:sz="4" w:space="0" w:color="auto"/>
            </w:tcBorders>
          </w:tcPr>
          <w:p w14:paraId="3FE5E79E" w14:textId="77777777" w:rsidR="00B61F2A" w:rsidRPr="001362A6" w:rsidRDefault="00B61F2A" w:rsidP="00B61F2A">
            <w:pPr>
              <w:rPr>
                <w:rFonts w:ascii="Lato" w:hAnsi="Lato"/>
                <w:sz w:val="22"/>
                <w:szCs w:val="22"/>
              </w:rPr>
            </w:pPr>
          </w:p>
        </w:tc>
      </w:tr>
      <w:tr w:rsidR="00B61F2A" w:rsidRPr="001362A6" w14:paraId="33EA8B55" w14:textId="77777777" w:rsidTr="00990D73">
        <w:tc>
          <w:tcPr>
            <w:tcW w:w="1316" w:type="dxa"/>
          </w:tcPr>
          <w:p w14:paraId="2269EBBB" w14:textId="77777777" w:rsidR="00B61F2A" w:rsidRPr="001362A6" w:rsidRDefault="00B61F2A" w:rsidP="00B61F2A">
            <w:pPr>
              <w:rPr>
                <w:rFonts w:ascii="Lato" w:hAnsi="Lato"/>
                <w:b/>
                <w:sz w:val="22"/>
                <w:szCs w:val="22"/>
              </w:rPr>
            </w:pPr>
            <w:r w:rsidRPr="001362A6">
              <w:rPr>
                <w:rFonts w:ascii="Lato" w:hAnsi="Lato"/>
                <w:b/>
                <w:sz w:val="22"/>
                <w:szCs w:val="22"/>
              </w:rPr>
              <w:t>2.14</w:t>
            </w:r>
          </w:p>
        </w:tc>
        <w:tc>
          <w:tcPr>
            <w:tcW w:w="5891" w:type="dxa"/>
          </w:tcPr>
          <w:p w14:paraId="548539FA" w14:textId="77777777" w:rsidR="00B61F2A" w:rsidRPr="001362A6" w:rsidRDefault="00B61F2A" w:rsidP="00B61F2A">
            <w:pPr>
              <w:pStyle w:val="Heading1"/>
              <w:spacing w:before="0" w:after="0" w:line="240" w:lineRule="auto"/>
              <w:rPr>
                <w:rFonts w:ascii="Lato" w:hAnsi="Lato"/>
                <w:b/>
                <w:color w:val="auto"/>
                <w:sz w:val="22"/>
                <w:szCs w:val="22"/>
              </w:rPr>
            </w:pPr>
            <w:r w:rsidRPr="001362A6">
              <w:rPr>
                <w:rFonts w:ascii="Lato" w:hAnsi="Lato"/>
                <w:b/>
                <w:color w:val="auto"/>
                <w:sz w:val="22"/>
                <w:szCs w:val="22"/>
              </w:rPr>
              <w:t xml:space="preserve">Settlement Period </w:t>
            </w:r>
          </w:p>
        </w:tc>
        <w:tc>
          <w:tcPr>
            <w:tcW w:w="3188" w:type="dxa"/>
            <w:tcBorders>
              <w:bottom w:val="single" w:sz="4" w:space="0" w:color="auto"/>
            </w:tcBorders>
          </w:tcPr>
          <w:p w14:paraId="160E0BE2" w14:textId="77777777" w:rsidR="00B61F2A" w:rsidRPr="001362A6" w:rsidRDefault="00B61F2A" w:rsidP="00B61F2A">
            <w:pPr>
              <w:rPr>
                <w:rFonts w:ascii="Lato" w:hAnsi="Lato"/>
                <w:b/>
                <w:sz w:val="22"/>
                <w:szCs w:val="22"/>
              </w:rPr>
            </w:pPr>
          </w:p>
        </w:tc>
      </w:tr>
      <w:tr w:rsidR="00B61F2A" w:rsidRPr="001362A6" w14:paraId="4F84FFB2" w14:textId="77777777" w:rsidTr="00990D73">
        <w:tc>
          <w:tcPr>
            <w:tcW w:w="1316" w:type="dxa"/>
          </w:tcPr>
          <w:p w14:paraId="47F0187D" w14:textId="77777777" w:rsidR="00B61F2A" w:rsidRPr="001362A6" w:rsidRDefault="00B61F2A" w:rsidP="00B61F2A">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60E860BB" w14:textId="77777777" w:rsidR="00B61F2A" w:rsidRPr="001362A6" w:rsidRDefault="00B61F2A" w:rsidP="00B61F2A">
            <w:pPr>
              <w:pStyle w:val="Heading1"/>
              <w:spacing w:before="0" w:after="0" w:line="240" w:lineRule="auto"/>
              <w:rPr>
                <w:rFonts w:ascii="Lato" w:hAnsi="Lato"/>
                <w:color w:val="auto"/>
                <w:sz w:val="22"/>
                <w:szCs w:val="22"/>
              </w:rPr>
            </w:pPr>
            <w:r w:rsidRPr="001362A6">
              <w:rPr>
                <w:rFonts w:ascii="Lato" w:hAnsi="Lato"/>
                <w:color w:val="auto"/>
                <w:sz w:val="22"/>
                <w:szCs w:val="22"/>
              </w:rPr>
              <w:t>Disclose the settlement period for the Qualifying Investor AIF</w:t>
            </w:r>
          </w:p>
        </w:tc>
        <w:tc>
          <w:tcPr>
            <w:tcW w:w="3188" w:type="dxa"/>
            <w:tcBorders>
              <w:top w:val="single" w:sz="4" w:space="0" w:color="auto"/>
              <w:left w:val="single" w:sz="4" w:space="0" w:color="auto"/>
              <w:bottom w:val="single" w:sz="4" w:space="0" w:color="auto"/>
              <w:right w:val="single" w:sz="4" w:space="0" w:color="auto"/>
            </w:tcBorders>
          </w:tcPr>
          <w:p w14:paraId="4DD3C04C" w14:textId="77777777" w:rsidR="00B61F2A" w:rsidRPr="001362A6" w:rsidRDefault="00B61F2A" w:rsidP="00B61F2A">
            <w:pPr>
              <w:rPr>
                <w:rFonts w:ascii="Lato" w:hAnsi="Lato"/>
                <w:sz w:val="22"/>
                <w:szCs w:val="22"/>
              </w:rPr>
            </w:pPr>
          </w:p>
        </w:tc>
      </w:tr>
      <w:tr w:rsidR="00B61F2A" w:rsidRPr="001362A6" w14:paraId="0499BBA9" w14:textId="77777777" w:rsidTr="00990D73">
        <w:tc>
          <w:tcPr>
            <w:tcW w:w="1316" w:type="dxa"/>
          </w:tcPr>
          <w:p w14:paraId="3C523292" w14:textId="77777777" w:rsidR="00B61F2A" w:rsidRPr="001362A6" w:rsidRDefault="00B61F2A" w:rsidP="00B61F2A">
            <w:pPr>
              <w:jc w:val="right"/>
              <w:rPr>
                <w:rFonts w:ascii="Lato" w:hAnsi="Lato"/>
                <w:sz w:val="22"/>
                <w:szCs w:val="22"/>
              </w:rPr>
            </w:pPr>
          </w:p>
        </w:tc>
        <w:tc>
          <w:tcPr>
            <w:tcW w:w="5891" w:type="dxa"/>
          </w:tcPr>
          <w:p w14:paraId="386ADBE3" w14:textId="77777777" w:rsidR="00B61F2A" w:rsidRPr="001362A6" w:rsidRDefault="00B61F2A" w:rsidP="00B61F2A">
            <w:pPr>
              <w:pStyle w:val="Heading1"/>
              <w:spacing w:before="0" w:after="0" w:line="240" w:lineRule="auto"/>
              <w:rPr>
                <w:rFonts w:ascii="Lato" w:hAnsi="Lato"/>
                <w:color w:val="auto"/>
                <w:sz w:val="22"/>
                <w:szCs w:val="22"/>
              </w:rPr>
            </w:pPr>
          </w:p>
        </w:tc>
        <w:tc>
          <w:tcPr>
            <w:tcW w:w="3188" w:type="dxa"/>
            <w:tcBorders>
              <w:top w:val="single" w:sz="4" w:space="0" w:color="auto"/>
            </w:tcBorders>
          </w:tcPr>
          <w:p w14:paraId="76826CED" w14:textId="77777777" w:rsidR="00B61F2A" w:rsidRPr="001362A6" w:rsidRDefault="00B61F2A" w:rsidP="00B61F2A">
            <w:pPr>
              <w:rPr>
                <w:rFonts w:ascii="Lato" w:hAnsi="Lato"/>
                <w:sz w:val="22"/>
                <w:szCs w:val="22"/>
              </w:rPr>
            </w:pPr>
          </w:p>
        </w:tc>
      </w:tr>
      <w:tr w:rsidR="00B61F2A" w:rsidRPr="001362A6" w14:paraId="0EB16FE4" w14:textId="77777777" w:rsidTr="007E3170">
        <w:tc>
          <w:tcPr>
            <w:tcW w:w="1316" w:type="dxa"/>
          </w:tcPr>
          <w:p w14:paraId="18C0E3BE" w14:textId="77777777" w:rsidR="00B61F2A" w:rsidRPr="001362A6" w:rsidRDefault="00B61F2A" w:rsidP="00B61F2A">
            <w:pPr>
              <w:jc w:val="right"/>
              <w:rPr>
                <w:rFonts w:ascii="Lato" w:hAnsi="Lato"/>
                <w:sz w:val="22"/>
                <w:szCs w:val="22"/>
              </w:rPr>
            </w:pPr>
            <w:r w:rsidRPr="001362A6">
              <w:rPr>
                <w:rFonts w:ascii="Lato" w:hAnsi="Lato"/>
                <w:sz w:val="22"/>
                <w:szCs w:val="22"/>
              </w:rPr>
              <w:t>b)</w:t>
            </w:r>
          </w:p>
        </w:tc>
        <w:tc>
          <w:tcPr>
            <w:tcW w:w="5891" w:type="dxa"/>
          </w:tcPr>
          <w:p w14:paraId="3AED9CFB" w14:textId="77777777" w:rsidR="00B61F2A" w:rsidRPr="001362A6" w:rsidRDefault="00B61F2A" w:rsidP="00B61F2A">
            <w:pPr>
              <w:pStyle w:val="Heading1"/>
              <w:spacing w:before="0" w:after="0" w:line="240" w:lineRule="auto"/>
              <w:rPr>
                <w:rFonts w:ascii="Lato" w:hAnsi="Lato"/>
                <w:color w:val="auto"/>
                <w:sz w:val="22"/>
                <w:szCs w:val="22"/>
                <w:u w:val="single"/>
              </w:rPr>
            </w:pPr>
            <w:r w:rsidRPr="001362A6">
              <w:rPr>
                <w:rFonts w:ascii="Lato" w:hAnsi="Lato"/>
                <w:color w:val="auto"/>
                <w:sz w:val="22"/>
                <w:szCs w:val="22"/>
                <w:u w:val="single"/>
              </w:rPr>
              <w:t>Open-Ended Qualifying Investor AIF</w:t>
            </w:r>
          </w:p>
        </w:tc>
        <w:tc>
          <w:tcPr>
            <w:tcW w:w="3188" w:type="dxa"/>
            <w:tcBorders>
              <w:bottom w:val="single" w:sz="4" w:space="0" w:color="auto"/>
            </w:tcBorders>
          </w:tcPr>
          <w:p w14:paraId="48AC226C" w14:textId="77777777" w:rsidR="00B61F2A" w:rsidRPr="001362A6" w:rsidRDefault="00B61F2A" w:rsidP="00B61F2A">
            <w:pPr>
              <w:rPr>
                <w:rFonts w:ascii="Lato" w:hAnsi="Lato"/>
                <w:b/>
                <w:sz w:val="22"/>
                <w:szCs w:val="22"/>
              </w:rPr>
            </w:pPr>
          </w:p>
        </w:tc>
      </w:tr>
      <w:tr w:rsidR="00B61F2A" w:rsidRPr="001362A6" w14:paraId="1F52B24F" w14:textId="77777777" w:rsidTr="007E3170">
        <w:tc>
          <w:tcPr>
            <w:tcW w:w="1316" w:type="dxa"/>
          </w:tcPr>
          <w:p w14:paraId="481E2B76" w14:textId="77777777" w:rsidR="00B61F2A" w:rsidRPr="001362A6" w:rsidRDefault="00B61F2A" w:rsidP="00B61F2A">
            <w:pPr>
              <w:jc w:val="right"/>
              <w:rPr>
                <w:rFonts w:ascii="Lato" w:hAnsi="Lato"/>
                <w:sz w:val="22"/>
                <w:szCs w:val="22"/>
              </w:rPr>
            </w:pPr>
            <w:r w:rsidRPr="001362A6">
              <w:rPr>
                <w:rFonts w:ascii="Lato" w:hAnsi="Lato"/>
                <w:sz w:val="22"/>
                <w:szCs w:val="22"/>
              </w:rPr>
              <w:t>(i)</w:t>
            </w:r>
          </w:p>
        </w:tc>
        <w:tc>
          <w:tcPr>
            <w:tcW w:w="5891" w:type="dxa"/>
            <w:tcBorders>
              <w:right w:val="single" w:sz="4" w:space="0" w:color="auto"/>
            </w:tcBorders>
          </w:tcPr>
          <w:p w14:paraId="48761918" w14:textId="77777777" w:rsidR="00B61F2A" w:rsidRPr="001362A6" w:rsidRDefault="00B61F2A" w:rsidP="00B61F2A">
            <w:pPr>
              <w:pStyle w:val="Heading1"/>
              <w:spacing w:before="0" w:after="0" w:line="240" w:lineRule="auto"/>
              <w:rPr>
                <w:rFonts w:ascii="Lato" w:hAnsi="Lato"/>
                <w:color w:val="auto"/>
                <w:sz w:val="22"/>
                <w:szCs w:val="22"/>
              </w:rPr>
            </w:pPr>
            <w:r w:rsidRPr="001362A6">
              <w:rPr>
                <w:rFonts w:ascii="Lato" w:hAnsi="Lato"/>
                <w:color w:val="auto"/>
                <w:sz w:val="22"/>
                <w:szCs w:val="22"/>
              </w:rPr>
              <w:t xml:space="preserve">Confirm that the period </w:t>
            </w:r>
            <w:r w:rsidRPr="001362A6">
              <w:rPr>
                <w:rFonts w:ascii="Lato" w:hAnsi="Lato"/>
                <w:color w:val="auto"/>
                <w:sz w:val="22"/>
                <w:szCs w:val="22"/>
                <w:lang w:val="en-IE"/>
              </w:rPr>
              <w:t xml:space="preserve">must not exceed 90 calendar days </w:t>
            </w:r>
          </w:p>
        </w:tc>
        <w:tc>
          <w:tcPr>
            <w:tcW w:w="3188" w:type="dxa"/>
            <w:tcBorders>
              <w:top w:val="single" w:sz="4" w:space="0" w:color="auto"/>
              <w:left w:val="single" w:sz="4" w:space="0" w:color="auto"/>
              <w:bottom w:val="single" w:sz="4" w:space="0" w:color="auto"/>
              <w:right w:val="single" w:sz="4" w:space="0" w:color="auto"/>
            </w:tcBorders>
          </w:tcPr>
          <w:p w14:paraId="75AD95A4" w14:textId="77777777" w:rsidR="00B61F2A" w:rsidRPr="001362A6" w:rsidRDefault="00B61F2A" w:rsidP="00B61F2A">
            <w:pPr>
              <w:rPr>
                <w:rFonts w:ascii="Lato" w:hAnsi="Lato"/>
                <w:b/>
                <w:sz w:val="22"/>
                <w:szCs w:val="22"/>
              </w:rPr>
            </w:pPr>
          </w:p>
        </w:tc>
      </w:tr>
      <w:tr w:rsidR="00B61F2A" w:rsidRPr="001362A6" w14:paraId="62733B35" w14:textId="77777777" w:rsidTr="007E3170">
        <w:tc>
          <w:tcPr>
            <w:tcW w:w="1316" w:type="dxa"/>
          </w:tcPr>
          <w:p w14:paraId="428F52BF" w14:textId="77777777" w:rsidR="00B61F2A" w:rsidRPr="001362A6" w:rsidRDefault="00B61F2A" w:rsidP="00B61F2A">
            <w:pPr>
              <w:jc w:val="right"/>
              <w:rPr>
                <w:rFonts w:ascii="Lato" w:hAnsi="Lato"/>
                <w:sz w:val="22"/>
                <w:szCs w:val="22"/>
              </w:rPr>
            </w:pPr>
          </w:p>
        </w:tc>
        <w:tc>
          <w:tcPr>
            <w:tcW w:w="5891" w:type="dxa"/>
          </w:tcPr>
          <w:p w14:paraId="0F663F42" w14:textId="77777777" w:rsidR="00B61F2A" w:rsidRPr="001362A6" w:rsidRDefault="00B61F2A" w:rsidP="00B61F2A">
            <w:pPr>
              <w:pStyle w:val="Heading1"/>
              <w:spacing w:before="0" w:after="0" w:line="240" w:lineRule="auto"/>
              <w:rPr>
                <w:rFonts w:ascii="Lato" w:hAnsi="Lato"/>
                <w:color w:val="auto"/>
                <w:sz w:val="22"/>
                <w:szCs w:val="22"/>
              </w:rPr>
            </w:pPr>
            <w:r w:rsidRPr="00590C6D">
              <w:rPr>
                <w:rFonts w:ascii="Lato" w:hAnsi="Lato"/>
                <w:color w:val="auto"/>
                <w:sz w:val="22"/>
                <w:szCs w:val="22"/>
                <w:lang w:val="en-IE"/>
              </w:rPr>
              <w:t>from</w:t>
            </w:r>
            <w:r w:rsidRPr="001362A6">
              <w:rPr>
                <w:rFonts w:ascii="Lato" w:hAnsi="Lato"/>
                <w:color w:val="auto"/>
                <w:sz w:val="22"/>
                <w:szCs w:val="22"/>
                <w:lang w:val="en-IE"/>
              </w:rPr>
              <w:t xml:space="preserve"> submission of redemption request to </w:t>
            </w:r>
            <w:r w:rsidRPr="001362A6">
              <w:rPr>
                <w:rFonts w:ascii="Lato" w:hAnsi="Lato"/>
                <w:color w:val="auto"/>
                <w:sz w:val="22"/>
                <w:szCs w:val="22"/>
              </w:rPr>
              <w:t>payment of settlement proceeds</w:t>
            </w:r>
          </w:p>
        </w:tc>
        <w:tc>
          <w:tcPr>
            <w:tcW w:w="3188" w:type="dxa"/>
            <w:tcBorders>
              <w:top w:val="single" w:sz="4" w:space="0" w:color="auto"/>
            </w:tcBorders>
          </w:tcPr>
          <w:p w14:paraId="60958098" w14:textId="77777777" w:rsidR="00B61F2A" w:rsidRPr="001362A6" w:rsidRDefault="00B61F2A" w:rsidP="00B61F2A">
            <w:pPr>
              <w:rPr>
                <w:rFonts w:ascii="Lato" w:hAnsi="Lato"/>
                <w:b/>
                <w:sz w:val="22"/>
                <w:szCs w:val="22"/>
              </w:rPr>
            </w:pPr>
          </w:p>
        </w:tc>
      </w:tr>
      <w:tr w:rsidR="00B61F2A" w:rsidRPr="001362A6" w14:paraId="6D4AB08A" w14:textId="77777777" w:rsidTr="00990D73">
        <w:tc>
          <w:tcPr>
            <w:tcW w:w="1316" w:type="dxa"/>
          </w:tcPr>
          <w:p w14:paraId="79B340FC" w14:textId="77777777" w:rsidR="00B61F2A" w:rsidRPr="001362A6" w:rsidRDefault="00B61F2A" w:rsidP="00B61F2A">
            <w:pPr>
              <w:jc w:val="right"/>
              <w:rPr>
                <w:rFonts w:ascii="Lato" w:hAnsi="Lato"/>
                <w:sz w:val="22"/>
                <w:szCs w:val="22"/>
              </w:rPr>
            </w:pPr>
          </w:p>
        </w:tc>
        <w:tc>
          <w:tcPr>
            <w:tcW w:w="5891" w:type="dxa"/>
          </w:tcPr>
          <w:p w14:paraId="6CD0F07D" w14:textId="77777777" w:rsidR="00B61F2A" w:rsidRPr="001362A6" w:rsidRDefault="00B61F2A" w:rsidP="00B61F2A">
            <w:pPr>
              <w:pStyle w:val="Heading1"/>
              <w:spacing w:before="0" w:after="0" w:line="240" w:lineRule="auto"/>
              <w:rPr>
                <w:rFonts w:ascii="Lato" w:hAnsi="Lato"/>
                <w:color w:val="auto"/>
                <w:sz w:val="22"/>
                <w:szCs w:val="22"/>
              </w:rPr>
            </w:pPr>
          </w:p>
        </w:tc>
        <w:tc>
          <w:tcPr>
            <w:tcW w:w="3188" w:type="dxa"/>
          </w:tcPr>
          <w:p w14:paraId="26A6EFCF" w14:textId="77777777" w:rsidR="00B61F2A" w:rsidRPr="001362A6" w:rsidRDefault="00B61F2A" w:rsidP="00B61F2A">
            <w:pPr>
              <w:rPr>
                <w:rFonts w:ascii="Lato" w:hAnsi="Lato"/>
                <w:b/>
                <w:sz w:val="22"/>
                <w:szCs w:val="22"/>
              </w:rPr>
            </w:pPr>
          </w:p>
        </w:tc>
      </w:tr>
      <w:tr w:rsidR="00B61F2A" w:rsidRPr="001362A6" w14:paraId="762DAF43" w14:textId="77777777" w:rsidTr="00990D73">
        <w:tc>
          <w:tcPr>
            <w:tcW w:w="1316" w:type="dxa"/>
          </w:tcPr>
          <w:p w14:paraId="65637DE4" w14:textId="77777777" w:rsidR="00B61F2A" w:rsidRPr="001362A6" w:rsidRDefault="00B61F2A" w:rsidP="00B61F2A">
            <w:pPr>
              <w:jc w:val="right"/>
              <w:rPr>
                <w:rFonts w:ascii="Lato" w:hAnsi="Lato"/>
                <w:sz w:val="22"/>
                <w:szCs w:val="22"/>
              </w:rPr>
            </w:pPr>
            <w:r w:rsidRPr="001362A6">
              <w:rPr>
                <w:rFonts w:ascii="Lato" w:hAnsi="Lato"/>
                <w:sz w:val="22"/>
                <w:szCs w:val="22"/>
              </w:rPr>
              <w:t>c)</w:t>
            </w:r>
          </w:p>
        </w:tc>
        <w:tc>
          <w:tcPr>
            <w:tcW w:w="5891" w:type="dxa"/>
          </w:tcPr>
          <w:p w14:paraId="34E17310" w14:textId="77777777" w:rsidR="00B61F2A" w:rsidRPr="001362A6" w:rsidRDefault="00B61F2A" w:rsidP="00B61F2A">
            <w:pPr>
              <w:pStyle w:val="Heading1"/>
              <w:spacing w:before="0" w:after="0" w:line="240" w:lineRule="auto"/>
              <w:rPr>
                <w:rFonts w:ascii="Lato" w:hAnsi="Lato"/>
                <w:color w:val="auto"/>
                <w:sz w:val="22"/>
                <w:szCs w:val="22"/>
                <w:u w:val="single"/>
              </w:rPr>
            </w:pPr>
            <w:r w:rsidRPr="001362A6">
              <w:rPr>
                <w:rFonts w:ascii="Lato" w:hAnsi="Lato"/>
                <w:color w:val="auto"/>
                <w:sz w:val="22"/>
                <w:szCs w:val="22"/>
                <w:u w:val="single"/>
              </w:rPr>
              <w:t>Open-ended with Limited Liquidity Qualifying Investor AIF</w:t>
            </w:r>
          </w:p>
        </w:tc>
        <w:tc>
          <w:tcPr>
            <w:tcW w:w="3188" w:type="dxa"/>
            <w:tcBorders>
              <w:bottom w:val="single" w:sz="4" w:space="0" w:color="auto"/>
            </w:tcBorders>
          </w:tcPr>
          <w:p w14:paraId="4808017B" w14:textId="77777777" w:rsidR="00B61F2A" w:rsidRPr="001362A6" w:rsidRDefault="00B61F2A" w:rsidP="00B61F2A">
            <w:pPr>
              <w:rPr>
                <w:rFonts w:ascii="Lato" w:hAnsi="Lato"/>
                <w:b/>
                <w:sz w:val="22"/>
                <w:szCs w:val="22"/>
              </w:rPr>
            </w:pPr>
          </w:p>
        </w:tc>
      </w:tr>
      <w:tr w:rsidR="00B61F2A" w:rsidRPr="001362A6" w14:paraId="5A9EB937" w14:textId="77777777" w:rsidTr="00990D73">
        <w:tc>
          <w:tcPr>
            <w:tcW w:w="1316" w:type="dxa"/>
          </w:tcPr>
          <w:p w14:paraId="51A9868A" w14:textId="77777777" w:rsidR="00B61F2A" w:rsidRPr="001362A6" w:rsidRDefault="00B61F2A" w:rsidP="00B61F2A">
            <w:pPr>
              <w:jc w:val="right"/>
              <w:rPr>
                <w:rFonts w:ascii="Lato" w:hAnsi="Lato"/>
                <w:b/>
                <w:sz w:val="22"/>
                <w:szCs w:val="22"/>
              </w:rPr>
            </w:pPr>
          </w:p>
        </w:tc>
        <w:tc>
          <w:tcPr>
            <w:tcW w:w="5891" w:type="dxa"/>
            <w:tcBorders>
              <w:right w:val="single" w:sz="4" w:space="0" w:color="auto"/>
            </w:tcBorders>
          </w:tcPr>
          <w:p w14:paraId="6F9B36DE" w14:textId="77777777" w:rsidR="00B61F2A" w:rsidRPr="001362A6" w:rsidRDefault="00B61F2A" w:rsidP="00B61F2A">
            <w:pPr>
              <w:pStyle w:val="Heading1"/>
              <w:spacing w:before="0" w:after="0" w:line="240" w:lineRule="auto"/>
              <w:rPr>
                <w:rFonts w:ascii="Lato" w:hAnsi="Lato"/>
                <w:color w:val="auto"/>
                <w:sz w:val="22"/>
                <w:szCs w:val="22"/>
              </w:rPr>
            </w:pPr>
            <w:r w:rsidRPr="001362A6">
              <w:rPr>
                <w:rFonts w:ascii="Lato" w:hAnsi="Lato"/>
                <w:color w:val="auto"/>
                <w:sz w:val="22"/>
                <w:szCs w:val="22"/>
              </w:rPr>
              <w:t xml:space="preserve">Where a Qualifying Investor AIF offers redemption and/or </w:t>
            </w:r>
          </w:p>
        </w:tc>
        <w:tc>
          <w:tcPr>
            <w:tcW w:w="3188" w:type="dxa"/>
            <w:tcBorders>
              <w:top w:val="single" w:sz="4" w:space="0" w:color="auto"/>
              <w:left w:val="single" w:sz="4" w:space="0" w:color="auto"/>
              <w:bottom w:val="single" w:sz="4" w:space="0" w:color="auto"/>
              <w:right w:val="single" w:sz="4" w:space="0" w:color="auto"/>
            </w:tcBorders>
          </w:tcPr>
          <w:p w14:paraId="3094E194" w14:textId="77777777" w:rsidR="00B61F2A" w:rsidRPr="001362A6" w:rsidRDefault="00B61F2A" w:rsidP="00B61F2A">
            <w:pPr>
              <w:rPr>
                <w:rFonts w:ascii="Lato" w:hAnsi="Lato"/>
                <w:b/>
                <w:sz w:val="22"/>
                <w:szCs w:val="22"/>
              </w:rPr>
            </w:pPr>
          </w:p>
        </w:tc>
      </w:tr>
      <w:tr w:rsidR="00B61F2A" w:rsidRPr="001362A6" w14:paraId="766D4E27" w14:textId="77777777" w:rsidTr="00990D73">
        <w:tc>
          <w:tcPr>
            <w:tcW w:w="1316" w:type="dxa"/>
          </w:tcPr>
          <w:p w14:paraId="163453A4" w14:textId="77777777" w:rsidR="00B61F2A" w:rsidRPr="001362A6" w:rsidRDefault="00B61F2A" w:rsidP="00B61F2A">
            <w:pPr>
              <w:jc w:val="right"/>
              <w:rPr>
                <w:rFonts w:ascii="Lato" w:hAnsi="Lato"/>
                <w:b/>
                <w:sz w:val="22"/>
                <w:szCs w:val="22"/>
              </w:rPr>
            </w:pPr>
          </w:p>
        </w:tc>
        <w:tc>
          <w:tcPr>
            <w:tcW w:w="5891" w:type="dxa"/>
          </w:tcPr>
          <w:p w14:paraId="70797A31" w14:textId="77777777" w:rsidR="00B61F2A" w:rsidRPr="001362A6" w:rsidRDefault="00B61F2A" w:rsidP="00B61F2A">
            <w:pPr>
              <w:pStyle w:val="Heading1"/>
              <w:spacing w:before="0" w:after="0" w:line="240" w:lineRule="auto"/>
              <w:rPr>
                <w:rFonts w:ascii="Lato" w:hAnsi="Lato"/>
                <w:color w:val="auto"/>
                <w:sz w:val="22"/>
                <w:szCs w:val="22"/>
              </w:rPr>
            </w:pPr>
            <w:r w:rsidRPr="001362A6">
              <w:rPr>
                <w:rFonts w:ascii="Lato" w:hAnsi="Lato"/>
                <w:color w:val="auto"/>
                <w:sz w:val="22"/>
                <w:szCs w:val="22"/>
              </w:rPr>
              <w:t>settlement facilities on a less than quarterly basis: or</w:t>
            </w:r>
          </w:p>
        </w:tc>
        <w:tc>
          <w:tcPr>
            <w:tcW w:w="3188" w:type="dxa"/>
            <w:tcBorders>
              <w:top w:val="single" w:sz="4" w:space="0" w:color="auto"/>
            </w:tcBorders>
          </w:tcPr>
          <w:p w14:paraId="7F518BCE" w14:textId="77777777" w:rsidR="00B61F2A" w:rsidRPr="001362A6" w:rsidRDefault="00B61F2A" w:rsidP="00B61F2A">
            <w:pPr>
              <w:rPr>
                <w:rFonts w:ascii="Lato" w:hAnsi="Lato"/>
                <w:b/>
                <w:sz w:val="22"/>
                <w:szCs w:val="22"/>
              </w:rPr>
            </w:pPr>
          </w:p>
        </w:tc>
      </w:tr>
      <w:tr w:rsidR="00B61F2A" w:rsidRPr="001362A6" w14:paraId="7B147ABA" w14:textId="77777777" w:rsidTr="00990D73">
        <w:tc>
          <w:tcPr>
            <w:tcW w:w="1316" w:type="dxa"/>
          </w:tcPr>
          <w:p w14:paraId="5A5C12CC" w14:textId="77777777" w:rsidR="00B61F2A" w:rsidRPr="001362A6" w:rsidRDefault="00B61F2A" w:rsidP="00B61F2A">
            <w:pPr>
              <w:jc w:val="right"/>
              <w:rPr>
                <w:rFonts w:ascii="Lato" w:hAnsi="Lato"/>
                <w:b/>
                <w:sz w:val="22"/>
                <w:szCs w:val="22"/>
              </w:rPr>
            </w:pPr>
          </w:p>
        </w:tc>
        <w:tc>
          <w:tcPr>
            <w:tcW w:w="5891" w:type="dxa"/>
          </w:tcPr>
          <w:p w14:paraId="1949F3DA" w14:textId="77777777" w:rsidR="00B61F2A" w:rsidRPr="001362A6" w:rsidRDefault="00B61F2A" w:rsidP="00B61F2A">
            <w:pPr>
              <w:pStyle w:val="Heading1"/>
              <w:spacing w:before="0" w:after="0" w:line="240" w:lineRule="auto"/>
              <w:rPr>
                <w:rFonts w:ascii="Lato" w:hAnsi="Lato"/>
                <w:color w:val="auto"/>
                <w:sz w:val="22"/>
                <w:szCs w:val="22"/>
              </w:rPr>
            </w:pPr>
            <w:r w:rsidRPr="001362A6">
              <w:rPr>
                <w:rFonts w:ascii="Lato" w:hAnsi="Lato"/>
                <w:color w:val="auto"/>
                <w:sz w:val="22"/>
                <w:szCs w:val="22"/>
              </w:rPr>
              <w:t xml:space="preserve">provides for a period of greater than 90 days between the </w:t>
            </w:r>
          </w:p>
        </w:tc>
        <w:tc>
          <w:tcPr>
            <w:tcW w:w="3188" w:type="dxa"/>
          </w:tcPr>
          <w:p w14:paraId="451CC092" w14:textId="77777777" w:rsidR="00B61F2A" w:rsidRPr="001362A6" w:rsidRDefault="00B61F2A" w:rsidP="00B61F2A">
            <w:pPr>
              <w:rPr>
                <w:rFonts w:ascii="Lato" w:hAnsi="Lato"/>
                <w:b/>
                <w:sz w:val="22"/>
                <w:szCs w:val="22"/>
              </w:rPr>
            </w:pPr>
          </w:p>
        </w:tc>
      </w:tr>
      <w:tr w:rsidR="00B61F2A" w:rsidRPr="001362A6" w14:paraId="30DB78A7" w14:textId="77777777" w:rsidTr="007E3170">
        <w:trPr>
          <w:cantSplit/>
          <w:trHeight w:val="255"/>
        </w:trPr>
        <w:tc>
          <w:tcPr>
            <w:tcW w:w="1316" w:type="dxa"/>
          </w:tcPr>
          <w:p w14:paraId="5BB51BAB" w14:textId="77777777" w:rsidR="00B61F2A" w:rsidRPr="001362A6" w:rsidRDefault="00B61F2A" w:rsidP="00B61F2A">
            <w:pPr>
              <w:jc w:val="right"/>
              <w:rPr>
                <w:rFonts w:ascii="Lato" w:hAnsi="Lato"/>
                <w:sz w:val="22"/>
                <w:szCs w:val="22"/>
              </w:rPr>
            </w:pPr>
          </w:p>
        </w:tc>
        <w:tc>
          <w:tcPr>
            <w:tcW w:w="5891" w:type="dxa"/>
          </w:tcPr>
          <w:p w14:paraId="4DF350C1" w14:textId="77777777" w:rsidR="00B61F2A" w:rsidRPr="001362A6" w:rsidRDefault="00B61F2A" w:rsidP="00B61F2A">
            <w:pPr>
              <w:jc w:val="both"/>
              <w:rPr>
                <w:rFonts w:ascii="Lato" w:hAnsi="Lato"/>
                <w:sz w:val="22"/>
                <w:szCs w:val="22"/>
              </w:rPr>
            </w:pPr>
            <w:r w:rsidRPr="001362A6">
              <w:rPr>
                <w:rFonts w:ascii="Lato" w:hAnsi="Lato"/>
                <w:sz w:val="22"/>
                <w:szCs w:val="22"/>
              </w:rPr>
              <w:t>dealing deadline and the payment of redemption proceeds:</w:t>
            </w:r>
          </w:p>
        </w:tc>
        <w:tc>
          <w:tcPr>
            <w:tcW w:w="3188" w:type="dxa"/>
            <w:tcBorders>
              <w:bottom w:val="single" w:sz="4" w:space="0" w:color="auto"/>
            </w:tcBorders>
          </w:tcPr>
          <w:p w14:paraId="0A6DC998" w14:textId="77777777" w:rsidR="00B61F2A" w:rsidRPr="001362A6" w:rsidRDefault="00B61F2A" w:rsidP="00B61F2A">
            <w:pPr>
              <w:rPr>
                <w:rFonts w:ascii="Lato" w:hAnsi="Lato"/>
                <w:sz w:val="22"/>
                <w:szCs w:val="22"/>
              </w:rPr>
            </w:pPr>
          </w:p>
        </w:tc>
      </w:tr>
      <w:tr w:rsidR="00B61F2A" w:rsidRPr="001362A6" w14:paraId="641BF834" w14:textId="77777777" w:rsidTr="007E3170">
        <w:trPr>
          <w:cantSplit/>
          <w:trHeight w:val="255"/>
        </w:trPr>
        <w:tc>
          <w:tcPr>
            <w:tcW w:w="1316" w:type="dxa"/>
          </w:tcPr>
          <w:p w14:paraId="6EB06D7D" w14:textId="77777777" w:rsidR="00B61F2A" w:rsidRPr="001362A6" w:rsidRDefault="00B61F2A" w:rsidP="00B61F2A">
            <w:pPr>
              <w:jc w:val="right"/>
              <w:rPr>
                <w:rFonts w:ascii="Lato" w:hAnsi="Lato"/>
                <w:sz w:val="22"/>
                <w:szCs w:val="22"/>
              </w:rPr>
            </w:pPr>
          </w:p>
        </w:tc>
        <w:tc>
          <w:tcPr>
            <w:tcW w:w="5891" w:type="dxa"/>
            <w:tcBorders>
              <w:right w:val="single" w:sz="4" w:space="0" w:color="auto"/>
            </w:tcBorders>
          </w:tcPr>
          <w:p w14:paraId="016557EA" w14:textId="77777777" w:rsidR="00B61F2A" w:rsidRPr="001362A6" w:rsidRDefault="00B61F2A" w:rsidP="00B61F2A">
            <w:pPr>
              <w:jc w:val="both"/>
              <w:rPr>
                <w:rFonts w:ascii="Lato" w:hAnsi="Lato"/>
                <w:sz w:val="22"/>
                <w:szCs w:val="22"/>
              </w:rPr>
            </w:pPr>
            <w:r w:rsidRPr="001362A6">
              <w:rPr>
                <w:rFonts w:ascii="Lato" w:hAnsi="Lato"/>
                <w:sz w:val="22"/>
                <w:szCs w:val="22"/>
              </w:rPr>
              <w:t xml:space="preserve">Confirm that the Qualifying Investor AIF classifies itself as </w:t>
            </w:r>
          </w:p>
        </w:tc>
        <w:tc>
          <w:tcPr>
            <w:tcW w:w="3188" w:type="dxa"/>
            <w:tcBorders>
              <w:top w:val="single" w:sz="4" w:space="0" w:color="auto"/>
              <w:left w:val="single" w:sz="4" w:space="0" w:color="auto"/>
              <w:bottom w:val="single" w:sz="4" w:space="0" w:color="auto"/>
              <w:right w:val="single" w:sz="4" w:space="0" w:color="auto"/>
            </w:tcBorders>
          </w:tcPr>
          <w:p w14:paraId="27EA5718" w14:textId="77777777" w:rsidR="00B61F2A" w:rsidRPr="001362A6" w:rsidRDefault="00B61F2A" w:rsidP="00B61F2A">
            <w:pPr>
              <w:rPr>
                <w:rFonts w:ascii="Lato" w:hAnsi="Lato"/>
                <w:sz w:val="22"/>
                <w:szCs w:val="22"/>
              </w:rPr>
            </w:pPr>
          </w:p>
        </w:tc>
      </w:tr>
      <w:tr w:rsidR="00B61F2A" w:rsidRPr="001362A6" w14:paraId="1665715A" w14:textId="77777777" w:rsidTr="007E3170">
        <w:trPr>
          <w:cantSplit/>
          <w:trHeight w:val="255"/>
        </w:trPr>
        <w:tc>
          <w:tcPr>
            <w:tcW w:w="1316" w:type="dxa"/>
          </w:tcPr>
          <w:p w14:paraId="200DC8FC" w14:textId="77777777" w:rsidR="00B61F2A" w:rsidRPr="001362A6" w:rsidRDefault="00B61F2A" w:rsidP="00B61F2A">
            <w:pPr>
              <w:jc w:val="right"/>
              <w:rPr>
                <w:rFonts w:ascii="Lato" w:hAnsi="Lato"/>
                <w:sz w:val="22"/>
                <w:szCs w:val="22"/>
              </w:rPr>
            </w:pPr>
          </w:p>
        </w:tc>
        <w:tc>
          <w:tcPr>
            <w:tcW w:w="5891" w:type="dxa"/>
          </w:tcPr>
          <w:p w14:paraId="4BE41E7F" w14:textId="77777777" w:rsidR="00B61F2A" w:rsidRPr="001362A6" w:rsidRDefault="00B61F2A" w:rsidP="00B61F2A">
            <w:pPr>
              <w:jc w:val="both"/>
              <w:rPr>
                <w:rFonts w:ascii="Lato" w:hAnsi="Lato"/>
                <w:sz w:val="22"/>
                <w:szCs w:val="22"/>
              </w:rPr>
            </w:pPr>
            <w:r w:rsidRPr="001362A6">
              <w:rPr>
                <w:rFonts w:ascii="Lato" w:hAnsi="Lato"/>
                <w:sz w:val="22"/>
                <w:szCs w:val="22"/>
              </w:rPr>
              <w:t>open-ended with limited liquidity.</w:t>
            </w:r>
          </w:p>
        </w:tc>
        <w:tc>
          <w:tcPr>
            <w:tcW w:w="3188" w:type="dxa"/>
            <w:tcBorders>
              <w:top w:val="single" w:sz="4" w:space="0" w:color="auto"/>
            </w:tcBorders>
          </w:tcPr>
          <w:p w14:paraId="0972DBC3" w14:textId="77777777" w:rsidR="00B61F2A" w:rsidRPr="001362A6" w:rsidRDefault="00B61F2A" w:rsidP="00B61F2A">
            <w:pPr>
              <w:rPr>
                <w:rFonts w:ascii="Lato" w:hAnsi="Lato"/>
                <w:sz w:val="22"/>
                <w:szCs w:val="22"/>
              </w:rPr>
            </w:pPr>
          </w:p>
        </w:tc>
      </w:tr>
      <w:tr w:rsidR="00B61F2A" w:rsidRPr="001362A6" w14:paraId="76DBAEBF" w14:textId="77777777" w:rsidTr="00990D73">
        <w:trPr>
          <w:cantSplit/>
          <w:trHeight w:val="255"/>
        </w:trPr>
        <w:tc>
          <w:tcPr>
            <w:tcW w:w="1316" w:type="dxa"/>
          </w:tcPr>
          <w:p w14:paraId="4CBA554C" w14:textId="77777777" w:rsidR="00B61F2A" w:rsidRPr="001362A6" w:rsidRDefault="00B61F2A" w:rsidP="00B61F2A">
            <w:pPr>
              <w:jc w:val="right"/>
              <w:rPr>
                <w:rFonts w:ascii="Lato" w:hAnsi="Lato"/>
                <w:sz w:val="22"/>
                <w:szCs w:val="22"/>
              </w:rPr>
            </w:pPr>
          </w:p>
        </w:tc>
        <w:tc>
          <w:tcPr>
            <w:tcW w:w="5891" w:type="dxa"/>
          </w:tcPr>
          <w:p w14:paraId="23672904" w14:textId="77777777" w:rsidR="00B61F2A" w:rsidRPr="001362A6" w:rsidRDefault="00B61F2A" w:rsidP="00B61F2A">
            <w:pPr>
              <w:jc w:val="both"/>
              <w:rPr>
                <w:rFonts w:ascii="Lato" w:hAnsi="Lato"/>
                <w:sz w:val="22"/>
                <w:szCs w:val="22"/>
              </w:rPr>
            </w:pPr>
          </w:p>
        </w:tc>
        <w:tc>
          <w:tcPr>
            <w:tcW w:w="3188" w:type="dxa"/>
          </w:tcPr>
          <w:p w14:paraId="479D4137" w14:textId="77777777" w:rsidR="00B61F2A" w:rsidRPr="001362A6" w:rsidRDefault="00B61F2A" w:rsidP="00B61F2A">
            <w:pPr>
              <w:rPr>
                <w:rFonts w:ascii="Lato" w:hAnsi="Lato"/>
                <w:sz w:val="22"/>
                <w:szCs w:val="22"/>
              </w:rPr>
            </w:pPr>
          </w:p>
        </w:tc>
      </w:tr>
      <w:tr w:rsidR="00B61F2A" w:rsidRPr="001362A6" w14:paraId="1815B126" w14:textId="77777777" w:rsidTr="00990D73">
        <w:trPr>
          <w:cantSplit/>
          <w:trHeight w:val="255"/>
        </w:trPr>
        <w:tc>
          <w:tcPr>
            <w:tcW w:w="1316" w:type="dxa"/>
          </w:tcPr>
          <w:p w14:paraId="64CBD86F" w14:textId="77777777" w:rsidR="00B61F2A" w:rsidRPr="001362A6" w:rsidRDefault="00B61F2A" w:rsidP="00B61F2A">
            <w:pPr>
              <w:jc w:val="right"/>
              <w:rPr>
                <w:rFonts w:ascii="Lato" w:hAnsi="Lato"/>
                <w:sz w:val="22"/>
                <w:szCs w:val="22"/>
              </w:rPr>
            </w:pPr>
            <w:r w:rsidRPr="001362A6">
              <w:rPr>
                <w:rFonts w:ascii="Lato" w:hAnsi="Lato"/>
                <w:sz w:val="22"/>
                <w:szCs w:val="22"/>
              </w:rPr>
              <w:t>d)</w:t>
            </w:r>
          </w:p>
        </w:tc>
        <w:tc>
          <w:tcPr>
            <w:tcW w:w="5891" w:type="dxa"/>
          </w:tcPr>
          <w:p w14:paraId="7B3B0EAF" w14:textId="77777777" w:rsidR="00B61F2A" w:rsidRPr="001362A6" w:rsidRDefault="00B61F2A" w:rsidP="00B61F2A">
            <w:pPr>
              <w:jc w:val="both"/>
              <w:rPr>
                <w:rFonts w:ascii="Lato" w:hAnsi="Lato"/>
                <w:sz w:val="22"/>
                <w:szCs w:val="22"/>
                <w:u w:val="single"/>
              </w:rPr>
            </w:pPr>
            <w:r w:rsidRPr="001362A6">
              <w:rPr>
                <w:rFonts w:ascii="Lato" w:hAnsi="Lato"/>
                <w:sz w:val="22"/>
                <w:szCs w:val="22"/>
                <w:u w:val="single"/>
              </w:rPr>
              <w:t>Qualifying Investor AIF that invests in other investment funds</w:t>
            </w:r>
          </w:p>
        </w:tc>
        <w:tc>
          <w:tcPr>
            <w:tcW w:w="3188" w:type="dxa"/>
            <w:tcBorders>
              <w:bottom w:val="single" w:sz="4" w:space="0" w:color="auto"/>
            </w:tcBorders>
          </w:tcPr>
          <w:p w14:paraId="23AF5326" w14:textId="77777777" w:rsidR="00B61F2A" w:rsidRPr="001362A6" w:rsidRDefault="00B61F2A" w:rsidP="00B61F2A">
            <w:pPr>
              <w:rPr>
                <w:rFonts w:ascii="Lato" w:hAnsi="Lato"/>
                <w:sz w:val="22"/>
                <w:szCs w:val="22"/>
              </w:rPr>
            </w:pPr>
          </w:p>
        </w:tc>
      </w:tr>
      <w:tr w:rsidR="00B61F2A" w:rsidRPr="001362A6" w14:paraId="1F7AB707" w14:textId="77777777" w:rsidTr="00990D73">
        <w:trPr>
          <w:cantSplit/>
          <w:trHeight w:val="255"/>
        </w:trPr>
        <w:tc>
          <w:tcPr>
            <w:tcW w:w="1316" w:type="dxa"/>
          </w:tcPr>
          <w:p w14:paraId="1339B834" w14:textId="77777777" w:rsidR="00B61F2A" w:rsidRPr="001362A6" w:rsidRDefault="00B61F2A" w:rsidP="00B61F2A">
            <w:pPr>
              <w:jc w:val="right"/>
              <w:rPr>
                <w:rFonts w:ascii="Lato" w:hAnsi="Lato"/>
                <w:sz w:val="22"/>
                <w:szCs w:val="22"/>
              </w:rPr>
            </w:pPr>
            <w:r w:rsidRPr="001362A6">
              <w:rPr>
                <w:rFonts w:ascii="Lato" w:hAnsi="Lato"/>
                <w:sz w:val="22"/>
                <w:szCs w:val="22"/>
              </w:rPr>
              <w:t>i)</w:t>
            </w:r>
          </w:p>
        </w:tc>
        <w:tc>
          <w:tcPr>
            <w:tcW w:w="5891" w:type="dxa"/>
            <w:tcBorders>
              <w:right w:val="single" w:sz="4" w:space="0" w:color="auto"/>
            </w:tcBorders>
          </w:tcPr>
          <w:p w14:paraId="285C5B9D" w14:textId="77777777" w:rsidR="00B61F2A" w:rsidRPr="001362A6" w:rsidRDefault="00B61F2A" w:rsidP="00B61F2A">
            <w:pPr>
              <w:jc w:val="both"/>
              <w:rPr>
                <w:rFonts w:ascii="Lato" w:hAnsi="Lato"/>
                <w:sz w:val="22"/>
                <w:szCs w:val="22"/>
              </w:rPr>
            </w:pPr>
            <w:r w:rsidRPr="001362A6">
              <w:rPr>
                <w:rFonts w:ascii="Lato" w:hAnsi="Lato"/>
                <w:sz w:val="22"/>
                <w:szCs w:val="22"/>
              </w:rPr>
              <w:t>Confirm that the period is not longer than 95 calendar days</w:t>
            </w:r>
          </w:p>
        </w:tc>
        <w:tc>
          <w:tcPr>
            <w:tcW w:w="3188" w:type="dxa"/>
            <w:tcBorders>
              <w:top w:val="single" w:sz="4" w:space="0" w:color="auto"/>
              <w:left w:val="single" w:sz="4" w:space="0" w:color="auto"/>
              <w:bottom w:val="single" w:sz="4" w:space="0" w:color="auto"/>
              <w:right w:val="single" w:sz="4" w:space="0" w:color="auto"/>
            </w:tcBorders>
          </w:tcPr>
          <w:p w14:paraId="7A335CC4" w14:textId="77777777" w:rsidR="00B61F2A" w:rsidRPr="001362A6" w:rsidRDefault="00B61F2A" w:rsidP="00B61F2A">
            <w:pPr>
              <w:rPr>
                <w:rFonts w:ascii="Lato" w:hAnsi="Lato"/>
                <w:sz w:val="22"/>
                <w:szCs w:val="22"/>
              </w:rPr>
            </w:pPr>
          </w:p>
        </w:tc>
      </w:tr>
      <w:tr w:rsidR="00B61F2A" w:rsidRPr="001362A6" w14:paraId="14D2B271" w14:textId="77777777" w:rsidTr="00990D73">
        <w:trPr>
          <w:cantSplit/>
          <w:trHeight w:val="255"/>
        </w:trPr>
        <w:tc>
          <w:tcPr>
            <w:tcW w:w="1316" w:type="dxa"/>
          </w:tcPr>
          <w:p w14:paraId="41CC49B4" w14:textId="77777777" w:rsidR="00B61F2A" w:rsidRPr="001362A6" w:rsidRDefault="00B61F2A" w:rsidP="00B61F2A">
            <w:pPr>
              <w:jc w:val="right"/>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55346724" w14:textId="77777777" w:rsidR="00B61F2A" w:rsidRPr="001362A6" w:rsidRDefault="00B61F2A" w:rsidP="00B61F2A">
            <w:pPr>
              <w:jc w:val="both"/>
              <w:rPr>
                <w:rFonts w:ascii="Lato" w:hAnsi="Lato"/>
                <w:sz w:val="22"/>
                <w:szCs w:val="22"/>
              </w:rPr>
            </w:pPr>
            <w:r w:rsidRPr="001362A6">
              <w:rPr>
                <w:rFonts w:ascii="Lato" w:hAnsi="Lato"/>
                <w:sz w:val="22"/>
                <w:szCs w:val="22"/>
              </w:rPr>
              <w:t xml:space="preserve">Where the Qualifying Investor AIF, deals more frequently </w:t>
            </w:r>
          </w:p>
        </w:tc>
        <w:tc>
          <w:tcPr>
            <w:tcW w:w="3188" w:type="dxa"/>
            <w:tcBorders>
              <w:top w:val="single" w:sz="4" w:space="0" w:color="auto"/>
              <w:left w:val="single" w:sz="4" w:space="0" w:color="auto"/>
              <w:bottom w:val="single" w:sz="4" w:space="0" w:color="auto"/>
              <w:right w:val="single" w:sz="4" w:space="0" w:color="auto"/>
            </w:tcBorders>
          </w:tcPr>
          <w:p w14:paraId="5665A75E" w14:textId="77777777" w:rsidR="00B61F2A" w:rsidRPr="001362A6" w:rsidRDefault="00B61F2A" w:rsidP="00B61F2A">
            <w:pPr>
              <w:rPr>
                <w:rFonts w:ascii="Lato" w:hAnsi="Lato"/>
                <w:sz w:val="22"/>
                <w:szCs w:val="22"/>
              </w:rPr>
            </w:pPr>
          </w:p>
        </w:tc>
      </w:tr>
      <w:tr w:rsidR="00B61F2A" w:rsidRPr="001362A6" w14:paraId="0D6DB47D" w14:textId="77777777" w:rsidTr="00990D73">
        <w:trPr>
          <w:cantSplit/>
          <w:trHeight w:val="255"/>
        </w:trPr>
        <w:tc>
          <w:tcPr>
            <w:tcW w:w="1316" w:type="dxa"/>
          </w:tcPr>
          <w:p w14:paraId="7214651A" w14:textId="77777777" w:rsidR="00B61F2A" w:rsidRPr="001362A6" w:rsidRDefault="00B61F2A" w:rsidP="00B61F2A">
            <w:pPr>
              <w:jc w:val="right"/>
              <w:rPr>
                <w:rFonts w:ascii="Lato" w:hAnsi="Lato"/>
                <w:sz w:val="22"/>
                <w:szCs w:val="22"/>
              </w:rPr>
            </w:pPr>
          </w:p>
        </w:tc>
        <w:tc>
          <w:tcPr>
            <w:tcW w:w="5891" w:type="dxa"/>
          </w:tcPr>
          <w:p w14:paraId="13777E4D" w14:textId="77777777" w:rsidR="00B61F2A" w:rsidRPr="001362A6" w:rsidRDefault="00B61F2A" w:rsidP="00B61F2A">
            <w:pPr>
              <w:jc w:val="both"/>
              <w:rPr>
                <w:rFonts w:ascii="Lato" w:hAnsi="Lato"/>
                <w:sz w:val="22"/>
                <w:szCs w:val="22"/>
              </w:rPr>
            </w:pPr>
            <w:r w:rsidRPr="00590C6D">
              <w:rPr>
                <w:rFonts w:ascii="Lato" w:hAnsi="Lato"/>
                <w:sz w:val="22"/>
                <w:szCs w:val="22"/>
              </w:rPr>
              <w:t xml:space="preserve">than </w:t>
            </w:r>
            <w:r w:rsidRPr="001362A6">
              <w:rPr>
                <w:rFonts w:ascii="Lato" w:hAnsi="Lato"/>
                <w:sz w:val="22"/>
                <w:szCs w:val="22"/>
              </w:rPr>
              <w:t xml:space="preserve">quarterly, provide for a period of 95calendar days for </w:t>
            </w:r>
          </w:p>
        </w:tc>
        <w:tc>
          <w:tcPr>
            <w:tcW w:w="3188" w:type="dxa"/>
            <w:tcBorders>
              <w:top w:val="single" w:sz="4" w:space="0" w:color="auto"/>
            </w:tcBorders>
          </w:tcPr>
          <w:p w14:paraId="6A34FA28" w14:textId="77777777" w:rsidR="00B61F2A" w:rsidRPr="001362A6" w:rsidRDefault="00B61F2A" w:rsidP="00B61F2A">
            <w:pPr>
              <w:rPr>
                <w:rFonts w:ascii="Lato" w:hAnsi="Lato"/>
                <w:sz w:val="22"/>
                <w:szCs w:val="22"/>
              </w:rPr>
            </w:pPr>
          </w:p>
        </w:tc>
      </w:tr>
      <w:tr w:rsidR="00B61F2A" w:rsidRPr="001362A6" w14:paraId="189A3226" w14:textId="77777777" w:rsidTr="00990D73">
        <w:trPr>
          <w:cantSplit/>
          <w:trHeight w:val="255"/>
        </w:trPr>
        <w:tc>
          <w:tcPr>
            <w:tcW w:w="1316" w:type="dxa"/>
          </w:tcPr>
          <w:p w14:paraId="44B1DEB9" w14:textId="77777777" w:rsidR="00B61F2A" w:rsidRPr="001362A6" w:rsidRDefault="00B61F2A" w:rsidP="00B61F2A">
            <w:pPr>
              <w:jc w:val="right"/>
              <w:rPr>
                <w:rFonts w:ascii="Lato" w:hAnsi="Lato"/>
                <w:sz w:val="22"/>
                <w:szCs w:val="22"/>
              </w:rPr>
            </w:pPr>
          </w:p>
        </w:tc>
        <w:tc>
          <w:tcPr>
            <w:tcW w:w="5891" w:type="dxa"/>
          </w:tcPr>
          <w:p w14:paraId="76BA4BB3" w14:textId="77777777" w:rsidR="00B61F2A" w:rsidRPr="001362A6" w:rsidRDefault="00B61F2A" w:rsidP="00B61F2A">
            <w:pPr>
              <w:jc w:val="both"/>
              <w:rPr>
                <w:rFonts w:ascii="Lato" w:hAnsi="Lato"/>
                <w:sz w:val="22"/>
                <w:szCs w:val="22"/>
              </w:rPr>
            </w:pPr>
            <w:r w:rsidRPr="00590C6D">
              <w:rPr>
                <w:rFonts w:ascii="Lato" w:hAnsi="Lato"/>
                <w:sz w:val="22"/>
                <w:szCs w:val="22"/>
              </w:rPr>
              <w:t xml:space="preserve">the </w:t>
            </w:r>
            <w:r w:rsidRPr="001362A6">
              <w:rPr>
                <w:rFonts w:ascii="Lato" w:hAnsi="Lato"/>
                <w:sz w:val="22"/>
                <w:szCs w:val="22"/>
              </w:rPr>
              <w:t xml:space="preserve">payment of redemption proceeds,disclose a prominent </w:t>
            </w:r>
          </w:p>
        </w:tc>
        <w:tc>
          <w:tcPr>
            <w:tcW w:w="3188" w:type="dxa"/>
          </w:tcPr>
          <w:p w14:paraId="63F712D4" w14:textId="77777777" w:rsidR="00B61F2A" w:rsidRPr="001362A6" w:rsidRDefault="00B61F2A" w:rsidP="00B61F2A">
            <w:pPr>
              <w:rPr>
                <w:rFonts w:ascii="Lato" w:hAnsi="Lato"/>
                <w:sz w:val="22"/>
                <w:szCs w:val="22"/>
              </w:rPr>
            </w:pPr>
          </w:p>
        </w:tc>
      </w:tr>
      <w:tr w:rsidR="00B61F2A" w:rsidRPr="001362A6" w14:paraId="036AF81F" w14:textId="77777777" w:rsidTr="00990D73">
        <w:trPr>
          <w:cantSplit/>
          <w:trHeight w:val="255"/>
        </w:trPr>
        <w:tc>
          <w:tcPr>
            <w:tcW w:w="1316" w:type="dxa"/>
          </w:tcPr>
          <w:p w14:paraId="6E829B31" w14:textId="77777777" w:rsidR="00B61F2A" w:rsidRPr="001362A6" w:rsidRDefault="00B61F2A" w:rsidP="00B61F2A">
            <w:pPr>
              <w:jc w:val="right"/>
              <w:rPr>
                <w:rFonts w:ascii="Lato" w:hAnsi="Lato"/>
                <w:sz w:val="22"/>
                <w:szCs w:val="22"/>
              </w:rPr>
            </w:pPr>
          </w:p>
        </w:tc>
        <w:tc>
          <w:tcPr>
            <w:tcW w:w="5891" w:type="dxa"/>
          </w:tcPr>
          <w:p w14:paraId="23889A44" w14:textId="77777777" w:rsidR="00B61F2A" w:rsidRPr="001362A6" w:rsidRDefault="00B61F2A" w:rsidP="00B61F2A">
            <w:pPr>
              <w:jc w:val="both"/>
              <w:rPr>
                <w:rFonts w:ascii="Lato" w:hAnsi="Lato"/>
                <w:sz w:val="22"/>
                <w:szCs w:val="22"/>
              </w:rPr>
            </w:pPr>
            <w:r w:rsidRPr="00590C6D">
              <w:rPr>
                <w:rFonts w:ascii="Lato" w:hAnsi="Lato"/>
                <w:sz w:val="22"/>
                <w:szCs w:val="22"/>
              </w:rPr>
              <w:t xml:space="preserve">statement </w:t>
            </w:r>
            <w:r w:rsidRPr="001362A6">
              <w:rPr>
                <w:rFonts w:ascii="Lato" w:hAnsi="Lato"/>
                <w:sz w:val="22"/>
                <w:szCs w:val="22"/>
              </w:rPr>
              <w:t xml:space="preserve">highlighting the fact that while the Qualifying </w:t>
            </w:r>
          </w:p>
        </w:tc>
        <w:tc>
          <w:tcPr>
            <w:tcW w:w="3188" w:type="dxa"/>
          </w:tcPr>
          <w:p w14:paraId="4A92F918" w14:textId="77777777" w:rsidR="00B61F2A" w:rsidRPr="001362A6" w:rsidRDefault="00B61F2A" w:rsidP="00B61F2A">
            <w:pPr>
              <w:rPr>
                <w:rFonts w:ascii="Lato" w:hAnsi="Lato"/>
                <w:sz w:val="22"/>
                <w:szCs w:val="22"/>
              </w:rPr>
            </w:pPr>
          </w:p>
        </w:tc>
      </w:tr>
      <w:tr w:rsidR="00B61F2A" w:rsidRPr="001362A6" w14:paraId="47FFCFFE" w14:textId="77777777" w:rsidTr="00990D73">
        <w:trPr>
          <w:cantSplit/>
          <w:trHeight w:val="255"/>
        </w:trPr>
        <w:tc>
          <w:tcPr>
            <w:tcW w:w="1316" w:type="dxa"/>
          </w:tcPr>
          <w:p w14:paraId="39BD6E0A" w14:textId="77777777" w:rsidR="00B61F2A" w:rsidRPr="001362A6" w:rsidRDefault="00B61F2A" w:rsidP="00B61F2A">
            <w:pPr>
              <w:jc w:val="right"/>
              <w:rPr>
                <w:rFonts w:ascii="Lato" w:hAnsi="Lato"/>
                <w:sz w:val="22"/>
                <w:szCs w:val="22"/>
              </w:rPr>
            </w:pPr>
          </w:p>
        </w:tc>
        <w:tc>
          <w:tcPr>
            <w:tcW w:w="5891" w:type="dxa"/>
          </w:tcPr>
          <w:p w14:paraId="333358FD" w14:textId="77777777" w:rsidR="00B61F2A" w:rsidRPr="001362A6" w:rsidRDefault="00B61F2A" w:rsidP="00B61F2A">
            <w:pPr>
              <w:jc w:val="both"/>
              <w:rPr>
                <w:rFonts w:ascii="Lato" w:hAnsi="Lato"/>
                <w:sz w:val="22"/>
                <w:szCs w:val="22"/>
              </w:rPr>
            </w:pPr>
            <w:r w:rsidRPr="00590C6D">
              <w:rPr>
                <w:rFonts w:ascii="Lato" w:hAnsi="Lato"/>
                <w:sz w:val="22"/>
                <w:szCs w:val="22"/>
              </w:rPr>
              <w:t xml:space="preserve">Investor AIF </w:t>
            </w:r>
            <w:r w:rsidRPr="001362A6">
              <w:rPr>
                <w:rFonts w:ascii="Lato" w:hAnsi="Lato"/>
                <w:sz w:val="22"/>
                <w:szCs w:val="22"/>
              </w:rPr>
              <w:t>deals, more frequently than quarterly there may be times when redemption proceeds are paid on a quarterly basis.</w:t>
            </w:r>
          </w:p>
        </w:tc>
        <w:tc>
          <w:tcPr>
            <w:tcW w:w="3188" w:type="dxa"/>
          </w:tcPr>
          <w:p w14:paraId="53E9B634" w14:textId="77777777" w:rsidR="00B61F2A" w:rsidRPr="001362A6" w:rsidRDefault="00B61F2A" w:rsidP="00B61F2A">
            <w:pPr>
              <w:rPr>
                <w:rFonts w:ascii="Lato" w:hAnsi="Lato"/>
                <w:sz w:val="22"/>
                <w:szCs w:val="22"/>
              </w:rPr>
            </w:pPr>
          </w:p>
        </w:tc>
      </w:tr>
      <w:tr w:rsidR="00B61F2A" w:rsidRPr="001362A6" w14:paraId="21906EAE" w14:textId="77777777" w:rsidTr="00990D73">
        <w:trPr>
          <w:cantSplit/>
          <w:trHeight w:val="255"/>
        </w:trPr>
        <w:tc>
          <w:tcPr>
            <w:tcW w:w="1316" w:type="dxa"/>
          </w:tcPr>
          <w:p w14:paraId="3BDB1AB7" w14:textId="77777777" w:rsidR="00B61F2A" w:rsidRPr="001362A6" w:rsidRDefault="00B61F2A" w:rsidP="00B61F2A">
            <w:pPr>
              <w:jc w:val="right"/>
              <w:rPr>
                <w:rFonts w:ascii="Lato" w:hAnsi="Lato"/>
                <w:sz w:val="22"/>
                <w:szCs w:val="22"/>
              </w:rPr>
            </w:pPr>
          </w:p>
        </w:tc>
        <w:tc>
          <w:tcPr>
            <w:tcW w:w="5891" w:type="dxa"/>
          </w:tcPr>
          <w:p w14:paraId="5F9CB758" w14:textId="77777777" w:rsidR="00B61F2A" w:rsidRPr="001362A6" w:rsidRDefault="00B61F2A" w:rsidP="00B61F2A">
            <w:pPr>
              <w:jc w:val="both"/>
              <w:rPr>
                <w:rFonts w:ascii="Lato" w:hAnsi="Lato"/>
                <w:sz w:val="22"/>
                <w:szCs w:val="22"/>
              </w:rPr>
            </w:pPr>
          </w:p>
        </w:tc>
        <w:tc>
          <w:tcPr>
            <w:tcW w:w="3188" w:type="dxa"/>
          </w:tcPr>
          <w:p w14:paraId="1A329525" w14:textId="77777777" w:rsidR="00B61F2A" w:rsidRPr="001362A6" w:rsidRDefault="00B61F2A" w:rsidP="00B61F2A">
            <w:pPr>
              <w:rPr>
                <w:rFonts w:ascii="Lato" w:hAnsi="Lato"/>
                <w:sz w:val="22"/>
                <w:szCs w:val="22"/>
              </w:rPr>
            </w:pPr>
          </w:p>
        </w:tc>
      </w:tr>
      <w:tr w:rsidR="00B61F2A" w:rsidRPr="001362A6" w14:paraId="326FE63F" w14:textId="77777777" w:rsidTr="00990D73">
        <w:tc>
          <w:tcPr>
            <w:tcW w:w="1316" w:type="dxa"/>
          </w:tcPr>
          <w:p w14:paraId="3CF2D291" w14:textId="77777777" w:rsidR="00B61F2A" w:rsidRPr="001362A6" w:rsidRDefault="00B61F2A" w:rsidP="00B61F2A">
            <w:pPr>
              <w:rPr>
                <w:rFonts w:ascii="Lato" w:hAnsi="Lato"/>
                <w:b/>
                <w:sz w:val="22"/>
                <w:szCs w:val="22"/>
              </w:rPr>
            </w:pPr>
            <w:r w:rsidRPr="001362A6">
              <w:rPr>
                <w:rFonts w:ascii="Lato" w:hAnsi="Lato"/>
                <w:b/>
                <w:sz w:val="22"/>
                <w:szCs w:val="22"/>
              </w:rPr>
              <w:t>2.15</w:t>
            </w:r>
          </w:p>
        </w:tc>
        <w:tc>
          <w:tcPr>
            <w:tcW w:w="5891" w:type="dxa"/>
          </w:tcPr>
          <w:p w14:paraId="4A84D7D9" w14:textId="77777777" w:rsidR="00B61F2A" w:rsidRPr="001362A6" w:rsidRDefault="00B61F2A" w:rsidP="00B61F2A">
            <w:pPr>
              <w:pStyle w:val="Heading1"/>
              <w:spacing w:before="0" w:after="0" w:line="240" w:lineRule="auto"/>
              <w:rPr>
                <w:rFonts w:ascii="Lato" w:hAnsi="Lato"/>
                <w:b/>
                <w:color w:val="auto"/>
                <w:sz w:val="22"/>
                <w:szCs w:val="22"/>
              </w:rPr>
            </w:pPr>
            <w:r w:rsidRPr="001362A6">
              <w:rPr>
                <w:rFonts w:ascii="Lato" w:hAnsi="Lato"/>
                <w:b/>
                <w:color w:val="auto"/>
                <w:sz w:val="22"/>
                <w:szCs w:val="22"/>
              </w:rPr>
              <w:t>Subscription in Specie</w:t>
            </w:r>
          </w:p>
        </w:tc>
        <w:tc>
          <w:tcPr>
            <w:tcW w:w="3188" w:type="dxa"/>
          </w:tcPr>
          <w:p w14:paraId="65596B22" w14:textId="77777777" w:rsidR="00B61F2A" w:rsidRPr="001362A6" w:rsidRDefault="00B61F2A" w:rsidP="00B61F2A">
            <w:pPr>
              <w:rPr>
                <w:rFonts w:ascii="Lato" w:hAnsi="Lato"/>
                <w:sz w:val="22"/>
                <w:szCs w:val="22"/>
              </w:rPr>
            </w:pPr>
          </w:p>
        </w:tc>
      </w:tr>
      <w:tr w:rsidR="00B61F2A" w:rsidRPr="001362A6" w14:paraId="67F53563" w14:textId="77777777" w:rsidTr="00A70AEC">
        <w:tc>
          <w:tcPr>
            <w:tcW w:w="1316" w:type="dxa"/>
          </w:tcPr>
          <w:p w14:paraId="09E0D223" w14:textId="77777777" w:rsidR="00B61F2A" w:rsidRPr="001362A6" w:rsidRDefault="00B61F2A" w:rsidP="00B61F2A">
            <w:pPr>
              <w:rPr>
                <w:rFonts w:ascii="Lato" w:hAnsi="Lato"/>
                <w:sz w:val="22"/>
                <w:szCs w:val="22"/>
              </w:rPr>
            </w:pPr>
          </w:p>
        </w:tc>
        <w:tc>
          <w:tcPr>
            <w:tcW w:w="5891" w:type="dxa"/>
          </w:tcPr>
          <w:p w14:paraId="10EA34A0" w14:textId="77777777" w:rsidR="00B61F2A" w:rsidRPr="001362A6" w:rsidRDefault="00B61F2A" w:rsidP="00B61F2A">
            <w:pPr>
              <w:pStyle w:val="Heading1"/>
              <w:spacing w:before="0" w:after="0" w:line="240" w:lineRule="auto"/>
              <w:rPr>
                <w:rFonts w:ascii="Lato" w:hAnsi="Lato"/>
                <w:color w:val="auto"/>
                <w:sz w:val="22"/>
                <w:szCs w:val="22"/>
              </w:rPr>
            </w:pPr>
            <w:r w:rsidRPr="001362A6">
              <w:rPr>
                <w:rFonts w:ascii="Lato" w:hAnsi="Lato"/>
                <w:color w:val="auto"/>
                <w:sz w:val="22"/>
                <w:szCs w:val="22"/>
              </w:rPr>
              <w:t>Provide that:</w:t>
            </w:r>
          </w:p>
        </w:tc>
        <w:tc>
          <w:tcPr>
            <w:tcW w:w="3188" w:type="dxa"/>
            <w:tcBorders>
              <w:bottom w:val="single" w:sz="4" w:space="0" w:color="auto"/>
            </w:tcBorders>
          </w:tcPr>
          <w:p w14:paraId="03F1A28A" w14:textId="77777777" w:rsidR="00B61F2A" w:rsidRPr="001362A6" w:rsidRDefault="00B61F2A" w:rsidP="00B61F2A">
            <w:pPr>
              <w:rPr>
                <w:rFonts w:ascii="Lato" w:hAnsi="Lato"/>
                <w:sz w:val="22"/>
                <w:szCs w:val="22"/>
              </w:rPr>
            </w:pPr>
          </w:p>
        </w:tc>
      </w:tr>
      <w:tr w:rsidR="00B61F2A" w:rsidRPr="001362A6" w14:paraId="65DFE96E" w14:textId="77777777" w:rsidTr="00A70AEC">
        <w:tc>
          <w:tcPr>
            <w:tcW w:w="1316" w:type="dxa"/>
          </w:tcPr>
          <w:p w14:paraId="450E0C14"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46F2316F" w14:textId="77777777" w:rsidR="00B61F2A" w:rsidRPr="001362A6" w:rsidRDefault="00B61F2A" w:rsidP="00B61F2A">
            <w:pPr>
              <w:rPr>
                <w:rFonts w:ascii="Lato" w:hAnsi="Lato"/>
                <w:sz w:val="22"/>
                <w:szCs w:val="22"/>
              </w:rPr>
            </w:pPr>
            <w:r w:rsidRPr="001362A6">
              <w:rPr>
                <w:rFonts w:ascii="Lato" w:hAnsi="Lato"/>
                <w:sz w:val="22"/>
                <w:szCs w:val="22"/>
              </w:rPr>
              <w:t xml:space="preserve">Subscriptions for units of Qualifying Investor AIF on an in </w:t>
            </w:r>
          </w:p>
        </w:tc>
        <w:tc>
          <w:tcPr>
            <w:tcW w:w="3188" w:type="dxa"/>
            <w:tcBorders>
              <w:top w:val="single" w:sz="4" w:space="0" w:color="auto"/>
              <w:left w:val="single" w:sz="4" w:space="0" w:color="auto"/>
              <w:bottom w:val="single" w:sz="4" w:space="0" w:color="auto"/>
              <w:right w:val="single" w:sz="4" w:space="0" w:color="auto"/>
            </w:tcBorders>
          </w:tcPr>
          <w:p w14:paraId="545F44D1" w14:textId="77777777" w:rsidR="00B61F2A" w:rsidRPr="001362A6" w:rsidRDefault="00B61F2A" w:rsidP="00B61F2A">
            <w:pPr>
              <w:rPr>
                <w:rFonts w:ascii="Lato" w:hAnsi="Lato"/>
                <w:sz w:val="22"/>
                <w:szCs w:val="22"/>
              </w:rPr>
            </w:pPr>
          </w:p>
        </w:tc>
      </w:tr>
      <w:tr w:rsidR="00B61F2A" w:rsidRPr="001362A6" w14:paraId="70AE6063" w14:textId="77777777" w:rsidTr="00A70AEC">
        <w:tc>
          <w:tcPr>
            <w:tcW w:w="1316" w:type="dxa"/>
          </w:tcPr>
          <w:p w14:paraId="5A0B0331" w14:textId="77777777" w:rsidR="00B61F2A" w:rsidRPr="001362A6" w:rsidRDefault="00B61F2A" w:rsidP="00B61F2A">
            <w:pPr>
              <w:rPr>
                <w:rFonts w:ascii="Lato" w:hAnsi="Lato"/>
                <w:sz w:val="22"/>
                <w:szCs w:val="22"/>
              </w:rPr>
            </w:pPr>
          </w:p>
        </w:tc>
        <w:tc>
          <w:tcPr>
            <w:tcW w:w="5891" w:type="dxa"/>
          </w:tcPr>
          <w:p w14:paraId="73864DA8" w14:textId="77777777" w:rsidR="00B61F2A" w:rsidRPr="001362A6" w:rsidRDefault="00B61F2A" w:rsidP="00B61F2A">
            <w:pPr>
              <w:rPr>
                <w:rFonts w:ascii="Lato" w:hAnsi="Lato"/>
                <w:sz w:val="22"/>
                <w:szCs w:val="22"/>
              </w:rPr>
            </w:pPr>
            <w:r w:rsidRPr="001362A6">
              <w:rPr>
                <w:rFonts w:ascii="Lato" w:hAnsi="Lato"/>
                <w:sz w:val="22"/>
                <w:szCs w:val="22"/>
              </w:rPr>
              <w:t xml:space="preserve">specie basis may only be accepted if the depositary is </w:t>
            </w:r>
          </w:p>
        </w:tc>
        <w:tc>
          <w:tcPr>
            <w:tcW w:w="3188" w:type="dxa"/>
            <w:tcBorders>
              <w:top w:val="single" w:sz="4" w:space="0" w:color="auto"/>
            </w:tcBorders>
          </w:tcPr>
          <w:p w14:paraId="025E2497" w14:textId="77777777" w:rsidR="00B61F2A" w:rsidRPr="001362A6" w:rsidRDefault="00B61F2A" w:rsidP="00B61F2A">
            <w:pPr>
              <w:rPr>
                <w:rFonts w:ascii="Lato" w:hAnsi="Lato"/>
                <w:sz w:val="22"/>
                <w:szCs w:val="22"/>
              </w:rPr>
            </w:pPr>
          </w:p>
        </w:tc>
      </w:tr>
      <w:tr w:rsidR="00B61F2A" w:rsidRPr="001362A6" w14:paraId="65F2C82C" w14:textId="77777777" w:rsidTr="00A70AEC">
        <w:tc>
          <w:tcPr>
            <w:tcW w:w="1316" w:type="dxa"/>
          </w:tcPr>
          <w:p w14:paraId="6CB4A442" w14:textId="77777777" w:rsidR="00B61F2A" w:rsidRPr="001362A6" w:rsidRDefault="00B61F2A" w:rsidP="00B61F2A">
            <w:pPr>
              <w:rPr>
                <w:rFonts w:ascii="Lato" w:hAnsi="Lato"/>
                <w:sz w:val="22"/>
                <w:szCs w:val="22"/>
              </w:rPr>
            </w:pPr>
          </w:p>
        </w:tc>
        <w:tc>
          <w:tcPr>
            <w:tcW w:w="5891" w:type="dxa"/>
          </w:tcPr>
          <w:p w14:paraId="690E7747" w14:textId="77777777" w:rsidR="00B61F2A" w:rsidRPr="001362A6" w:rsidRDefault="00B61F2A" w:rsidP="00B61F2A">
            <w:pPr>
              <w:rPr>
                <w:rFonts w:ascii="Lato" w:hAnsi="Lato"/>
                <w:sz w:val="22"/>
                <w:szCs w:val="22"/>
              </w:rPr>
            </w:pPr>
            <w:r w:rsidRPr="00590C6D">
              <w:rPr>
                <w:rFonts w:ascii="Lato" w:hAnsi="Lato"/>
                <w:sz w:val="22"/>
                <w:szCs w:val="22"/>
              </w:rPr>
              <w:t>satisfied</w:t>
            </w:r>
            <w:r w:rsidRPr="001362A6">
              <w:rPr>
                <w:rFonts w:ascii="Lato" w:hAnsi="Lato"/>
                <w:sz w:val="22"/>
                <w:szCs w:val="22"/>
              </w:rPr>
              <w:t xml:space="preserve"> that the terms of the exchange will not be such as are likely to result in any material prejudice to the Qualifying Investor AIF unitholders</w:t>
            </w:r>
          </w:p>
        </w:tc>
        <w:tc>
          <w:tcPr>
            <w:tcW w:w="3188" w:type="dxa"/>
          </w:tcPr>
          <w:p w14:paraId="6B02D002" w14:textId="77777777" w:rsidR="00B61F2A" w:rsidRPr="001362A6" w:rsidRDefault="00B61F2A" w:rsidP="00B61F2A">
            <w:pPr>
              <w:rPr>
                <w:rFonts w:ascii="Lato" w:hAnsi="Lato"/>
                <w:sz w:val="22"/>
                <w:szCs w:val="22"/>
              </w:rPr>
            </w:pPr>
          </w:p>
        </w:tc>
      </w:tr>
      <w:tr w:rsidR="00B61F2A" w:rsidRPr="001362A6" w14:paraId="51CE0632" w14:textId="77777777" w:rsidTr="00990D73">
        <w:trPr>
          <w:cantSplit/>
          <w:trHeight w:val="251"/>
        </w:trPr>
        <w:tc>
          <w:tcPr>
            <w:tcW w:w="1316" w:type="dxa"/>
          </w:tcPr>
          <w:p w14:paraId="2DF62C1B" w14:textId="77777777" w:rsidR="00B61F2A" w:rsidRPr="001362A6" w:rsidRDefault="00B61F2A" w:rsidP="00B61F2A">
            <w:pPr>
              <w:jc w:val="right"/>
              <w:rPr>
                <w:rFonts w:ascii="Lato" w:hAnsi="Lato"/>
                <w:sz w:val="22"/>
                <w:szCs w:val="22"/>
              </w:rPr>
            </w:pPr>
          </w:p>
        </w:tc>
        <w:tc>
          <w:tcPr>
            <w:tcW w:w="5891" w:type="dxa"/>
          </w:tcPr>
          <w:p w14:paraId="5806E5C4" w14:textId="77777777" w:rsidR="00B61F2A" w:rsidRPr="001362A6" w:rsidRDefault="00B61F2A" w:rsidP="00B61F2A">
            <w:pPr>
              <w:rPr>
                <w:rFonts w:ascii="Lato" w:hAnsi="Lato"/>
                <w:sz w:val="22"/>
                <w:szCs w:val="22"/>
              </w:rPr>
            </w:pPr>
          </w:p>
        </w:tc>
        <w:tc>
          <w:tcPr>
            <w:tcW w:w="3188" w:type="dxa"/>
          </w:tcPr>
          <w:p w14:paraId="1BA987DE" w14:textId="77777777" w:rsidR="00B61F2A" w:rsidRPr="001362A6" w:rsidRDefault="00B61F2A" w:rsidP="00B61F2A">
            <w:pPr>
              <w:rPr>
                <w:rFonts w:ascii="Lato" w:hAnsi="Lato"/>
                <w:sz w:val="22"/>
                <w:szCs w:val="22"/>
              </w:rPr>
            </w:pPr>
          </w:p>
        </w:tc>
      </w:tr>
      <w:tr w:rsidR="00B61F2A" w:rsidRPr="001362A6" w14:paraId="508939F3" w14:textId="77777777" w:rsidTr="00990D73">
        <w:tc>
          <w:tcPr>
            <w:tcW w:w="1316" w:type="dxa"/>
          </w:tcPr>
          <w:p w14:paraId="67D08EFE" w14:textId="77777777" w:rsidR="00B61F2A" w:rsidRPr="001362A6" w:rsidRDefault="00B61F2A" w:rsidP="00B61F2A">
            <w:pPr>
              <w:rPr>
                <w:rFonts w:ascii="Lato" w:hAnsi="Lato"/>
                <w:b/>
                <w:sz w:val="22"/>
                <w:szCs w:val="22"/>
              </w:rPr>
            </w:pPr>
            <w:r w:rsidRPr="001362A6">
              <w:rPr>
                <w:rFonts w:ascii="Lato" w:hAnsi="Lato"/>
                <w:b/>
                <w:sz w:val="22"/>
                <w:szCs w:val="22"/>
              </w:rPr>
              <w:t>2.16</w:t>
            </w:r>
          </w:p>
        </w:tc>
        <w:tc>
          <w:tcPr>
            <w:tcW w:w="5891" w:type="dxa"/>
          </w:tcPr>
          <w:p w14:paraId="470A9684" w14:textId="77777777" w:rsidR="00B61F2A" w:rsidRPr="001362A6" w:rsidRDefault="00B61F2A" w:rsidP="00B61F2A">
            <w:pPr>
              <w:rPr>
                <w:rFonts w:ascii="Lato" w:hAnsi="Lato"/>
                <w:b/>
                <w:sz w:val="22"/>
                <w:szCs w:val="22"/>
              </w:rPr>
            </w:pPr>
            <w:r w:rsidRPr="001362A6">
              <w:rPr>
                <w:rFonts w:ascii="Lato" w:hAnsi="Lato"/>
                <w:b/>
                <w:sz w:val="22"/>
                <w:szCs w:val="22"/>
              </w:rPr>
              <w:t>Redemption in Specie</w:t>
            </w:r>
          </w:p>
        </w:tc>
        <w:tc>
          <w:tcPr>
            <w:tcW w:w="3188" w:type="dxa"/>
          </w:tcPr>
          <w:p w14:paraId="7C3D2389" w14:textId="77777777" w:rsidR="00B61F2A" w:rsidRPr="001362A6" w:rsidRDefault="00B61F2A" w:rsidP="00B61F2A">
            <w:pPr>
              <w:rPr>
                <w:rFonts w:ascii="Lato" w:hAnsi="Lato"/>
                <w:sz w:val="22"/>
                <w:szCs w:val="22"/>
              </w:rPr>
            </w:pPr>
          </w:p>
        </w:tc>
      </w:tr>
      <w:tr w:rsidR="00B61F2A" w:rsidRPr="001362A6" w14:paraId="103E8943" w14:textId="77777777" w:rsidTr="00990D73">
        <w:tc>
          <w:tcPr>
            <w:tcW w:w="1316" w:type="dxa"/>
          </w:tcPr>
          <w:p w14:paraId="3B8110CB" w14:textId="77777777" w:rsidR="00B61F2A" w:rsidRPr="001362A6" w:rsidRDefault="00B61F2A" w:rsidP="00B61F2A">
            <w:pPr>
              <w:rPr>
                <w:rFonts w:ascii="Lato" w:hAnsi="Lato"/>
                <w:sz w:val="22"/>
                <w:szCs w:val="22"/>
              </w:rPr>
            </w:pPr>
          </w:p>
        </w:tc>
        <w:tc>
          <w:tcPr>
            <w:tcW w:w="5891" w:type="dxa"/>
          </w:tcPr>
          <w:p w14:paraId="616E1CB4" w14:textId="77777777" w:rsidR="00B61F2A" w:rsidRPr="001362A6" w:rsidRDefault="00B61F2A" w:rsidP="00B61F2A">
            <w:pPr>
              <w:rPr>
                <w:rFonts w:ascii="Lato" w:hAnsi="Lato"/>
                <w:sz w:val="22"/>
                <w:szCs w:val="22"/>
              </w:rPr>
            </w:pPr>
            <w:r w:rsidRPr="001362A6">
              <w:rPr>
                <w:rFonts w:ascii="Lato" w:hAnsi="Lato"/>
                <w:sz w:val="22"/>
                <w:szCs w:val="22"/>
              </w:rPr>
              <w:t>Provide that:</w:t>
            </w:r>
          </w:p>
        </w:tc>
        <w:tc>
          <w:tcPr>
            <w:tcW w:w="3188" w:type="dxa"/>
            <w:tcBorders>
              <w:bottom w:val="single" w:sz="4" w:space="0" w:color="auto"/>
            </w:tcBorders>
          </w:tcPr>
          <w:p w14:paraId="585000E0" w14:textId="77777777" w:rsidR="00B61F2A" w:rsidRPr="001362A6" w:rsidRDefault="00B61F2A" w:rsidP="00B61F2A">
            <w:pPr>
              <w:rPr>
                <w:rFonts w:ascii="Lato" w:hAnsi="Lato"/>
                <w:sz w:val="22"/>
                <w:szCs w:val="22"/>
              </w:rPr>
            </w:pPr>
          </w:p>
        </w:tc>
      </w:tr>
      <w:tr w:rsidR="00B61F2A" w:rsidRPr="001362A6" w14:paraId="0CBE52A5" w14:textId="77777777" w:rsidTr="00990D73">
        <w:tc>
          <w:tcPr>
            <w:tcW w:w="1316" w:type="dxa"/>
          </w:tcPr>
          <w:p w14:paraId="4A249ACB" w14:textId="77777777" w:rsidR="00B61F2A" w:rsidRPr="001362A6" w:rsidRDefault="00B61F2A" w:rsidP="00B61F2A">
            <w:pPr>
              <w:jc w:val="right"/>
              <w:rPr>
                <w:rFonts w:ascii="Lato" w:hAnsi="Lato"/>
                <w:sz w:val="22"/>
                <w:szCs w:val="22"/>
              </w:rPr>
            </w:pPr>
            <w:r w:rsidRPr="001362A6">
              <w:rPr>
                <w:rFonts w:ascii="Lato" w:hAnsi="Lato"/>
                <w:sz w:val="22"/>
                <w:szCs w:val="22"/>
              </w:rPr>
              <w:t>(i)</w:t>
            </w:r>
          </w:p>
        </w:tc>
        <w:tc>
          <w:tcPr>
            <w:tcW w:w="5891" w:type="dxa"/>
            <w:tcBorders>
              <w:right w:val="single" w:sz="4" w:space="0" w:color="auto"/>
            </w:tcBorders>
          </w:tcPr>
          <w:p w14:paraId="79533436" w14:textId="77777777" w:rsidR="00B61F2A" w:rsidRPr="001362A6" w:rsidRDefault="00B61F2A" w:rsidP="00B61F2A">
            <w:pPr>
              <w:rPr>
                <w:rFonts w:ascii="Lato" w:hAnsi="Lato"/>
                <w:sz w:val="22"/>
                <w:szCs w:val="22"/>
              </w:rPr>
            </w:pPr>
            <w:r w:rsidRPr="001362A6">
              <w:rPr>
                <w:rFonts w:ascii="Lato" w:hAnsi="Lato"/>
                <w:sz w:val="22"/>
                <w:szCs w:val="22"/>
              </w:rPr>
              <w:t xml:space="preserve">Redemption in specie is at the discretion of the Qualifying </w:t>
            </w:r>
          </w:p>
        </w:tc>
        <w:tc>
          <w:tcPr>
            <w:tcW w:w="3188" w:type="dxa"/>
            <w:tcBorders>
              <w:top w:val="single" w:sz="4" w:space="0" w:color="auto"/>
              <w:left w:val="single" w:sz="4" w:space="0" w:color="auto"/>
              <w:bottom w:val="single" w:sz="4" w:space="0" w:color="auto"/>
              <w:right w:val="single" w:sz="4" w:space="0" w:color="auto"/>
            </w:tcBorders>
          </w:tcPr>
          <w:p w14:paraId="0806ECFD" w14:textId="77777777" w:rsidR="00B61F2A" w:rsidRPr="001362A6" w:rsidRDefault="00B61F2A" w:rsidP="00B61F2A">
            <w:pPr>
              <w:rPr>
                <w:rFonts w:ascii="Lato" w:hAnsi="Lato"/>
                <w:sz w:val="22"/>
                <w:szCs w:val="22"/>
              </w:rPr>
            </w:pPr>
          </w:p>
        </w:tc>
      </w:tr>
      <w:tr w:rsidR="00B61F2A" w:rsidRPr="001362A6" w14:paraId="6F09462E" w14:textId="77777777" w:rsidTr="00A70AEC">
        <w:tc>
          <w:tcPr>
            <w:tcW w:w="1316" w:type="dxa"/>
          </w:tcPr>
          <w:p w14:paraId="7C754846" w14:textId="77777777" w:rsidR="00B61F2A" w:rsidRPr="001362A6" w:rsidRDefault="00B61F2A" w:rsidP="00B61F2A">
            <w:pPr>
              <w:jc w:val="right"/>
              <w:rPr>
                <w:rFonts w:ascii="Lato" w:hAnsi="Lato"/>
                <w:sz w:val="22"/>
                <w:szCs w:val="22"/>
              </w:rPr>
            </w:pPr>
          </w:p>
        </w:tc>
        <w:tc>
          <w:tcPr>
            <w:tcW w:w="5891" w:type="dxa"/>
          </w:tcPr>
          <w:p w14:paraId="3A629872" w14:textId="77777777" w:rsidR="00B61F2A" w:rsidRPr="001362A6" w:rsidRDefault="00B61F2A" w:rsidP="00B61F2A">
            <w:pPr>
              <w:rPr>
                <w:rFonts w:ascii="Lato" w:hAnsi="Lato"/>
                <w:sz w:val="22"/>
                <w:szCs w:val="22"/>
              </w:rPr>
            </w:pPr>
            <w:r w:rsidRPr="001362A6">
              <w:rPr>
                <w:rFonts w:ascii="Lato" w:hAnsi="Lato"/>
                <w:sz w:val="22"/>
                <w:szCs w:val="22"/>
              </w:rPr>
              <w:t>Investor AIF and with the consent of the redeeming unitholder;</w:t>
            </w:r>
          </w:p>
        </w:tc>
        <w:tc>
          <w:tcPr>
            <w:tcW w:w="3188" w:type="dxa"/>
            <w:tcBorders>
              <w:top w:val="single" w:sz="4" w:space="0" w:color="auto"/>
            </w:tcBorders>
          </w:tcPr>
          <w:p w14:paraId="737F205B" w14:textId="77777777" w:rsidR="00B61F2A" w:rsidRPr="001362A6" w:rsidRDefault="00B61F2A" w:rsidP="00B61F2A">
            <w:pPr>
              <w:rPr>
                <w:rFonts w:ascii="Lato" w:hAnsi="Lato"/>
                <w:sz w:val="22"/>
                <w:szCs w:val="22"/>
              </w:rPr>
            </w:pPr>
          </w:p>
        </w:tc>
      </w:tr>
      <w:tr w:rsidR="00B61F2A" w:rsidRPr="001362A6" w14:paraId="4A340715" w14:textId="77777777" w:rsidTr="00A70AEC">
        <w:tc>
          <w:tcPr>
            <w:tcW w:w="1316" w:type="dxa"/>
          </w:tcPr>
          <w:p w14:paraId="51D64E1E" w14:textId="77777777" w:rsidR="00B61F2A" w:rsidRPr="001362A6" w:rsidRDefault="00B61F2A" w:rsidP="00B61F2A">
            <w:pPr>
              <w:jc w:val="right"/>
              <w:rPr>
                <w:rFonts w:ascii="Lato" w:hAnsi="Lato"/>
                <w:sz w:val="22"/>
                <w:szCs w:val="22"/>
              </w:rPr>
            </w:pPr>
          </w:p>
        </w:tc>
        <w:tc>
          <w:tcPr>
            <w:tcW w:w="5891" w:type="dxa"/>
          </w:tcPr>
          <w:p w14:paraId="257FB509" w14:textId="77777777" w:rsidR="00B61F2A" w:rsidRPr="001362A6" w:rsidRDefault="00B61F2A" w:rsidP="00B61F2A">
            <w:pPr>
              <w:rPr>
                <w:rFonts w:ascii="Lato" w:hAnsi="Lato"/>
                <w:sz w:val="22"/>
                <w:szCs w:val="22"/>
              </w:rPr>
            </w:pPr>
            <w:r w:rsidRPr="001362A6">
              <w:rPr>
                <w:rFonts w:ascii="Lato" w:hAnsi="Lato"/>
                <w:sz w:val="22"/>
                <w:szCs w:val="22"/>
              </w:rPr>
              <w:t xml:space="preserve">(n/a for exchange traded fund where the original </w:t>
            </w:r>
          </w:p>
        </w:tc>
        <w:tc>
          <w:tcPr>
            <w:tcW w:w="3188" w:type="dxa"/>
          </w:tcPr>
          <w:p w14:paraId="2F50CF78" w14:textId="77777777" w:rsidR="00B61F2A" w:rsidRPr="001362A6" w:rsidRDefault="00B61F2A" w:rsidP="00B61F2A">
            <w:pPr>
              <w:rPr>
                <w:rFonts w:ascii="Lato" w:hAnsi="Lato"/>
                <w:sz w:val="22"/>
                <w:szCs w:val="22"/>
              </w:rPr>
            </w:pPr>
          </w:p>
        </w:tc>
      </w:tr>
      <w:tr w:rsidR="00B61F2A" w:rsidRPr="001362A6" w14:paraId="5A44B5AD" w14:textId="77777777" w:rsidTr="00A70AEC">
        <w:tc>
          <w:tcPr>
            <w:tcW w:w="1316" w:type="dxa"/>
          </w:tcPr>
          <w:p w14:paraId="49009E53" w14:textId="77777777" w:rsidR="00B61F2A" w:rsidRPr="001362A6" w:rsidRDefault="00B61F2A" w:rsidP="00B61F2A">
            <w:pPr>
              <w:jc w:val="right"/>
              <w:rPr>
                <w:rFonts w:ascii="Lato" w:hAnsi="Lato"/>
                <w:sz w:val="22"/>
                <w:szCs w:val="22"/>
              </w:rPr>
            </w:pPr>
          </w:p>
        </w:tc>
        <w:tc>
          <w:tcPr>
            <w:tcW w:w="5891" w:type="dxa"/>
          </w:tcPr>
          <w:p w14:paraId="37C6ACFF" w14:textId="77777777" w:rsidR="00B61F2A" w:rsidRPr="001362A6" w:rsidRDefault="00B61F2A" w:rsidP="00B61F2A">
            <w:pPr>
              <w:rPr>
                <w:rFonts w:ascii="Lato" w:hAnsi="Lato"/>
                <w:sz w:val="22"/>
                <w:szCs w:val="22"/>
              </w:rPr>
            </w:pPr>
            <w:r w:rsidRPr="00590C6D">
              <w:rPr>
                <w:rFonts w:ascii="Lato" w:hAnsi="Lato"/>
                <w:sz w:val="22"/>
                <w:szCs w:val="22"/>
              </w:rPr>
              <w:t xml:space="preserve">subscription </w:t>
            </w:r>
            <w:r w:rsidRPr="001362A6">
              <w:rPr>
                <w:rFonts w:ascii="Lato" w:hAnsi="Lato"/>
                <w:sz w:val="22"/>
                <w:szCs w:val="22"/>
              </w:rPr>
              <w:t>was made in specie)</w:t>
            </w:r>
          </w:p>
        </w:tc>
        <w:tc>
          <w:tcPr>
            <w:tcW w:w="3188" w:type="dxa"/>
            <w:tcBorders>
              <w:bottom w:val="single" w:sz="4" w:space="0" w:color="auto"/>
            </w:tcBorders>
          </w:tcPr>
          <w:p w14:paraId="5BE77A1E" w14:textId="77777777" w:rsidR="00B61F2A" w:rsidRPr="001362A6" w:rsidRDefault="00B61F2A" w:rsidP="00B61F2A">
            <w:pPr>
              <w:rPr>
                <w:rFonts w:ascii="Lato" w:hAnsi="Lato"/>
                <w:sz w:val="22"/>
                <w:szCs w:val="22"/>
              </w:rPr>
            </w:pPr>
          </w:p>
        </w:tc>
      </w:tr>
      <w:tr w:rsidR="00B61F2A" w:rsidRPr="001362A6" w14:paraId="28F091E0" w14:textId="77777777" w:rsidTr="00990D73">
        <w:tc>
          <w:tcPr>
            <w:tcW w:w="1316" w:type="dxa"/>
          </w:tcPr>
          <w:p w14:paraId="18FA9374" w14:textId="77777777" w:rsidR="00B61F2A" w:rsidRPr="001362A6" w:rsidRDefault="00B61F2A" w:rsidP="00B61F2A">
            <w:pPr>
              <w:jc w:val="right"/>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5FF7884E" w14:textId="77777777" w:rsidR="00B61F2A" w:rsidRPr="001362A6" w:rsidRDefault="00B61F2A" w:rsidP="00B61F2A">
            <w:pPr>
              <w:rPr>
                <w:rFonts w:ascii="Lato" w:hAnsi="Lato"/>
                <w:sz w:val="22"/>
                <w:szCs w:val="22"/>
              </w:rPr>
            </w:pPr>
            <w:r w:rsidRPr="001362A6">
              <w:rPr>
                <w:rFonts w:ascii="Lato" w:hAnsi="Lato"/>
                <w:sz w:val="22"/>
                <w:szCs w:val="22"/>
              </w:rPr>
              <w:t>Asset allocation is subject to the approval of the depositary; and</w:t>
            </w:r>
          </w:p>
        </w:tc>
        <w:tc>
          <w:tcPr>
            <w:tcW w:w="3188" w:type="dxa"/>
            <w:tcBorders>
              <w:top w:val="single" w:sz="4" w:space="0" w:color="auto"/>
              <w:left w:val="single" w:sz="4" w:space="0" w:color="auto"/>
              <w:bottom w:val="single" w:sz="4" w:space="0" w:color="auto"/>
              <w:right w:val="single" w:sz="4" w:space="0" w:color="auto"/>
            </w:tcBorders>
          </w:tcPr>
          <w:p w14:paraId="3634F6E5" w14:textId="77777777" w:rsidR="00B61F2A" w:rsidRPr="001362A6" w:rsidRDefault="00B61F2A" w:rsidP="00B61F2A">
            <w:pPr>
              <w:rPr>
                <w:rFonts w:ascii="Lato" w:hAnsi="Lato"/>
                <w:sz w:val="22"/>
                <w:szCs w:val="22"/>
              </w:rPr>
            </w:pPr>
          </w:p>
        </w:tc>
      </w:tr>
      <w:tr w:rsidR="00B61F2A" w:rsidRPr="001362A6" w14:paraId="46F9ABC5" w14:textId="77777777" w:rsidTr="00990D73">
        <w:tc>
          <w:tcPr>
            <w:tcW w:w="1316" w:type="dxa"/>
          </w:tcPr>
          <w:p w14:paraId="3018FA52" w14:textId="77777777" w:rsidR="00B61F2A" w:rsidRPr="001362A6" w:rsidRDefault="00B61F2A" w:rsidP="00B61F2A">
            <w:pPr>
              <w:jc w:val="right"/>
              <w:rPr>
                <w:rFonts w:ascii="Lato" w:hAnsi="Lato"/>
                <w:sz w:val="22"/>
                <w:szCs w:val="22"/>
              </w:rPr>
            </w:pPr>
            <w:r w:rsidRPr="001362A6">
              <w:rPr>
                <w:rFonts w:ascii="Lato" w:hAnsi="Lato"/>
                <w:sz w:val="22"/>
                <w:szCs w:val="22"/>
              </w:rPr>
              <w:lastRenderedPageBreak/>
              <w:t>(iii)</w:t>
            </w:r>
          </w:p>
        </w:tc>
        <w:tc>
          <w:tcPr>
            <w:tcW w:w="5891" w:type="dxa"/>
            <w:tcBorders>
              <w:right w:val="single" w:sz="4" w:space="0" w:color="auto"/>
            </w:tcBorders>
          </w:tcPr>
          <w:p w14:paraId="4947DB41" w14:textId="77777777" w:rsidR="00B61F2A" w:rsidRPr="001362A6" w:rsidRDefault="00B61F2A" w:rsidP="00B61F2A">
            <w:pPr>
              <w:rPr>
                <w:rFonts w:ascii="Lato" w:hAnsi="Lato"/>
                <w:sz w:val="22"/>
                <w:szCs w:val="22"/>
              </w:rPr>
            </w:pPr>
            <w:r w:rsidRPr="001362A6">
              <w:rPr>
                <w:rFonts w:ascii="Lato" w:hAnsi="Lato"/>
                <w:sz w:val="22"/>
                <w:szCs w:val="22"/>
              </w:rPr>
              <w:t xml:space="preserve">A determination to provide redemption in specie may be </w:t>
            </w:r>
          </w:p>
        </w:tc>
        <w:tc>
          <w:tcPr>
            <w:tcW w:w="3188" w:type="dxa"/>
            <w:tcBorders>
              <w:top w:val="single" w:sz="4" w:space="0" w:color="auto"/>
              <w:left w:val="single" w:sz="4" w:space="0" w:color="auto"/>
              <w:bottom w:val="single" w:sz="4" w:space="0" w:color="auto"/>
              <w:right w:val="single" w:sz="4" w:space="0" w:color="auto"/>
            </w:tcBorders>
          </w:tcPr>
          <w:p w14:paraId="64B320AE" w14:textId="77777777" w:rsidR="00B61F2A" w:rsidRPr="001362A6" w:rsidRDefault="00B61F2A" w:rsidP="00B61F2A">
            <w:pPr>
              <w:rPr>
                <w:rFonts w:ascii="Lato" w:hAnsi="Lato"/>
                <w:sz w:val="22"/>
                <w:szCs w:val="22"/>
              </w:rPr>
            </w:pPr>
          </w:p>
        </w:tc>
      </w:tr>
      <w:tr w:rsidR="00B61F2A" w:rsidRPr="001362A6" w14:paraId="778C7E78" w14:textId="77777777" w:rsidTr="0042571B">
        <w:tc>
          <w:tcPr>
            <w:tcW w:w="1316" w:type="dxa"/>
          </w:tcPr>
          <w:p w14:paraId="733F885E" w14:textId="77777777" w:rsidR="00B61F2A" w:rsidRPr="001362A6" w:rsidRDefault="00B61F2A" w:rsidP="00B61F2A">
            <w:pPr>
              <w:jc w:val="right"/>
              <w:rPr>
                <w:rFonts w:ascii="Lato" w:hAnsi="Lato"/>
                <w:sz w:val="22"/>
                <w:szCs w:val="22"/>
              </w:rPr>
            </w:pPr>
          </w:p>
        </w:tc>
        <w:tc>
          <w:tcPr>
            <w:tcW w:w="5891" w:type="dxa"/>
          </w:tcPr>
          <w:p w14:paraId="675F7C40" w14:textId="77777777" w:rsidR="00B61F2A" w:rsidRPr="001362A6" w:rsidRDefault="00B61F2A" w:rsidP="00B61F2A">
            <w:pPr>
              <w:rPr>
                <w:rFonts w:ascii="Lato" w:hAnsi="Lato"/>
                <w:sz w:val="22"/>
                <w:szCs w:val="22"/>
              </w:rPr>
            </w:pPr>
            <w:r w:rsidRPr="00590C6D">
              <w:rPr>
                <w:rFonts w:ascii="Lato" w:hAnsi="Lato"/>
                <w:sz w:val="22"/>
                <w:szCs w:val="22"/>
              </w:rPr>
              <w:t>solely</w:t>
            </w:r>
            <w:r w:rsidRPr="001362A6">
              <w:rPr>
                <w:rFonts w:ascii="Lato" w:hAnsi="Lato"/>
                <w:sz w:val="22"/>
                <w:szCs w:val="22"/>
              </w:rPr>
              <w:t xml:space="preserve"> at the discretion of the Qualifying Investor AIF where the redeeming unitholder requests redemption of a number of units that represent 5% or more of the net asset value of the Qualifying Investor AIF. In this event the Qualifying Investor AIF will, if requested, sell the assets on behalf of the unitholder. The cost of the sale can be charged to the unitholder</w:t>
            </w:r>
          </w:p>
        </w:tc>
        <w:tc>
          <w:tcPr>
            <w:tcW w:w="3188" w:type="dxa"/>
            <w:tcBorders>
              <w:top w:val="single" w:sz="4" w:space="0" w:color="auto"/>
            </w:tcBorders>
          </w:tcPr>
          <w:p w14:paraId="552E9810" w14:textId="77777777" w:rsidR="00B61F2A" w:rsidRPr="001362A6" w:rsidRDefault="00B61F2A" w:rsidP="00B61F2A">
            <w:pPr>
              <w:rPr>
                <w:rFonts w:ascii="Lato" w:hAnsi="Lato"/>
                <w:sz w:val="22"/>
                <w:szCs w:val="22"/>
              </w:rPr>
            </w:pPr>
          </w:p>
        </w:tc>
      </w:tr>
      <w:tr w:rsidR="00B61F2A" w:rsidRPr="001362A6" w14:paraId="77F92781" w14:textId="77777777" w:rsidTr="0042571B">
        <w:tc>
          <w:tcPr>
            <w:tcW w:w="1316" w:type="dxa"/>
          </w:tcPr>
          <w:p w14:paraId="63DCA792" w14:textId="77777777" w:rsidR="00B61F2A" w:rsidRPr="001362A6" w:rsidRDefault="00B61F2A" w:rsidP="00B61F2A">
            <w:pPr>
              <w:jc w:val="right"/>
              <w:rPr>
                <w:rFonts w:ascii="Lato" w:hAnsi="Lato"/>
                <w:sz w:val="22"/>
                <w:szCs w:val="22"/>
              </w:rPr>
            </w:pPr>
          </w:p>
        </w:tc>
        <w:tc>
          <w:tcPr>
            <w:tcW w:w="5891" w:type="dxa"/>
          </w:tcPr>
          <w:p w14:paraId="23156E1F" w14:textId="77777777" w:rsidR="00B61F2A" w:rsidRPr="001362A6" w:rsidRDefault="00B61F2A" w:rsidP="00B61F2A">
            <w:pPr>
              <w:rPr>
                <w:rFonts w:ascii="Lato" w:hAnsi="Lato"/>
                <w:sz w:val="22"/>
                <w:szCs w:val="22"/>
              </w:rPr>
            </w:pPr>
            <w:r w:rsidRPr="001362A6">
              <w:rPr>
                <w:rFonts w:ascii="Lato" w:hAnsi="Lato"/>
                <w:sz w:val="22"/>
                <w:szCs w:val="22"/>
              </w:rPr>
              <w:t xml:space="preserve">(n/a for exchange traded fund where the original </w:t>
            </w:r>
          </w:p>
        </w:tc>
        <w:tc>
          <w:tcPr>
            <w:tcW w:w="3188" w:type="dxa"/>
          </w:tcPr>
          <w:p w14:paraId="082E6C30" w14:textId="77777777" w:rsidR="00B61F2A" w:rsidRPr="001362A6" w:rsidRDefault="00B61F2A" w:rsidP="00B61F2A">
            <w:pPr>
              <w:rPr>
                <w:rFonts w:ascii="Lato" w:hAnsi="Lato"/>
                <w:sz w:val="22"/>
                <w:szCs w:val="22"/>
              </w:rPr>
            </w:pPr>
          </w:p>
        </w:tc>
      </w:tr>
      <w:tr w:rsidR="00B61F2A" w:rsidRPr="001362A6" w14:paraId="750D3023" w14:textId="77777777" w:rsidTr="0042571B">
        <w:tc>
          <w:tcPr>
            <w:tcW w:w="1316" w:type="dxa"/>
          </w:tcPr>
          <w:p w14:paraId="2C6D774D" w14:textId="77777777" w:rsidR="00B61F2A" w:rsidRPr="001362A6" w:rsidRDefault="00B61F2A" w:rsidP="00B61F2A">
            <w:pPr>
              <w:jc w:val="right"/>
              <w:rPr>
                <w:rFonts w:ascii="Lato" w:hAnsi="Lato"/>
                <w:sz w:val="22"/>
                <w:szCs w:val="22"/>
              </w:rPr>
            </w:pPr>
          </w:p>
        </w:tc>
        <w:tc>
          <w:tcPr>
            <w:tcW w:w="5891" w:type="dxa"/>
          </w:tcPr>
          <w:p w14:paraId="7E868D20" w14:textId="77777777" w:rsidR="00B61F2A" w:rsidRPr="001362A6" w:rsidRDefault="00B61F2A" w:rsidP="00B61F2A">
            <w:pPr>
              <w:rPr>
                <w:rFonts w:ascii="Lato" w:hAnsi="Lato"/>
                <w:sz w:val="22"/>
                <w:szCs w:val="22"/>
              </w:rPr>
            </w:pPr>
            <w:r w:rsidRPr="00590C6D">
              <w:rPr>
                <w:rFonts w:ascii="Lato" w:hAnsi="Lato"/>
                <w:sz w:val="22"/>
                <w:szCs w:val="22"/>
              </w:rPr>
              <w:t xml:space="preserve">subscription </w:t>
            </w:r>
            <w:r w:rsidRPr="001362A6">
              <w:rPr>
                <w:rFonts w:ascii="Lato" w:hAnsi="Lato"/>
                <w:sz w:val="22"/>
                <w:szCs w:val="22"/>
              </w:rPr>
              <w:t>was made in specie)</w:t>
            </w:r>
          </w:p>
        </w:tc>
        <w:tc>
          <w:tcPr>
            <w:tcW w:w="3188" w:type="dxa"/>
          </w:tcPr>
          <w:p w14:paraId="0AE101C2" w14:textId="77777777" w:rsidR="00B61F2A" w:rsidRPr="001362A6" w:rsidRDefault="00B61F2A" w:rsidP="00B61F2A">
            <w:pPr>
              <w:rPr>
                <w:rFonts w:ascii="Lato" w:hAnsi="Lato"/>
                <w:sz w:val="22"/>
                <w:szCs w:val="22"/>
              </w:rPr>
            </w:pPr>
          </w:p>
        </w:tc>
      </w:tr>
      <w:tr w:rsidR="00B61F2A" w:rsidRPr="001362A6" w14:paraId="1CBEE8A1" w14:textId="77777777" w:rsidTr="00990D73">
        <w:tc>
          <w:tcPr>
            <w:tcW w:w="1316" w:type="dxa"/>
          </w:tcPr>
          <w:p w14:paraId="15FCA58E" w14:textId="77777777" w:rsidR="00B61F2A" w:rsidRPr="001362A6" w:rsidRDefault="00B61F2A" w:rsidP="00B61F2A">
            <w:pPr>
              <w:jc w:val="right"/>
              <w:rPr>
                <w:rFonts w:ascii="Lato" w:hAnsi="Lato"/>
                <w:sz w:val="22"/>
                <w:szCs w:val="22"/>
              </w:rPr>
            </w:pPr>
          </w:p>
        </w:tc>
        <w:tc>
          <w:tcPr>
            <w:tcW w:w="5891" w:type="dxa"/>
          </w:tcPr>
          <w:p w14:paraId="1867EF5C"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66566DCB" w14:textId="77777777" w:rsidR="00B61F2A" w:rsidRPr="001362A6" w:rsidRDefault="00B61F2A" w:rsidP="00B61F2A">
            <w:pPr>
              <w:rPr>
                <w:rFonts w:ascii="Lato" w:hAnsi="Lato"/>
                <w:sz w:val="22"/>
                <w:szCs w:val="22"/>
              </w:rPr>
            </w:pPr>
          </w:p>
        </w:tc>
      </w:tr>
      <w:tr w:rsidR="00B61F2A" w:rsidRPr="001362A6" w14:paraId="09A71C9C" w14:textId="77777777" w:rsidTr="00990D73">
        <w:tc>
          <w:tcPr>
            <w:tcW w:w="1316" w:type="dxa"/>
          </w:tcPr>
          <w:p w14:paraId="62EF20D5" w14:textId="77777777" w:rsidR="00B61F2A" w:rsidRPr="001362A6" w:rsidRDefault="00B61F2A" w:rsidP="00B61F2A">
            <w:pPr>
              <w:jc w:val="right"/>
              <w:rPr>
                <w:rFonts w:ascii="Lato" w:hAnsi="Lato"/>
                <w:sz w:val="22"/>
                <w:szCs w:val="22"/>
              </w:rPr>
            </w:pPr>
            <w:r w:rsidRPr="001362A6">
              <w:rPr>
                <w:rFonts w:ascii="Lato" w:hAnsi="Lato"/>
                <w:sz w:val="22"/>
                <w:szCs w:val="22"/>
              </w:rPr>
              <w:t>(iv)</w:t>
            </w:r>
          </w:p>
        </w:tc>
        <w:tc>
          <w:tcPr>
            <w:tcW w:w="5891" w:type="dxa"/>
            <w:tcBorders>
              <w:right w:val="single" w:sz="4" w:space="0" w:color="auto"/>
            </w:tcBorders>
          </w:tcPr>
          <w:p w14:paraId="0ACB7C00" w14:textId="77777777" w:rsidR="00B61F2A" w:rsidRPr="001362A6" w:rsidRDefault="00B61F2A" w:rsidP="00B61F2A">
            <w:pPr>
              <w:rPr>
                <w:rFonts w:ascii="Lato" w:hAnsi="Lato"/>
                <w:sz w:val="22"/>
                <w:szCs w:val="22"/>
              </w:rPr>
            </w:pPr>
            <w:r w:rsidRPr="001362A6">
              <w:rPr>
                <w:rFonts w:ascii="Lato" w:hAnsi="Lato"/>
                <w:sz w:val="22"/>
                <w:szCs w:val="22"/>
              </w:rPr>
              <w:t xml:space="preserve">Redemptions for units of AIF on an in specie basis may only </w:t>
            </w:r>
          </w:p>
        </w:tc>
        <w:tc>
          <w:tcPr>
            <w:tcW w:w="3188" w:type="dxa"/>
            <w:tcBorders>
              <w:top w:val="single" w:sz="4" w:space="0" w:color="auto"/>
              <w:left w:val="single" w:sz="4" w:space="0" w:color="auto"/>
              <w:bottom w:val="single" w:sz="4" w:space="0" w:color="auto"/>
              <w:right w:val="single" w:sz="4" w:space="0" w:color="auto"/>
            </w:tcBorders>
          </w:tcPr>
          <w:p w14:paraId="3B60BFB3" w14:textId="77777777" w:rsidR="00B61F2A" w:rsidRPr="001362A6" w:rsidRDefault="00B61F2A" w:rsidP="00B61F2A">
            <w:pPr>
              <w:rPr>
                <w:rFonts w:ascii="Lato" w:hAnsi="Lato"/>
                <w:sz w:val="22"/>
                <w:szCs w:val="22"/>
              </w:rPr>
            </w:pPr>
          </w:p>
        </w:tc>
      </w:tr>
      <w:tr w:rsidR="00B61F2A" w:rsidRPr="001362A6" w14:paraId="5AAC798A" w14:textId="77777777" w:rsidTr="0042571B">
        <w:tc>
          <w:tcPr>
            <w:tcW w:w="1316" w:type="dxa"/>
          </w:tcPr>
          <w:p w14:paraId="6B013355" w14:textId="77777777" w:rsidR="00B61F2A" w:rsidRPr="001362A6" w:rsidRDefault="00B61F2A" w:rsidP="00B61F2A">
            <w:pPr>
              <w:rPr>
                <w:rFonts w:ascii="Lato" w:hAnsi="Lato"/>
                <w:sz w:val="22"/>
                <w:szCs w:val="22"/>
              </w:rPr>
            </w:pPr>
          </w:p>
        </w:tc>
        <w:tc>
          <w:tcPr>
            <w:tcW w:w="5891" w:type="dxa"/>
          </w:tcPr>
          <w:p w14:paraId="281B3998" w14:textId="77777777" w:rsidR="00B61F2A" w:rsidRPr="001362A6" w:rsidRDefault="00B61F2A" w:rsidP="00B61F2A">
            <w:pPr>
              <w:rPr>
                <w:rFonts w:ascii="Lato" w:hAnsi="Lato"/>
                <w:sz w:val="22"/>
                <w:szCs w:val="22"/>
              </w:rPr>
            </w:pPr>
            <w:r w:rsidRPr="00590C6D">
              <w:rPr>
                <w:rFonts w:ascii="Lato" w:hAnsi="Lato"/>
                <w:sz w:val="22"/>
                <w:szCs w:val="22"/>
              </w:rPr>
              <w:t>be</w:t>
            </w:r>
            <w:r w:rsidRPr="001362A6">
              <w:rPr>
                <w:rFonts w:ascii="Lato" w:hAnsi="Lato"/>
                <w:sz w:val="22"/>
                <w:szCs w:val="22"/>
              </w:rPr>
              <w:t xml:space="preserve"> accepted if the depositary is satisfied that the terms of the exchange will not be such as are likely to result in any material prejudice to the Qualifying Investor AIF unitholders</w:t>
            </w:r>
          </w:p>
        </w:tc>
        <w:tc>
          <w:tcPr>
            <w:tcW w:w="3188" w:type="dxa"/>
            <w:tcBorders>
              <w:top w:val="single" w:sz="4" w:space="0" w:color="auto"/>
            </w:tcBorders>
          </w:tcPr>
          <w:p w14:paraId="377D3D7B" w14:textId="77777777" w:rsidR="00B61F2A" w:rsidRPr="001362A6" w:rsidRDefault="00B61F2A" w:rsidP="00B61F2A">
            <w:pPr>
              <w:rPr>
                <w:rFonts w:ascii="Lato" w:hAnsi="Lato"/>
                <w:sz w:val="22"/>
                <w:szCs w:val="22"/>
              </w:rPr>
            </w:pPr>
          </w:p>
        </w:tc>
      </w:tr>
      <w:tr w:rsidR="00B61F2A" w:rsidRPr="001362A6" w14:paraId="51C3EB94" w14:textId="77777777" w:rsidTr="00990D73">
        <w:tc>
          <w:tcPr>
            <w:tcW w:w="1316" w:type="dxa"/>
          </w:tcPr>
          <w:p w14:paraId="25BF8584" w14:textId="77777777" w:rsidR="00B61F2A" w:rsidRPr="001362A6" w:rsidRDefault="00B61F2A" w:rsidP="00B61F2A">
            <w:pPr>
              <w:rPr>
                <w:rFonts w:ascii="Lato" w:hAnsi="Lato"/>
                <w:sz w:val="22"/>
                <w:szCs w:val="22"/>
              </w:rPr>
            </w:pPr>
          </w:p>
        </w:tc>
        <w:tc>
          <w:tcPr>
            <w:tcW w:w="5891" w:type="dxa"/>
          </w:tcPr>
          <w:p w14:paraId="3F71DF63" w14:textId="77777777" w:rsidR="00B61F2A" w:rsidRPr="001362A6" w:rsidRDefault="00B61F2A" w:rsidP="00B61F2A">
            <w:pPr>
              <w:pStyle w:val="Heading1"/>
              <w:spacing w:before="0" w:after="0" w:line="240" w:lineRule="auto"/>
              <w:rPr>
                <w:rFonts w:ascii="Lato" w:hAnsi="Lato"/>
                <w:color w:val="auto"/>
                <w:sz w:val="22"/>
                <w:szCs w:val="22"/>
              </w:rPr>
            </w:pPr>
          </w:p>
        </w:tc>
        <w:tc>
          <w:tcPr>
            <w:tcW w:w="3188" w:type="dxa"/>
          </w:tcPr>
          <w:p w14:paraId="0E93A8EB" w14:textId="77777777" w:rsidR="00B61F2A" w:rsidRPr="001362A6" w:rsidRDefault="00B61F2A" w:rsidP="00B61F2A">
            <w:pPr>
              <w:rPr>
                <w:rFonts w:ascii="Lato" w:hAnsi="Lato"/>
                <w:sz w:val="22"/>
                <w:szCs w:val="22"/>
              </w:rPr>
            </w:pPr>
          </w:p>
        </w:tc>
      </w:tr>
      <w:tr w:rsidR="00B61F2A" w:rsidRPr="001362A6" w14:paraId="54B14611" w14:textId="77777777" w:rsidTr="00990D73">
        <w:tc>
          <w:tcPr>
            <w:tcW w:w="1316" w:type="dxa"/>
          </w:tcPr>
          <w:p w14:paraId="64316D0C" w14:textId="77777777" w:rsidR="00B61F2A" w:rsidRPr="001362A6" w:rsidRDefault="00B61F2A" w:rsidP="00B61F2A">
            <w:pPr>
              <w:rPr>
                <w:rFonts w:ascii="Lato" w:hAnsi="Lato"/>
                <w:b/>
                <w:bCs/>
                <w:sz w:val="22"/>
                <w:szCs w:val="22"/>
              </w:rPr>
            </w:pPr>
            <w:r w:rsidRPr="001362A6">
              <w:rPr>
                <w:rFonts w:ascii="Lato" w:hAnsi="Lato"/>
                <w:b/>
                <w:bCs/>
                <w:sz w:val="22"/>
                <w:szCs w:val="22"/>
              </w:rPr>
              <w:t>2.17</w:t>
            </w:r>
          </w:p>
        </w:tc>
        <w:tc>
          <w:tcPr>
            <w:tcW w:w="5891" w:type="dxa"/>
          </w:tcPr>
          <w:p w14:paraId="57314EDB" w14:textId="77777777" w:rsidR="00B61F2A" w:rsidRPr="001362A6" w:rsidRDefault="00B61F2A" w:rsidP="00B61F2A">
            <w:pPr>
              <w:pStyle w:val="Heading3"/>
              <w:spacing w:before="0" w:after="0" w:line="240" w:lineRule="auto"/>
              <w:rPr>
                <w:rFonts w:ascii="Lato" w:hAnsi="Lato"/>
                <w:color w:val="auto"/>
                <w:sz w:val="22"/>
                <w:szCs w:val="22"/>
              </w:rPr>
            </w:pPr>
            <w:r w:rsidRPr="001362A6">
              <w:rPr>
                <w:rFonts w:ascii="Lato" w:hAnsi="Lato"/>
                <w:color w:val="auto"/>
                <w:sz w:val="22"/>
                <w:szCs w:val="22"/>
              </w:rPr>
              <w:t>Dealing Procedures</w:t>
            </w:r>
          </w:p>
        </w:tc>
        <w:tc>
          <w:tcPr>
            <w:tcW w:w="3188" w:type="dxa"/>
          </w:tcPr>
          <w:p w14:paraId="19AB1E2C" w14:textId="77777777" w:rsidR="00B61F2A" w:rsidRPr="001362A6" w:rsidRDefault="00B61F2A" w:rsidP="00B61F2A">
            <w:pPr>
              <w:rPr>
                <w:rFonts w:ascii="Lato" w:hAnsi="Lato"/>
                <w:sz w:val="22"/>
                <w:szCs w:val="22"/>
              </w:rPr>
            </w:pPr>
          </w:p>
        </w:tc>
      </w:tr>
      <w:tr w:rsidR="00B61F2A" w:rsidRPr="001362A6" w14:paraId="286B8482" w14:textId="77777777" w:rsidTr="00990D73">
        <w:tc>
          <w:tcPr>
            <w:tcW w:w="1316" w:type="dxa"/>
          </w:tcPr>
          <w:p w14:paraId="2FD9C9FA" w14:textId="77777777" w:rsidR="00B61F2A" w:rsidRPr="001362A6" w:rsidRDefault="00B61F2A" w:rsidP="00B61F2A">
            <w:pPr>
              <w:jc w:val="right"/>
              <w:rPr>
                <w:rFonts w:ascii="Lato" w:hAnsi="Lato"/>
                <w:sz w:val="22"/>
                <w:szCs w:val="22"/>
              </w:rPr>
            </w:pPr>
          </w:p>
        </w:tc>
        <w:tc>
          <w:tcPr>
            <w:tcW w:w="5891" w:type="dxa"/>
          </w:tcPr>
          <w:p w14:paraId="51264074" w14:textId="77777777" w:rsidR="00B61F2A" w:rsidRPr="001362A6" w:rsidRDefault="00B61F2A" w:rsidP="00B61F2A">
            <w:pPr>
              <w:jc w:val="both"/>
              <w:rPr>
                <w:rFonts w:ascii="Lato" w:hAnsi="Lato"/>
                <w:sz w:val="22"/>
                <w:szCs w:val="22"/>
              </w:rPr>
            </w:pPr>
          </w:p>
        </w:tc>
        <w:tc>
          <w:tcPr>
            <w:tcW w:w="3188" w:type="dxa"/>
            <w:tcBorders>
              <w:bottom w:val="single" w:sz="4" w:space="0" w:color="auto"/>
            </w:tcBorders>
          </w:tcPr>
          <w:p w14:paraId="43838AAA" w14:textId="77777777" w:rsidR="00B61F2A" w:rsidRPr="001362A6" w:rsidRDefault="00B61F2A" w:rsidP="00B61F2A">
            <w:pPr>
              <w:rPr>
                <w:rFonts w:ascii="Lato" w:hAnsi="Lato"/>
                <w:sz w:val="22"/>
                <w:szCs w:val="22"/>
              </w:rPr>
            </w:pPr>
          </w:p>
        </w:tc>
      </w:tr>
      <w:tr w:rsidR="00B61F2A" w:rsidRPr="001362A6" w14:paraId="5B074A09" w14:textId="77777777" w:rsidTr="00990D73">
        <w:tc>
          <w:tcPr>
            <w:tcW w:w="1316" w:type="dxa"/>
          </w:tcPr>
          <w:p w14:paraId="3FC74685" w14:textId="77777777" w:rsidR="00B61F2A" w:rsidRPr="001362A6" w:rsidRDefault="00B61F2A" w:rsidP="00B61F2A">
            <w:pPr>
              <w:rPr>
                <w:rFonts w:ascii="Lato" w:hAnsi="Lato"/>
                <w:sz w:val="22"/>
                <w:szCs w:val="22"/>
              </w:rPr>
            </w:pPr>
            <w:r w:rsidRPr="001362A6">
              <w:rPr>
                <w:rFonts w:ascii="Lato" w:hAnsi="Lato"/>
                <w:sz w:val="22"/>
                <w:szCs w:val="22"/>
              </w:rPr>
              <w:t>2.17.1</w:t>
            </w:r>
          </w:p>
        </w:tc>
        <w:tc>
          <w:tcPr>
            <w:tcW w:w="5891" w:type="dxa"/>
            <w:tcBorders>
              <w:right w:val="single" w:sz="4" w:space="0" w:color="auto"/>
            </w:tcBorders>
          </w:tcPr>
          <w:p w14:paraId="5AE9273E" w14:textId="77777777" w:rsidR="00B61F2A" w:rsidRPr="001362A6" w:rsidRDefault="00B61F2A" w:rsidP="00B61F2A">
            <w:pPr>
              <w:rPr>
                <w:rFonts w:ascii="Lato" w:hAnsi="Lato"/>
                <w:sz w:val="22"/>
                <w:szCs w:val="22"/>
              </w:rPr>
            </w:pPr>
            <w:r w:rsidRPr="001362A6">
              <w:rPr>
                <w:rFonts w:ascii="Lato" w:hAnsi="Lato"/>
                <w:sz w:val="22"/>
                <w:szCs w:val="22"/>
              </w:rPr>
              <w:t>Disclose the circumstances in which units in the Qualifying</w:t>
            </w:r>
          </w:p>
        </w:tc>
        <w:tc>
          <w:tcPr>
            <w:tcW w:w="3188" w:type="dxa"/>
            <w:tcBorders>
              <w:top w:val="single" w:sz="4" w:space="0" w:color="auto"/>
              <w:left w:val="single" w:sz="4" w:space="0" w:color="auto"/>
              <w:bottom w:val="single" w:sz="4" w:space="0" w:color="auto"/>
              <w:right w:val="single" w:sz="4" w:space="0" w:color="auto"/>
            </w:tcBorders>
          </w:tcPr>
          <w:p w14:paraId="3D9367F0" w14:textId="77777777" w:rsidR="00B61F2A" w:rsidRPr="001362A6" w:rsidRDefault="00B61F2A" w:rsidP="00B61F2A">
            <w:pPr>
              <w:rPr>
                <w:rFonts w:ascii="Lato" w:hAnsi="Lato"/>
                <w:sz w:val="22"/>
                <w:szCs w:val="22"/>
              </w:rPr>
            </w:pPr>
          </w:p>
        </w:tc>
      </w:tr>
      <w:tr w:rsidR="00B61F2A" w:rsidRPr="001362A6" w14:paraId="5E40736A" w14:textId="77777777" w:rsidTr="00990D73">
        <w:tc>
          <w:tcPr>
            <w:tcW w:w="1316" w:type="dxa"/>
          </w:tcPr>
          <w:p w14:paraId="41B03208" w14:textId="77777777" w:rsidR="00B61F2A" w:rsidRPr="001362A6" w:rsidRDefault="00B61F2A" w:rsidP="00B61F2A">
            <w:pPr>
              <w:rPr>
                <w:rFonts w:ascii="Lato" w:hAnsi="Lato"/>
                <w:sz w:val="22"/>
                <w:szCs w:val="22"/>
              </w:rPr>
            </w:pPr>
          </w:p>
        </w:tc>
        <w:tc>
          <w:tcPr>
            <w:tcW w:w="5891" w:type="dxa"/>
          </w:tcPr>
          <w:p w14:paraId="1F7C32ED" w14:textId="77777777" w:rsidR="00B61F2A" w:rsidRPr="001362A6" w:rsidRDefault="00B61F2A" w:rsidP="00B61F2A">
            <w:pPr>
              <w:rPr>
                <w:rFonts w:ascii="Lato" w:hAnsi="Lato"/>
                <w:sz w:val="22"/>
                <w:szCs w:val="22"/>
              </w:rPr>
            </w:pPr>
            <w:r w:rsidRPr="001362A6">
              <w:rPr>
                <w:rFonts w:ascii="Lato" w:hAnsi="Lato"/>
                <w:sz w:val="22"/>
                <w:szCs w:val="22"/>
              </w:rPr>
              <w:t xml:space="preserve">Investor AIF can be redeemed compulsorily, which must </w:t>
            </w:r>
          </w:p>
        </w:tc>
        <w:tc>
          <w:tcPr>
            <w:tcW w:w="3188" w:type="dxa"/>
            <w:tcBorders>
              <w:top w:val="single" w:sz="4" w:space="0" w:color="auto"/>
            </w:tcBorders>
          </w:tcPr>
          <w:p w14:paraId="7ABA75A7" w14:textId="77777777" w:rsidR="00B61F2A" w:rsidRPr="001362A6" w:rsidRDefault="00B61F2A" w:rsidP="00B61F2A">
            <w:pPr>
              <w:rPr>
                <w:rFonts w:ascii="Lato" w:hAnsi="Lato"/>
                <w:sz w:val="22"/>
                <w:szCs w:val="22"/>
              </w:rPr>
            </w:pPr>
          </w:p>
        </w:tc>
      </w:tr>
      <w:tr w:rsidR="00B61F2A" w:rsidRPr="001362A6" w14:paraId="5220E96D" w14:textId="77777777" w:rsidTr="00990D73">
        <w:tc>
          <w:tcPr>
            <w:tcW w:w="1316" w:type="dxa"/>
          </w:tcPr>
          <w:p w14:paraId="69988B23" w14:textId="77777777" w:rsidR="00B61F2A" w:rsidRPr="001362A6" w:rsidRDefault="00B61F2A" w:rsidP="00B61F2A">
            <w:pPr>
              <w:rPr>
                <w:rFonts w:ascii="Lato" w:hAnsi="Lato"/>
                <w:sz w:val="22"/>
                <w:szCs w:val="22"/>
              </w:rPr>
            </w:pPr>
          </w:p>
        </w:tc>
        <w:tc>
          <w:tcPr>
            <w:tcW w:w="5891" w:type="dxa"/>
          </w:tcPr>
          <w:p w14:paraId="1C1EB18E" w14:textId="77777777" w:rsidR="00B61F2A" w:rsidRPr="001362A6" w:rsidRDefault="00B61F2A" w:rsidP="00B61F2A">
            <w:pPr>
              <w:rPr>
                <w:rFonts w:ascii="Lato" w:hAnsi="Lato"/>
                <w:sz w:val="22"/>
                <w:szCs w:val="22"/>
              </w:rPr>
            </w:pPr>
            <w:r w:rsidRPr="00590C6D">
              <w:rPr>
                <w:rFonts w:ascii="Lato" w:hAnsi="Lato"/>
                <w:sz w:val="22"/>
                <w:szCs w:val="22"/>
              </w:rPr>
              <w:t>reflect</w:t>
            </w:r>
            <w:r w:rsidRPr="001362A6">
              <w:rPr>
                <w:rFonts w:ascii="Lato" w:hAnsi="Lato"/>
                <w:sz w:val="22"/>
                <w:szCs w:val="22"/>
              </w:rPr>
              <w:t xml:space="preserve"> the constitutional document</w:t>
            </w:r>
          </w:p>
        </w:tc>
        <w:tc>
          <w:tcPr>
            <w:tcW w:w="3188" w:type="dxa"/>
          </w:tcPr>
          <w:p w14:paraId="608E6761" w14:textId="77777777" w:rsidR="00B61F2A" w:rsidRPr="001362A6" w:rsidRDefault="00B61F2A" w:rsidP="00B61F2A">
            <w:pPr>
              <w:rPr>
                <w:rFonts w:ascii="Lato" w:hAnsi="Lato"/>
                <w:sz w:val="22"/>
                <w:szCs w:val="22"/>
              </w:rPr>
            </w:pPr>
          </w:p>
        </w:tc>
      </w:tr>
      <w:tr w:rsidR="00B61F2A" w:rsidRPr="001362A6" w14:paraId="7FD9AAB5" w14:textId="77777777" w:rsidTr="00990D73">
        <w:tc>
          <w:tcPr>
            <w:tcW w:w="1316" w:type="dxa"/>
          </w:tcPr>
          <w:p w14:paraId="53A7D7BC" w14:textId="77777777" w:rsidR="00B61F2A" w:rsidRPr="001362A6" w:rsidRDefault="00B61F2A" w:rsidP="00B61F2A">
            <w:pPr>
              <w:jc w:val="right"/>
              <w:rPr>
                <w:rFonts w:ascii="Lato" w:hAnsi="Lato"/>
                <w:sz w:val="22"/>
                <w:szCs w:val="22"/>
              </w:rPr>
            </w:pPr>
          </w:p>
        </w:tc>
        <w:tc>
          <w:tcPr>
            <w:tcW w:w="5891" w:type="dxa"/>
          </w:tcPr>
          <w:p w14:paraId="690C18AB"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101B3C01" w14:textId="77777777" w:rsidR="00B61F2A" w:rsidRPr="001362A6" w:rsidRDefault="00B61F2A" w:rsidP="00B61F2A">
            <w:pPr>
              <w:rPr>
                <w:rFonts w:ascii="Lato" w:hAnsi="Lato"/>
                <w:sz w:val="22"/>
                <w:szCs w:val="22"/>
              </w:rPr>
            </w:pPr>
          </w:p>
        </w:tc>
      </w:tr>
      <w:tr w:rsidR="00B61F2A" w:rsidRPr="001362A6" w14:paraId="7E3B4D19" w14:textId="77777777" w:rsidTr="00990D73">
        <w:tc>
          <w:tcPr>
            <w:tcW w:w="1316" w:type="dxa"/>
          </w:tcPr>
          <w:p w14:paraId="5C76D25F" w14:textId="77777777" w:rsidR="00B61F2A" w:rsidRPr="001362A6" w:rsidRDefault="00B61F2A" w:rsidP="00B61F2A">
            <w:pPr>
              <w:rPr>
                <w:rFonts w:ascii="Lato" w:hAnsi="Lato"/>
                <w:sz w:val="22"/>
                <w:szCs w:val="22"/>
              </w:rPr>
            </w:pPr>
            <w:r w:rsidRPr="001362A6">
              <w:rPr>
                <w:rFonts w:ascii="Lato" w:hAnsi="Lato"/>
                <w:sz w:val="22"/>
                <w:szCs w:val="22"/>
              </w:rPr>
              <w:t>2.17.2</w:t>
            </w:r>
          </w:p>
        </w:tc>
        <w:tc>
          <w:tcPr>
            <w:tcW w:w="5891" w:type="dxa"/>
            <w:tcBorders>
              <w:right w:val="single" w:sz="4" w:space="0" w:color="auto"/>
            </w:tcBorders>
          </w:tcPr>
          <w:p w14:paraId="557160A6" w14:textId="77777777" w:rsidR="00B61F2A" w:rsidRPr="001362A6" w:rsidRDefault="00B61F2A" w:rsidP="00B61F2A">
            <w:pPr>
              <w:rPr>
                <w:rFonts w:ascii="Lato" w:hAnsi="Lato"/>
                <w:sz w:val="22"/>
                <w:szCs w:val="22"/>
              </w:rPr>
            </w:pPr>
            <w:r w:rsidRPr="001362A6">
              <w:rPr>
                <w:rFonts w:ascii="Lato" w:hAnsi="Lato"/>
                <w:sz w:val="22"/>
                <w:szCs w:val="22"/>
              </w:rPr>
              <w:t xml:space="preserve">Disclose a statement that the subscription and redemption </w:t>
            </w:r>
          </w:p>
        </w:tc>
        <w:tc>
          <w:tcPr>
            <w:tcW w:w="3188" w:type="dxa"/>
            <w:tcBorders>
              <w:top w:val="single" w:sz="4" w:space="0" w:color="auto"/>
              <w:left w:val="single" w:sz="4" w:space="0" w:color="auto"/>
              <w:bottom w:val="single" w:sz="4" w:space="0" w:color="auto"/>
              <w:right w:val="single" w:sz="4" w:space="0" w:color="auto"/>
            </w:tcBorders>
          </w:tcPr>
          <w:p w14:paraId="7995ADD9" w14:textId="77777777" w:rsidR="00B61F2A" w:rsidRPr="001362A6" w:rsidRDefault="00B61F2A" w:rsidP="00B61F2A">
            <w:pPr>
              <w:rPr>
                <w:rFonts w:ascii="Lato" w:hAnsi="Lato"/>
                <w:sz w:val="22"/>
                <w:szCs w:val="22"/>
              </w:rPr>
            </w:pPr>
          </w:p>
        </w:tc>
      </w:tr>
      <w:tr w:rsidR="00B61F2A" w:rsidRPr="001362A6" w14:paraId="46D64BBF" w14:textId="77777777" w:rsidTr="00990D73">
        <w:tc>
          <w:tcPr>
            <w:tcW w:w="1316" w:type="dxa"/>
          </w:tcPr>
          <w:p w14:paraId="4409AE3E" w14:textId="77777777" w:rsidR="00B61F2A" w:rsidRPr="001362A6" w:rsidRDefault="00B61F2A" w:rsidP="00B61F2A">
            <w:pPr>
              <w:jc w:val="right"/>
              <w:rPr>
                <w:rFonts w:ascii="Lato" w:hAnsi="Lato"/>
                <w:sz w:val="22"/>
                <w:szCs w:val="22"/>
              </w:rPr>
            </w:pPr>
          </w:p>
        </w:tc>
        <w:tc>
          <w:tcPr>
            <w:tcW w:w="5891" w:type="dxa"/>
          </w:tcPr>
          <w:p w14:paraId="426E6B99" w14:textId="77777777" w:rsidR="00B61F2A" w:rsidRPr="001362A6" w:rsidRDefault="00B61F2A" w:rsidP="00B61F2A">
            <w:pPr>
              <w:rPr>
                <w:rFonts w:ascii="Lato" w:hAnsi="Lato"/>
                <w:sz w:val="22"/>
                <w:szCs w:val="22"/>
              </w:rPr>
            </w:pPr>
            <w:r w:rsidRPr="00590C6D">
              <w:rPr>
                <w:rFonts w:ascii="Lato" w:hAnsi="Lato"/>
                <w:sz w:val="22"/>
                <w:szCs w:val="22"/>
              </w:rPr>
              <w:t xml:space="preserve">prices </w:t>
            </w:r>
            <w:r w:rsidRPr="001362A6">
              <w:rPr>
                <w:rFonts w:ascii="Lato" w:hAnsi="Lato"/>
                <w:sz w:val="22"/>
                <w:szCs w:val="22"/>
              </w:rPr>
              <w:t>are available to unitholders on request</w:t>
            </w:r>
          </w:p>
        </w:tc>
        <w:tc>
          <w:tcPr>
            <w:tcW w:w="3188" w:type="dxa"/>
            <w:tcBorders>
              <w:top w:val="single" w:sz="4" w:space="0" w:color="auto"/>
            </w:tcBorders>
          </w:tcPr>
          <w:p w14:paraId="212295B7" w14:textId="77777777" w:rsidR="00B61F2A" w:rsidRPr="001362A6" w:rsidRDefault="00B61F2A" w:rsidP="00B61F2A">
            <w:pPr>
              <w:rPr>
                <w:rFonts w:ascii="Lato" w:hAnsi="Lato"/>
                <w:sz w:val="22"/>
                <w:szCs w:val="22"/>
              </w:rPr>
            </w:pPr>
          </w:p>
        </w:tc>
      </w:tr>
      <w:tr w:rsidR="00B61F2A" w:rsidRPr="001362A6" w14:paraId="74FB0EDA" w14:textId="77777777" w:rsidTr="00990D73">
        <w:tc>
          <w:tcPr>
            <w:tcW w:w="1316" w:type="dxa"/>
          </w:tcPr>
          <w:p w14:paraId="2624B60E" w14:textId="77777777" w:rsidR="00B61F2A" w:rsidRPr="001362A6" w:rsidRDefault="00B61F2A" w:rsidP="00B61F2A">
            <w:pPr>
              <w:jc w:val="right"/>
              <w:rPr>
                <w:rFonts w:ascii="Lato" w:hAnsi="Lato"/>
                <w:sz w:val="22"/>
                <w:szCs w:val="22"/>
              </w:rPr>
            </w:pPr>
          </w:p>
        </w:tc>
        <w:tc>
          <w:tcPr>
            <w:tcW w:w="5891" w:type="dxa"/>
          </w:tcPr>
          <w:p w14:paraId="6968FE7E" w14:textId="77777777" w:rsidR="00B61F2A" w:rsidRPr="001362A6" w:rsidRDefault="00B61F2A" w:rsidP="00B61F2A">
            <w:pPr>
              <w:rPr>
                <w:rFonts w:ascii="Lato" w:hAnsi="Lato"/>
                <w:sz w:val="22"/>
                <w:szCs w:val="22"/>
              </w:rPr>
            </w:pPr>
          </w:p>
        </w:tc>
        <w:tc>
          <w:tcPr>
            <w:tcW w:w="3188" w:type="dxa"/>
          </w:tcPr>
          <w:p w14:paraId="7BF80595" w14:textId="77777777" w:rsidR="00B61F2A" w:rsidRPr="001362A6" w:rsidRDefault="00B61F2A" w:rsidP="00B61F2A">
            <w:pPr>
              <w:rPr>
                <w:rFonts w:ascii="Lato" w:hAnsi="Lato"/>
                <w:sz w:val="22"/>
                <w:szCs w:val="22"/>
              </w:rPr>
            </w:pPr>
          </w:p>
        </w:tc>
      </w:tr>
      <w:tr w:rsidR="00B61F2A" w:rsidRPr="001362A6" w14:paraId="2799537D" w14:textId="77777777" w:rsidTr="00990D73">
        <w:tc>
          <w:tcPr>
            <w:tcW w:w="1316" w:type="dxa"/>
          </w:tcPr>
          <w:p w14:paraId="5E75A66C" w14:textId="77777777" w:rsidR="00B61F2A" w:rsidRPr="001362A6" w:rsidRDefault="00B61F2A" w:rsidP="00B61F2A">
            <w:pPr>
              <w:rPr>
                <w:rFonts w:ascii="Lato" w:hAnsi="Lato"/>
                <w:b/>
                <w:bCs/>
                <w:sz w:val="22"/>
                <w:szCs w:val="22"/>
              </w:rPr>
            </w:pPr>
            <w:r w:rsidRPr="001362A6">
              <w:rPr>
                <w:rFonts w:ascii="Lato" w:hAnsi="Lato"/>
                <w:b/>
                <w:bCs/>
                <w:sz w:val="22"/>
                <w:szCs w:val="22"/>
              </w:rPr>
              <w:t>2.18</w:t>
            </w:r>
          </w:p>
        </w:tc>
        <w:tc>
          <w:tcPr>
            <w:tcW w:w="5891" w:type="dxa"/>
          </w:tcPr>
          <w:p w14:paraId="627E665B" w14:textId="77777777" w:rsidR="00B61F2A" w:rsidRPr="001362A6" w:rsidRDefault="00B61F2A" w:rsidP="00B61F2A">
            <w:pPr>
              <w:pStyle w:val="Heading4"/>
              <w:rPr>
                <w:rFonts w:ascii="Lato" w:hAnsi="Lato"/>
                <w:sz w:val="22"/>
                <w:szCs w:val="22"/>
                <w:lang w:val="en-GB"/>
              </w:rPr>
            </w:pPr>
            <w:r w:rsidRPr="001362A6">
              <w:rPr>
                <w:rFonts w:ascii="Lato" w:hAnsi="Lato"/>
                <w:sz w:val="22"/>
                <w:szCs w:val="22"/>
                <w:lang w:val="en-GB"/>
              </w:rPr>
              <w:t>Suspensions of Calculation of NAV and Redemptions</w:t>
            </w:r>
          </w:p>
        </w:tc>
        <w:tc>
          <w:tcPr>
            <w:tcW w:w="3188" w:type="dxa"/>
          </w:tcPr>
          <w:p w14:paraId="2629AB32" w14:textId="77777777" w:rsidR="00B61F2A" w:rsidRPr="001362A6" w:rsidRDefault="00B61F2A" w:rsidP="00B61F2A">
            <w:pPr>
              <w:rPr>
                <w:rFonts w:ascii="Lato" w:hAnsi="Lato"/>
                <w:sz w:val="22"/>
                <w:szCs w:val="22"/>
              </w:rPr>
            </w:pPr>
          </w:p>
        </w:tc>
      </w:tr>
      <w:tr w:rsidR="00B61F2A" w:rsidRPr="001362A6" w14:paraId="6651189C" w14:textId="77777777" w:rsidTr="00990D73">
        <w:tc>
          <w:tcPr>
            <w:tcW w:w="1316" w:type="dxa"/>
          </w:tcPr>
          <w:p w14:paraId="4024B056" w14:textId="77777777" w:rsidR="00B61F2A" w:rsidRPr="001362A6" w:rsidRDefault="00B61F2A" w:rsidP="00B61F2A">
            <w:pPr>
              <w:rPr>
                <w:rFonts w:ascii="Lato" w:hAnsi="Lato"/>
                <w:sz w:val="22"/>
                <w:szCs w:val="22"/>
              </w:rPr>
            </w:pPr>
          </w:p>
        </w:tc>
        <w:tc>
          <w:tcPr>
            <w:tcW w:w="5891" w:type="dxa"/>
          </w:tcPr>
          <w:p w14:paraId="5A8DA97C"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07ABD683" w14:textId="77777777" w:rsidR="00B61F2A" w:rsidRPr="001362A6" w:rsidRDefault="00B61F2A" w:rsidP="00B61F2A">
            <w:pPr>
              <w:rPr>
                <w:rFonts w:ascii="Lato" w:hAnsi="Lato"/>
                <w:sz w:val="22"/>
                <w:szCs w:val="22"/>
              </w:rPr>
            </w:pPr>
          </w:p>
        </w:tc>
      </w:tr>
      <w:tr w:rsidR="00B61F2A" w:rsidRPr="001362A6" w14:paraId="344EF809" w14:textId="77777777" w:rsidTr="00990D73">
        <w:trPr>
          <w:cantSplit/>
          <w:trHeight w:val="255"/>
        </w:trPr>
        <w:tc>
          <w:tcPr>
            <w:tcW w:w="1316" w:type="dxa"/>
            <w:vMerge w:val="restart"/>
          </w:tcPr>
          <w:p w14:paraId="5029FB47" w14:textId="77777777" w:rsidR="00B61F2A" w:rsidRPr="001362A6" w:rsidRDefault="00B61F2A" w:rsidP="00B61F2A">
            <w:pPr>
              <w:rPr>
                <w:rFonts w:ascii="Lato" w:hAnsi="Lato"/>
                <w:sz w:val="22"/>
                <w:szCs w:val="22"/>
              </w:rPr>
            </w:pPr>
            <w:r w:rsidRPr="001362A6">
              <w:rPr>
                <w:rFonts w:ascii="Lato" w:hAnsi="Lato"/>
                <w:sz w:val="22"/>
                <w:szCs w:val="22"/>
              </w:rPr>
              <w:t>2.18.1</w:t>
            </w:r>
          </w:p>
        </w:tc>
        <w:tc>
          <w:tcPr>
            <w:tcW w:w="5891" w:type="dxa"/>
            <w:vMerge w:val="restart"/>
            <w:tcBorders>
              <w:right w:val="single" w:sz="4" w:space="0" w:color="auto"/>
            </w:tcBorders>
          </w:tcPr>
          <w:p w14:paraId="7599AE21" w14:textId="77777777" w:rsidR="00B61F2A" w:rsidRPr="001362A6" w:rsidRDefault="00B61F2A" w:rsidP="00B61F2A">
            <w:pPr>
              <w:rPr>
                <w:rFonts w:ascii="Lato" w:hAnsi="Lato"/>
                <w:sz w:val="22"/>
                <w:szCs w:val="22"/>
              </w:rPr>
            </w:pPr>
            <w:r w:rsidRPr="001362A6">
              <w:rPr>
                <w:rFonts w:ascii="Lato" w:hAnsi="Lato"/>
                <w:sz w:val="22"/>
                <w:szCs w:val="22"/>
              </w:rPr>
              <w:t>Disclose the circumstances in which repurchases or redemptions may be suspended temporarily</w:t>
            </w:r>
          </w:p>
        </w:tc>
        <w:tc>
          <w:tcPr>
            <w:tcW w:w="3188" w:type="dxa"/>
            <w:tcBorders>
              <w:top w:val="single" w:sz="4" w:space="0" w:color="auto"/>
              <w:left w:val="single" w:sz="4" w:space="0" w:color="auto"/>
              <w:bottom w:val="single" w:sz="4" w:space="0" w:color="auto"/>
              <w:right w:val="single" w:sz="4" w:space="0" w:color="auto"/>
            </w:tcBorders>
          </w:tcPr>
          <w:p w14:paraId="23BA11F0" w14:textId="77777777" w:rsidR="00B61F2A" w:rsidRPr="001362A6" w:rsidRDefault="00B61F2A" w:rsidP="00B61F2A">
            <w:pPr>
              <w:rPr>
                <w:rFonts w:ascii="Lato" w:hAnsi="Lato"/>
                <w:sz w:val="22"/>
                <w:szCs w:val="22"/>
              </w:rPr>
            </w:pPr>
          </w:p>
        </w:tc>
      </w:tr>
      <w:tr w:rsidR="00B61F2A" w:rsidRPr="001362A6" w14:paraId="772335E4" w14:textId="77777777" w:rsidTr="00990D73">
        <w:trPr>
          <w:cantSplit/>
          <w:trHeight w:val="254"/>
        </w:trPr>
        <w:tc>
          <w:tcPr>
            <w:tcW w:w="1316" w:type="dxa"/>
            <w:vMerge/>
          </w:tcPr>
          <w:p w14:paraId="548E2E8F" w14:textId="77777777" w:rsidR="00B61F2A" w:rsidRPr="001362A6" w:rsidRDefault="00B61F2A" w:rsidP="00B61F2A">
            <w:pPr>
              <w:rPr>
                <w:rFonts w:ascii="Lato" w:hAnsi="Lato"/>
                <w:sz w:val="22"/>
                <w:szCs w:val="22"/>
              </w:rPr>
            </w:pPr>
          </w:p>
        </w:tc>
        <w:tc>
          <w:tcPr>
            <w:tcW w:w="5891" w:type="dxa"/>
            <w:vMerge/>
          </w:tcPr>
          <w:p w14:paraId="6D9D141D" w14:textId="77777777" w:rsidR="00B61F2A" w:rsidRPr="001362A6" w:rsidRDefault="00B61F2A" w:rsidP="00B61F2A">
            <w:pPr>
              <w:rPr>
                <w:rFonts w:ascii="Lato" w:hAnsi="Lato"/>
                <w:sz w:val="22"/>
                <w:szCs w:val="22"/>
              </w:rPr>
            </w:pPr>
          </w:p>
        </w:tc>
        <w:tc>
          <w:tcPr>
            <w:tcW w:w="3188" w:type="dxa"/>
            <w:tcBorders>
              <w:top w:val="single" w:sz="4" w:space="0" w:color="auto"/>
            </w:tcBorders>
          </w:tcPr>
          <w:p w14:paraId="3E199984" w14:textId="77777777" w:rsidR="00B61F2A" w:rsidRPr="001362A6" w:rsidRDefault="00B61F2A" w:rsidP="00B61F2A">
            <w:pPr>
              <w:rPr>
                <w:rFonts w:ascii="Lato" w:hAnsi="Lato"/>
                <w:sz w:val="22"/>
                <w:szCs w:val="22"/>
              </w:rPr>
            </w:pPr>
          </w:p>
        </w:tc>
      </w:tr>
      <w:tr w:rsidR="00B61F2A" w:rsidRPr="001362A6" w14:paraId="630272C8" w14:textId="77777777" w:rsidTr="00990D73">
        <w:tc>
          <w:tcPr>
            <w:tcW w:w="1316" w:type="dxa"/>
          </w:tcPr>
          <w:p w14:paraId="1CD75CF9" w14:textId="77777777" w:rsidR="00B61F2A" w:rsidRPr="001362A6" w:rsidRDefault="00B61F2A" w:rsidP="00B61F2A">
            <w:pPr>
              <w:rPr>
                <w:rFonts w:ascii="Lato" w:hAnsi="Lato"/>
                <w:sz w:val="22"/>
                <w:szCs w:val="22"/>
              </w:rPr>
            </w:pPr>
          </w:p>
        </w:tc>
        <w:tc>
          <w:tcPr>
            <w:tcW w:w="5891" w:type="dxa"/>
          </w:tcPr>
          <w:p w14:paraId="0D167ABA"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326EE2E0" w14:textId="77777777" w:rsidR="00B61F2A" w:rsidRPr="001362A6" w:rsidRDefault="00B61F2A" w:rsidP="00B61F2A">
            <w:pPr>
              <w:rPr>
                <w:rFonts w:ascii="Lato" w:hAnsi="Lato"/>
                <w:sz w:val="22"/>
                <w:szCs w:val="22"/>
              </w:rPr>
            </w:pPr>
          </w:p>
        </w:tc>
      </w:tr>
      <w:tr w:rsidR="00B61F2A" w:rsidRPr="001362A6" w14:paraId="04D01CC7" w14:textId="77777777" w:rsidTr="00990D73">
        <w:trPr>
          <w:cantSplit/>
          <w:trHeight w:val="255"/>
        </w:trPr>
        <w:tc>
          <w:tcPr>
            <w:tcW w:w="1316" w:type="dxa"/>
            <w:vMerge w:val="restart"/>
          </w:tcPr>
          <w:p w14:paraId="6FFA4077" w14:textId="77777777" w:rsidR="00B61F2A" w:rsidRPr="001362A6" w:rsidRDefault="00B61F2A" w:rsidP="00B61F2A">
            <w:pPr>
              <w:rPr>
                <w:rFonts w:ascii="Lato" w:hAnsi="Lato"/>
                <w:sz w:val="22"/>
                <w:szCs w:val="22"/>
              </w:rPr>
            </w:pPr>
            <w:r w:rsidRPr="001362A6">
              <w:rPr>
                <w:rFonts w:ascii="Lato" w:hAnsi="Lato"/>
                <w:sz w:val="22"/>
                <w:szCs w:val="22"/>
              </w:rPr>
              <w:t>2.18.2</w:t>
            </w:r>
          </w:p>
        </w:tc>
        <w:tc>
          <w:tcPr>
            <w:tcW w:w="5891" w:type="dxa"/>
            <w:vMerge w:val="restart"/>
            <w:tcBorders>
              <w:right w:val="single" w:sz="4" w:space="0" w:color="auto"/>
            </w:tcBorders>
          </w:tcPr>
          <w:p w14:paraId="6E87FEF4" w14:textId="77777777" w:rsidR="00B61F2A" w:rsidRPr="001362A6" w:rsidRDefault="00B61F2A" w:rsidP="00B61F2A">
            <w:pPr>
              <w:rPr>
                <w:rFonts w:ascii="Lato" w:hAnsi="Lato"/>
                <w:sz w:val="22"/>
                <w:szCs w:val="22"/>
              </w:rPr>
            </w:pPr>
            <w:r w:rsidRPr="001362A6">
              <w:rPr>
                <w:rFonts w:ascii="Lato" w:hAnsi="Lato"/>
                <w:sz w:val="22"/>
                <w:szCs w:val="22"/>
              </w:rPr>
              <w:t>A management company, in the case of a unit trust or common</w:t>
            </w:r>
            <w:r w:rsidRPr="001362A6" w:rsidDel="004C0D4A">
              <w:rPr>
                <w:rFonts w:ascii="Lato" w:hAnsi="Lato"/>
                <w:sz w:val="22"/>
                <w:szCs w:val="22"/>
              </w:rPr>
              <w:t xml:space="preserve"> </w:t>
            </w:r>
            <w:r w:rsidRPr="001362A6">
              <w:rPr>
                <w:rFonts w:ascii="Lato" w:hAnsi="Lato"/>
                <w:sz w:val="22"/>
                <w:szCs w:val="22"/>
              </w:rPr>
              <w:t>contractual fund, a general partner, in the case of an investment limited partnership or an investment company or ICAV which temporarily suspends the calculation of the net asset value and repurchase or redemption of its units must inform the Central Bank immediately, and in any event within the working day on which such suspension took effect</w:t>
            </w:r>
          </w:p>
        </w:tc>
        <w:tc>
          <w:tcPr>
            <w:tcW w:w="3188" w:type="dxa"/>
            <w:tcBorders>
              <w:top w:val="single" w:sz="4" w:space="0" w:color="auto"/>
              <w:left w:val="single" w:sz="4" w:space="0" w:color="auto"/>
              <w:bottom w:val="single" w:sz="4" w:space="0" w:color="auto"/>
              <w:right w:val="single" w:sz="4" w:space="0" w:color="auto"/>
            </w:tcBorders>
          </w:tcPr>
          <w:p w14:paraId="724CBBDE" w14:textId="77777777" w:rsidR="00B61F2A" w:rsidRPr="001362A6" w:rsidRDefault="00B61F2A" w:rsidP="00B61F2A">
            <w:pPr>
              <w:rPr>
                <w:rFonts w:ascii="Lato" w:hAnsi="Lato"/>
                <w:sz w:val="22"/>
                <w:szCs w:val="22"/>
              </w:rPr>
            </w:pPr>
          </w:p>
        </w:tc>
      </w:tr>
      <w:tr w:rsidR="00B61F2A" w:rsidRPr="001362A6" w14:paraId="35348C3A" w14:textId="77777777" w:rsidTr="00990D73">
        <w:trPr>
          <w:cantSplit/>
          <w:trHeight w:val="254"/>
        </w:trPr>
        <w:tc>
          <w:tcPr>
            <w:tcW w:w="1316" w:type="dxa"/>
            <w:vMerge/>
          </w:tcPr>
          <w:p w14:paraId="3EECABC6" w14:textId="77777777" w:rsidR="00B61F2A" w:rsidRPr="001362A6" w:rsidRDefault="00B61F2A" w:rsidP="00B61F2A">
            <w:pPr>
              <w:rPr>
                <w:rFonts w:ascii="Lato" w:hAnsi="Lato"/>
                <w:sz w:val="22"/>
                <w:szCs w:val="22"/>
              </w:rPr>
            </w:pPr>
          </w:p>
        </w:tc>
        <w:tc>
          <w:tcPr>
            <w:tcW w:w="5891" w:type="dxa"/>
            <w:vMerge/>
          </w:tcPr>
          <w:p w14:paraId="1886AE96" w14:textId="77777777" w:rsidR="00B61F2A" w:rsidRPr="001362A6" w:rsidRDefault="00B61F2A" w:rsidP="00B61F2A">
            <w:pPr>
              <w:rPr>
                <w:rFonts w:ascii="Lato" w:hAnsi="Lato"/>
                <w:sz w:val="22"/>
                <w:szCs w:val="22"/>
              </w:rPr>
            </w:pPr>
          </w:p>
        </w:tc>
        <w:tc>
          <w:tcPr>
            <w:tcW w:w="3188" w:type="dxa"/>
            <w:tcBorders>
              <w:top w:val="single" w:sz="4" w:space="0" w:color="auto"/>
            </w:tcBorders>
          </w:tcPr>
          <w:p w14:paraId="01E47A4D" w14:textId="77777777" w:rsidR="00B61F2A" w:rsidRPr="001362A6" w:rsidRDefault="00B61F2A" w:rsidP="00B61F2A">
            <w:pPr>
              <w:rPr>
                <w:rFonts w:ascii="Lato" w:hAnsi="Lato"/>
                <w:sz w:val="22"/>
                <w:szCs w:val="22"/>
              </w:rPr>
            </w:pPr>
          </w:p>
        </w:tc>
      </w:tr>
      <w:tr w:rsidR="00B61F2A" w:rsidRPr="001362A6" w14:paraId="47418027" w14:textId="77777777" w:rsidTr="00990D73">
        <w:trPr>
          <w:cantSplit/>
          <w:trHeight w:val="254"/>
        </w:trPr>
        <w:tc>
          <w:tcPr>
            <w:tcW w:w="1316" w:type="dxa"/>
            <w:vMerge/>
          </w:tcPr>
          <w:p w14:paraId="3BF46603" w14:textId="77777777" w:rsidR="00B61F2A" w:rsidRPr="001362A6" w:rsidRDefault="00B61F2A" w:rsidP="00B61F2A">
            <w:pPr>
              <w:rPr>
                <w:rFonts w:ascii="Lato" w:hAnsi="Lato"/>
                <w:sz w:val="22"/>
                <w:szCs w:val="22"/>
              </w:rPr>
            </w:pPr>
          </w:p>
        </w:tc>
        <w:tc>
          <w:tcPr>
            <w:tcW w:w="5891" w:type="dxa"/>
            <w:vMerge/>
          </w:tcPr>
          <w:p w14:paraId="29FA62DF" w14:textId="77777777" w:rsidR="00B61F2A" w:rsidRPr="001362A6" w:rsidRDefault="00B61F2A" w:rsidP="00B61F2A">
            <w:pPr>
              <w:rPr>
                <w:rFonts w:ascii="Lato" w:hAnsi="Lato"/>
                <w:sz w:val="22"/>
                <w:szCs w:val="22"/>
              </w:rPr>
            </w:pPr>
          </w:p>
        </w:tc>
        <w:tc>
          <w:tcPr>
            <w:tcW w:w="3188" w:type="dxa"/>
          </w:tcPr>
          <w:p w14:paraId="05AFE06E" w14:textId="77777777" w:rsidR="00B61F2A" w:rsidRPr="001362A6" w:rsidRDefault="00B61F2A" w:rsidP="00B61F2A">
            <w:pPr>
              <w:rPr>
                <w:rFonts w:ascii="Lato" w:hAnsi="Lato"/>
                <w:sz w:val="22"/>
                <w:szCs w:val="22"/>
              </w:rPr>
            </w:pPr>
          </w:p>
        </w:tc>
      </w:tr>
      <w:tr w:rsidR="00B61F2A" w:rsidRPr="001362A6" w14:paraId="0B64D9DD" w14:textId="77777777" w:rsidTr="00990D73">
        <w:tc>
          <w:tcPr>
            <w:tcW w:w="1316" w:type="dxa"/>
          </w:tcPr>
          <w:p w14:paraId="36DE27BE" w14:textId="77777777" w:rsidR="00B61F2A" w:rsidRPr="001362A6" w:rsidRDefault="00B61F2A" w:rsidP="00B61F2A">
            <w:pPr>
              <w:rPr>
                <w:rFonts w:ascii="Lato" w:hAnsi="Lato"/>
                <w:b/>
                <w:bCs/>
                <w:sz w:val="22"/>
                <w:szCs w:val="22"/>
              </w:rPr>
            </w:pPr>
          </w:p>
        </w:tc>
        <w:tc>
          <w:tcPr>
            <w:tcW w:w="5891" w:type="dxa"/>
          </w:tcPr>
          <w:p w14:paraId="03A77A1F" w14:textId="77777777" w:rsidR="00B61F2A" w:rsidRPr="001362A6" w:rsidRDefault="00B61F2A" w:rsidP="00B61F2A">
            <w:pPr>
              <w:rPr>
                <w:rFonts w:ascii="Lato" w:hAnsi="Lato"/>
                <w:b/>
                <w:bCs/>
                <w:sz w:val="22"/>
                <w:szCs w:val="22"/>
              </w:rPr>
            </w:pPr>
          </w:p>
        </w:tc>
        <w:tc>
          <w:tcPr>
            <w:tcW w:w="3188" w:type="dxa"/>
          </w:tcPr>
          <w:p w14:paraId="4B049F6C" w14:textId="77777777" w:rsidR="00B61F2A" w:rsidRPr="001362A6" w:rsidRDefault="00B61F2A" w:rsidP="00B61F2A">
            <w:pPr>
              <w:rPr>
                <w:rFonts w:ascii="Lato" w:hAnsi="Lato"/>
                <w:sz w:val="22"/>
                <w:szCs w:val="22"/>
              </w:rPr>
            </w:pPr>
          </w:p>
        </w:tc>
      </w:tr>
      <w:tr w:rsidR="00B61F2A" w:rsidRPr="001362A6" w14:paraId="13355B1C" w14:textId="77777777" w:rsidTr="00990D73">
        <w:tc>
          <w:tcPr>
            <w:tcW w:w="1316" w:type="dxa"/>
          </w:tcPr>
          <w:p w14:paraId="3706AEC7" w14:textId="77777777" w:rsidR="00B61F2A" w:rsidRPr="001362A6" w:rsidRDefault="00B61F2A" w:rsidP="00B61F2A">
            <w:pPr>
              <w:rPr>
                <w:rFonts w:ascii="Lato" w:hAnsi="Lato"/>
                <w:b/>
                <w:bCs/>
                <w:sz w:val="22"/>
                <w:szCs w:val="22"/>
              </w:rPr>
            </w:pPr>
            <w:r w:rsidRPr="001362A6">
              <w:rPr>
                <w:rFonts w:ascii="Lato" w:hAnsi="Lato"/>
                <w:b/>
                <w:bCs/>
                <w:sz w:val="22"/>
                <w:szCs w:val="22"/>
              </w:rPr>
              <w:t>2.19</w:t>
            </w:r>
          </w:p>
        </w:tc>
        <w:tc>
          <w:tcPr>
            <w:tcW w:w="5891" w:type="dxa"/>
          </w:tcPr>
          <w:p w14:paraId="166BEAAD" w14:textId="77777777" w:rsidR="00B61F2A" w:rsidRPr="001362A6" w:rsidRDefault="00B61F2A" w:rsidP="00B61F2A">
            <w:pPr>
              <w:rPr>
                <w:rFonts w:ascii="Lato" w:hAnsi="Lato"/>
                <w:b/>
                <w:bCs/>
                <w:sz w:val="22"/>
                <w:szCs w:val="22"/>
              </w:rPr>
            </w:pPr>
            <w:r w:rsidRPr="001362A6">
              <w:rPr>
                <w:rFonts w:ascii="Lato" w:hAnsi="Lato"/>
                <w:b/>
                <w:bCs/>
                <w:sz w:val="22"/>
                <w:szCs w:val="22"/>
              </w:rPr>
              <w:t>Closed-ended Qualifying Investor AIF</w:t>
            </w:r>
          </w:p>
        </w:tc>
        <w:tc>
          <w:tcPr>
            <w:tcW w:w="3188" w:type="dxa"/>
          </w:tcPr>
          <w:p w14:paraId="4516B548" w14:textId="77777777" w:rsidR="00B61F2A" w:rsidRPr="001362A6" w:rsidRDefault="00B61F2A" w:rsidP="00B61F2A">
            <w:pPr>
              <w:rPr>
                <w:rFonts w:ascii="Lato" w:hAnsi="Lato"/>
                <w:sz w:val="22"/>
                <w:szCs w:val="22"/>
              </w:rPr>
            </w:pPr>
          </w:p>
        </w:tc>
      </w:tr>
      <w:tr w:rsidR="00B61F2A" w:rsidRPr="001362A6" w14:paraId="66FF5AA3" w14:textId="77777777" w:rsidTr="00990D73">
        <w:trPr>
          <w:cantSplit/>
          <w:trHeight w:val="255"/>
        </w:trPr>
        <w:tc>
          <w:tcPr>
            <w:tcW w:w="1316" w:type="dxa"/>
            <w:vMerge w:val="restart"/>
          </w:tcPr>
          <w:p w14:paraId="00F4ED62" w14:textId="77777777" w:rsidR="00B61F2A" w:rsidRPr="001362A6" w:rsidRDefault="00B61F2A" w:rsidP="00B61F2A">
            <w:pPr>
              <w:rPr>
                <w:rFonts w:ascii="Lato" w:hAnsi="Lato"/>
                <w:sz w:val="22"/>
                <w:szCs w:val="22"/>
              </w:rPr>
            </w:pPr>
            <w:r w:rsidRPr="001362A6">
              <w:rPr>
                <w:rFonts w:ascii="Lato" w:hAnsi="Lato"/>
                <w:sz w:val="22"/>
                <w:szCs w:val="22"/>
              </w:rPr>
              <w:t>2.19.1</w:t>
            </w:r>
          </w:p>
        </w:tc>
        <w:tc>
          <w:tcPr>
            <w:tcW w:w="5891" w:type="dxa"/>
            <w:vMerge w:val="restart"/>
            <w:tcBorders>
              <w:right w:val="single" w:sz="4" w:space="0" w:color="auto"/>
            </w:tcBorders>
          </w:tcPr>
          <w:p w14:paraId="4F438285" w14:textId="77777777" w:rsidR="00B61F2A" w:rsidRPr="001362A6" w:rsidRDefault="00B61F2A" w:rsidP="00B61F2A">
            <w:pPr>
              <w:rPr>
                <w:rFonts w:ascii="Lato" w:hAnsi="Lato"/>
                <w:sz w:val="22"/>
                <w:szCs w:val="22"/>
              </w:rPr>
            </w:pPr>
            <w:r w:rsidRPr="001362A6">
              <w:rPr>
                <w:rFonts w:ascii="Lato" w:hAnsi="Lato"/>
                <w:sz w:val="22"/>
                <w:szCs w:val="22"/>
              </w:rPr>
              <w:t xml:space="preserve">Disclose the finite closed-ended period of the Qualifying Investor AIF as a material part of the Investment Policy </w:t>
            </w:r>
          </w:p>
        </w:tc>
        <w:tc>
          <w:tcPr>
            <w:tcW w:w="3188" w:type="dxa"/>
            <w:tcBorders>
              <w:top w:val="single" w:sz="4" w:space="0" w:color="auto"/>
              <w:left w:val="single" w:sz="4" w:space="0" w:color="auto"/>
              <w:bottom w:val="single" w:sz="4" w:space="0" w:color="auto"/>
              <w:right w:val="single" w:sz="4" w:space="0" w:color="auto"/>
            </w:tcBorders>
          </w:tcPr>
          <w:p w14:paraId="6BF311D0" w14:textId="77777777" w:rsidR="00B61F2A" w:rsidRPr="001362A6" w:rsidRDefault="00B61F2A" w:rsidP="00B61F2A">
            <w:pPr>
              <w:rPr>
                <w:rFonts w:ascii="Lato" w:hAnsi="Lato"/>
                <w:sz w:val="22"/>
                <w:szCs w:val="22"/>
              </w:rPr>
            </w:pPr>
          </w:p>
        </w:tc>
      </w:tr>
      <w:tr w:rsidR="00B61F2A" w:rsidRPr="001362A6" w14:paraId="73BD6AAD" w14:textId="77777777" w:rsidTr="003C5325">
        <w:trPr>
          <w:cantSplit/>
          <w:trHeight w:val="254"/>
        </w:trPr>
        <w:tc>
          <w:tcPr>
            <w:tcW w:w="1316" w:type="dxa"/>
            <w:vMerge/>
          </w:tcPr>
          <w:p w14:paraId="6D4505A4" w14:textId="77777777" w:rsidR="00B61F2A" w:rsidRPr="001362A6" w:rsidRDefault="00B61F2A" w:rsidP="00B61F2A">
            <w:pPr>
              <w:rPr>
                <w:rFonts w:ascii="Lato" w:hAnsi="Lato"/>
                <w:sz w:val="22"/>
                <w:szCs w:val="22"/>
              </w:rPr>
            </w:pPr>
          </w:p>
        </w:tc>
        <w:tc>
          <w:tcPr>
            <w:tcW w:w="5891" w:type="dxa"/>
            <w:vMerge/>
          </w:tcPr>
          <w:p w14:paraId="0BF64A09"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0282ECA7" w14:textId="77777777" w:rsidR="00B61F2A" w:rsidRPr="001362A6" w:rsidRDefault="00B61F2A" w:rsidP="00B61F2A">
            <w:pPr>
              <w:rPr>
                <w:rFonts w:ascii="Lato" w:hAnsi="Lato"/>
                <w:sz w:val="22"/>
                <w:szCs w:val="22"/>
              </w:rPr>
            </w:pPr>
          </w:p>
        </w:tc>
      </w:tr>
      <w:tr w:rsidR="00B61F2A" w:rsidRPr="001362A6" w14:paraId="6FFAEAE1" w14:textId="77777777" w:rsidTr="003C5325">
        <w:tc>
          <w:tcPr>
            <w:tcW w:w="1316" w:type="dxa"/>
          </w:tcPr>
          <w:p w14:paraId="44B26EE7"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0C556EA9" w14:textId="37836C84" w:rsidR="00B61F2A" w:rsidRPr="001362A6" w:rsidRDefault="00746087" w:rsidP="00B61F2A">
            <w:pPr>
              <w:rPr>
                <w:rFonts w:ascii="Lato" w:hAnsi="Lato"/>
                <w:i/>
                <w:iCs/>
                <w:sz w:val="22"/>
                <w:szCs w:val="22"/>
              </w:rPr>
            </w:pPr>
            <w:r>
              <w:rPr>
                <w:rFonts w:ascii="Lato" w:hAnsi="Lato"/>
                <w:sz w:val="22"/>
                <w:szCs w:val="22"/>
              </w:rPr>
              <w:t>W</w:t>
            </w:r>
            <w:r w:rsidRPr="00746D69">
              <w:rPr>
                <w:rFonts w:ascii="Lato" w:hAnsi="Lato"/>
                <w:sz w:val="22"/>
                <w:szCs w:val="22"/>
              </w:rPr>
              <w:t>here the intention is to extend this fi</w:t>
            </w:r>
            <w:r>
              <w:rPr>
                <w:rFonts w:ascii="Lato" w:hAnsi="Lato"/>
                <w:sz w:val="22"/>
                <w:szCs w:val="22"/>
              </w:rPr>
              <w:t>nite period, disclose</w:t>
            </w:r>
          </w:p>
        </w:tc>
        <w:tc>
          <w:tcPr>
            <w:tcW w:w="3188" w:type="dxa"/>
            <w:tcBorders>
              <w:top w:val="single" w:sz="4" w:space="0" w:color="auto"/>
              <w:left w:val="single" w:sz="4" w:space="0" w:color="auto"/>
              <w:bottom w:val="single" w:sz="4" w:space="0" w:color="auto"/>
              <w:right w:val="single" w:sz="4" w:space="0" w:color="auto"/>
            </w:tcBorders>
          </w:tcPr>
          <w:p w14:paraId="4482FB99" w14:textId="77777777" w:rsidR="00B61F2A" w:rsidRPr="001362A6" w:rsidRDefault="00B61F2A" w:rsidP="00B61F2A">
            <w:pPr>
              <w:rPr>
                <w:rFonts w:ascii="Lato" w:hAnsi="Lato"/>
                <w:sz w:val="22"/>
                <w:szCs w:val="22"/>
              </w:rPr>
            </w:pPr>
          </w:p>
        </w:tc>
      </w:tr>
      <w:tr w:rsidR="00746087" w:rsidRPr="001362A6" w14:paraId="321E1F67" w14:textId="77777777" w:rsidTr="003C5325">
        <w:tc>
          <w:tcPr>
            <w:tcW w:w="1316" w:type="dxa"/>
          </w:tcPr>
          <w:p w14:paraId="0606E814" w14:textId="77777777" w:rsidR="00746087" w:rsidRPr="001362A6" w:rsidRDefault="00746087" w:rsidP="00B61F2A">
            <w:pPr>
              <w:rPr>
                <w:rFonts w:ascii="Lato" w:hAnsi="Lato"/>
                <w:sz w:val="22"/>
                <w:szCs w:val="22"/>
              </w:rPr>
            </w:pPr>
          </w:p>
        </w:tc>
        <w:tc>
          <w:tcPr>
            <w:tcW w:w="5891" w:type="dxa"/>
          </w:tcPr>
          <w:p w14:paraId="520204C8" w14:textId="240E9877" w:rsidR="00746087" w:rsidRPr="001362A6" w:rsidRDefault="00746087" w:rsidP="00B61F2A">
            <w:pPr>
              <w:rPr>
                <w:rFonts w:ascii="Lato" w:hAnsi="Lato"/>
                <w:i/>
                <w:iCs/>
                <w:sz w:val="22"/>
                <w:szCs w:val="22"/>
              </w:rPr>
            </w:pPr>
            <w:r>
              <w:rPr>
                <w:rFonts w:ascii="Lato" w:hAnsi="Lato"/>
                <w:sz w:val="22"/>
                <w:szCs w:val="22"/>
              </w:rPr>
              <w:t>the duration of the</w:t>
            </w:r>
            <w:r w:rsidRPr="00746D69">
              <w:rPr>
                <w:rFonts w:ascii="Lato" w:hAnsi="Lato"/>
                <w:sz w:val="22"/>
                <w:szCs w:val="22"/>
              </w:rPr>
              <w:t xml:space="preserve"> </w:t>
            </w:r>
            <w:r>
              <w:rPr>
                <w:rFonts w:ascii="Lato" w:hAnsi="Lato"/>
                <w:sz w:val="22"/>
                <w:szCs w:val="22"/>
              </w:rPr>
              <w:t>extension</w:t>
            </w:r>
          </w:p>
        </w:tc>
        <w:tc>
          <w:tcPr>
            <w:tcW w:w="3188" w:type="dxa"/>
            <w:tcBorders>
              <w:top w:val="single" w:sz="4" w:space="0" w:color="auto"/>
            </w:tcBorders>
          </w:tcPr>
          <w:p w14:paraId="327E4B5E" w14:textId="77777777" w:rsidR="00746087" w:rsidRPr="001362A6" w:rsidRDefault="00746087" w:rsidP="00B61F2A">
            <w:pPr>
              <w:rPr>
                <w:rFonts w:ascii="Lato" w:hAnsi="Lato"/>
                <w:sz w:val="22"/>
                <w:szCs w:val="22"/>
              </w:rPr>
            </w:pPr>
          </w:p>
        </w:tc>
      </w:tr>
      <w:tr w:rsidR="00746087" w:rsidRPr="001362A6" w14:paraId="1E5426FC" w14:textId="77777777" w:rsidTr="003C5325">
        <w:tc>
          <w:tcPr>
            <w:tcW w:w="1316" w:type="dxa"/>
          </w:tcPr>
          <w:p w14:paraId="78D8D867" w14:textId="77777777" w:rsidR="00746087" w:rsidRPr="001362A6" w:rsidRDefault="00746087" w:rsidP="00B61F2A">
            <w:pPr>
              <w:rPr>
                <w:rFonts w:ascii="Lato" w:hAnsi="Lato"/>
                <w:sz w:val="22"/>
                <w:szCs w:val="22"/>
              </w:rPr>
            </w:pPr>
          </w:p>
        </w:tc>
        <w:tc>
          <w:tcPr>
            <w:tcW w:w="5891" w:type="dxa"/>
          </w:tcPr>
          <w:p w14:paraId="31F2D796" w14:textId="77777777" w:rsidR="00746087" w:rsidRDefault="00746087" w:rsidP="00B61F2A">
            <w:pPr>
              <w:rPr>
                <w:rFonts w:ascii="Lato" w:hAnsi="Lato"/>
                <w:sz w:val="22"/>
                <w:szCs w:val="22"/>
              </w:rPr>
            </w:pPr>
          </w:p>
        </w:tc>
        <w:tc>
          <w:tcPr>
            <w:tcW w:w="3188" w:type="dxa"/>
            <w:tcBorders>
              <w:bottom w:val="single" w:sz="4" w:space="0" w:color="auto"/>
            </w:tcBorders>
          </w:tcPr>
          <w:p w14:paraId="4C456C2F" w14:textId="77777777" w:rsidR="00746087" w:rsidRPr="001362A6" w:rsidRDefault="00746087" w:rsidP="00B61F2A">
            <w:pPr>
              <w:rPr>
                <w:rFonts w:ascii="Lato" w:hAnsi="Lato"/>
                <w:sz w:val="22"/>
                <w:szCs w:val="22"/>
              </w:rPr>
            </w:pPr>
          </w:p>
        </w:tc>
      </w:tr>
      <w:tr w:rsidR="00B61F2A" w:rsidRPr="001362A6" w14:paraId="2C1B620C" w14:textId="77777777" w:rsidTr="00990D73">
        <w:trPr>
          <w:cantSplit/>
          <w:trHeight w:val="255"/>
        </w:trPr>
        <w:tc>
          <w:tcPr>
            <w:tcW w:w="1316" w:type="dxa"/>
            <w:vMerge w:val="restart"/>
          </w:tcPr>
          <w:p w14:paraId="0811B2D3" w14:textId="77777777" w:rsidR="00B61F2A" w:rsidRPr="001362A6" w:rsidRDefault="00B61F2A" w:rsidP="00B61F2A">
            <w:pPr>
              <w:rPr>
                <w:rFonts w:ascii="Lato" w:hAnsi="Lato"/>
                <w:sz w:val="22"/>
                <w:szCs w:val="22"/>
              </w:rPr>
            </w:pPr>
            <w:r w:rsidRPr="001362A6">
              <w:rPr>
                <w:rFonts w:ascii="Lato" w:hAnsi="Lato"/>
                <w:sz w:val="22"/>
                <w:szCs w:val="22"/>
              </w:rPr>
              <w:t>2.19.2</w:t>
            </w:r>
          </w:p>
        </w:tc>
        <w:tc>
          <w:tcPr>
            <w:tcW w:w="5891" w:type="dxa"/>
            <w:vMerge w:val="restart"/>
            <w:tcBorders>
              <w:right w:val="single" w:sz="4" w:space="0" w:color="auto"/>
            </w:tcBorders>
          </w:tcPr>
          <w:p w14:paraId="2A061083" w14:textId="77777777" w:rsidR="00B61F2A" w:rsidRPr="001362A6" w:rsidRDefault="00B61F2A" w:rsidP="00B61F2A">
            <w:pPr>
              <w:rPr>
                <w:rFonts w:ascii="Lato" w:hAnsi="Lato"/>
                <w:sz w:val="22"/>
                <w:szCs w:val="22"/>
              </w:rPr>
            </w:pPr>
            <w:r w:rsidRPr="001362A6">
              <w:rPr>
                <w:rFonts w:ascii="Lato" w:hAnsi="Lato"/>
                <w:sz w:val="22"/>
                <w:szCs w:val="22"/>
              </w:rPr>
              <w:t>In the case of an umbrella Qualifying Investor AIF, disclose the closed-ended period of each sub-fund</w:t>
            </w:r>
          </w:p>
        </w:tc>
        <w:tc>
          <w:tcPr>
            <w:tcW w:w="3188" w:type="dxa"/>
            <w:tcBorders>
              <w:top w:val="single" w:sz="4" w:space="0" w:color="auto"/>
              <w:left w:val="single" w:sz="4" w:space="0" w:color="auto"/>
              <w:bottom w:val="single" w:sz="4" w:space="0" w:color="auto"/>
              <w:right w:val="single" w:sz="4" w:space="0" w:color="auto"/>
            </w:tcBorders>
          </w:tcPr>
          <w:p w14:paraId="45B42C7C" w14:textId="77777777" w:rsidR="00B61F2A" w:rsidRPr="001362A6" w:rsidRDefault="00B61F2A" w:rsidP="00B61F2A">
            <w:pPr>
              <w:rPr>
                <w:rFonts w:ascii="Lato" w:hAnsi="Lato"/>
                <w:sz w:val="22"/>
                <w:szCs w:val="22"/>
              </w:rPr>
            </w:pPr>
          </w:p>
        </w:tc>
      </w:tr>
      <w:tr w:rsidR="00B61F2A" w:rsidRPr="001362A6" w14:paraId="3274A17B" w14:textId="77777777" w:rsidTr="003C5325">
        <w:trPr>
          <w:cantSplit/>
          <w:trHeight w:val="254"/>
        </w:trPr>
        <w:tc>
          <w:tcPr>
            <w:tcW w:w="1316" w:type="dxa"/>
            <w:vMerge/>
          </w:tcPr>
          <w:p w14:paraId="318D2766" w14:textId="77777777" w:rsidR="00B61F2A" w:rsidRPr="001362A6" w:rsidRDefault="00B61F2A" w:rsidP="00B61F2A">
            <w:pPr>
              <w:rPr>
                <w:rFonts w:ascii="Lato" w:hAnsi="Lato"/>
                <w:sz w:val="22"/>
                <w:szCs w:val="22"/>
              </w:rPr>
            </w:pPr>
          </w:p>
        </w:tc>
        <w:tc>
          <w:tcPr>
            <w:tcW w:w="5891" w:type="dxa"/>
            <w:vMerge/>
          </w:tcPr>
          <w:p w14:paraId="0F2D4102"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5623B21B" w14:textId="77777777" w:rsidR="00B61F2A" w:rsidRPr="001362A6" w:rsidRDefault="00B61F2A" w:rsidP="00B61F2A">
            <w:pPr>
              <w:rPr>
                <w:rFonts w:ascii="Lato" w:hAnsi="Lato"/>
                <w:sz w:val="22"/>
                <w:szCs w:val="22"/>
              </w:rPr>
            </w:pPr>
          </w:p>
        </w:tc>
      </w:tr>
      <w:tr w:rsidR="00B61F2A" w:rsidRPr="001362A6" w14:paraId="0705BB5A" w14:textId="77777777" w:rsidTr="00990D73">
        <w:tc>
          <w:tcPr>
            <w:tcW w:w="1316" w:type="dxa"/>
          </w:tcPr>
          <w:p w14:paraId="4C19B331" w14:textId="77777777" w:rsidR="00B61F2A" w:rsidRPr="001362A6" w:rsidRDefault="00B61F2A" w:rsidP="00B61F2A">
            <w:pPr>
              <w:rPr>
                <w:rFonts w:ascii="Lato" w:hAnsi="Lato"/>
                <w:sz w:val="22"/>
                <w:szCs w:val="22"/>
              </w:rPr>
            </w:pPr>
          </w:p>
        </w:tc>
        <w:tc>
          <w:tcPr>
            <w:tcW w:w="5891" w:type="dxa"/>
          </w:tcPr>
          <w:p w14:paraId="10FC43CF" w14:textId="77777777" w:rsidR="00B61F2A" w:rsidRPr="001362A6" w:rsidRDefault="00B61F2A" w:rsidP="00B61F2A">
            <w:pPr>
              <w:jc w:val="both"/>
              <w:rPr>
                <w:rFonts w:ascii="Lato" w:hAnsi="Lato"/>
                <w:sz w:val="22"/>
                <w:szCs w:val="22"/>
              </w:rPr>
            </w:pPr>
            <w:r w:rsidRPr="001362A6">
              <w:rPr>
                <w:rFonts w:ascii="Lato" w:hAnsi="Lato"/>
                <w:sz w:val="22"/>
                <w:szCs w:val="22"/>
              </w:rPr>
              <w:t xml:space="preserve">Note:  It is possible to establish an umbrella Qualifying Investor AIF with open, open-ended with limited liquidity and closed sub-funds.  In this case the prospectus may </w:t>
            </w:r>
            <w:r w:rsidRPr="001362A6">
              <w:rPr>
                <w:rFonts w:ascii="Lato" w:hAnsi="Lato"/>
                <w:sz w:val="22"/>
                <w:szCs w:val="22"/>
              </w:rPr>
              <w:lastRenderedPageBreak/>
              <w:t xml:space="preserve">provide that notwithstanding the right of unitholders to request redemption of their holding, certain sub-funds may be established with no rights of redemption, subject to conditions set down by the Central Bank  </w:t>
            </w:r>
          </w:p>
        </w:tc>
        <w:tc>
          <w:tcPr>
            <w:tcW w:w="3188" w:type="dxa"/>
          </w:tcPr>
          <w:p w14:paraId="38C209FB" w14:textId="77777777" w:rsidR="00B61F2A" w:rsidRPr="001362A6" w:rsidRDefault="00B61F2A" w:rsidP="00B61F2A">
            <w:pPr>
              <w:rPr>
                <w:rFonts w:ascii="Lato" w:hAnsi="Lato"/>
                <w:sz w:val="22"/>
                <w:szCs w:val="22"/>
              </w:rPr>
            </w:pPr>
          </w:p>
        </w:tc>
      </w:tr>
      <w:tr w:rsidR="00B61F2A" w:rsidRPr="001362A6" w14:paraId="02C1BE48" w14:textId="77777777" w:rsidTr="00990D73">
        <w:tc>
          <w:tcPr>
            <w:tcW w:w="1316" w:type="dxa"/>
          </w:tcPr>
          <w:p w14:paraId="01F12505" w14:textId="77777777" w:rsidR="00B61F2A" w:rsidRPr="001362A6" w:rsidRDefault="00B61F2A" w:rsidP="00B61F2A">
            <w:pPr>
              <w:rPr>
                <w:rFonts w:ascii="Lato" w:hAnsi="Lato"/>
                <w:sz w:val="22"/>
                <w:szCs w:val="22"/>
              </w:rPr>
            </w:pPr>
          </w:p>
        </w:tc>
        <w:tc>
          <w:tcPr>
            <w:tcW w:w="5891" w:type="dxa"/>
          </w:tcPr>
          <w:p w14:paraId="1B25E292" w14:textId="77777777" w:rsidR="00B61F2A" w:rsidRPr="001362A6" w:rsidRDefault="00B61F2A" w:rsidP="00B61F2A">
            <w:pPr>
              <w:jc w:val="both"/>
              <w:rPr>
                <w:rFonts w:ascii="Lato" w:hAnsi="Lato"/>
                <w:sz w:val="22"/>
                <w:szCs w:val="22"/>
              </w:rPr>
            </w:pPr>
          </w:p>
        </w:tc>
        <w:tc>
          <w:tcPr>
            <w:tcW w:w="3188" w:type="dxa"/>
          </w:tcPr>
          <w:p w14:paraId="1771C5E6" w14:textId="77777777" w:rsidR="00B61F2A" w:rsidRPr="001362A6" w:rsidRDefault="00B61F2A" w:rsidP="00B61F2A">
            <w:pPr>
              <w:rPr>
                <w:rFonts w:ascii="Lato" w:hAnsi="Lato"/>
                <w:sz w:val="22"/>
                <w:szCs w:val="22"/>
              </w:rPr>
            </w:pPr>
          </w:p>
        </w:tc>
      </w:tr>
      <w:tr w:rsidR="00B61F2A" w:rsidRPr="001362A6" w14:paraId="6271BE98" w14:textId="77777777" w:rsidTr="00990D73">
        <w:tc>
          <w:tcPr>
            <w:tcW w:w="1316" w:type="dxa"/>
          </w:tcPr>
          <w:p w14:paraId="5DAD8CB2" w14:textId="77777777" w:rsidR="00B61F2A" w:rsidRPr="001362A6" w:rsidRDefault="00B61F2A" w:rsidP="00B61F2A">
            <w:pPr>
              <w:rPr>
                <w:rFonts w:ascii="Lato" w:hAnsi="Lato"/>
                <w:sz w:val="22"/>
                <w:szCs w:val="22"/>
              </w:rPr>
            </w:pPr>
          </w:p>
        </w:tc>
        <w:tc>
          <w:tcPr>
            <w:tcW w:w="5891" w:type="dxa"/>
          </w:tcPr>
          <w:p w14:paraId="65FB7FE0" w14:textId="77777777" w:rsidR="00B61F2A" w:rsidRPr="001362A6" w:rsidRDefault="00B61F2A" w:rsidP="00B61F2A">
            <w:pPr>
              <w:jc w:val="both"/>
              <w:rPr>
                <w:rFonts w:ascii="Lato" w:hAnsi="Lato"/>
                <w:sz w:val="22"/>
                <w:szCs w:val="22"/>
              </w:rPr>
            </w:pPr>
          </w:p>
        </w:tc>
        <w:tc>
          <w:tcPr>
            <w:tcW w:w="3188" w:type="dxa"/>
          </w:tcPr>
          <w:p w14:paraId="7C65A4D7" w14:textId="77777777" w:rsidR="00B61F2A" w:rsidRPr="001362A6" w:rsidRDefault="00B61F2A" w:rsidP="00B61F2A">
            <w:pPr>
              <w:rPr>
                <w:rFonts w:ascii="Lato" w:hAnsi="Lato"/>
                <w:sz w:val="22"/>
                <w:szCs w:val="22"/>
              </w:rPr>
            </w:pPr>
          </w:p>
        </w:tc>
      </w:tr>
      <w:tr w:rsidR="00B61F2A" w:rsidRPr="001362A6" w14:paraId="24D5EFAB" w14:textId="77777777" w:rsidTr="003F57C4">
        <w:tc>
          <w:tcPr>
            <w:tcW w:w="1316" w:type="dxa"/>
          </w:tcPr>
          <w:p w14:paraId="40A9BC0A" w14:textId="77777777" w:rsidR="00B61F2A" w:rsidRPr="001362A6" w:rsidRDefault="00B61F2A" w:rsidP="00B61F2A">
            <w:pPr>
              <w:rPr>
                <w:rFonts w:ascii="Lato" w:hAnsi="Lato"/>
                <w:sz w:val="22"/>
                <w:szCs w:val="22"/>
              </w:rPr>
            </w:pPr>
            <w:r w:rsidRPr="001362A6">
              <w:rPr>
                <w:rFonts w:ascii="Lato" w:hAnsi="Lato"/>
                <w:sz w:val="22"/>
                <w:szCs w:val="22"/>
              </w:rPr>
              <w:t>2.19.3</w:t>
            </w:r>
          </w:p>
        </w:tc>
        <w:tc>
          <w:tcPr>
            <w:tcW w:w="5891" w:type="dxa"/>
          </w:tcPr>
          <w:p w14:paraId="4A9F97E9" w14:textId="77777777" w:rsidR="00B61F2A" w:rsidRPr="001362A6" w:rsidRDefault="00B61F2A" w:rsidP="00B61F2A">
            <w:pPr>
              <w:pStyle w:val="BodyTextIndent"/>
              <w:ind w:left="-5"/>
              <w:jc w:val="both"/>
              <w:rPr>
                <w:rFonts w:ascii="Lato" w:hAnsi="Lato"/>
                <w:bCs/>
                <w:szCs w:val="22"/>
              </w:rPr>
            </w:pPr>
            <w:r w:rsidRPr="001362A6">
              <w:rPr>
                <w:rFonts w:ascii="Lato" w:hAnsi="Lato"/>
                <w:bCs/>
                <w:szCs w:val="22"/>
              </w:rPr>
              <w:t xml:space="preserve">Provide that at the end of the specified duration the </w:t>
            </w:r>
          </w:p>
        </w:tc>
        <w:tc>
          <w:tcPr>
            <w:tcW w:w="3188" w:type="dxa"/>
          </w:tcPr>
          <w:p w14:paraId="67939C09" w14:textId="77777777" w:rsidR="00B61F2A" w:rsidRPr="001362A6" w:rsidRDefault="00B61F2A" w:rsidP="00B61F2A">
            <w:pPr>
              <w:rPr>
                <w:rFonts w:ascii="Lato" w:hAnsi="Lato"/>
                <w:sz w:val="22"/>
                <w:szCs w:val="22"/>
              </w:rPr>
            </w:pPr>
          </w:p>
        </w:tc>
      </w:tr>
      <w:tr w:rsidR="00B61F2A" w:rsidRPr="001362A6" w14:paraId="0A0DA51C" w14:textId="77777777" w:rsidTr="003F57C4">
        <w:tc>
          <w:tcPr>
            <w:tcW w:w="1316" w:type="dxa"/>
          </w:tcPr>
          <w:p w14:paraId="3E584A43" w14:textId="77777777" w:rsidR="00B61F2A" w:rsidRPr="001362A6" w:rsidRDefault="00B61F2A" w:rsidP="00B61F2A">
            <w:pPr>
              <w:rPr>
                <w:rFonts w:ascii="Lato" w:hAnsi="Lato"/>
                <w:b/>
                <w:sz w:val="22"/>
                <w:szCs w:val="22"/>
              </w:rPr>
            </w:pPr>
          </w:p>
        </w:tc>
        <w:tc>
          <w:tcPr>
            <w:tcW w:w="5891" w:type="dxa"/>
          </w:tcPr>
          <w:p w14:paraId="5C25CFB2" w14:textId="77777777" w:rsidR="00B61F2A" w:rsidRPr="001362A6" w:rsidRDefault="00B61F2A" w:rsidP="00B61F2A">
            <w:pPr>
              <w:pStyle w:val="BodyTextIndent"/>
              <w:ind w:left="-5"/>
              <w:jc w:val="both"/>
              <w:rPr>
                <w:rFonts w:ascii="Lato" w:hAnsi="Lato"/>
                <w:bCs/>
                <w:szCs w:val="22"/>
              </w:rPr>
            </w:pPr>
            <w:r w:rsidRPr="00590C6D">
              <w:rPr>
                <w:rFonts w:ascii="Lato" w:hAnsi="Lato"/>
                <w:bCs/>
                <w:szCs w:val="22"/>
              </w:rPr>
              <w:t>Qualifying</w:t>
            </w:r>
            <w:r w:rsidRPr="001362A6">
              <w:rPr>
                <w:rFonts w:ascii="Lato" w:hAnsi="Lato"/>
                <w:bCs/>
                <w:szCs w:val="22"/>
              </w:rPr>
              <w:t xml:space="preserve"> Investor AIF will undertake one of the following action(s):</w:t>
            </w:r>
          </w:p>
        </w:tc>
        <w:tc>
          <w:tcPr>
            <w:tcW w:w="3188" w:type="dxa"/>
          </w:tcPr>
          <w:p w14:paraId="319DB3F6" w14:textId="77777777" w:rsidR="00B61F2A" w:rsidRPr="001362A6" w:rsidRDefault="00B61F2A" w:rsidP="00B61F2A">
            <w:pPr>
              <w:rPr>
                <w:rFonts w:ascii="Lato" w:hAnsi="Lato"/>
                <w:sz w:val="22"/>
                <w:szCs w:val="22"/>
              </w:rPr>
            </w:pPr>
          </w:p>
        </w:tc>
      </w:tr>
      <w:tr w:rsidR="00B61F2A" w:rsidRPr="001362A6" w14:paraId="09BA165C" w14:textId="77777777" w:rsidTr="003F57C4">
        <w:tc>
          <w:tcPr>
            <w:tcW w:w="1316" w:type="dxa"/>
          </w:tcPr>
          <w:p w14:paraId="4883D440" w14:textId="77777777" w:rsidR="00B61F2A" w:rsidRPr="001362A6" w:rsidRDefault="00B61F2A" w:rsidP="00B61F2A">
            <w:pPr>
              <w:rPr>
                <w:rFonts w:ascii="Lato" w:hAnsi="Lato"/>
                <w:b/>
                <w:sz w:val="22"/>
                <w:szCs w:val="22"/>
              </w:rPr>
            </w:pPr>
          </w:p>
        </w:tc>
        <w:tc>
          <w:tcPr>
            <w:tcW w:w="5891" w:type="dxa"/>
          </w:tcPr>
          <w:p w14:paraId="0472741E" w14:textId="77777777" w:rsidR="00B61F2A" w:rsidRPr="001362A6" w:rsidRDefault="00B61F2A" w:rsidP="00B61F2A">
            <w:pPr>
              <w:pStyle w:val="BodyTextIndent"/>
              <w:ind w:left="-5"/>
              <w:jc w:val="both"/>
              <w:rPr>
                <w:rFonts w:ascii="Lato" w:hAnsi="Lato"/>
                <w:bCs/>
                <w:szCs w:val="22"/>
              </w:rPr>
            </w:pPr>
          </w:p>
        </w:tc>
        <w:tc>
          <w:tcPr>
            <w:tcW w:w="3188" w:type="dxa"/>
            <w:tcBorders>
              <w:bottom w:val="single" w:sz="4" w:space="0" w:color="auto"/>
            </w:tcBorders>
          </w:tcPr>
          <w:p w14:paraId="35DD66B6" w14:textId="77777777" w:rsidR="00B61F2A" w:rsidRPr="001362A6" w:rsidRDefault="00B61F2A" w:rsidP="00B61F2A">
            <w:pPr>
              <w:rPr>
                <w:rFonts w:ascii="Lato" w:hAnsi="Lato"/>
                <w:sz w:val="22"/>
                <w:szCs w:val="22"/>
              </w:rPr>
            </w:pPr>
          </w:p>
        </w:tc>
      </w:tr>
      <w:tr w:rsidR="00B61F2A" w:rsidRPr="001362A6" w14:paraId="0308657D" w14:textId="77777777" w:rsidTr="003F57C4">
        <w:tc>
          <w:tcPr>
            <w:tcW w:w="1316" w:type="dxa"/>
          </w:tcPr>
          <w:p w14:paraId="42F86A6A" w14:textId="77777777" w:rsidR="00B61F2A" w:rsidRPr="001362A6" w:rsidRDefault="00B61F2A" w:rsidP="00B61F2A">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4F1737AD" w14:textId="77777777" w:rsidR="00B61F2A" w:rsidRPr="001362A6" w:rsidRDefault="00B61F2A" w:rsidP="00B61F2A">
            <w:pPr>
              <w:pStyle w:val="BodyTextIndent"/>
              <w:ind w:left="-5"/>
              <w:jc w:val="both"/>
              <w:rPr>
                <w:rFonts w:ascii="Lato" w:hAnsi="Lato"/>
                <w:bCs/>
                <w:szCs w:val="22"/>
              </w:rPr>
            </w:pPr>
            <w:r w:rsidRPr="001362A6">
              <w:rPr>
                <w:rFonts w:ascii="Lato" w:hAnsi="Lato"/>
                <w:bCs/>
                <w:szCs w:val="22"/>
              </w:rPr>
              <w:t xml:space="preserve">Wind-up and apply to the </w:t>
            </w:r>
            <w:r w:rsidRPr="001362A6">
              <w:rPr>
                <w:rFonts w:ascii="Lato" w:hAnsi="Lato"/>
                <w:szCs w:val="22"/>
              </w:rPr>
              <w:t xml:space="preserve">Central Bank </w:t>
            </w:r>
            <w:r w:rsidRPr="001362A6">
              <w:rPr>
                <w:rFonts w:ascii="Lato" w:hAnsi="Lato"/>
                <w:bCs/>
                <w:szCs w:val="22"/>
              </w:rPr>
              <w:t xml:space="preserve">for a revocation of </w:t>
            </w:r>
          </w:p>
        </w:tc>
        <w:tc>
          <w:tcPr>
            <w:tcW w:w="3188" w:type="dxa"/>
            <w:tcBorders>
              <w:top w:val="single" w:sz="4" w:space="0" w:color="auto"/>
              <w:left w:val="single" w:sz="4" w:space="0" w:color="auto"/>
              <w:bottom w:val="single" w:sz="4" w:space="0" w:color="auto"/>
              <w:right w:val="single" w:sz="4" w:space="0" w:color="auto"/>
            </w:tcBorders>
          </w:tcPr>
          <w:p w14:paraId="48BFD983" w14:textId="77777777" w:rsidR="00B61F2A" w:rsidRPr="001362A6" w:rsidRDefault="00B61F2A" w:rsidP="00B61F2A">
            <w:pPr>
              <w:rPr>
                <w:rFonts w:ascii="Lato" w:hAnsi="Lato"/>
                <w:sz w:val="22"/>
                <w:szCs w:val="22"/>
              </w:rPr>
            </w:pPr>
          </w:p>
        </w:tc>
      </w:tr>
      <w:tr w:rsidR="00B61F2A" w:rsidRPr="001362A6" w14:paraId="513BF95B" w14:textId="77777777" w:rsidTr="003F57C4">
        <w:tc>
          <w:tcPr>
            <w:tcW w:w="1316" w:type="dxa"/>
          </w:tcPr>
          <w:p w14:paraId="742A194A" w14:textId="77777777" w:rsidR="00B61F2A" w:rsidRPr="001362A6" w:rsidRDefault="00B61F2A" w:rsidP="00B61F2A">
            <w:pPr>
              <w:jc w:val="right"/>
              <w:rPr>
                <w:rFonts w:ascii="Lato" w:hAnsi="Lato"/>
                <w:sz w:val="22"/>
                <w:szCs w:val="22"/>
              </w:rPr>
            </w:pPr>
          </w:p>
        </w:tc>
        <w:tc>
          <w:tcPr>
            <w:tcW w:w="5891" w:type="dxa"/>
          </w:tcPr>
          <w:p w14:paraId="0E192486" w14:textId="77777777" w:rsidR="00B61F2A" w:rsidRPr="001362A6" w:rsidRDefault="00B61F2A" w:rsidP="00B61F2A">
            <w:pPr>
              <w:pStyle w:val="BodyTextIndent"/>
              <w:ind w:left="-5"/>
              <w:jc w:val="both"/>
              <w:rPr>
                <w:rFonts w:ascii="Lato" w:hAnsi="Lato"/>
                <w:bCs/>
                <w:szCs w:val="22"/>
              </w:rPr>
            </w:pPr>
            <w:r w:rsidRPr="00590C6D">
              <w:rPr>
                <w:rFonts w:ascii="Lato" w:hAnsi="Lato"/>
                <w:bCs/>
                <w:szCs w:val="22"/>
              </w:rPr>
              <w:t>the</w:t>
            </w:r>
            <w:r w:rsidRPr="001362A6">
              <w:rPr>
                <w:rFonts w:ascii="Lato" w:hAnsi="Lato"/>
                <w:bCs/>
                <w:szCs w:val="22"/>
              </w:rPr>
              <w:t xml:space="preserve"> Qualifying Investor AIF authorisation;</w:t>
            </w:r>
          </w:p>
        </w:tc>
        <w:tc>
          <w:tcPr>
            <w:tcW w:w="3188" w:type="dxa"/>
            <w:tcBorders>
              <w:top w:val="single" w:sz="4" w:space="0" w:color="auto"/>
            </w:tcBorders>
          </w:tcPr>
          <w:p w14:paraId="759ADDCD" w14:textId="77777777" w:rsidR="00B61F2A" w:rsidRPr="001362A6" w:rsidRDefault="00B61F2A" w:rsidP="00B61F2A">
            <w:pPr>
              <w:rPr>
                <w:rFonts w:ascii="Lato" w:hAnsi="Lato"/>
                <w:sz w:val="22"/>
                <w:szCs w:val="22"/>
              </w:rPr>
            </w:pPr>
          </w:p>
        </w:tc>
      </w:tr>
      <w:tr w:rsidR="00B61F2A" w:rsidRPr="001362A6" w14:paraId="7B60E5F9" w14:textId="77777777" w:rsidTr="003F57C4">
        <w:tc>
          <w:tcPr>
            <w:tcW w:w="1316" w:type="dxa"/>
          </w:tcPr>
          <w:p w14:paraId="04DA09E1" w14:textId="77777777" w:rsidR="00B61F2A" w:rsidRPr="001362A6" w:rsidRDefault="00B61F2A" w:rsidP="00B61F2A">
            <w:pPr>
              <w:jc w:val="right"/>
              <w:rPr>
                <w:rFonts w:ascii="Lato" w:hAnsi="Lato"/>
                <w:sz w:val="22"/>
                <w:szCs w:val="22"/>
              </w:rPr>
            </w:pPr>
          </w:p>
        </w:tc>
        <w:tc>
          <w:tcPr>
            <w:tcW w:w="5891" w:type="dxa"/>
          </w:tcPr>
          <w:p w14:paraId="3BB9ACD8" w14:textId="77777777" w:rsidR="00B61F2A" w:rsidRPr="001362A6" w:rsidRDefault="00B61F2A" w:rsidP="00B61F2A">
            <w:pPr>
              <w:pStyle w:val="BodyTextIndent"/>
              <w:ind w:left="-5"/>
              <w:jc w:val="both"/>
              <w:rPr>
                <w:rFonts w:ascii="Lato" w:hAnsi="Lato"/>
                <w:bCs/>
                <w:szCs w:val="22"/>
              </w:rPr>
            </w:pPr>
          </w:p>
        </w:tc>
        <w:tc>
          <w:tcPr>
            <w:tcW w:w="3188" w:type="dxa"/>
            <w:tcBorders>
              <w:bottom w:val="single" w:sz="4" w:space="0" w:color="auto"/>
            </w:tcBorders>
          </w:tcPr>
          <w:p w14:paraId="5D28A578" w14:textId="77777777" w:rsidR="00B61F2A" w:rsidRPr="001362A6" w:rsidRDefault="00B61F2A" w:rsidP="00B61F2A">
            <w:pPr>
              <w:rPr>
                <w:rFonts w:ascii="Lato" w:hAnsi="Lato"/>
                <w:sz w:val="22"/>
                <w:szCs w:val="22"/>
              </w:rPr>
            </w:pPr>
          </w:p>
        </w:tc>
      </w:tr>
      <w:tr w:rsidR="00B61F2A" w:rsidRPr="001362A6" w14:paraId="0C55908F" w14:textId="77777777" w:rsidTr="003F57C4">
        <w:tc>
          <w:tcPr>
            <w:tcW w:w="1316" w:type="dxa"/>
          </w:tcPr>
          <w:p w14:paraId="4F638B8D" w14:textId="77777777" w:rsidR="00B61F2A" w:rsidRPr="001362A6" w:rsidRDefault="00B61F2A" w:rsidP="00B61F2A">
            <w:pPr>
              <w:jc w:val="right"/>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38ED7112" w14:textId="77777777" w:rsidR="00B61F2A" w:rsidRPr="001362A6" w:rsidRDefault="00B61F2A" w:rsidP="00B61F2A">
            <w:pPr>
              <w:pStyle w:val="BodyTextIndent"/>
              <w:ind w:left="-5"/>
              <w:jc w:val="both"/>
              <w:rPr>
                <w:rFonts w:ascii="Lato" w:hAnsi="Lato"/>
                <w:bCs/>
                <w:szCs w:val="22"/>
              </w:rPr>
            </w:pPr>
            <w:r w:rsidRPr="001362A6">
              <w:rPr>
                <w:rFonts w:ascii="Lato" w:hAnsi="Lato"/>
                <w:bCs/>
                <w:szCs w:val="22"/>
              </w:rPr>
              <w:t xml:space="preserve">Redeem all outstanding units and apply to the </w:t>
            </w:r>
            <w:r w:rsidRPr="001362A6">
              <w:rPr>
                <w:rFonts w:ascii="Lato" w:hAnsi="Lato"/>
                <w:szCs w:val="22"/>
              </w:rPr>
              <w:t xml:space="preserve">Central Bank </w:t>
            </w:r>
          </w:p>
        </w:tc>
        <w:tc>
          <w:tcPr>
            <w:tcW w:w="3188" w:type="dxa"/>
            <w:tcBorders>
              <w:top w:val="single" w:sz="4" w:space="0" w:color="auto"/>
              <w:left w:val="single" w:sz="4" w:space="0" w:color="auto"/>
              <w:bottom w:val="single" w:sz="4" w:space="0" w:color="auto"/>
              <w:right w:val="single" w:sz="4" w:space="0" w:color="auto"/>
            </w:tcBorders>
          </w:tcPr>
          <w:p w14:paraId="08179902" w14:textId="77777777" w:rsidR="00B61F2A" w:rsidRPr="001362A6" w:rsidRDefault="00B61F2A" w:rsidP="00B61F2A">
            <w:pPr>
              <w:rPr>
                <w:rFonts w:ascii="Lato" w:hAnsi="Lato"/>
                <w:sz w:val="22"/>
                <w:szCs w:val="22"/>
              </w:rPr>
            </w:pPr>
          </w:p>
        </w:tc>
      </w:tr>
      <w:tr w:rsidR="00B61F2A" w:rsidRPr="001362A6" w14:paraId="26C6E146" w14:textId="77777777" w:rsidTr="003F57C4">
        <w:tc>
          <w:tcPr>
            <w:tcW w:w="1316" w:type="dxa"/>
          </w:tcPr>
          <w:p w14:paraId="49978595" w14:textId="77777777" w:rsidR="00B61F2A" w:rsidRPr="001362A6" w:rsidRDefault="00B61F2A" w:rsidP="00B61F2A">
            <w:pPr>
              <w:jc w:val="right"/>
              <w:rPr>
                <w:rFonts w:ascii="Lato" w:hAnsi="Lato"/>
                <w:sz w:val="22"/>
                <w:szCs w:val="22"/>
              </w:rPr>
            </w:pPr>
          </w:p>
        </w:tc>
        <w:tc>
          <w:tcPr>
            <w:tcW w:w="5891" w:type="dxa"/>
          </w:tcPr>
          <w:p w14:paraId="54EC717B" w14:textId="77777777" w:rsidR="00B61F2A" w:rsidRPr="001362A6" w:rsidRDefault="00B61F2A" w:rsidP="00B61F2A">
            <w:pPr>
              <w:pStyle w:val="BodyTextIndent"/>
              <w:ind w:left="-5"/>
              <w:jc w:val="both"/>
              <w:rPr>
                <w:rFonts w:ascii="Lato" w:hAnsi="Lato"/>
                <w:bCs/>
                <w:szCs w:val="22"/>
              </w:rPr>
            </w:pPr>
            <w:r w:rsidRPr="00590C6D">
              <w:rPr>
                <w:rFonts w:ascii="Lato" w:hAnsi="Lato"/>
                <w:bCs/>
                <w:szCs w:val="22"/>
              </w:rPr>
              <w:t xml:space="preserve">for </w:t>
            </w:r>
            <w:r w:rsidRPr="001362A6">
              <w:rPr>
                <w:rFonts w:ascii="Lato" w:hAnsi="Lato"/>
                <w:bCs/>
                <w:szCs w:val="22"/>
              </w:rPr>
              <w:t>a revocation of the Qualifying Investor AIF authorisation;</w:t>
            </w:r>
          </w:p>
        </w:tc>
        <w:tc>
          <w:tcPr>
            <w:tcW w:w="3188" w:type="dxa"/>
            <w:tcBorders>
              <w:top w:val="single" w:sz="4" w:space="0" w:color="auto"/>
            </w:tcBorders>
          </w:tcPr>
          <w:p w14:paraId="0DCA590C" w14:textId="77777777" w:rsidR="00B61F2A" w:rsidRPr="001362A6" w:rsidRDefault="00B61F2A" w:rsidP="00B61F2A">
            <w:pPr>
              <w:rPr>
                <w:rFonts w:ascii="Lato" w:hAnsi="Lato"/>
                <w:sz w:val="22"/>
                <w:szCs w:val="22"/>
              </w:rPr>
            </w:pPr>
          </w:p>
        </w:tc>
      </w:tr>
      <w:tr w:rsidR="00B61F2A" w:rsidRPr="001362A6" w14:paraId="2A55D2AA" w14:textId="77777777" w:rsidTr="003F57C4">
        <w:tc>
          <w:tcPr>
            <w:tcW w:w="1316" w:type="dxa"/>
          </w:tcPr>
          <w:p w14:paraId="36BD11F2" w14:textId="77777777" w:rsidR="00B61F2A" w:rsidRPr="001362A6" w:rsidRDefault="00B61F2A" w:rsidP="00B61F2A">
            <w:pPr>
              <w:jc w:val="right"/>
              <w:rPr>
                <w:rFonts w:ascii="Lato" w:hAnsi="Lato"/>
                <w:sz w:val="22"/>
                <w:szCs w:val="22"/>
              </w:rPr>
            </w:pPr>
          </w:p>
        </w:tc>
        <w:tc>
          <w:tcPr>
            <w:tcW w:w="5891" w:type="dxa"/>
          </w:tcPr>
          <w:p w14:paraId="0E6650C0" w14:textId="77777777" w:rsidR="00B61F2A" w:rsidRPr="001362A6" w:rsidRDefault="00B61F2A" w:rsidP="00B61F2A">
            <w:pPr>
              <w:pStyle w:val="BodyTextIndent"/>
              <w:ind w:left="-5"/>
              <w:jc w:val="both"/>
              <w:rPr>
                <w:rFonts w:ascii="Lato" w:hAnsi="Lato"/>
                <w:bCs/>
                <w:szCs w:val="22"/>
              </w:rPr>
            </w:pPr>
          </w:p>
        </w:tc>
        <w:tc>
          <w:tcPr>
            <w:tcW w:w="3188" w:type="dxa"/>
            <w:tcBorders>
              <w:bottom w:val="single" w:sz="4" w:space="0" w:color="auto"/>
            </w:tcBorders>
          </w:tcPr>
          <w:p w14:paraId="06349571" w14:textId="77777777" w:rsidR="00B61F2A" w:rsidRPr="001362A6" w:rsidRDefault="00B61F2A" w:rsidP="00B61F2A">
            <w:pPr>
              <w:rPr>
                <w:rFonts w:ascii="Lato" w:hAnsi="Lato"/>
                <w:sz w:val="22"/>
                <w:szCs w:val="22"/>
              </w:rPr>
            </w:pPr>
          </w:p>
        </w:tc>
      </w:tr>
      <w:tr w:rsidR="00B61F2A" w:rsidRPr="001362A6" w14:paraId="494E3199" w14:textId="77777777" w:rsidTr="003F57C4">
        <w:tc>
          <w:tcPr>
            <w:tcW w:w="1316" w:type="dxa"/>
          </w:tcPr>
          <w:p w14:paraId="397F8997" w14:textId="77777777" w:rsidR="00B61F2A" w:rsidRPr="001362A6" w:rsidRDefault="00B61F2A" w:rsidP="00B61F2A">
            <w:pPr>
              <w:jc w:val="right"/>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6CCE4AC8" w14:textId="77777777" w:rsidR="00B61F2A" w:rsidRPr="001362A6" w:rsidRDefault="00B61F2A" w:rsidP="00B61F2A">
            <w:pPr>
              <w:pStyle w:val="BodyTextIndent"/>
              <w:ind w:left="-5"/>
              <w:jc w:val="both"/>
              <w:rPr>
                <w:rFonts w:ascii="Lato" w:hAnsi="Lato"/>
                <w:bCs/>
                <w:szCs w:val="22"/>
              </w:rPr>
            </w:pPr>
            <w:r w:rsidRPr="001362A6">
              <w:rPr>
                <w:rFonts w:ascii="Lato" w:hAnsi="Lato"/>
                <w:bCs/>
                <w:szCs w:val="22"/>
              </w:rPr>
              <w:t>Convert into an open-ended Qualifying Investor AIF and</w:t>
            </w:r>
          </w:p>
        </w:tc>
        <w:tc>
          <w:tcPr>
            <w:tcW w:w="3188" w:type="dxa"/>
            <w:tcBorders>
              <w:top w:val="single" w:sz="4" w:space="0" w:color="auto"/>
              <w:left w:val="single" w:sz="4" w:space="0" w:color="auto"/>
              <w:bottom w:val="single" w:sz="4" w:space="0" w:color="auto"/>
              <w:right w:val="single" w:sz="4" w:space="0" w:color="auto"/>
            </w:tcBorders>
          </w:tcPr>
          <w:p w14:paraId="4117CE32" w14:textId="77777777" w:rsidR="00B61F2A" w:rsidRPr="001362A6" w:rsidRDefault="00B61F2A" w:rsidP="00B61F2A">
            <w:pPr>
              <w:rPr>
                <w:rFonts w:ascii="Lato" w:hAnsi="Lato"/>
                <w:sz w:val="22"/>
                <w:szCs w:val="22"/>
              </w:rPr>
            </w:pPr>
          </w:p>
        </w:tc>
      </w:tr>
      <w:tr w:rsidR="00B61F2A" w:rsidRPr="001362A6" w14:paraId="0472A63B" w14:textId="77777777" w:rsidTr="003F57C4">
        <w:tc>
          <w:tcPr>
            <w:tcW w:w="1316" w:type="dxa"/>
          </w:tcPr>
          <w:p w14:paraId="57D1A7D4" w14:textId="77777777" w:rsidR="00B61F2A" w:rsidRPr="001362A6" w:rsidRDefault="00B61F2A" w:rsidP="00B61F2A">
            <w:pPr>
              <w:jc w:val="right"/>
              <w:rPr>
                <w:rFonts w:ascii="Lato" w:hAnsi="Lato"/>
                <w:sz w:val="22"/>
                <w:szCs w:val="22"/>
              </w:rPr>
            </w:pPr>
          </w:p>
        </w:tc>
        <w:tc>
          <w:tcPr>
            <w:tcW w:w="5891" w:type="dxa"/>
          </w:tcPr>
          <w:p w14:paraId="2120436A" w14:textId="77777777" w:rsidR="00B61F2A" w:rsidRPr="001362A6" w:rsidRDefault="00B61F2A" w:rsidP="00B61F2A">
            <w:pPr>
              <w:pStyle w:val="BodyTextIndent"/>
              <w:ind w:left="-5"/>
              <w:jc w:val="both"/>
              <w:rPr>
                <w:rFonts w:ascii="Lato" w:hAnsi="Lato"/>
                <w:bCs/>
                <w:szCs w:val="22"/>
              </w:rPr>
            </w:pPr>
            <w:r w:rsidRPr="001362A6">
              <w:rPr>
                <w:rFonts w:ascii="Lato" w:hAnsi="Lato"/>
                <w:bCs/>
                <w:szCs w:val="22"/>
              </w:rPr>
              <w:t>disclosed relevant details; or</w:t>
            </w:r>
          </w:p>
        </w:tc>
        <w:tc>
          <w:tcPr>
            <w:tcW w:w="3188" w:type="dxa"/>
            <w:tcBorders>
              <w:top w:val="single" w:sz="4" w:space="0" w:color="auto"/>
            </w:tcBorders>
          </w:tcPr>
          <w:p w14:paraId="6DC6F35A" w14:textId="77777777" w:rsidR="00B61F2A" w:rsidRPr="001362A6" w:rsidRDefault="00B61F2A" w:rsidP="00B61F2A">
            <w:pPr>
              <w:rPr>
                <w:rFonts w:ascii="Lato" w:hAnsi="Lato"/>
                <w:sz w:val="22"/>
                <w:szCs w:val="22"/>
              </w:rPr>
            </w:pPr>
          </w:p>
        </w:tc>
      </w:tr>
      <w:tr w:rsidR="00B61F2A" w:rsidRPr="001362A6" w14:paraId="3116F18E" w14:textId="77777777" w:rsidTr="003F57C4">
        <w:tc>
          <w:tcPr>
            <w:tcW w:w="1316" w:type="dxa"/>
          </w:tcPr>
          <w:p w14:paraId="3D5FD384" w14:textId="77777777" w:rsidR="00B61F2A" w:rsidRPr="001362A6" w:rsidRDefault="00B61F2A" w:rsidP="00B61F2A">
            <w:pPr>
              <w:jc w:val="right"/>
              <w:rPr>
                <w:rFonts w:ascii="Lato" w:hAnsi="Lato"/>
                <w:sz w:val="22"/>
                <w:szCs w:val="22"/>
              </w:rPr>
            </w:pPr>
          </w:p>
        </w:tc>
        <w:tc>
          <w:tcPr>
            <w:tcW w:w="5891" w:type="dxa"/>
          </w:tcPr>
          <w:p w14:paraId="20423DA1" w14:textId="77777777" w:rsidR="00B61F2A" w:rsidRPr="001362A6" w:rsidRDefault="00B61F2A" w:rsidP="00B61F2A">
            <w:pPr>
              <w:pStyle w:val="BodyTextIndent"/>
              <w:ind w:left="-5"/>
              <w:jc w:val="both"/>
              <w:rPr>
                <w:rFonts w:ascii="Lato" w:hAnsi="Lato"/>
                <w:bCs/>
                <w:szCs w:val="22"/>
              </w:rPr>
            </w:pPr>
            <w:r w:rsidRPr="001362A6">
              <w:rPr>
                <w:rFonts w:ascii="Lato" w:hAnsi="Lato"/>
                <w:bCs/>
                <w:szCs w:val="22"/>
              </w:rPr>
              <w:t>or</w:t>
            </w:r>
          </w:p>
        </w:tc>
        <w:tc>
          <w:tcPr>
            <w:tcW w:w="3188" w:type="dxa"/>
            <w:tcBorders>
              <w:bottom w:val="single" w:sz="4" w:space="0" w:color="auto"/>
            </w:tcBorders>
          </w:tcPr>
          <w:p w14:paraId="284318B0" w14:textId="77777777" w:rsidR="00B61F2A" w:rsidRPr="001362A6" w:rsidRDefault="00B61F2A" w:rsidP="00B61F2A">
            <w:pPr>
              <w:rPr>
                <w:rFonts w:ascii="Lato" w:hAnsi="Lato"/>
                <w:sz w:val="22"/>
                <w:szCs w:val="22"/>
              </w:rPr>
            </w:pPr>
          </w:p>
        </w:tc>
      </w:tr>
      <w:tr w:rsidR="00B61F2A" w:rsidRPr="001362A6" w14:paraId="1FD43D0F" w14:textId="77777777" w:rsidTr="003F57C4">
        <w:tc>
          <w:tcPr>
            <w:tcW w:w="1316" w:type="dxa"/>
          </w:tcPr>
          <w:p w14:paraId="583D915A" w14:textId="77777777" w:rsidR="00B61F2A" w:rsidRPr="001362A6" w:rsidRDefault="00B61F2A" w:rsidP="00B61F2A">
            <w:pPr>
              <w:jc w:val="right"/>
              <w:rPr>
                <w:rFonts w:ascii="Lato" w:hAnsi="Lato"/>
                <w:sz w:val="22"/>
                <w:szCs w:val="22"/>
              </w:rPr>
            </w:pPr>
            <w:r w:rsidRPr="001362A6">
              <w:rPr>
                <w:rFonts w:ascii="Lato" w:hAnsi="Lato"/>
                <w:sz w:val="22"/>
                <w:szCs w:val="22"/>
              </w:rPr>
              <w:t>d)</w:t>
            </w:r>
          </w:p>
        </w:tc>
        <w:tc>
          <w:tcPr>
            <w:tcW w:w="5891" w:type="dxa"/>
            <w:tcBorders>
              <w:right w:val="single" w:sz="4" w:space="0" w:color="auto"/>
            </w:tcBorders>
          </w:tcPr>
          <w:p w14:paraId="4CFE0F73" w14:textId="77777777" w:rsidR="00B61F2A" w:rsidRPr="001362A6" w:rsidRDefault="00B61F2A" w:rsidP="00B61F2A">
            <w:pPr>
              <w:pStyle w:val="BodyTextIndent"/>
              <w:ind w:left="-5"/>
              <w:jc w:val="both"/>
              <w:rPr>
                <w:rFonts w:ascii="Lato" w:hAnsi="Lato"/>
                <w:bCs/>
                <w:szCs w:val="22"/>
              </w:rPr>
            </w:pPr>
            <w:r w:rsidRPr="001362A6">
              <w:rPr>
                <w:rFonts w:ascii="Lato" w:hAnsi="Lato"/>
                <w:bCs/>
                <w:szCs w:val="22"/>
              </w:rPr>
              <w:t xml:space="preserve">Obtain unitholder approval  to extend the closed-ended </w:t>
            </w:r>
          </w:p>
        </w:tc>
        <w:tc>
          <w:tcPr>
            <w:tcW w:w="3188" w:type="dxa"/>
            <w:tcBorders>
              <w:top w:val="single" w:sz="4" w:space="0" w:color="auto"/>
              <w:left w:val="single" w:sz="4" w:space="0" w:color="auto"/>
              <w:bottom w:val="single" w:sz="4" w:space="0" w:color="auto"/>
              <w:right w:val="single" w:sz="4" w:space="0" w:color="auto"/>
            </w:tcBorders>
          </w:tcPr>
          <w:p w14:paraId="49A37BE1" w14:textId="77777777" w:rsidR="00B61F2A" w:rsidRPr="001362A6" w:rsidRDefault="00B61F2A" w:rsidP="00B61F2A">
            <w:pPr>
              <w:rPr>
                <w:rFonts w:ascii="Lato" w:hAnsi="Lato"/>
                <w:sz w:val="22"/>
                <w:szCs w:val="22"/>
              </w:rPr>
            </w:pPr>
          </w:p>
        </w:tc>
      </w:tr>
      <w:tr w:rsidR="00B61F2A" w:rsidRPr="001362A6" w14:paraId="07910930" w14:textId="77777777" w:rsidTr="003F57C4">
        <w:tc>
          <w:tcPr>
            <w:tcW w:w="1316" w:type="dxa"/>
          </w:tcPr>
          <w:p w14:paraId="2C372584" w14:textId="77777777" w:rsidR="00B61F2A" w:rsidRPr="001362A6" w:rsidRDefault="00B61F2A" w:rsidP="00B61F2A">
            <w:pPr>
              <w:jc w:val="right"/>
              <w:rPr>
                <w:rFonts w:ascii="Lato" w:hAnsi="Lato"/>
                <w:sz w:val="22"/>
                <w:szCs w:val="22"/>
              </w:rPr>
            </w:pPr>
          </w:p>
        </w:tc>
        <w:tc>
          <w:tcPr>
            <w:tcW w:w="5891" w:type="dxa"/>
          </w:tcPr>
          <w:p w14:paraId="5AA71437" w14:textId="77777777" w:rsidR="00B61F2A" w:rsidRPr="001362A6" w:rsidRDefault="00B61F2A" w:rsidP="00B61F2A">
            <w:pPr>
              <w:pStyle w:val="BodyTextIndent"/>
              <w:ind w:left="-5"/>
              <w:jc w:val="both"/>
              <w:rPr>
                <w:rFonts w:ascii="Lato" w:hAnsi="Lato"/>
                <w:bCs/>
                <w:szCs w:val="22"/>
              </w:rPr>
            </w:pPr>
            <w:r w:rsidRPr="00590C6D">
              <w:rPr>
                <w:rFonts w:ascii="Lato" w:hAnsi="Lato"/>
                <w:bCs/>
                <w:szCs w:val="22"/>
              </w:rPr>
              <w:t>period</w:t>
            </w:r>
            <w:r w:rsidRPr="001362A6">
              <w:rPr>
                <w:rFonts w:ascii="Lato" w:hAnsi="Lato"/>
                <w:bCs/>
                <w:szCs w:val="22"/>
              </w:rPr>
              <w:t xml:space="preserve"> for a further finite period </w:t>
            </w:r>
          </w:p>
        </w:tc>
        <w:tc>
          <w:tcPr>
            <w:tcW w:w="3188" w:type="dxa"/>
            <w:tcBorders>
              <w:top w:val="single" w:sz="4" w:space="0" w:color="auto"/>
            </w:tcBorders>
          </w:tcPr>
          <w:p w14:paraId="56BF64F6" w14:textId="77777777" w:rsidR="00B61F2A" w:rsidRPr="001362A6" w:rsidRDefault="00B61F2A" w:rsidP="00B61F2A">
            <w:pPr>
              <w:rPr>
                <w:rFonts w:ascii="Lato" w:hAnsi="Lato"/>
                <w:sz w:val="22"/>
                <w:szCs w:val="22"/>
              </w:rPr>
            </w:pPr>
          </w:p>
        </w:tc>
      </w:tr>
      <w:tr w:rsidR="00B61F2A" w:rsidRPr="001362A6" w14:paraId="6F6A1100" w14:textId="77777777" w:rsidTr="00990D73">
        <w:tc>
          <w:tcPr>
            <w:tcW w:w="1316" w:type="dxa"/>
          </w:tcPr>
          <w:p w14:paraId="621A256A" w14:textId="77777777" w:rsidR="00B61F2A" w:rsidRPr="001362A6" w:rsidRDefault="00B61F2A" w:rsidP="00B61F2A">
            <w:pPr>
              <w:rPr>
                <w:rFonts w:ascii="Lato" w:hAnsi="Lato"/>
                <w:sz w:val="22"/>
                <w:szCs w:val="22"/>
              </w:rPr>
            </w:pPr>
          </w:p>
        </w:tc>
        <w:tc>
          <w:tcPr>
            <w:tcW w:w="5891" w:type="dxa"/>
          </w:tcPr>
          <w:p w14:paraId="201A4F71" w14:textId="77777777" w:rsidR="00B61F2A" w:rsidRPr="001362A6" w:rsidRDefault="00B61F2A" w:rsidP="00B61F2A">
            <w:pPr>
              <w:jc w:val="both"/>
              <w:rPr>
                <w:rFonts w:ascii="Lato" w:hAnsi="Lato"/>
                <w:sz w:val="22"/>
                <w:szCs w:val="22"/>
              </w:rPr>
            </w:pPr>
          </w:p>
        </w:tc>
        <w:tc>
          <w:tcPr>
            <w:tcW w:w="3188" w:type="dxa"/>
          </w:tcPr>
          <w:p w14:paraId="2C66662A" w14:textId="77777777" w:rsidR="00B61F2A" w:rsidRPr="001362A6" w:rsidRDefault="00B61F2A" w:rsidP="00B61F2A">
            <w:pPr>
              <w:rPr>
                <w:rFonts w:ascii="Lato" w:hAnsi="Lato"/>
                <w:sz w:val="22"/>
                <w:szCs w:val="22"/>
              </w:rPr>
            </w:pPr>
          </w:p>
        </w:tc>
      </w:tr>
      <w:tr w:rsidR="00B61F2A" w:rsidRPr="001362A6" w14:paraId="3E9EB61B" w14:textId="77777777" w:rsidTr="00990D73">
        <w:tc>
          <w:tcPr>
            <w:tcW w:w="1316" w:type="dxa"/>
          </w:tcPr>
          <w:p w14:paraId="531B3299" w14:textId="77777777" w:rsidR="00B61F2A" w:rsidRPr="001362A6" w:rsidRDefault="00B61F2A" w:rsidP="00B61F2A">
            <w:pPr>
              <w:rPr>
                <w:rFonts w:ascii="Lato" w:hAnsi="Lato"/>
                <w:sz w:val="22"/>
                <w:szCs w:val="22"/>
              </w:rPr>
            </w:pPr>
            <w:r w:rsidRPr="001362A6">
              <w:rPr>
                <w:rFonts w:ascii="Lato" w:hAnsi="Lato"/>
                <w:sz w:val="22"/>
                <w:szCs w:val="22"/>
              </w:rPr>
              <w:t>2.19.4</w:t>
            </w:r>
          </w:p>
        </w:tc>
        <w:tc>
          <w:tcPr>
            <w:tcW w:w="5891" w:type="dxa"/>
          </w:tcPr>
          <w:p w14:paraId="5570EC53" w14:textId="77777777" w:rsidR="00B61F2A" w:rsidRPr="001362A6" w:rsidRDefault="00B61F2A" w:rsidP="00B61F2A">
            <w:pPr>
              <w:jc w:val="both"/>
              <w:rPr>
                <w:rFonts w:ascii="Lato" w:hAnsi="Lato"/>
                <w:i/>
                <w:sz w:val="22"/>
                <w:szCs w:val="22"/>
              </w:rPr>
            </w:pPr>
            <w:r w:rsidRPr="001362A6">
              <w:rPr>
                <w:rFonts w:ascii="Lato" w:hAnsi="Lato"/>
                <w:i/>
                <w:sz w:val="22"/>
                <w:szCs w:val="22"/>
              </w:rPr>
              <w:t>Changes to duration</w:t>
            </w:r>
          </w:p>
        </w:tc>
        <w:tc>
          <w:tcPr>
            <w:tcW w:w="3188" w:type="dxa"/>
          </w:tcPr>
          <w:p w14:paraId="682716B3" w14:textId="77777777" w:rsidR="00B61F2A" w:rsidRPr="001362A6" w:rsidRDefault="00B61F2A" w:rsidP="00B61F2A">
            <w:pPr>
              <w:rPr>
                <w:rFonts w:ascii="Lato" w:hAnsi="Lato"/>
                <w:sz w:val="22"/>
                <w:szCs w:val="22"/>
              </w:rPr>
            </w:pPr>
          </w:p>
        </w:tc>
      </w:tr>
      <w:tr w:rsidR="00B61F2A" w:rsidRPr="001362A6" w14:paraId="139B514B" w14:textId="77777777" w:rsidTr="00990D73">
        <w:tc>
          <w:tcPr>
            <w:tcW w:w="1316" w:type="dxa"/>
          </w:tcPr>
          <w:p w14:paraId="69BD04EB" w14:textId="77777777" w:rsidR="00B61F2A" w:rsidRPr="001362A6" w:rsidRDefault="00B61F2A" w:rsidP="00B61F2A">
            <w:pPr>
              <w:rPr>
                <w:rFonts w:ascii="Lato" w:hAnsi="Lato"/>
                <w:sz w:val="22"/>
                <w:szCs w:val="22"/>
              </w:rPr>
            </w:pPr>
          </w:p>
        </w:tc>
        <w:tc>
          <w:tcPr>
            <w:tcW w:w="5891" w:type="dxa"/>
          </w:tcPr>
          <w:p w14:paraId="1372A6C8" w14:textId="77777777" w:rsidR="00B61F2A" w:rsidRPr="001362A6" w:rsidRDefault="00B61F2A" w:rsidP="00B61F2A">
            <w:pPr>
              <w:jc w:val="both"/>
              <w:rPr>
                <w:rFonts w:ascii="Lato" w:hAnsi="Lato"/>
                <w:sz w:val="22"/>
                <w:szCs w:val="22"/>
              </w:rPr>
            </w:pPr>
            <w:r w:rsidRPr="001362A6">
              <w:rPr>
                <w:rFonts w:ascii="Lato" w:hAnsi="Lato"/>
                <w:sz w:val="22"/>
                <w:szCs w:val="22"/>
              </w:rPr>
              <w:t>Provide that:</w:t>
            </w:r>
          </w:p>
        </w:tc>
        <w:tc>
          <w:tcPr>
            <w:tcW w:w="3188" w:type="dxa"/>
            <w:tcBorders>
              <w:bottom w:val="single" w:sz="4" w:space="0" w:color="auto"/>
            </w:tcBorders>
          </w:tcPr>
          <w:p w14:paraId="3075005A" w14:textId="77777777" w:rsidR="00B61F2A" w:rsidRPr="001362A6" w:rsidRDefault="00B61F2A" w:rsidP="00B61F2A">
            <w:pPr>
              <w:rPr>
                <w:rFonts w:ascii="Lato" w:hAnsi="Lato"/>
                <w:sz w:val="22"/>
                <w:szCs w:val="22"/>
              </w:rPr>
            </w:pPr>
          </w:p>
        </w:tc>
      </w:tr>
      <w:tr w:rsidR="00B61F2A" w:rsidRPr="001362A6" w14:paraId="3F9C2FDE" w14:textId="77777777" w:rsidTr="00990D73">
        <w:tc>
          <w:tcPr>
            <w:tcW w:w="1316" w:type="dxa"/>
          </w:tcPr>
          <w:p w14:paraId="488A607E" w14:textId="77777777" w:rsidR="00B61F2A" w:rsidRPr="001362A6" w:rsidRDefault="00B61F2A" w:rsidP="00B61F2A">
            <w:pPr>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7FA4AF17" w14:textId="77777777" w:rsidR="00B61F2A" w:rsidRPr="001362A6" w:rsidRDefault="00B61F2A" w:rsidP="00B61F2A">
            <w:pPr>
              <w:jc w:val="both"/>
              <w:rPr>
                <w:rFonts w:ascii="Lato" w:hAnsi="Lato"/>
                <w:sz w:val="22"/>
                <w:szCs w:val="22"/>
              </w:rPr>
            </w:pPr>
            <w:r w:rsidRPr="001362A6">
              <w:rPr>
                <w:rFonts w:ascii="Lato" w:hAnsi="Lato"/>
                <w:sz w:val="22"/>
                <w:szCs w:val="22"/>
              </w:rPr>
              <w:t>Where there is no opportunity for unitholders to redeem or</w:t>
            </w:r>
          </w:p>
        </w:tc>
        <w:tc>
          <w:tcPr>
            <w:tcW w:w="3188" w:type="dxa"/>
            <w:tcBorders>
              <w:top w:val="single" w:sz="4" w:space="0" w:color="auto"/>
              <w:left w:val="single" w:sz="4" w:space="0" w:color="auto"/>
              <w:bottom w:val="single" w:sz="4" w:space="0" w:color="auto"/>
              <w:right w:val="single" w:sz="4" w:space="0" w:color="auto"/>
            </w:tcBorders>
          </w:tcPr>
          <w:p w14:paraId="6BDE0614" w14:textId="77777777" w:rsidR="00B61F2A" w:rsidRPr="001362A6" w:rsidRDefault="00B61F2A" w:rsidP="00B61F2A">
            <w:pPr>
              <w:rPr>
                <w:rFonts w:ascii="Lato" w:hAnsi="Lato"/>
                <w:sz w:val="22"/>
                <w:szCs w:val="22"/>
              </w:rPr>
            </w:pPr>
          </w:p>
        </w:tc>
      </w:tr>
      <w:tr w:rsidR="00B61F2A" w:rsidRPr="001362A6" w14:paraId="6787F1AD" w14:textId="77777777" w:rsidTr="00990D73">
        <w:tc>
          <w:tcPr>
            <w:tcW w:w="1316" w:type="dxa"/>
          </w:tcPr>
          <w:p w14:paraId="65E52233" w14:textId="77777777" w:rsidR="00B61F2A" w:rsidRPr="001362A6" w:rsidRDefault="00B61F2A" w:rsidP="00B61F2A">
            <w:pPr>
              <w:rPr>
                <w:rFonts w:ascii="Lato" w:hAnsi="Lato"/>
                <w:sz w:val="22"/>
                <w:szCs w:val="22"/>
              </w:rPr>
            </w:pPr>
          </w:p>
        </w:tc>
        <w:tc>
          <w:tcPr>
            <w:tcW w:w="5891" w:type="dxa"/>
          </w:tcPr>
          <w:p w14:paraId="225DF477" w14:textId="77777777" w:rsidR="00B61F2A" w:rsidRPr="001362A6" w:rsidRDefault="00B61F2A" w:rsidP="00B61F2A">
            <w:pPr>
              <w:jc w:val="both"/>
              <w:rPr>
                <w:rFonts w:ascii="Lato" w:hAnsi="Lato"/>
                <w:sz w:val="22"/>
                <w:szCs w:val="22"/>
              </w:rPr>
            </w:pPr>
            <w:r w:rsidRPr="001362A6">
              <w:rPr>
                <w:rFonts w:ascii="Lato" w:hAnsi="Lato"/>
                <w:sz w:val="22"/>
                <w:szCs w:val="22"/>
              </w:rPr>
              <w:t>otherwise exit the Qualifying Investor AIF, the Qualifying Investor AIF shall ensure that votes in favour of the</w:t>
            </w:r>
          </w:p>
        </w:tc>
        <w:tc>
          <w:tcPr>
            <w:tcW w:w="3188" w:type="dxa"/>
            <w:tcBorders>
              <w:top w:val="single" w:sz="4" w:space="0" w:color="auto"/>
            </w:tcBorders>
          </w:tcPr>
          <w:p w14:paraId="09784F54" w14:textId="77777777" w:rsidR="00B61F2A" w:rsidRPr="001362A6" w:rsidRDefault="00B61F2A" w:rsidP="00B61F2A">
            <w:pPr>
              <w:rPr>
                <w:rFonts w:ascii="Lato" w:hAnsi="Lato"/>
                <w:sz w:val="22"/>
                <w:szCs w:val="22"/>
              </w:rPr>
            </w:pPr>
          </w:p>
        </w:tc>
      </w:tr>
      <w:tr w:rsidR="00B61F2A" w:rsidRPr="001362A6" w14:paraId="63050358" w14:textId="77777777" w:rsidTr="00990D73">
        <w:tc>
          <w:tcPr>
            <w:tcW w:w="1316" w:type="dxa"/>
          </w:tcPr>
          <w:p w14:paraId="654F6179" w14:textId="77777777" w:rsidR="00B61F2A" w:rsidRPr="001362A6" w:rsidRDefault="00B61F2A" w:rsidP="00B61F2A">
            <w:pPr>
              <w:rPr>
                <w:rFonts w:ascii="Lato" w:hAnsi="Lato"/>
                <w:sz w:val="22"/>
                <w:szCs w:val="22"/>
              </w:rPr>
            </w:pPr>
          </w:p>
        </w:tc>
        <w:tc>
          <w:tcPr>
            <w:tcW w:w="5891" w:type="dxa"/>
          </w:tcPr>
          <w:p w14:paraId="315B40D1" w14:textId="77777777" w:rsidR="00B61F2A" w:rsidRPr="001362A6" w:rsidRDefault="00B61F2A" w:rsidP="00B61F2A">
            <w:pPr>
              <w:jc w:val="both"/>
              <w:rPr>
                <w:rFonts w:ascii="Lato" w:hAnsi="Lato"/>
                <w:sz w:val="22"/>
                <w:szCs w:val="22"/>
              </w:rPr>
            </w:pPr>
            <w:r w:rsidRPr="001362A6">
              <w:rPr>
                <w:rFonts w:ascii="Lato" w:hAnsi="Lato"/>
                <w:sz w:val="22"/>
                <w:szCs w:val="22"/>
              </w:rPr>
              <w:t>change must represent at least 75% of votes cast</w:t>
            </w:r>
          </w:p>
        </w:tc>
        <w:tc>
          <w:tcPr>
            <w:tcW w:w="3188" w:type="dxa"/>
            <w:tcBorders>
              <w:bottom w:val="single" w:sz="4" w:space="0" w:color="auto"/>
            </w:tcBorders>
          </w:tcPr>
          <w:p w14:paraId="14D24DF2" w14:textId="77777777" w:rsidR="00B61F2A" w:rsidRPr="001362A6" w:rsidRDefault="00B61F2A" w:rsidP="00B61F2A">
            <w:pPr>
              <w:rPr>
                <w:rFonts w:ascii="Lato" w:hAnsi="Lato"/>
                <w:sz w:val="22"/>
                <w:szCs w:val="22"/>
              </w:rPr>
            </w:pPr>
          </w:p>
        </w:tc>
      </w:tr>
      <w:tr w:rsidR="00B61F2A" w:rsidRPr="001362A6" w14:paraId="1F89A4B2" w14:textId="77777777" w:rsidTr="00990D73">
        <w:tc>
          <w:tcPr>
            <w:tcW w:w="1316" w:type="dxa"/>
          </w:tcPr>
          <w:p w14:paraId="525E3D48" w14:textId="77777777" w:rsidR="00B61F2A" w:rsidRPr="001362A6" w:rsidRDefault="00B61F2A" w:rsidP="00B61F2A">
            <w:pPr>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0461C5BB" w14:textId="77777777" w:rsidR="00B61F2A" w:rsidRPr="001362A6" w:rsidRDefault="00B61F2A" w:rsidP="00B61F2A">
            <w:pPr>
              <w:jc w:val="both"/>
              <w:rPr>
                <w:rFonts w:ascii="Lato" w:hAnsi="Lato"/>
                <w:sz w:val="22"/>
                <w:szCs w:val="22"/>
              </w:rPr>
            </w:pPr>
            <w:r w:rsidRPr="001362A6">
              <w:rPr>
                <w:rFonts w:ascii="Lato" w:hAnsi="Lato"/>
                <w:sz w:val="22"/>
                <w:szCs w:val="22"/>
              </w:rPr>
              <w:t>If there is an opportunity for unitholders to redeem or</w:t>
            </w:r>
          </w:p>
        </w:tc>
        <w:tc>
          <w:tcPr>
            <w:tcW w:w="3188" w:type="dxa"/>
            <w:tcBorders>
              <w:top w:val="single" w:sz="4" w:space="0" w:color="auto"/>
              <w:left w:val="single" w:sz="4" w:space="0" w:color="auto"/>
              <w:bottom w:val="single" w:sz="4" w:space="0" w:color="auto"/>
              <w:right w:val="single" w:sz="4" w:space="0" w:color="auto"/>
            </w:tcBorders>
          </w:tcPr>
          <w:p w14:paraId="35EB50DB" w14:textId="77777777" w:rsidR="00B61F2A" w:rsidRPr="001362A6" w:rsidRDefault="00B61F2A" w:rsidP="00B61F2A">
            <w:pPr>
              <w:rPr>
                <w:rFonts w:ascii="Lato" w:hAnsi="Lato"/>
                <w:sz w:val="22"/>
                <w:szCs w:val="22"/>
              </w:rPr>
            </w:pPr>
          </w:p>
        </w:tc>
      </w:tr>
      <w:tr w:rsidR="00B61F2A" w:rsidRPr="001362A6" w14:paraId="21932DE9" w14:textId="77777777" w:rsidTr="00990D73">
        <w:tc>
          <w:tcPr>
            <w:tcW w:w="1316" w:type="dxa"/>
          </w:tcPr>
          <w:p w14:paraId="7E8010E9" w14:textId="77777777" w:rsidR="00B61F2A" w:rsidRPr="001362A6" w:rsidRDefault="00B61F2A" w:rsidP="00B61F2A">
            <w:pPr>
              <w:rPr>
                <w:rFonts w:ascii="Lato" w:hAnsi="Lato"/>
                <w:sz w:val="22"/>
                <w:szCs w:val="22"/>
              </w:rPr>
            </w:pPr>
          </w:p>
        </w:tc>
        <w:tc>
          <w:tcPr>
            <w:tcW w:w="5891" w:type="dxa"/>
          </w:tcPr>
          <w:p w14:paraId="1215A918" w14:textId="77777777" w:rsidR="00B61F2A" w:rsidRPr="001362A6" w:rsidRDefault="00B61F2A" w:rsidP="00B61F2A">
            <w:pPr>
              <w:jc w:val="both"/>
              <w:rPr>
                <w:rFonts w:ascii="Lato" w:hAnsi="Lato"/>
                <w:sz w:val="22"/>
                <w:szCs w:val="22"/>
              </w:rPr>
            </w:pPr>
            <w:r w:rsidRPr="001362A6">
              <w:rPr>
                <w:rFonts w:ascii="Lato" w:hAnsi="Lato"/>
                <w:sz w:val="22"/>
                <w:szCs w:val="22"/>
              </w:rPr>
              <w:t>Otherwise exit the Qualifying Investor AIF, the Qualifying Investor AIF shall ensure that votes in favour of</w:t>
            </w:r>
          </w:p>
        </w:tc>
        <w:tc>
          <w:tcPr>
            <w:tcW w:w="3188" w:type="dxa"/>
            <w:tcBorders>
              <w:top w:val="single" w:sz="4" w:space="0" w:color="auto"/>
            </w:tcBorders>
          </w:tcPr>
          <w:p w14:paraId="6404A74D" w14:textId="77777777" w:rsidR="00B61F2A" w:rsidRPr="001362A6" w:rsidRDefault="00B61F2A" w:rsidP="00B61F2A">
            <w:pPr>
              <w:rPr>
                <w:rFonts w:ascii="Lato" w:hAnsi="Lato"/>
                <w:sz w:val="22"/>
                <w:szCs w:val="22"/>
              </w:rPr>
            </w:pPr>
          </w:p>
        </w:tc>
      </w:tr>
      <w:tr w:rsidR="00B61F2A" w:rsidRPr="001362A6" w14:paraId="351638A5" w14:textId="77777777" w:rsidTr="00990D73">
        <w:tc>
          <w:tcPr>
            <w:tcW w:w="1316" w:type="dxa"/>
          </w:tcPr>
          <w:p w14:paraId="2654FD91" w14:textId="77777777" w:rsidR="00B61F2A" w:rsidRPr="001362A6" w:rsidRDefault="00B61F2A" w:rsidP="00B61F2A">
            <w:pPr>
              <w:rPr>
                <w:rFonts w:ascii="Lato" w:hAnsi="Lato"/>
                <w:sz w:val="22"/>
                <w:szCs w:val="22"/>
              </w:rPr>
            </w:pPr>
          </w:p>
        </w:tc>
        <w:tc>
          <w:tcPr>
            <w:tcW w:w="5891" w:type="dxa"/>
          </w:tcPr>
          <w:p w14:paraId="259066D0" w14:textId="77777777" w:rsidR="00B61F2A" w:rsidRPr="001362A6" w:rsidRDefault="00B61F2A" w:rsidP="00B61F2A">
            <w:pPr>
              <w:jc w:val="both"/>
              <w:rPr>
                <w:rFonts w:ascii="Lato" w:hAnsi="Lato"/>
                <w:sz w:val="22"/>
                <w:szCs w:val="22"/>
              </w:rPr>
            </w:pPr>
            <w:r w:rsidRPr="001362A6">
              <w:rPr>
                <w:rFonts w:ascii="Lato" w:hAnsi="Lato"/>
                <w:sz w:val="22"/>
                <w:szCs w:val="22"/>
              </w:rPr>
              <w:t>the change must represent at least 50% of votes cast</w:t>
            </w:r>
          </w:p>
        </w:tc>
        <w:tc>
          <w:tcPr>
            <w:tcW w:w="3188" w:type="dxa"/>
          </w:tcPr>
          <w:p w14:paraId="2FC509D0" w14:textId="77777777" w:rsidR="00B61F2A" w:rsidRPr="001362A6" w:rsidRDefault="00B61F2A" w:rsidP="00B61F2A">
            <w:pPr>
              <w:rPr>
                <w:rFonts w:ascii="Lato" w:hAnsi="Lato"/>
                <w:sz w:val="22"/>
                <w:szCs w:val="22"/>
              </w:rPr>
            </w:pPr>
          </w:p>
        </w:tc>
      </w:tr>
      <w:tr w:rsidR="00B61F2A" w:rsidRPr="001362A6" w14:paraId="74EF1B55" w14:textId="77777777" w:rsidTr="00990D73">
        <w:tc>
          <w:tcPr>
            <w:tcW w:w="1316" w:type="dxa"/>
          </w:tcPr>
          <w:p w14:paraId="3087E1BE" w14:textId="77777777" w:rsidR="00B61F2A" w:rsidRPr="001362A6" w:rsidRDefault="00B61F2A" w:rsidP="00B61F2A">
            <w:pPr>
              <w:rPr>
                <w:rFonts w:ascii="Lato" w:hAnsi="Lato"/>
                <w:sz w:val="22"/>
                <w:szCs w:val="22"/>
              </w:rPr>
            </w:pPr>
          </w:p>
        </w:tc>
        <w:tc>
          <w:tcPr>
            <w:tcW w:w="5891" w:type="dxa"/>
          </w:tcPr>
          <w:p w14:paraId="67EBFAA8" w14:textId="77777777" w:rsidR="00B61F2A" w:rsidRPr="001362A6" w:rsidRDefault="00B61F2A" w:rsidP="00B61F2A">
            <w:pPr>
              <w:jc w:val="both"/>
              <w:rPr>
                <w:rFonts w:ascii="Lato" w:hAnsi="Lato"/>
                <w:sz w:val="22"/>
                <w:szCs w:val="22"/>
              </w:rPr>
            </w:pPr>
          </w:p>
        </w:tc>
        <w:tc>
          <w:tcPr>
            <w:tcW w:w="3188" w:type="dxa"/>
          </w:tcPr>
          <w:p w14:paraId="62FBE78E" w14:textId="77777777" w:rsidR="00B61F2A" w:rsidRPr="001362A6" w:rsidRDefault="00B61F2A" w:rsidP="00B61F2A">
            <w:pPr>
              <w:rPr>
                <w:rFonts w:ascii="Lato" w:hAnsi="Lato"/>
                <w:sz w:val="22"/>
                <w:szCs w:val="22"/>
              </w:rPr>
            </w:pPr>
          </w:p>
        </w:tc>
      </w:tr>
      <w:tr w:rsidR="00B61F2A" w:rsidRPr="001362A6" w14:paraId="56EB2301" w14:textId="77777777" w:rsidTr="00990D73">
        <w:tc>
          <w:tcPr>
            <w:tcW w:w="1316" w:type="dxa"/>
          </w:tcPr>
          <w:p w14:paraId="13F88989" w14:textId="77777777" w:rsidR="00B61F2A" w:rsidRPr="001362A6" w:rsidRDefault="00B61F2A" w:rsidP="00B61F2A">
            <w:pPr>
              <w:rPr>
                <w:rFonts w:ascii="Lato" w:hAnsi="Lato"/>
                <w:sz w:val="22"/>
                <w:szCs w:val="22"/>
              </w:rPr>
            </w:pPr>
            <w:r w:rsidRPr="001362A6">
              <w:rPr>
                <w:rFonts w:ascii="Lato" w:hAnsi="Lato"/>
                <w:sz w:val="22"/>
                <w:szCs w:val="22"/>
              </w:rPr>
              <w:t>2.19.5</w:t>
            </w:r>
          </w:p>
        </w:tc>
        <w:tc>
          <w:tcPr>
            <w:tcW w:w="5891" w:type="dxa"/>
          </w:tcPr>
          <w:p w14:paraId="40C117C6" w14:textId="77777777" w:rsidR="00B61F2A" w:rsidRPr="001362A6" w:rsidRDefault="00B61F2A" w:rsidP="00B61F2A">
            <w:pPr>
              <w:jc w:val="both"/>
              <w:rPr>
                <w:rFonts w:ascii="Lato" w:hAnsi="Lato"/>
                <w:i/>
                <w:sz w:val="22"/>
                <w:szCs w:val="22"/>
              </w:rPr>
            </w:pPr>
            <w:r w:rsidRPr="001362A6">
              <w:rPr>
                <w:rFonts w:ascii="Lato" w:hAnsi="Lato"/>
                <w:i/>
                <w:sz w:val="22"/>
                <w:szCs w:val="22"/>
              </w:rPr>
              <w:t xml:space="preserve">Changes to maximum redemption fee or charges </w:t>
            </w:r>
          </w:p>
        </w:tc>
        <w:tc>
          <w:tcPr>
            <w:tcW w:w="3188" w:type="dxa"/>
          </w:tcPr>
          <w:p w14:paraId="4AB9D9F3" w14:textId="77777777" w:rsidR="00B61F2A" w:rsidRPr="001362A6" w:rsidRDefault="00B61F2A" w:rsidP="00B61F2A">
            <w:pPr>
              <w:rPr>
                <w:rFonts w:ascii="Lato" w:hAnsi="Lato"/>
                <w:sz w:val="22"/>
                <w:szCs w:val="22"/>
              </w:rPr>
            </w:pPr>
          </w:p>
        </w:tc>
      </w:tr>
      <w:tr w:rsidR="00B61F2A" w:rsidRPr="001362A6" w14:paraId="1B0DEEE6" w14:textId="77777777" w:rsidTr="00990D73">
        <w:tc>
          <w:tcPr>
            <w:tcW w:w="1316" w:type="dxa"/>
          </w:tcPr>
          <w:p w14:paraId="15AAD481" w14:textId="77777777" w:rsidR="00B61F2A" w:rsidRPr="001362A6" w:rsidRDefault="00B61F2A" w:rsidP="00B61F2A">
            <w:pPr>
              <w:rPr>
                <w:rFonts w:ascii="Lato" w:hAnsi="Lato"/>
                <w:sz w:val="22"/>
                <w:szCs w:val="22"/>
              </w:rPr>
            </w:pPr>
            <w:r w:rsidRPr="001362A6">
              <w:rPr>
                <w:rFonts w:ascii="Lato" w:hAnsi="Lato"/>
                <w:sz w:val="22"/>
                <w:szCs w:val="22"/>
              </w:rPr>
              <w:t>(i)</w:t>
            </w:r>
          </w:p>
        </w:tc>
        <w:tc>
          <w:tcPr>
            <w:tcW w:w="5891" w:type="dxa"/>
          </w:tcPr>
          <w:p w14:paraId="55A704FF" w14:textId="77777777" w:rsidR="00B61F2A" w:rsidRPr="001362A6" w:rsidRDefault="00B61F2A" w:rsidP="00B61F2A">
            <w:pPr>
              <w:jc w:val="both"/>
              <w:rPr>
                <w:rFonts w:ascii="Lato" w:hAnsi="Lato"/>
                <w:sz w:val="22"/>
                <w:szCs w:val="22"/>
              </w:rPr>
            </w:pPr>
            <w:r w:rsidRPr="001362A6">
              <w:rPr>
                <w:rFonts w:ascii="Lato" w:hAnsi="Lato"/>
                <w:sz w:val="22"/>
                <w:szCs w:val="22"/>
              </w:rPr>
              <w:t>Where the Qualifying Investor AIF proposes to increase the maximum redemption charge or the maximum annual fee charged by the management company, AIFM , general partner or investment manager (where the investment manger is paid directly out of the assets of the Qualifying Investor AIF) provide that:</w:t>
            </w:r>
          </w:p>
        </w:tc>
        <w:tc>
          <w:tcPr>
            <w:tcW w:w="3188" w:type="dxa"/>
          </w:tcPr>
          <w:p w14:paraId="037783F5" w14:textId="77777777" w:rsidR="00B61F2A" w:rsidRPr="001362A6" w:rsidRDefault="00B61F2A" w:rsidP="00B61F2A">
            <w:pPr>
              <w:rPr>
                <w:rFonts w:ascii="Lato" w:hAnsi="Lato"/>
                <w:sz w:val="22"/>
                <w:szCs w:val="22"/>
              </w:rPr>
            </w:pPr>
          </w:p>
        </w:tc>
      </w:tr>
      <w:tr w:rsidR="00B61F2A" w:rsidRPr="001362A6" w14:paraId="626B691B" w14:textId="77777777" w:rsidTr="00990D73">
        <w:tc>
          <w:tcPr>
            <w:tcW w:w="1316" w:type="dxa"/>
          </w:tcPr>
          <w:p w14:paraId="0092BD6F" w14:textId="77777777" w:rsidR="00B61F2A" w:rsidRPr="001362A6" w:rsidRDefault="00B61F2A" w:rsidP="00B61F2A">
            <w:pPr>
              <w:rPr>
                <w:rFonts w:ascii="Lato" w:hAnsi="Lato"/>
                <w:sz w:val="22"/>
                <w:szCs w:val="22"/>
              </w:rPr>
            </w:pPr>
          </w:p>
        </w:tc>
        <w:tc>
          <w:tcPr>
            <w:tcW w:w="5891" w:type="dxa"/>
          </w:tcPr>
          <w:p w14:paraId="1879F091" w14:textId="77777777" w:rsidR="00B61F2A" w:rsidRPr="001362A6" w:rsidRDefault="00B61F2A" w:rsidP="00B61F2A">
            <w:pPr>
              <w:jc w:val="both"/>
              <w:rPr>
                <w:rFonts w:ascii="Lato" w:hAnsi="Lato"/>
                <w:sz w:val="22"/>
                <w:szCs w:val="22"/>
              </w:rPr>
            </w:pPr>
          </w:p>
        </w:tc>
        <w:tc>
          <w:tcPr>
            <w:tcW w:w="3188" w:type="dxa"/>
            <w:tcBorders>
              <w:bottom w:val="single" w:sz="4" w:space="0" w:color="auto"/>
            </w:tcBorders>
          </w:tcPr>
          <w:p w14:paraId="190EA8B8" w14:textId="77777777" w:rsidR="00B61F2A" w:rsidRPr="001362A6" w:rsidRDefault="00B61F2A" w:rsidP="00B61F2A">
            <w:pPr>
              <w:rPr>
                <w:rFonts w:ascii="Lato" w:hAnsi="Lato"/>
                <w:sz w:val="22"/>
                <w:szCs w:val="22"/>
              </w:rPr>
            </w:pPr>
          </w:p>
        </w:tc>
      </w:tr>
      <w:tr w:rsidR="00B61F2A" w:rsidRPr="001362A6" w14:paraId="542BCB1D" w14:textId="77777777" w:rsidTr="00990D73">
        <w:tc>
          <w:tcPr>
            <w:tcW w:w="1316" w:type="dxa"/>
          </w:tcPr>
          <w:p w14:paraId="4DAC133A" w14:textId="77777777" w:rsidR="00B61F2A" w:rsidRPr="001362A6" w:rsidRDefault="00B61F2A" w:rsidP="00B61F2A">
            <w:pPr>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5D6A7521" w14:textId="77777777" w:rsidR="00B61F2A" w:rsidRPr="001362A6" w:rsidRDefault="00B61F2A" w:rsidP="00B61F2A">
            <w:pPr>
              <w:jc w:val="both"/>
              <w:rPr>
                <w:rFonts w:ascii="Lato" w:hAnsi="Lato"/>
                <w:sz w:val="22"/>
                <w:szCs w:val="22"/>
              </w:rPr>
            </w:pPr>
            <w:r w:rsidRPr="001362A6">
              <w:rPr>
                <w:rFonts w:ascii="Lato" w:hAnsi="Lato"/>
                <w:sz w:val="22"/>
                <w:szCs w:val="22"/>
              </w:rPr>
              <w:t>Where there is no opportunity for unitholders to redeem or</w:t>
            </w:r>
          </w:p>
        </w:tc>
        <w:tc>
          <w:tcPr>
            <w:tcW w:w="3188" w:type="dxa"/>
            <w:tcBorders>
              <w:top w:val="single" w:sz="4" w:space="0" w:color="auto"/>
              <w:left w:val="single" w:sz="4" w:space="0" w:color="auto"/>
              <w:bottom w:val="single" w:sz="4" w:space="0" w:color="auto"/>
              <w:right w:val="single" w:sz="4" w:space="0" w:color="auto"/>
            </w:tcBorders>
          </w:tcPr>
          <w:p w14:paraId="581C63C1" w14:textId="77777777" w:rsidR="00B61F2A" w:rsidRPr="001362A6" w:rsidRDefault="00B61F2A" w:rsidP="00B61F2A">
            <w:pPr>
              <w:rPr>
                <w:rFonts w:ascii="Lato" w:hAnsi="Lato"/>
                <w:sz w:val="22"/>
                <w:szCs w:val="22"/>
              </w:rPr>
            </w:pPr>
          </w:p>
        </w:tc>
      </w:tr>
      <w:tr w:rsidR="00B61F2A" w:rsidRPr="001362A6" w14:paraId="4E4EBEA4" w14:textId="77777777" w:rsidTr="00990D73">
        <w:tc>
          <w:tcPr>
            <w:tcW w:w="1316" w:type="dxa"/>
          </w:tcPr>
          <w:p w14:paraId="2F1BF5DF" w14:textId="77777777" w:rsidR="00B61F2A" w:rsidRPr="001362A6" w:rsidRDefault="00B61F2A" w:rsidP="00B61F2A">
            <w:pPr>
              <w:rPr>
                <w:rFonts w:ascii="Lato" w:hAnsi="Lato"/>
                <w:sz w:val="22"/>
                <w:szCs w:val="22"/>
              </w:rPr>
            </w:pPr>
          </w:p>
        </w:tc>
        <w:tc>
          <w:tcPr>
            <w:tcW w:w="5891" w:type="dxa"/>
          </w:tcPr>
          <w:p w14:paraId="5EB439C9" w14:textId="77777777" w:rsidR="00B61F2A" w:rsidRPr="001362A6" w:rsidRDefault="00B61F2A" w:rsidP="00B61F2A">
            <w:pPr>
              <w:jc w:val="both"/>
              <w:rPr>
                <w:rFonts w:ascii="Lato" w:hAnsi="Lato"/>
                <w:sz w:val="22"/>
                <w:szCs w:val="22"/>
              </w:rPr>
            </w:pPr>
            <w:r w:rsidRPr="001362A6">
              <w:rPr>
                <w:rFonts w:ascii="Lato" w:hAnsi="Lato"/>
                <w:sz w:val="22"/>
                <w:szCs w:val="22"/>
              </w:rPr>
              <w:t>otherwise exit the Qualifying Investor AIF, it shall ensure that votes in favour of the increase must represent at least 75% of votes cast;</w:t>
            </w:r>
          </w:p>
        </w:tc>
        <w:tc>
          <w:tcPr>
            <w:tcW w:w="3188" w:type="dxa"/>
            <w:tcBorders>
              <w:top w:val="single" w:sz="4" w:space="0" w:color="auto"/>
            </w:tcBorders>
          </w:tcPr>
          <w:p w14:paraId="4319C2B0" w14:textId="77777777" w:rsidR="00B61F2A" w:rsidRPr="001362A6" w:rsidRDefault="00B61F2A" w:rsidP="00B61F2A">
            <w:pPr>
              <w:rPr>
                <w:rFonts w:ascii="Lato" w:hAnsi="Lato"/>
                <w:sz w:val="22"/>
                <w:szCs w:val="22"/>
              </w:rPr>
            </w:pPr>
          </w:p>
        </w:tc>
      </w:tr>
      <w:tr w:rsidR="00B61F2A" w:rsidRPr="001362A6" w14:paraId="7E6421AA" w14:textId="77777777" w:rsidTr="00990D73">
        <w:tc>
          <w:tcPr>
            <w:tcW w:w="1316" w:type="dxa"/>
          </w:tcPr>
          <w:p w14:paraId="3DF47837" w14:textId="77777777" w:rsidR="00B61F2A" w:rsidRPr="001362A6" w:rsidRDefault="00B61F2A" w:rsidP="00B61F2A">
            <w:pPr>
              <w:rPr>
                <w:rFonts w:ascii="Lato" w:hAnsi="Lato"/>
                <w:sz w:val="22"/>
                <w:szCs w:val="22"/>
              </w:rPr>
            </w:pPr>
          </w:p>
        </w:tc>
        <w:tc>
          <w:tcPr>
            <w:tcW w:w="5891" w:type="dxa"/>
          </w:tcPr>
          <w:p w14:paraId="66B49944" w14:textId="77777777" w:rsidR="00B61F2A" w:rsidRPr="001362A6" w:rsidRDefault="00B61F2A" w:rsidP="00B61F2A">
            <w:pPr>
              <w:jc w:val="both"/>
              <w:rPr>
                <w:rFonts w:ascii="Lato" w:hAnsi="Lato"/>
                <w:sz w:val="22"/>
                <w:szCs w:val="22"/>
              </w:rPr>
            </w:pPr>
          </w:p>
        </w:tc>
        <w:tc>
          <w:tcPr>
            <w:tcW w:w="3188" w:type="dxa"/>
            <w:tcBorders>
              <w:bottom w:val="single" w:sz="4" w:space="0" w:color="auto"/>
            </w:tcBorders>
          </w:tcPr>
          <w:p w14:paraId="3968A3E4" w14:textId="77777777" w:rsidR="00B61F2A" w:rsidRPr="001362A6" w:rsidRDefault="00B61F2A" w:rsidP="00B61F2A">
            <w:pPr>
              <w:rPr>
                <w:rFonts w:ascii="Lato" w:hAnsi="Lato"/>
                <w:sz w:val="22"/>
                <w:szCs w:val="22"/>
              </w:rPr>
            </w:pPr>
          </w:p>
        </w:tc>
      </w:tr>
      <w:tr w:rsidR="00B61F2A" w:rsidRPr="001362A6" w14:paraId="694D4F4D" w14:textId="77777777" w:rsidTr="00990D73">
        <w:tc>
          <w:tcPr>
            <w:tcW w:w="1316" w:type="dxa"/>
          </w:tcPr>
          <w:p w14:paraId="626C6DAB"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74B81D26" w14:textId="77777777" w:rsidR="00B61F2A" w:rsidRPr="001362A6" w:rsidRDefault="00B61F2A" w:rsidP="00B61F2A">
            <w:pPr>
              <w:jc w:val="both"/>
              <w:rPr>
                <w:rFonts w:ascii="Lato" w:hAnsi="Lato"/>
                <w:sz w:val="22"/>
                <w:szCs w:val="22"/>
              </w:rPr>
            </w:pPr>
            <w:r w:rsidRPr="001362A6">
              <w:rPr>
                <w:rFonts w:ascii="Lato" w:hAnsi="Lato"/>
                <w:sz w:val="22"/>
                <w:szCs w:val="22"/>
              </w:rPr>
              <w:t xml:space="preserve">If there is an opportunity for unitholders to redeem or </w:t>
            </w:r>
          </w:p>
        </w:tc>
        <w:tc>
          <w:tcPr>
            <w:tcW w:w="3188" w:type="dxa"/>
            <w:tcBorders>
              <w:top w:val="single" w:sz="4" w:space="0" w:color="auto"/>
              <w:left w:val="single" w:sz="4" w:space="0" w:color="auto"/>
              <w:bottom w:val="single" w:sz="4" w:space="0" w:color="auto"/>
              <w:right w:val="single" w:sz="4" w:space="0" w:color="auto"/>
            </w:tcBorders>
          </w:tcPr>
          <w:p w14:paraId="56432773" w14:textId="77777777" w:rsidR="00B61F2A" w:rsidRPr="001362A6" w:rsidRDefault="00B61F2A" w:rsidP="00B61F2A">
            <w:pPr>
              <w:rPr>
                <w:rFonts w:ascii="Lato" w:hAnsi="Lato"/>
                <w:sz w:val="22"/>
                <w:szCs w:val="22"/>
              </w:rPr>
            </w:pPr>
          </w:p>
        </w:tc>
      </w:tr>
      <w:tr w:rsidR="00B61F2A" w:rsidRPr="001362A6" w14:paraId="734A8603" w14:textId="77777777" w:rsidTr="00990D73">
        <w:tc>
          <w:tcPr>
            <w:tcW w:w="1316" w:type="dxa"/>
          </w:tcPr>
          <w:p w14:paraId="55E825B9" w14:textId="77777777" w:rsidR="00B61F2A" w:rsidRPr="001362A6" w:rsidRDefault="00B61F2A" w:rsidP="00B61F2A">
            <w:pPr>
              <w:rPr>
                <w:rFonts w:ascii="Lato" w:hAnsi="Lato"/>
                <w:sz w:val="22"/>
                <w:szCs w:val="22"/>
              </w:rPr>
            </w:pPr>
          </w:p>
        </w:tc>
        <w:tc>
          <w:tcPr>
            <w:tcW w:w="5891" w:type="dxa"/>
          </w:tcPr>
          <w:p w14:paraId="45FC0180" w14:textId="77777777" w:rsidR="00B61F2A" w:rsidRPr="001362A6" w:rsidRDefault="00B61F2A" w:rsidP="00B61F2A">
            <w:pPr>
              <w:jc w:val="both"/>
              <w:rPr>
                <w:rFonts w:ascii="Lato" w:hAnsi="Lato"/>
                <w:sz w:val="22"/>
                <w:szCs w:val="22"/>
              </w:rPr>
            </w:pPr>
            <w:r w:rsidRPr="00590C6D">
              <w:rPr>
                <w:rFonts w:ascii="Lato" w:hAnsi="Lato"/>
                <w:sz w:val="22"/>
                <w:szCs w:val="22"/>
              </w:rPr>
              <w:t xml:space="preserve">otherwise </w:t>
            </w:r>
            <w:r w:rsidRPr="001362A6">
              <w:rPr>
                <w:rFonts w:ascii="Lato" w:hAnsi="Lato"/>
                <w:sz w:val="22"/>
                <w:szCs w:val="22"/>
              </w:rPr>
              <w:t>exit the Qualifying Investor AIF, it shall ensure that votes in favour of the increase must represent at least 50% of votes cast</w:t>
            </w:r>
          </w:p>
        </w:tc>
        <w:tc>
          <w:tcPr>
            <w:tcW w:w="3188" w:type="dxa"/>
            <w:tcBorders>
              <w:top w:val="single" w:sz="4" w:space="0" w:color="auto"/>
            </w:tcBorders>
          </w:tcPr>
          <w:p w14:paraId="6FD2566D" w14:textId="77777777" w:rsidR="00B61F2A" w:rsidRPr="001362A6" w:rsidRDefault="00B61F2A" w:rsidP="00B61F2A">
            <w:pPr>
              <w:rPr>
                <w:rFonts w:ascii="Lato" w:hAnsi="Lato"/>
                <w:sz w:val="22"/>
                <w:szCs w:val="22"/>
              </w:rPr>
            </w:pPr>
          </w:p>
        </w:tc>
      </w:tr>
      <w:tr w:rsidR="00B61F2A" w:rsidRPr="001362A6" w14:paraId="07C6626A" w14:textId="77777777" w:rsidTr="00990D73">
        <w:tc>
          <w:tcPr>
            <w:tcW w:w="1316" w:type="dxa"/>
          </w:tcPr>
          <w:p w14:paraId="0D040905" w14:textId="77777777" w:rsidR="00B61F2A" w:rsidRPr="001362A6" w:rsidRDefault="00B61F2A" w:rsidP="00B61F2A">
            <w:pPr>
              <w:rPr>
                <w:rFonts w:ascii="Lato" w:hAnsi="Lato"/>
                <w:sz w:val="22"/>
                <w:szCs w:val="22"/>
              </w:rPr>
            </w:pPr>
          </w:p>
        </w:tc>
        <w:tc>
          <w:tcPr>
            <w:tcW w:w="5891" w:type="dxa"/>
          </w:tcPr>
          <w:p w14:paraId="6EDAB5E4" w14:textId="77777777" w:rsidR="00B61F2A" w:rsidRPr="001362A6" w:rsidRDefault="00B61F2A" w:rsidP="00B61F2A">
            <w:pPr>
              <w:jc w:val="both"/>
              <w:rPr>
                <w:rFonts w:ascii="Lato" w:hAnsi="Lato"/>
                <w:sz w:val="22"/>
                <w:szCs w:val="22"/>
              </w:rPr>
            </w:pPr>
          </w:p>
        </w:tc>
        <w:tc>
          <w:tcPr>
            <w:tcW w:w="3188" w:type="dxa"/>
          </w:tcPr>
          <w:p w14:paraId="5780EB0E" w14:textId="77777777" w:rsidR="00B61F2A" w:rsidRPr="001362A6" w:rsidRDefault="00B61F2A" w:rsidP="00B61F2A">
            <w:pPr>
              <w:rPr>
                <w:rFonts w:ascii="Lato" w:hAnsi="Lato"/>
                <w:sz w:val="22"/>
                <w:szCs w:val="22"/>
              </w:rPr>
            </w:pPr>
          </w:p>
        </w:tc>
      </w:tr>
      <w:tr w:rsidR="00B61F2A" w:rsidRPr="001362A6" w14:paraId="628CA15D" w14:textId="77777777" w:rsidTr="00990D73">
        <w:tc>
          <w:tcPr>
            <w:tcW w:w="1316" w:type="dxa"/>
          </w:tcPr>
          <w:p w14:paraId="60BA2651" w14:textId="77777777" w:rsidR="00B61F2A" w:rsidRPr="001362A6" w:rsidRDefault="00B61F2A" w:rsidP="00B61F2A">
            <w:pPr>
              <w:rPr>
                <w:rFonts w:ascii="Lato" w:hAnsi="Lato"/>
                <w:sz w:val="22"/>
                <w:szCs w:val="22"/>
              </w:rPr>
            </w:pPr>
          </w:p>
        </w:tc>
        <w:tc>
          <w:tcPr>
            <w:tcW w:w="5891" w:type="dxa"/>
          </w:tcPr>
          <w:p w14:paraId="605CD8E6" w14:textId="77777777" w:rsidR="00B61F2A" w:rsidRPr="001362A6" w:rsidRDefault="00B61F2A" w:rsidP="00B61F2A">
            <w:pPr>
              <w:jc w:val="both"/>
              <w:rPr>
                <w:rFonts w:ascii="Lato" w:hAnsi="Lato"/>
                <w:sz w:val="22"/>
                <w:szCs w:val="22"/>
              </w:rPr>
            </w:pPr>
            <w:r w:rsidRPr="001362A6">
              <w:rPr>
                <w:rFonts w:ascii="Lato" w:hAnsi="Lato"/>
                <w:sz w:val="22"/>
                <w:szCs w:val="22"/>
              </w:rPr>
              <w:t>Note: the annual fee includes any performance related fee</w:t>
            </w:r>
          </w:p>
        </w:tc>
        <w:tc>
          <w:tcPr>
            <w:tcW w:w="3188" w:type="dxa"/>
          </w:tcPr>
          <w:p w14:paraId="64F9E9D6" w14:textId="77777777" w:rsidR="00B61F2A" w:rsidRPr="001362A6" w:rsidRDefault="00B61F2A" w:rsidP="00B61F2A">
            <w:pPr>
              <w:rPr>
                <w:rFonts w:ascii="Lato" w:hAnsi="Lato"/>
                <w:sz w:val="22"/>
                <w:szCs w:val="22"/>
              </w:rPr>
            </w:pPr>
          </w:p>
        </w:tc>
      </w:tr>
      <w:tr w:rsidR="00B61F2A" w:rsidRPr="001362A6" w14:paraId="451EBDFF" w14:textId="77777777" w:rsidTr="00990D73">
        <w:tc>
          <w:tcPr>
            <w:tcW w:w="1316" w:type="dxa"/>
          </w:tcPr>
          <w:p w14:paraId="481758D5" w14:textId="77777777" w:rsidR="00B61F2A" w:rsidRPr="001362A6" w:rsidRDefault="00B61F2A" w:rsidP="00B61F2A">
            <w:pPr>
              <w:rPr>
                <w:rFonts w:ascii="Lato" w:hAnsi="Lato"/>
                <w:sz w:val="22"/>
                <w:szCs w:val="22"/>
              </w:rPr>
            </w:pPr>
          </w:p>
        </w:tc>
        <w:tc>
          <w:tcPr>
            <w:tcW w:w="5891" w:type="dxa"/>
          </w:tcPr>
          <w:p w14:paraId="42B7BA5F" w14:textId="77777777" w:rsidR="00B61F2A" w:rsidRPr="001362A6" w:rsidRDefault="00B61F2A" w:rsidP="00B61F2A">
            <w:pPr>
              <w:jc w:val="both"/>
              <w:rPr>
                <w:rFonts w:ascii="Lato" w:hAnsi="Lato"/>
                <w:sz w:val="22"/>
                <w:szCs w:val="22"/>
              </w:rPr>
            </w:pPr>
            <w:r w:rsidRPr="001362A6">
              <w:rPr>
                <w:rFonts w:ascii="Lato" w:hAnsi="Lato"/>
                <w:sz w:val="22"/>
                <w:szCs w:val="22"/>
              </w:rPr>
              <w:t>charged by the AIFM, management company, general partner or the investment manager</w:t>
            </w:r>
          </w:p>
        </w:tc>
        <w:tc>
          <w:tcPr>
            <w:tcW w:w="3188" w:type="dxa"/>
          </w:tcPr>
          <w:p w14:paraId="1D75A3EF" w14:textId="77777777" w:rsidR="00B61F2A" w:rsidRPr="001362A6" w:rsidRDefault="00B61F2A" w:rsidP="00B61F2A">
            <w:pPr>
              <w:rPr>
                <w:rFonts w:ascii="Lato" w:hAnsi="Lato"/>
                <w:sz w:val="22"/>
                <w:szCs w:val="22"/>
              </w:rPr>
            </w:pPr>
          </w:p>
        </w:tc>
      </w:tr>
      <w:tr w:rsidR="00B61F2A" w:rsidRPr="001362A6" w14:paraId="22857CD9" w14:textId="77777777" w:rsidTr="00990D73">
        <w:tc>
          <w:tcPr>
            <w:tcW w:w="1316" w:type="dxa"/>
          </w:tcPr>
          <w:p w14:paraId="476BC5FD" w14:textId="77777777" w:rsidR="00B61F2A" w:rsidRPr="001362A6" w:rsidRDefault="00B61F2A" w:rsidP="00B61F2A">
            <w:pPr>
              <w:rPr>
                <w:rFonts w:ascii="Lato" w:hAnsi="Lato"/>
                <w:sz w:val="22"/>
                <w:szCs w:val="22"/>
              </w:rPr>
            </w:pPr>
          </w:p>
        </w:tc>
        <w:tc>
          <w:tcPr>
            <w:tcW w:w="5891" w:type="dxa"/>
          </w:tcPr>
          <w:p w14:paraId="0C975966" w14:textId="77777777" w:rsidR="00B61F2A" w:rsidRPr="001362A6" w:rsidRDefault="00B61F2A" w:rsidP="00B61F2A">
            <w:pPr>
              <w:jc w:val="both"/>
              <w:rPr>
                <w:rFonts w:ascii="Lato" w:hAnsi="Lato"/>
                <w:sz w:val="22"/>
                <w:szCs w:val="22"/>
              </w:rPr>
            </w:pPr>
            <w:r w:rsidRPr="001362A6">
              <w:rPr>
                <w:rFonts w:ascii="Lato" w:hAnsi="Lato"/>
                <w:sz w:val="22"/>
                <w:szCs w:val="22"/>
              </w:rPr>
              <w:t>Note: if the fee disclosed in the prospectus is less than the maximum fee permitted in the constitutional documents, unitholder approval will also be required for an</w:t>
            </w:r>
          </w:p>
        </w:tc>
        <w:tc>
          <w:tcPr>
            <w:tcW w:w="3188" w:type="dxa"/>
          </w:tcPr>
          <w:p w14:paraId="254D5368" w14:textId="77777777" w:rsidR="00B61F2A" w:rsidRPr="001362A6" w:rsidRDefault="00B61F2A" w:rsidP="00B61F2A">
            <w:pPr>
              <w:rPr>
                <w:rFonts w:ascii="Lato" w:hAnsi="Lato"/>
                <w:sz w:val="22"/>
                <w:szCs w:val="22"/>
              </w:rPr>
            </w:pPr>
          </w:p>
        </w:tc>
      </w:tr>
      <w:tr w:rsidR="00B61F2A" w:rsidRPr="001362A6" w14:paraId="323FB872" w14:textId="77777777" w:rsidTr="00734A0A">
        <w:tc>
          <w:tcPr>
            <w:tcW w:w="1316" w:type="dxa"/>
          </w:tcPr>
          <w:p w14:paraId="76134FEB" w14:textId="77777777" w:rsidR="00B61F2A" w:rsidRPr="001362A6" w:rsidRDefault="00B61F2A" w:rsidP="00B61F2A">
            <w:pPr>
              <w:rPr>
                <w:rFonts w:ascii="Lato" w:hAnsi="Lato"/>
                <w:sz w:val="22"/>
                <w:szCs w:val="22"/>
              </w:rPr>
            </w:pPr>
          </w:p>
        </w:tc>
        <w:tc>
          <w:tcPr>
            <w:tcW w:w="5891" w:type="dxa"/>
          </w:tcPr>
          <w:p w14:paraId="5DEDE853" w14:textId="77777777" w:rsidR="00B61F2A" w:rsidRPr="001362A6" w:rsidRDefault="00B61F2A" w:rsidP="00B61F2A">
            <w:pPr>
              <w:jc w:val="both"/>
              <w:rPr>
                <w:rFonts w:ascii="Lato" w:hAnsi="Lato"/>
                <w:sz w:val="22"/>
                <w:szCs w:val="22"/>
              </w:rPr>
            </w:pPr>
            <w:r w:rsidRPr="001362A6">
              <w:rPr>
                <w:rFonts w:ascii="Lato" w:hAnsi="Lato"/>
                <w:sz w:val="22"/>
                <w:szCs w:val="22"/>
              </w:rPr>
              <w:t>increase in the fee disclosed in the prospectus unless the prospectus also provides that a higher fee may be charged</w:t>
            </w:r>
          </w:p>
        </w:tc>
        <w:tc>
          <w:tcPr>
            <w:tcW w:w="3188" w:type="dxa"/>
          </w:tcPr>
          <w:p w14:paraId="0AF69F08" w14:textId="77777777" w:rsidR="00B61F2A" w:rsidRPr="001362A6" w:rsidRDefault="00B61F2A" w:rsidP="00B61F2A">
            <w:pPr>
              <w:rPr>
                <w:rFonts w:ascii="Lato" w:hAnsi="Lato"/>
                <w:sz w:val="22"/>
                <w:szCs w:val="22"/>
              </w:rPr>
            </w:pPr>
          </w:p>
        </w:tc>
      </w:tr>
      <w:tr w:rsidR="00B61F2A" w:rsidRPr="001362A6" w14:paraId="04FD1EE1" w14:textId="77777777" w:rsidTr="00734A0A">
        <w:tc>
          <w:tcPr>
            <w:tcW w:w="1316" w:type="dxa"/>
          </w:tcPr>
          <w:p w14:paraId="5193AC47" w14:textId="77777777" w:rsidR="00B61F2A" w:rsidRPr="001362A6" w:rsidRDefault="00B61F2A" w:rsidP="00B61F2A">
            <w:pPr>
              <w:rPr>
                <w:rFonts w:ascii="Lato" w:hAnsi="Lato"/>
                <w:sz w:val="22"/>
                <w:szCs w:val="22"/>
              </w:rPr>
            </w:pPr>
          </w:p>
        </w:tc>
        <w:tc>
          <w:tcPr>
            <w:tcW w:w="5891" w:type="dxa"/>
          </w:tcPr>
          <w:p w14:paraId="294508D8" w14:textId="77777777" w:rsidR="00B61F2A" w:rsidRPr="001362A6" w:rsidRDefault="00B61F2A" w:rsidP="00B61F2A">
            <w:pPr>
              <w:jc w:val="both"/>
              <w:rPr>
                <w:rFonts w:ascii="Lato" w:hAnsi="Lato"/>
                <w:sz w:val="22"/>
                <w:szCs w:val="22"/>
              </w:rPr>
            </w:pPr>
          </w:p>
        </w:tc>
        <w:tc>
          <w:tcPr>
            <w:tcW w:w="3188" w:type="dxa"/>
          </w:tcPr>
          <w:p w14:paraId="58711345" w14:textId="77777777" w:rsidR="00B61F2A" w:rsidRPr="001362A6" w:rsidRDefault="00B61F2A" w:rsidP="00B61F2A">
            <w:pPr>
              <w:rPr>
                <w:rFonts w:ascii="Lato" w:hAnsi="Lato"/>
                <w:sz w:val="22"/>
                <w:szCs w:val="22"/>
              </w:rPr>
            </w:pPr>
          </w:p>
        </w:tc>
      </w:tr>
      <w:tr w:rsidR="004E314E" w:rsidRPr="001362A6" w14:paraId="2107282A" w14:textId="77777777" w:rsidTr="00734A0A">
        <w:tc>
          <w:tcPr>
            <w:tcW w:w="1316" w:type="dxa"/>
          </w:tcPr>
          <w:p w14:paraId="7D9644EC" w14:textId="77777777" w:rsidR="004E314E" w:rsidRPr="001362A6" w:rsidRDefault="004E314E" w:rsidP="004E314E">
            <w:pPr>
              <w:rPr>
                <w:rFonts w:ascii="Lato" w:hAnsi="Lato"/>
                <w:sz w:val="22"/>
                <w:szCs w:val="22"/>
              </w:rPr>
            </w:pPr>
            <w:r>
              <w:rPr>
                <w:rFonts w:ascii="Lato" w:hAnsi="Lato"/>
                <w:sz w:val="22"/>
                <w:szCs w:val="22"/>
              </w:rPr>
              <w:t>2.19.6</w:t>
            </w:r>
          </w:p>
        </w:tc>
        <w:tc>
          <w:tcPr>
            <w:tcW w:w="5891" w:type="dxa"/>
          </w:tcPr>
          <w:p w14:paraId="08DF11DE" w14:textId="77777777" w:rsidR="004E314E" w:rsidRPr="001362A6" w:rsidRDefault="004E314E" w:rsidP="004E314E">
            <w:pPr>
              <w:jc w:val="both"/>
              <w:rPr>
                <w:rFonts w:ascii="Lato" w:hAnsi="Lato"/>
                <w:sz w:val="22"/>
                <w:szCs w:val="22"/>
              </w:rPr>
            </w:pPr>
            <w:r w:rsidRPr="00B74E51">
              <w:rPr>
                <w:rFonts w:ascii="Lato" w:hAnsi="Lato"/>
                <w:sz w:val="22"/>
                <w:szCs w:val="22"/>
                <w:u w:val="single"/>
              </w:rPr>
              <w:t>Share class features of closed-ended Qualifying Investor AIFs</w:t>
            </w:r>
            <w:r w:rsidR="00482F6C">
              <w:rPr>
                <w:rFonts w:ascii="Lato" w:hAnsi="Lato"/>
                <w:sz w:val="22"/>
                <w:szCs w:val="22"/>
                <w:u w:val="single"/>
              </w:rPr>
              <w:t xml:space="preserve"> </w:t>
            </w:r>
            <w:r w:rsidR="00482F6C" w:rsidRPr="00B132FE">
              <w:rPr>
                <w:rFonts w:ascii="Lato" w:hAnsi="Lato"/>
                <w:sz w:val="22"/>
                <w:szCs w:val="22"/>
              </w:rPr>
              <w:t>(“CE QIAIF”) which typically invest in illiquid assets</w:t>
            </w:r>
          </w:p>
        </w:tc>
        <w:tc>
          <w:tcPr>
            <w:tcW w:w="3188" w:type="dxa"/>
          </w:tcPr>
          <w:p w14:paraId="70BD1623" w14:textId="77777777" w:rsidR="004E314E" w:rsidRPr="001362A6" w:rsidRDefault="004E314E" w:rsidP="004E314E">
            <w:pPr>
              <w:rPr>
                <w:rFonts w:ascii="Lato" w:hAnsi="Lato"/>
                <w:sz w:val="22"/>
                <w:szCs w:val="22"/>
              </w:rPr>
            </w:pPr>
          </w:p>
        </w:tc>
      </w:tr>
      <w:tr w:rsidR="004E314E" w:rsidRPr="001362A6" w14:paraId="762F2EBE" w14:textId="77777777" w:rsidTr="00734A0A">
        <w:tc>
          <w:tcPr>
            <w:tcW w:w="1316" w:type="dxa"/>
          </w:tcPr>
          <w:p w14:paraId="2A9C9905" w14:textId="77777777" w:rsidR="004E314E" w:rsidRDefault="004E314E" w:rsidP="004E314E">
            <w:pPr>
              <w:rPr>
                <w:rFonts w:ascii="Lato" w:hAnsi="Lato"/>
                <w:sz w:val="22"/>
                <w:szCs w:val="22"/>
              </w:rPr>
            </w:pPr>
          </w:p>
        </w:tc>
        <w:tc>
          <w:tcPr>
            <w:tcW w:w="5891" w:type="dxa"/>
          </w:tcPr>
          <w:p w14:paraId="54A70C6A" w14:textId="76BE694C" w:rsidR="004E314E" w:rsidRPr="001362A6" w:rsidRDefault="004E314E" w:rsidP="00482F6C">
            <w:pPr>
              <w:jc w:val="both"/>
              <w:rPr>
                <w:rFonts w:ascii="Lato" w:hAnsi="Lato"/>
                <w:sz w:val="22"/>
                <w:szCs w:val="22"/>
              </w:rPr>
            </w:pPr>
          </w:p>
        </w:tc>
        <w:tc>
          <w:tcPr>
            <w:tcW w:w="3188" w:type="dxa"/>
          </w:tcPr>
          <w:p w14:paraId="27940FCF" w14:textId="77777777" w:rsidR="004E314E" w:rsidRPr="001362A6" w:rsidRDefault="004E314E" w:rsidP="004E314E">
            <w:pPr>
              <w:rPr>
                <w:rFonts w:ascii="Lato" w:hAnsi="Lato"/>
                <w:sz w:val="22"/>
                <w:szCs w:val="22"/>
              </w:rPr>
            </w:pPr>
          </w:p>
        </w:tc>
      </w:tr>
      <w:tr w:rsidR="004E314E" w:rsidRPr="001362A6" w14:paraId="1587CCA4" w14:textId="77777777" w:rsidTr="003C5325">
        <w:tc>
          <w:tcPr>
            <w:tcW w:w="1316" w:type="dxa"/>
          </w:tcPr>
          <w:p w14:paraId="0B213838" w14:textId="01DA7DCD" w:rsidR="004E314E" w:rsidRDefault="004E314E" w:rsidP="004E314E">
            <w:pPr>
              <w:rPr>
                <w:rFonts w:ascii="Lato" w:hAnsi="Lato"/>
                <w:sz w:val="22"/>
                <w:szCs w:val="22"/>
              </w:rPr>
            </w:pPr>
          </w:p>
        </w:tc>
        <w:tc>
          <w:tcPr>
            <w:tcW w:w="5891" w:type="dxa"/>
          </w:tcPr>
          <w:p w14:paraId="220AF62A" w14:textId="47E07D91" w:rsidR="004E314E" w:rsidRPr="00B132FE" w:rsidRDefault="00482F6C" w:rsidP="004E314E">
            <w:pPr>
              <w:jc w:val="both"/>
              <w:rPr>
                <w:rFonts w:ascii="Lato" w:hAnsi="Lato"/>
                <w:sz w:val="22"/>
                <w:szCs w:val="22"/>
              </w:rPr>
            </w:pPr>
            <w:r>
              <w:rPr>
                <w:rFonts w:ascii="Lato" w:hAnsi="Lato"/>
                <w:sz w:val="22"/>
                <w:szCs w:val="22"/>
              </w:rPr>
              <w:t>The e</w:t>
            </w:r>
            <w:r w:rsidR="004E314E" w:rsidRPr="00B132FE">
              <w:rPr>
                <w:rFonts w:ascii="Lato" w:hAnsi="Lato"/>
                <w:sz w:val="22"/>
                <w:szCs w:val="22"/>
              </w:rPr>
              <w:t>stablishment of share classes which provide for differentiated participation will be permissible to reflect:</w:t>
            </w:r>
          </w:p>
          <w:p w14:paraId="199279F5" w14:textId="77777777" w:rsidR="004E314E" w:rsidRPr="00B132FE" w:rsidRDefault="004E314E" w:rsidP="004E314E">
            <w:pPr>
              <w:jc w:val="both"/>
              <w:rPr>
                <w:rFonts w:ascii="Lato" w:hAnsi="Lato"/>
                <w:sz w:val="22"/>
                <w:szCs w:val="22"/>
              </w:rPr>
            </w:pPr>
            <w:r w:rsidRPr="00B132FE">
              <w:rPr>
                <w:rFonts w:ascii="Lato" w:hAnsi="Lato"/>
                <w:sz w:val="22"/>
                <w:szCs w:val="22"/>
              </w:rPr>
              <w:t>a. issue of shares at a price other than net asset value without prior approval of the Central Bank;</w:t>
            </w:r>
          </w:p>
          <w:p w14:paraId="235D7789" w14:textId="77777777" w:rsidR="004E314E" w:rsidRPr="00B132FE" w:rsidRDefault="004E314E" w:rsidP="004E314E">
            <w:pPr>
              <w:jc w:val="both"/>
              <w:rPr>
                <w:rFonts w:ascii="Lato" w:hAnsi="Lato"/>
                <w:sz w:val="22"/>
                <w:szCs w:val="22"/>
              </w:rPr>
            </w:pPr>
            <w:r w:rsidRPr="00B132FE">
              <w:rPr>
                <w:rFonts w:ascii="Lato" w:hAnsi="Lato"/>
                <w:sz w:val="22"/>
                <w:szCs w:val="22"/>
              </w:rPr>
              <w:t>b. excuse and exclude provisions;</w:t>
            </w:r>
          </w:p>
          <w:p w14:paraId="53BF79D7" w14:textId="77777777" w:rsidR="004E314E" w:rsidRDefault="004E314E" w:rsidP="004E314E">
            <w:pPr>
              <w:jc w:val="both"/>
              <w:rPr>
                <w:rFonts w:ascii="Lato" w:hAnsi="Lato"/>
                <w:sz w:val="22"/>
                <w:szCs w:val="22"/>
              </w:rPr>
            </w:pPr>
            <w:r w:rsidRPr="00B132FE">
              <w:rPr>
                <w:rFonts w:ascii="Lato" w:hAnsi="Lato"/>
                <w:sz w:val="22"/>
                <w:szCs w:val="22"/>
              </w:rPr>
              <w:t>c. stage investing; and</w:t>
            </w:r>
          </w:p>
          <w:p w14:paraId="73B21A59" w14:textId="77777777" w:rsidR="004E314E" w:rsidRPr="001362A6" w:rsidRDefault="004E314E" w:rsidP="004E314E">
            <w:pPr>
              <w:jc w:val="both"/>
              <w:rPr>
                <w:rFonts w:ascii="Lato" w:hAnsi="Lato"/>
                <w:sz w:val="22"/>
                <w:szCs w:val="22"/>
              </w:rPr>
            </w:pPr>
            <w:r w:rsidRPr="00B132FE">
              <w:rPr>
                <w:rFonts w:ascii="Lato" w:hAnsi="Lato"/>
                <w:sz w:val="22"/>
                <w:szCs w:val="22"/>
              </w:rPr>
              <w:t>d. management participation.</w:t>
            </w:r>
          </w:p>
        </w:tc>
        <w:tc>
          <w:tcPr>
            <w:tcW w:w="3188" w:type="dxa"/>
            <w:tcBorders>
              <w:bottom w:val="single" w:sz="4" w:space="0" w:color="auto"/>
            </w:tcBorders>
          </w:tcPr>
          <w:p w14:paraId="12A9C218" w14:textId="77777777" w:rsidR="004E314E" w:rsidRPr="001362A6" w:rsidRDefault="004E314E" w:rsidP="004E314E">
            <w:pPr>
              <w:rPr>
                <w:rFonts w:ascii="Lato" w:hAnsi="Lato"/>
                <w:sz w:val="22"/>
                <w:szCs w:val="22"/>
              </w:rPr>
            </w:pPr>
          </w:p>
        </w:tc>
      </w:tr>
      <w:tr w:rsidR="004E314E" w:rsidRPr="001362A6" w14:paraId="1E339541" w14:textId="77777777" w:rsidTr="003C5325">
        <w:tc>
          <w:tcPr>
            <w:tcW w:w="1316" w:type="dxa"/>
          </w:tcPr>
          <w:p w14:paraId="15C272B7" w14:textId="77777777" w:rsidR="004E314E" w:rsidRDefault="00482F6C" w:rsidP="004E314E">
            <w:pPr>
              <w:rPr>
                <w:rFonts w:ascii="Lato" w:hAnsi="Lato"/>
                <w:sz w:val="22"/>
                <w:szCs w:val="22"/>
              </w:rPr>
            </w:pPr>
            <w:r>
              <w:rPr>
                <w:rFonts w:ascii="Lato" w:hAnsi="Lato"/>
                <w:sz w:val="22"/>
                <w:szCs w:val="22"/>
              </w:rPr>
              <w:t>i)</w:t>
            </w:r>
          </w:p>
        </w:tc>
        <w:tc>
          <w:tcPr>
            <w:tcW w:w="5891" w:type="dxa"/>
            <w:tcBorders>
              <w:right w:val="single" w:sz="4" w:space="0" w:color="auto"/>
            </w:tcBorders>
          </w:tcPr>
          <w:p w14:paraId="5FB7A6BA" w14:textId="77777777" w:rsidR="004E314E" w:rsidRPr="001362A6" w:rsidRDefault="004E314E" w:rsidP="004E314E">
            <w:pPr>
              <w:jc w:val="both"/>
              <w:rPr>
                <w:rFonts w:ascii="Lato" w:hAnsi="Lato"/>
                <w:sz w:val="22"/>
                <w:szCs w:val="22"/>
              </w:rPr>
            </w:pPr>
            <w:r>
              <w:rPr>
                <w:rFonts w:ascii="Lato" w:hAnsi="Lato"/>
                <w:sz w:val="22"/>
                <w:szCs w:val="22"/>
              </w:rPr>
              <w:t>Where a</w:t>
            </w:r>
            <w:r w:rsidRPr="00B132FE">
              <w:rPr>
                <w:rFonts w:ascii="Lato" w:hAnsi="Lato"/>
                <w:sz w:val="22"/>
                <w:szCs w:val="22"/>
              </w:rPr>
              <w:t xml:space="preserve"> CE QIAIFprovide</w:t>
            </w:r>
            <w:r>
              <w:rPr>
                <w:rFonts w:ascii="Lato" w:hAnsi="Lato"/>
                <w:sz w:val="22"/>
                <w:szCs w:val="22"/>
              </w:rPr>
              <w:t>s</w:t>
            </w:r>
            <w:r w:rsidRPr="00B132FE">
              <w:rPr>
                <w:rFonts w:ascii="Lato" w:hAnsi="Lato"/>
                <w:sz w:val="22"/>
                <w:szCs w:val="22"/>
              </w:rPr>
              <w:t xml:space="preserve"> for a share class with one or </w:t>
            </w:r>
          </w:p>
        </w:tc>
        <w:tc>
          <w:tcPr>
            <w:tcW w:w="3188" w:type="dxa"/>
            <w:tcBorders>
              <w:top w:val="single" w:sz="4" w:space="0" w:color="auto"/>
              <w:left w:val="single" w:sz="4" w:space="0" w:color="auto"/>
              <w:bottom w:val="single" w:sz="4" w:space="0" w:color="auto"/>
              <w:right w:val="single" w:sz="4" w:space="0" w:color="auto"/>
            </w:tcBorders>
          </w:tcPr>
          <w:p w14:paraId="23841C04" w14:textId="77777777" w:rsidR="004E314E" w:rsidRPr="001362A6" w:rsidRDefault="004E314E" w:rsidP="004E314E">
            <w:pPr>
              <w:rPr>
                <w:rFonts w:ascii="Lato" w:hAnsi="Lato"/>
                <w:sz w:val="22"/>
                <w:szCs w:val="22"/>
              </w:rPr>
            </w:pPr>
          </w:p>
        </w:tc>
      </w:tr>
      <w:tr w:rsidR="004E314E" w:rsidRPr="001362A6" w14:paraId="2C3FCC7C" w14:textId="77777777" w:rsidTr="003C5325">
        <w:tc>
          <w:tcPr>
            <w:tcW w:w="1316" w:type="dxa"/>
          </w:tcPr>
          <w:p w14:paraId="3BF1A340" w14:textId="77777777" w:rsidR="004E314E" w:rsidRDefault="004E314E" w:rsidP="004E314E">
            <w:pPr>
              <w:rPr>
                <w:rFonts w:ascii="Lato" w:hAnsi="Lato"/>
                <w:sz w:val="22"/>
                <w:szCs w:val="22"/>
              </w:rPr>
            </w:pPr>
          </w:p>
        </w:tc>
        <w:tc>
          <w:tcPr>
            <w:tcW w:w="5891" w:type="dxa"/>
          </w:tcPr>
          <w:p w14:paraId="40109069" w14:textId="77777777" w:rsidR="004E314E" w:rsidRDefault="004E314E" w:rsidP="004E314E">
            <w:pPr>
              <w:jc w:val="both"/>
              <w:rPr>
                <w:rFonts w:ascii="Lato" w:hAnsi="Lato"/>
                <w:sz w:val="22"/>
                <w:szCs w:val="22"/>
              </w:rPr>
            </w:pPr>
            <w:r w:rsidRPr="00B132FE">
              <w:rPr>
                <w:rFonts w:ascii="Lato" w:hAnsi="Lato"/>
                <w:sz w:val="22"/>
                <w:szCs w:val="22"/>
              </w:rPr>
              <w:t>more of the features noted at (a)-(d) and to allocate the returns of a specific asset to that sha</w:t>
            </w:r>
            <w:r>
              <w:rPr>
                <w:rFonts w:ascii="Lato" w:hAnsi="Lato"/>
                <w:sz w:val="22"/>
                <w:szCs w:val="22"/>
              </w:rPr>
              <w:t xml:space="preserve">re class, disclose that the </w:t>
            </w:r>
            <w:r w:rsidRPr="004E314E">
              <w:rPr>
                <w:rFonts w:ascii="Lato" w:hAnsi="Lato"/>
                <w:sz w:val="22"/>
                <w:szCs w:val="22"/>
              </w:rPr>
              <w:t>establishment of share classes which provide for different levels of participation in the CE QIAIF</w:t>
            </w:r>
            <w:r>
              <w:rPr>
                <w:rFonts w:ascii="Lato" w:hAnsi="Lato"/>
                <w:sz w:val="22"/>
                <w:szCs w:val="22"/>
              </w:rPr>
              <w:t xml:space="preserve"> is permitted.</w:t>
            </w:r>
          </w:p>
        </w:tc>
        <w:tc>
          <w:tcPr>
            <w:tcW w:w="3188" w:type="dxa"/>
            <w:tcBorders>
              <w:top w:val="single" w:sz="4" w:space="0" w:color="auto"/>
            </w:tcBorders>
          </w:tcPr>
          <w:p w14:paraId="5680F4E5" w14:textId="77777777" w:rsidR="004E314E" w:rsidRPr="001362A6" w:rsidRDefault="004E314E" w:rsidP="004E314E">
            <w:pPr>
              <w:rPr>
                <w:rFonts w:ascii="Lato" w:hAnsi="Lato"/>
                <w:sz w:val="22"/>
                <w:szCs w:val="22"/>
              </w:rPr>
            </w:pPr>
          </w:p>
        </w:tc>
      </w:tr>
      <w:tr w:rsidR="004E314E" w:rsidRPr="001362A6" w14:paraId="305BF1AF" w14:textId="77777777" w:rsidTr="00734A0A">
        <w:tc>
          <w:tcPr>
            <w:tcW w:w="1316" w:type="dxa"/>
          </w:tcPr>
          <w:p w14:paraId="26947BFA" w14:textId="77777777" w:rsidR="004E314E" w:rsidRDefault="004E314E" w:rsidP="004E314E">
            <w:pPr>
              <w:rPr>
                <w:rFonts w:ascii="Lato" w:hAnsi="Lato"/>
                <w:sz w:val="22"/>
                <w:szCs w:val="22"/>
              </w:rPr>
            </w:pPr>
          </w:p>
        </w:tc>
        <w:tc>
          <w:tcPr>
            <w:tcW w:w="5891" w:type="dxa"/>
          </w:tcPr>
          <w:p w14:paraId="2964F1E0" w14:textId="77777777" w:rsidR="004E314E" w:rsidRPr="001362A6" w:rsidRDefault="004E314E" w:rsidP="004E314E">
            <w:pPr>
              <w:jc w:val="both"/>
              <w:rPr>
                <w:rFonts w:ascii="Lato" w:hAnsi="Lato"/>
                <w:sz w:val="22"/>
                <w:szCs w:val="22"/>
              </w:rPr>
            </w:pPr>
          </w:p>
        </w:tc>
        <w:tc>
          <w:tcPr>
            <w:tcW w:w="3188" w:type="dxa"/>
          </w:tcPr>
          <w:p w14:paraId="209FDFDD" w14:textId="77777777" w:rsidR="004E314E" w:rsidRPr="001362A6" w:rsidRDefault="004E314E" w:rsidP="004E314E">
            <w:pPr>
              <w:rPr>
                <w:rFonts w:ascii="Lato" w:hAnsi="Lato"/>
                <w:sz w:val="22"/>
                <w:szCs w:val="22"/>
              </w:rPr>
            </w:pPr>
          </w:p>
        </w:tc>
      </w:tr>
      <w:tr w:rsidR="004E314E" w:rsidRPr="001362A6" w14:paraId="4E4C337B" w14:textId="77777777" w:rsidTr="003C5325">
        <w:tc>
          <w:tcPr>
            <w:tcW w:w="1316" w:type="dxa"/>
          </w:tcPr>
          <w:p w14:paraId="52539C97" w14:textId="77777777" w:rsidR="004E314E" w:rsidRDefault="004E314E" w:rsidP="004E314E">
            <w:pPr>
              <w:rPr>
                <w:rFonts w:ascii="Lato" w:hAnsi="Lato"/>
                <w:sz w:val="22"/>
                <w:szCs w:val="22"/>
              </w:rPr>
            </w:pPr>
            <w:r>
              <w:rPr>
                <w:rFonts w:ascii="Lato" w:hAnsi="Lato"/>
                <w:sz w:val="22"/>
                <w:szCs w:val="22"/>
              </w:rPr>
              <w:t>ii)</w:t>
            </w:r>
          </w:p>
        </w:tc>
        <w:tc>
          <w:tcPr>
            <w:tcW w:w="5891" w:type="dxa"/>
          </w:tcPr>
          <w:p w14:paraId="6CAB3AC6" w14:textId="77777777" w:rsidR="004E314E" w:rsidRPr="001362A6" w:rsidRDefault="004E314E" w:rsidP="004E314E">
            <w:pPr>
              <w:jc w:val="both"/>
              <w:rPr>
                <w:rFonts w:ascii="Lato" w:hAnsi="Lato"/>
                <w:sz w:val="22"/>
                <w:szCs w:val="22"/>
              </w:rPr>
            </w:pPr>
            <w:r w:rsidRPr="00045CB0">
              <w:rPr>
                <w:rFonts w:ascii="Lato" w:hAnsi="Lato"/>
                <w:sz w:val="22"/>
                <w:szCs w:val="22"/>
              </w:rPr>
              <w:t>Share classes enabling the exercise of excuse or exclude provisions</w:t>
            </w:r>
          </w:p>
        </w:tc>
        <w:tc>
          <w:tcPr>
            <w:tcW w:w="3188" w:type="dxa"/>
            <w:tcBorders>
              <w:bottom w:val="single" w:sz="4" w:space="0" w:color="auto"/>
            </w:tcBorders>
          </w:tcPr>
          <w:p w14:paraId="7FFAA9AC" w14:textId="77777777" w:rsidR="004E314E" w:rsidRPr="001362A6" w:rsidRDefault="004E314E" w:rsidP="004E314E">
            <w:pPr>
              <w:rPr>
                <w:rFonts w:ascii="Lato" w:hAnsi="Lato"/>
                <w:sz w:val="22"/>
                <w:szCs w:val="22"/>
              </w:rPr>
            </w:pPr>
          </w:p>
        </w:tc>
      </w:tr>
      <w:tr w:rsidR="004E314E" w:rsidRPr="001362A6" w14:paraId="34BB97F7" w14:textId="77777777" w:rsidTr="003C5325">
        <w:tc>
          <w:tcPr>
            <w:tcW w:w="1316" w:type="dxa"/>
          </w:tcPr>
          <w:p w14:paraId="5C5FC33C" w14:textId="77777777" w:rsidR="004E314E" w:rsidRDefault="004E314E" w:rsidP="004E314E">
            <w:pPr>
              <w:rPr>
                <w:rFonts w:ascii="Lato" w:hAnsi="Lato"/>
                <w:sz w:val="22"/>
                <w:szCs w:val="22"/>
              </w:rPr>
            </w:pPr>
          </w:p>
        </w:tc>
        <w:tc>
          <w:tcPr>
            <w:tcW w:w="5891" w:type="dxa"/>
            <w:tcBorders>
              <w:right w:val="single" w:sz="4" w:space="0" w:color="auto"/>
            </w:tcBorders>
          </w:tcPr>
          <w:p w14:paraId="60D1AE8F" w14:textId="77777777" w:rsidR="004E314E" w:rsidRPr="001362A6" w:rsidRDefault="004E314E" w:rsidP="004E314E">
            <w:pPr>
              <w:jc w:val="both"/>
              <w:rPr>
                <w:rFonts w:ascii="Lato" w:hAnsi="Lato"/>
                <w:sz w:val="22"/>
                <w:szCs w:val="22"/>
              </w:rPr>
            </w:pPr>
            <w:r>
              <w:rPr>
                <w:rFonts w:ascii="Lato" w:hAnsi="Lato"/>
                <w:sz w:val="22"/>
                <w:szCs w:val="22"/>
              </w:rPr>
              <w:t xml:space="preserve">Where a </w:t>
            </w:r>
            <w:r w:rsidRPr="00045CB0">
              <w:rPr>
                <w:rFonts w:ascii="Lato" w:hAnsi="Lato"/>
                <w:sz w:val="22"/>
                <w:szCs w:val="22"/>
              </w:rPr>
              <w:t xml:space="preserve">CE QIAIF may facilitate excuse provisions (which </w:t>
            </w:r>
          </w:p>
        </w:tc>
        <w:tc>
          <w:tcPr>
            <w:tcW w:w="3188" w:type="dxa"/>
            <w:tcBorders>
              <w:top w:val="single" w:sz="4" w:space="0" w:color="auto"/>
              <w:left w:val="single" w:sz="4" w:space="0" w:color="auto"/>
              <w:bottom w:val="single" w:sz="4" w:space="0" w:color="auto"/>
              <w:right w:val="single" w:sz="4" w:space="0" w:color="auto"/>
            </w:tcBorders>
          </w:tcPr>
          <w:p w14:paraId="67229504" w14:textId="77777777" w:rsidR="004E314E" w:rsidRPr="001362A6" w:rsidRDefault="004E314E" w:rsidP="004E314E">
            <w:pPr>
              <w:rPr>
                <w:rFonts w:ascii="Lato" w:hAnsi="Lato"/>
                <w:sz w:val="22"/>
                <w:szCs w:val="22"/>
              </w:rPr>
            </w:pPr>
          </w:p>
        </w:tc>
      </w:tr>
      <w:tr w:rsidR="004E314E" w:rsidRPr="001362A6" w14:paraId="21CBC616" w14:textId="77777777" w:rsidTr="003C5325">
        <w:tc>
          <w:tcPr>
            <w:tcW w:w="1316" w:type="dxa"/>
          </w:tcPr>
          <w:p w14:paraId="1BC1AC95" w14:textId="77777777" w:rsidR="004E314E" w:rsidRPr="001362A6" w:rsidRDefault="004E314E" w:rsidP="004E314E">
            <w:pPr>
              <w:rPr>
                <w:rFonts w:ascii="Lato" w:hAnsi="Lato"/>
                <w:sz w:val="22"/>
                <w:szCs w:val="22"/>
              </w:rPr>
            </w:pPr>
          </w:p>
        </w:tc>
        <w:tc>
          <w:tcPr>
            <w:tcW w:w="5891" w:type="dxa"/>
          </w:tcPr>
          <w:p w14:paraId="70069F67" w14:textId="77777777" w:rsidR="004E314E" w:rsidRPr="001362A6" w:rsidRDefault="004E314E" w:rsidP="004E314E">
            <w:pPr>
              <w:jc w:val="both"/>
              <w:rPr>
                <w:rFonts w:ascii="Lato" w:hAnsi="Lato"/>
                <w:sz w:val="22"/>
                <w:szCs w:val="22"/>
              </w:rPr>
            </w:pPr>
            <w:r w:rsidRPr="00045CB0">
              <w:rPr>
                <w:rFonts w:ascii="Lato" w:hAnsi="Lato"/>
                <w:sz w:val="22"/>
                <w:szCs w:val="22"/>
              </w:rPr>
              <w:t>enable an investor to be excused from an investment that the CE QIAIF proposes to make) and / or exclude provisions</w:t>
            </w:r>
            <w:r>
              <w:rPr>
                <w:rFonts w:ascii="Lato" w:hAnsi="Lato"/>
                <w:sz w:val="22"/>
                <w:szCs w:val="22"/>
              </w:rPr>
              <w:t xml:space="preserve"> </w:t>
            </w:r>
            <w:r w:rsidRPr="00045CB0">
              <w:rPr>
                <w:rFonts w:ascii="Lato" w:hAnsi="Lato"/>
                <w:sz w:val="22"/>
                <w:szCs w:val="22"/>
              </w:rPr>
              <w:t xml:space="preserve">(which permits the CE QIAIF to exclude an investor from a proposed investment that the CE </w:t>
            </w:r>
            <w:r>
              <w:rPr>
                <w:rFonts w:ascii="Lato" w:hAnsi="Lato"/>
                <w:sz w:val="22"/>
                <w:szCs w:val="22"/>
              </w:rPr>
              <w:t>QIAIF proposes to make), disclose the circumstances in which this may occur.</w:t>
            </w:r>
          </w:p>
        </w:tc>
        <w:tc>
          <w:tcPr>
            <w:tcW w:w="3188" w:type="dxa"/>
            <w:tcBorders>
              <w:top w:val="single" w:sz="4" w:space="0" w:color="auto"/>
            </w:tcBorders>
          </w:tcPr>
          <w:p w14:paraId="491E1300" w14:textId="77777777" w:rsidR="004E314E" w:rsidRPr="001362A6" w:rsidRDefault="004E314E" w:rsidP="004E314E">
            <w:pPr>
              <w:rPr>
                <w:rFonts w:ascii="Lato" w:hAnsi="Lato"/>
                <w:sz w:val="22"/>
                <w:szCs w:val="22"/>
              </w:rPr>
            </w:pPr>
          </w:p>
        </w:tc>
      </w:tr>
      <w:tr w:rsidR="004E314E" w:rsidRPr="001362A6" w14:paraId="309E230E" w14:textId="77777777" w:rsidTr="00734A0A">
        <w:tc>
          <w:tcPr>
            <w:tcW w:w="1316" w:type="dxa"/>
          </w:tcPr>
          <w:p w14:paraId="217B00BA" w14:textId="77777777" w:rsidR="004E314E" w:rsidRPr="001362A6" w:rsidRDefault="004E314E" w:rsidP="004E314E">
            <w:pPr>
              <w:rPr>
                <w:rFonts w:ascii="Lato" w:hAnsi="Lato"/>
                <w:sz w:val="22"/>
                <w:szCs w:val="22"/>
              </w:rPr>
            </w:pPr>
          </w:p>
        </w:tc>
        <w:tc>
          <w:tcPr>
            <w:tcW w:w="5891" w:type="dxa"/>
          </w:tcPr>
          <w:p w14:paraId="06D7A508" w14:textId="77777777" w:rsidR="004E314E" w:rsidRPr="001362A6" w:rsidRDefault="004E314E" w:rsidP="004E314E">
            <w:pPr>
              <w:jc w:val="both"/>
              <w:rPr>
                <w:rFonts w:ascii="Lato" w:hAnsi="Lato"/>
                <w:sz w:val="22"/>
                <w:szCs w:val="22"/>
              </w:rPr>
            </w:pPr>
          </w:p>
        </w:tc>
        <w:tc>
          <w:tcPr>
            <w:tcW w:w="3188" w:type="dxa"/>
          </w:tcPr>
          <w:p w14:paraId="19E2E5FF" w14:textId="77777777" w:rsidR="004E314E" w:rsidRPr="001362A6" w:rsidRDefault="004E314E" w:rsidP="004E314E">
            <w:pPr>
              <w:rPr>
                <w:rFonts w:ascii="Lato" w:hAnsi="Lato"/>
                <w:sz w:val="22"/>
                <w:szCs w:val="22"/>
              </w:rPr>
            </w:pPr>
          </w:p>
        </w:tc>
      </w:tr>
      <w:tr w:rsidR="004E314E" w:rsidRPr="001362A6" w14:paraId="570A497C" w14:textId="77777777" w:rsidTr="003C5325">
        <w:tc>
          <w:tcPr>
            <w:tcW w:w="1316" w:type="dxa"/>
          </w:tcPr>
          <w:p w14:paraId="3DB3AB80" w14:textId="77777777" w:rsidR="004E314E" w:rsidRPr="001362A6" w:rsidRDefault="004E314E" w:rsidP="004E314E">
            <w:pPr>
              <w:rPr>
                <w:rFonts w:ascii="Lato" w:hAnsi="Lato"/>
                <w:sz w:val="22"/>
                <w:szCs w:val="22"/>
              </w:rPr>
            </w:pPr>
            <w:r>
              <w:rPr>
                <w:rFonts w:ascii="Lato" w:hAnsi="Lato"/>
                <w:sz w:val="22"/>
                <w:szCs w:val="22"/>
              </w:rPr>
              <w:t>iii)</w:t>
            </w:r>
          </w:p>
        </w:tc>
        <w:tc>
          <w:tcPr>
            <w:tcW w:w="5891" w:type="dxa"/>
          </w:tcPr>
          <w:p w14:paraId="30C7180E" w14:textId="77777777" w:rsidR="004E314E" w:rsidRPr="001362A6" w:rsidRDefault="004E314E" w:rsidP="004E314E">
            <w:pPr>
              <w:jc w:val="both"/>
              <w:rPr>
                <w:rFonts w:ascii="Lato" w:hAnsi="Lato"/>
                <w:sz w:val="22"/>
                <w:szCs w:val="22"/>
              </w:rPr>
            </w:pPr>
            <w:r w:rsidRPr="004E314E">
              <w:rPr>
                <w:rFonts w:ascii="Lato" w:hAnsi="Lato"/>
                <w:sz w:val="22"/>
                <w:szCs w:val="22"/>
              </w:rPr>
              <w:t>Share classes providing for management participation</w:t>
            </w:r>
          </w:p>
        </w:tc>
        <w:tc>
          <w:tcPr>
            <w:tcW w:w="3188" w:type="dxa"/>
            <w:tcBorders>
              <w:bottom w:val="single" w:sz="4" w:space="0" w:color="auto"/>
            </w:tcBorders>
          </w:tcPr>
          <w:p w14:paraId="60F2A0A8" w14:textId="77777777" w:rsidR="004E314E" w:rsidRPr="001362A6" w:rsidRDefault="004E314E" w:rsidP="004E314E">
            <w:pPr>
              <w:rPr>
                <w:rFonts w:ascii="Lato" w:hAnsi="Lato"/>
                <w:sz w:val="22"/>
                <w:szCs w:val="22"/>
              </w:rPr>
            </w:pPr>
          </w:p>
        </w:tc>
      </w:tr>
      <w:tr w:rsidR="004E314E" w:rsidRPr="001362A6" w14:paraId="6EE6703B" w14:textId="77777777" w:rsidTr="003C5325">
        <w:tc>
          <w:tcPr>
            <w:tcW w:w="1316" w:type="dxa"/>
          </w:tcPr>
          <w:p w14:paraId="40B20EEF"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09F3CE74" w14:textId="77777777" w:rsidR="004E314E" w:rsidRPr="001362A6" w:rsidRDefault="004E314E" w:rsidP="004E314E">
            <w:pPr>
              <w:jc w:val="both"/>
              <w:rPr>
                <w:rFonts w:ascii="Lato" w:hAnsi="Lato"/>
                <w:sz w:val="22"/>
                <w:szCs w:val="22"/>
              </w:rPr>
            </w:pPr>
            <w:r>
              <w:rPr>
                <w:rFonts w:ascii="Lato" w:hAnsi="Lato"/>
                <w:sz w:val="22"/>
                <w:szCs w:val="22"/>
              </w:rPr>
              <w:t xml:space="preserve">Disclose </w:t>
            </w:r>
            <w:r w:rsidRPr="004E314E">
              <w:rPr>
                <w:rFonts w:ascii="Lato" w:hAnsi="Lato"/>
                <w:sz w:val="22"/>
                <w:szCs w:val="22"/>
              </w:rPr>
              <w:t>the conditions applicable t</w:t>
            </w:r>
            <w:r>
              <w:rPr>
                <w:rFonts w:ascii="Lato" w:hAnsi="Lato"/>
                <w:sz w:val="22"/>
                <w:szCs w:val="22"/>
              </w:rPr>
              <w:t xml:space="preserve">o management share </w:t>
            </w:r>
          </w:p>
        </w:tc>
        <w:tc>
          <w:tcPr>
            <w:tcW w:w="3188" w:type="dxa"/>
            <w:tcBorders>
              <w:top w:val="single" w:sz="4" w:space="0" w:color="auto"/>
              <w:left w:val="single" w:sz="4" w:space="0" w:color="auto"/>
              <w:bottom w:val="single" w:sz="4" w:space="0" w:color="auto"/>
              <w:right w:val="single" w:sz="4" w:space="0" w:color="auto"/>
            </w:tcBorders>
          </w:tcPr>
          <w:p w14:paraId="6943F3A2" w14:textId="77777777" w:rsidR="004E314E" w:rsidRPr="001362A6" w:rsidRDefault="004E314E" w:rsidP="004E314E">
            <w:pPr>
              <w:rPr>
                <w:rFonts w:ascii="Lato" w:hAnsi="Lato"/>
                <w:sz w:val="22"/>
                <w:szCs w:val="22"/>
              </w:rPr>
            </w:pPr>
          </w:p>
        </w:tc>
      </w:tr>
      <w:tr w:rsidR="004E314E" w:rsidRPr="001362A6" w14:paraId="3867156B" w14:textId="77777777" w:rsidTr="003C5325">
        <w:tc>
          <w:tcPr>
            <w:tcW w:w="1316" w:type="dxa"/>
          </w:tcPr>
          <w:p w14:paraId="196C743B" w14:textId="77777777" w:rsidR="004E314E" w:rsidRPr="001362A6" w:rsidRDefault="004E314E" w:rsidP="004E314E">
            <w:pPr>
              <w:rPr>
                <w:rFonts w:ascii="Lato" w:hAnsi="Lato"/>
                <w:sz w:val="22"/>
                <w:szCs w:val="22"/>
              </w:rPr>
            </w:pPr>
          </w:p>
        </w:tc>
        <w:tc>
          <w:tcPr>
            <w:tcW w:w="5891" w:type="dxa"/>
          </w:tcPr>
          <w:p w14:paraId="70B3CB61" w14:textId="77777777" w:rsidR="004E314E" w:rsidRDefault="004E314E" w:rsidP="004E314E">
            <w:pPr>
              <w:jc w:val="both"/>
              <w:rPr>
                <w:rFonts w:ascii="Lato" w:hAnsi="Lato"/>
                <w:sz w:val="22"/>
                <w:szCs w:val="22"/>
              </w:rPr>
            </w:pPr>
            <w:r>
              <w:rPr>
                <w:rFonts w:ascii="Lato" w:hAnsi="Lato"/>
                <w:sz w:val="22"/>
                <w:szCs w:val="22"/>
              </w:rPr>
              <w:t>classes</w:t>
            </w:r>
          </w:p>
        </w:tc>
        <w:tc>
          <w:tcPr>
            <w:tcW w:w="3188" w:type="dxa"/>
            <w:tcBorders>
              <w:top w:val="single" w:sz="4" w:space="0" w:color="auto"/>
            </w:tcBorders>
          </w:tcPr>
          <w:p w14:paraId="3C8E412C" w14:textId="77777777" w:rsidR="004E314E" w:rsidRPr="001362A6" w:rsidRDefault="004E314E" w:rsidP="004E314E">
            <w:pPr>
              <w:rPr>
                <w:rFonts w:ascii="Lato" w:hAnsi="Lato"/>
                <w:sz w:val="22"/>
                <w:szCs w:val="22"/>
              </w:rPr>
            </w:pPr>
          </w:p>
        </w:tc>
      </w:tr>
      <w:tr w:rsidR="004E314E" w:rsidRPr="001362A6" w14:paraId="7698566E" w14:textId="77777777" w:rsidTr="00734A0A">
        <w:tc>
          <w:tcPr>
            <w:tcW w:w="1316" w:type="dxa"/>
          </w:tcPr>
          <w:p w14:paraId="65AD7AF1" w14:textId="77777777" w:rsidR="004E314E" w:rsidRPr="001362A6" w:rsidRDefault="004E314E" w:rsidP="004E314E">
            <w:pPr>
              <w:rPr>
                <w:rFonts w:ascii="Lato" w:hAnsi="Lato"/>
                <w:sz w:val="22"/>
                <w:szCs w:val="22"/>
              </w:rPr>
            </w:pPr>
          </w:p>
        </w:tc>
        <w:tc>
          <w:tcPr>
            <w:tcW w:w="5891" w:type="dxa"/>
          </w:tcPr>
          <w:p w14:paraId="4B525DEB" w14:textId="77777777" w:rsidR="004E314E" w:rsidRPr="001362A6" w:rsidRDefault="004E314E" w:rsidP="004E314E">
            <w:pPr>
              <w:jc w:val="both"/>
              <w:rPr>
                <w:rFonts w:ascii="Lato" w:hAnsi="Lato"/>
                <w:sz w:val="22"/>
                <w:szCs w:val="22"/>
              </w:rPr>
            </w:pPr>
          </w:p>
        </w:tc>
        <w:tc>
          <w:tcPr>
            <w:tcW w:w="3188" w:type="dxa"/>
          </w:tcPr>
          <w:p w14:paraId="31E9EF91" w14:textId="77777777" w:rsidR="004E314E" w:rsidRPr="001362A6" w:rsidRDefault="004E314E" w:rsidP="004E314E">
            <w:pPr>
              <w:rPr>
                <w:rFonts w:ascii="Lato" w:hAnsi="Lato"/>
                <w:sz w:val="22"/>
                <w:szCs w:val="22"/>
              </w:rPr>
            </w:pPr>
          </w:p>
        </w:tc>
      </w:tr>
      <w:tr w:rsidR="004E314E" w:rsidRPr="001362A6" w14:paraId="4C33F11D" w14:textId="77777777" w:rsidTr="00734A0A">
        <w:tc>
          <w:tcPr>
            <w:tcW w:w="1316" w:type="dxa"/>
          </w:tcPr>
          <w:p w14:paraId="4D38A21C" w14:textId="77777777" w:rsidR="004E314E" w:rsidRPr="001362A6" w:rsidRDefault="004E314E" w:rsidP="004E314E">
            <w:pPr>
              <w:rPr>
                <w:rFonts w:ascii="Lato" w:hAnsi="Lato"/>
                <w:b/>
                <w:bCs/>
                <w:sz w:val="22"/>
                <w:szCs w:val="22"/>
              </w:rPr>
            </w:pPr>
            <w:r w:rsidRPr="001362A6">
              <w:rPr>
                <w:rFonts w:ascii="Lato" w:hAnsi="Lato"/>
                <w:b/>
                <w:bCs/>
                <w:sz w:val="22"/>
                <w:szCs w:val="22"/>
              </w:rPr>
              <w:t>2.20</w:t>
            </w:r>
          </w:p>
        </w:tc>
        <w:tc>
          <w:tcPr>
            <w:tcW w:w="5891" w:type="dxa"/>
          </w:tcPr>
          <w:p w14:paraId="10AFF899" w14:textId="77777777" w:rsidR="004E314E" w:rsidRPr="001362A6" w:rsidRDefault="004E314E" w:rsidP="004E314E">
            <w:pPr>
              <w:pStyle w:val="Header"/>
              <w:tabs>
                <w:tab w:val="left" w:pos="720"/>
              </w:tabs>
              <w:spacing w:line="240" w:lineRule="auto"/>
              <w:rPr>
                <w:rFonts w:ascii="Lato" w:hAnsi="Lato"/>
                <w:b/>
                <w:bCs/>
                <w:szCs w:val="22"/>
              </w:rPr>
            </w:pPr>
            <w:r w:rsidRPr="001362A6">
              <w:rPr>
                <w:rFonts w:ascii="Lato" w:hAnsi="Lato"/>
                <w:b/>
                <w:bCs/>
                <w:szCs w:val="22"/>
              </w:rPr>
              <w:t>Fees and Expenses</w:t>
            </w:r>
          </w:p>
        </w:tc>
        <w:tc>
          <w:tcPr>
            <w:tcW w:w="3188" w:type="dxa"/>
          </w:tcPr>
          <w:p w14:paraId="49E0B2B0" w14:textId="77777777" w:rsidR="004E314E" w:rsidRPr="001362A6" w:rsidRDefault="004E314E" w:rsidP="004E314E">
            <w:pPr>
              <w:rPr>
                <w:rFonts w:ascii="Lato" w:hAnsi="Lato"/>
                <w:sz w:val="22"/>
                <w:szCs w:val="22"/>
              </w:rPr>
            </w:pPr>
          </w:p>
        </w:tc>
      </w:tr>
      <w:tr w:rsidR="004E314E" w:rsidRPr="001362A6" w14:paraId="578EF4CA" w14:textId="77777777" w:rsidTr="00990D73">
        <w:tc>
          <w:tcPr>
            <w:tcW w:w="1316" w:type="dxa"/>
          </w:tcPr>
          <w:p w14:paraId="7FB5C3F1" w14:textId="77777777" w:rsidR="004E314E" w:rsidRPr="001362A6" w:rsidRDefault="004E314E" w:rsidP="004E314E">
            <w:pPr>
              <w:rPr>
                <w:rFonts w:ascii="Lato" w:hAnsi="Lato"/>
                <w:sz w:val="22"/>
                <w:szCs w:val="22"/>
              </w:rPr>
            </w:pPr>
          </w:p>
        </w:tc>
        <w:tc>
          <w:tcPr>
            <w:tcW w:w="5891" w:type="dxa"/>
          </w:tcPr>
          <w:p w14:paraId="7B2AEFA8" w14:textId="77777777" w:rsidR="004E314E" w:rsidRPr="001362A6" w:rsidRDefault="004E314E" w:rsidP="004E314E">
            <w:pPr>
              <w:rPr>
                <w:rFonts w:ascii="Lato" w:hAnsi="Lato"/>
                <w:sz w:val="22"/>
                <w:szCs w:val="22"/>
              </w:rPr>
            </w:pPr>
          </w:p>
        </w:tc>
        <w:tc>
          <w:tcPr>
            <w:tcW w:w="3188" w:type="dxa"/>
            <w:tcBorders>
              <w:bottom w:val="single" w:sz="4" w:space="0" w:color="auto"/>
            </w:tcBorders>
          </w:tcPr>
          <w:p w14:paraId="3938EAA8" w14:textId="77777777" w:rsidR="004E314E" w:rsidRPr="001362A6" w:rsidRDefault="004E314E" w:rsidP="004E314E">
            <w:pPr>
              <w:rPr>
                <w:rFonts w:ascii="Lato" w:hAnsi="Lato"/>
                <w:sz w:val="22"/>
                <w:szCs w:val="22"/>
              </w:rPr>
            </w:pPr>
          </w:p>
        </w:tc>
      </w:tr>
      <w:tr w:rsidR="004E314E" w:rsidRPr="001362A6" w14:paraId="2BAACEDE" w14:textId="77777777" w:rsidTr="00990D73">
        <w:trPr>
          <w:cantSplit/>
          <w:trHeight w:val="253"/>
        </w:trPr>
        <w:tc>
          <w:tcPr>
            <w:tcW w:w="1316" w:type="dxa"/>
            <w:vMerge w:val="restart"/>
          </w:tcPr>
          <w:p w14:paraId="2251C758" w14:textId="77777777" w:rsidR="004E314E" w:rsidRPr="001362A6" w:rsidRDefault="004E314E" w:rsidP="004E314E">
            <w:pPr>
              <w:rPr>
                <w:rFonts w:ascii="Lato" w:hAnsi="Lato"/>
                <w:sz w:val="22"/>
                <w:szCs w:val="22"/>
              </w:rPr>
            </w:pPr>
            <w:r w:rsidRPr="001362A6">
              <w:rPr>
                <w:rFonts w:ascii="Lato" w:hAnsi="Lato"/>
                <w:sz w:val="22"/>
                <w:szCs w:val="22"/>
              </w:rPr>
              <w:t>2.20.1</w:t>
            </w:r>
          </w:p>
        </w:tc>
        <w:tc>
          <w:tcPr>
            <w:tcW w:w="5891" w:type="dxa"/>
            <w:vMerge w:val="restart"/>
            <w:tcBorders>
              <w:right w:val="single" w:sz="4" w:space="0" w:color="auto"/>
            </w:tcBorders>
          </w:tcPr>
          <w:p w14:paraId="36594C44" w14:textId="77777777" w:rsidR="004E314E" w:rsidRPr="001362A6" w:rsidRDefault="004E314E" w:rsidP="004E314E">
            <w:pPr>
              <w:rPr>
                <w:rFonts w:ascii="Lato" w:hAnsi="Lato"/>
                <w:sz w:val="22"/>
                <w:szCs w:val="22"/>
              </w:rPr>
            </w:pPr>
            <w:r w:rsidRPr="001362A6">
              <w:rPr>
                <w:rFonts w:ascii="Lato" w:hAnsi="Lato"/>
                <w:sz w:val="22"/>
                <w:szCs w:val="22"/>
              </w:rPr>
              <w:t>Insert a description of all fees, charges and expenses and of the maximum amounts thereof which are directly or indirectly borne by unitholders</w:t>
            </w:r>
          </w:p>
        </w:tc>
        <w:tc>
          <w:tcPr>
            <w:tcW w:w="3188" w:type="dxa"/>
            <w:tcBorders>
              <w:top w:val="single" w:sz="4" w:space="0" w:color="auto"/>
              <w:left w:val="single" w:sz="4" w:space="0" w:color="auto"/>
              <w:bottom w:val="single" w:sz="4" w:space="0" w:color="auto"/>
              <w:right w:val="single" w:sz="4" w:space="0" w:color="auto"/>
            </w:tcBorders>
          </w:tcPr>
          <w:p w14:paraId="1ACFA99E" w14:textId="77777777" w:rsidR="004E314E" w:rsidRPr="001362A6" w:rsidRDefault="004E314E" w:rsidP="004E314E">
            <w:pPr>
              <w:rPr>
                <w:rFonts w:ascii="Lato" w:hAnsi="Lato"/>
                <w:sz w:val="22"/>
                <w:szCs w:val="22"/>
              </w:rPr>
            </w:pPr>
          </w:p>
        </w:tc>
      </w:tr>
      <w:tr w:rsidR="004E314E" w:rsidRPr="001362A6" w14:paraId="43C1EEDA" w14:textId="77777777" w:rsidTr="00990D73">
        <w:trPr>
          <w:cantSplit/>
          <w:trHeight w:val="251"/>
        </w:trPr>
        <w:tc>
          <w:tcPr>
            <w:tcW w:w="1316" w:type="dxa"/>
            <w:vMerge/>
          </w:tcPr>
          <w:p w14:paraId="52CEE487" w14:textId="77777777" w:rsidR="004E314E" w:rsidRPr="001362A6" w:rsidRDefault="004E314E" w:rsidP="004E314E">
            <w:pPr>
              <w:rPr>
                <w:rFonts w:ascii="Lato" w:hAnsi="Lato"/>
                <w:sz w:val="22"/>
                <w:szCs w:val="22"/>
              </w:rPr>
            </w:pPr>
          </w:p>
        </w:tc>
        <w:tc>
          <w:tcPr>
            <w:tcW w:w="5891" w:type="dxa"/>
            <w:vMerge/>
          </w:tcPr>
          <w:p w14:paraId="6621ECA0" w14:textId="77777777" w:rsidR="004E314E" w:rsidRPr="001362A6" w:rsidRDefault="004E314E" w:rsidP="004E314E">
            <w:pPr>
              <w:rPr>
                <w:rFonts w:ascii="Lato" w:hAnsi="Lato"/>
                <w:sz w:val="22"/>
                <w:szCs w:val="22"/>
              </w:rPr>
            </w:pPr>
          </w:p>
        </w:tc>
        <w:tc>
          <w:tcPr>
            <w:tcW w:w="3188" w:type="dxa"/>
            <w:tcBorders>
              <w:top w:val="single" w:sz="4" w:space="0" w:color="auto"/>
            </w:tcBorders>
          </w:tcPr>
          <w:p w14:paraId="3E7FB14F" w14:textId="77777777" w:rsidR="004E314E" w:rsidRPr="001362A6" w:rsidRDefault="004E314E" w:rsidP="004E314E">
            <w:pPr>
              <w:rPr>
                <w:rFonts w:ascii="Lato" w:hAnsi="Lato"/>
                <w:sz w:val="22"/>
                <w:szCs w:val="22"/>
              </w:rPr>
            </w:pPr>
          </w:p>
        </w:tc>
      </w:tr>
      <w:tr w:rsidR="004E314E" w:rsidRPr="001362A6" w14:paraId="51D2050A" w14:textId="77777777" w:rsidTr="00990D73">
        <w:trPr>
          <w:cantSplit/>
          <w:trHeight w:val="251"/>
        </w:trPr>
        <w:tc>
          <w:tcPr>
            <w:tcW w:w="1316" w:type="dxa"/>
            <w:vMerge/>
          </w:tcPr>
          <w:p w14:paraId="01F50228" w14:textId="77777777" w:rsidR="004E314E" w:rsidRPr="001362A6" w:rsidRDefault="004E314E" w:rsidP="004E314E">
            <w:pPr>
              <w:rPr>
                <w:rFonts w:ascii="Lato" w:hAnsi="Lato"/>
                <w:sz w:val="22"/>
                <w:szCs w:val="22"/>
              </w:rPr>
            </w:pPr>
          </w:p>
        </w:tc>
        <w:tc>
          <w:tcPr>
            <w:tcW w:w="5891" w:type="dxa"/>
            <w:vMerge/>
          </w:tcPr>
          <w:p w14:paraId="2F606DA8" w14:textId="77777777" w:rsidR="004E314E" w:rsidRPr="001362A6" w:rsidRDefault="004E314E" w:rsidP="004E314E">
            <w:pPr>
              <w:rPr>
                <w:rFonts w:ascii="Lato" w:hAnsi="Lato"/>
                <w:sz w:val="22"/>
                <w:szCs w:val="22"/>
              </w:rPr>
            </w:pPr>
          </w:p>
        </w:tc>
        <w:tc>
          <w:tcPr>
            <w:tcW w:w="3188" w:type="dxa"/>
          </w:tcPr>
          <w:p w14:paraId="215B978F" w14:textId="77777777" w:rsidR="004E314E" w:rsidRPr="001362A6" w:rsidRDefault="004E314E" w:rsidP="004E314E">
            <w:pPr>
              <w:rPr>
                <w:rFonts w:ascii="Lato" w:hAnsi="Lato"/>
                <w:sz w:val="22"/>
                <w:szCs w:val="22"/>
              </w:rPr>
            </w:pPr>
          </w:p>
        </w:tc>
      </w:tr>
      <w:tr w:rsidR="004E314E" w:rsidRPr="001362A6" w14:paraId="5FB4099F" w14:textId="77777777" w:rsidTr="00500602">
        <w:trPr>
          <w:cantSplit/>
          <w:trHeight w:val="251"/>
        </w:trPr>
        <w:tc>
          <w:tcPr>
            <w:tcW w:w="1316" w:type="dxa"/>
          </w:tcPr>
          <w:p w14:paraId="01184467" w14:textId="77777777" w:rsidR="004E314E" w:rsidRPr="001362A6" w:rsidRDefault="004E314E" w:rsidP="004E314E">
            <w:pPr>
              <w:rPr>
                <w:rFonts w:ascii="Lato" w:hAnsi="Lato"/>
                <w:sz w:val="22"/>
                <w:szCs w:val="22"/>
              </w:rPr>
            </w:pPr>
          </w:p>
        </w:tc>
        <w:tc>
          <w:tcPr>
            <w:tcW w:w="5891" w:type="dxa"/>
          </w:tcPr>
          <w:p w14:paraId="1B04C8E2" w14:textId="77777777" w:rsidR="004E314E" w:rsidRPr="001362A6" w:rsidRDefault="004E314E" w:rsidP="004E314E">
            <w:pPr>
              <w:rPr>
                <w:rFonts w:ascii="Lato" w:hAnsi="Lato"/>
                <w:sz w:val="22"/>
                <w:szCs w:val="22"/>
              </w:rPr>
            </w:pPr>
          </w:p>
        </w:tc>
        <w:tc>
          <w:tcPr>
            <w:tcW w:w="3188" w:type="dxa"/>
            <w:tcBorders>
              <w:bottom w:val="single" w:sz="4" w:space="0" w:color="auto"/>
            </w:tcBorders>
          </w:tcPr>
          <w:p w14:paraId="219B590D" w14:textId="77777777" w:rsidR="004E314E" w:rsidRPr="001362A6" w:rsidRDefault="004E314E" w:rsidP="004E314E">
            <w:pPr>
              <w:rPr>
                <w:rFonts w:ascii="Lato" w:hAnsi="Lato"/>
                <w:sz w:val="22"/>
                <w:szCs w:val="22"/>
              </w:rPr>
            </w:pPr>
          </w:p>
        </w:tc>
      </w:tr>
      <w:tr w:rsidR="004E314E" w:rsidRPr="001362A6" w14:paraId="274B0FD0" w14:textId="77777777" w:rsidTr="00500602">
        <w:tc>
          <w:tcPr>
            <w:tcW w:w="1316" w:type="dxa"/>
          </w:tcPr>
          <w:p w14:paraId="18E1FC4F" w14:textId="77777777" w:rsidR="004E314E" w:rsidRPr="001362A6" w:rsidRDefault="004E314E" w:rsidP="004E314E">
            <w:pPr>
              <w:rPr>
                <w:rFonts w:ascii="Lato" w:hAnsi="Lato"/>
                <w:sz w:val="22"/>
                <w:szCs w:val="22"/>
              </w:rPr>
            </w:pPr>
            <w:r w:rsidRPr="001362A6">
              <w:rPr>
                <w:rFonts w:ascii="Lato" w:hAnsi="Lato"/>
                <w:sz w:val="22"/>
                <w:szCs w:val="22"/>
              </w:rPr>
              <w:t>2.20.2</w:t>
            </w:r>
          </w:p>
        </w:tc>
        <w:tc>
          <w:tcPr>
            <w:tcW w:w="5891" w:type="dxa"/>
            <w:tcBorders>
              <w:right w:val="single" w:sz="4" w:space="0" w:color="auto"/>
            </w:tcBorders>
          </w:tcPr>
          <w:p w14:paraId="30990EE8" w14:textId="77777777" w:rsidR="004E314E" w:rsidRPr="001362A6" w:rsidRDefault="004E314E" w:rsidP="004E314E">
            <w:pPr>
              <w:pStyle w:val="Heading3"/>
              <w:spacing w:before="0" w:after="0" w:line="240" w:lineRule="auto"/>
              <w:rPr>
                <w:rFonts w:ascii="Lato" w:eastAsia="Arial Unicode MS" w:hAnsi="Lato"/>
                <w:b w:val="0"/>
                <w:bCs/>
                <w:color w:val="auto"/>
                <w:sz w:val="22"/>
                <w:szCs w:val="22"/>
              </w:rPr>
            </w:pPr>
            <w:r w:rsidRPr="001362A6">
              <w:rPr>
                <w:rFonts w:ascii="Lato" w:eastAsia="Arial Unicode MS" w:hAnsi="Lato"/>
                <w:b w:val="0"/>
                <w:bCs/>
                <w:color w:val="auto"/>
                <w:sz w:val="22"/>
                <w:szCs w:val="22"/>
              </w:rPr>
              <w:t xml:space="preserve">Provide a description of the AIFMs remuneration policies </w:t>
            </w:r>
          </w:p>
        </w:tc>
        <w:tc>
          <w:tcPr>
            <w:tcW w:w="3188" w:type="dxa"/>
            <w:tcBorders>
              <w:top w:val="single" w:sz="4" w:space="0" w:color="auto"/>
              <w:left w:val="single" w:sz="4" w:space="0" w:color="auto"/>
              <w:bottom w:val="single" w:sz="4" w:space="0" w:color="auto"/>
              <w:right w:val="single" w:sz="4" w:space="0" w:color="auto"/>
            </w:tcBorders>
          </w:tcPr>
          <w:p w14:paraId="7ADDBA90" w14:textId="77777777" w:rsidR="004E314E" w:rsidRPr="001362A6" w:rsidRDefault="004E314E" w:rsidP="004E314E">
            <w:pPr>
              <w:rPr>
                <w:rFonts w:ascii="Lato" w:hAnsi="Lato"/>
                <w:sz w:val="22"/>
                <w:szCs w:val="22"/>
              </w:rPr>
            </w:pPr>
          </w:p>
        </w:tc>
      </w:tr>
      <w:tr w:rsidR="004E314E" w:rsidRPr="001362A6" w14:paraId="0B4EF3BC" w14:textId="77777777" w:rsidTr="00500602">
        <w:tc>
          <w:tcPr>
            <w:tcW w:w="1316" w:type="dxa"/>
          </w:tcPr>
          <w:p w14:paraId="05AA6ED1" w14:textId="77777777" w:rsidR="004E314E" w:rsidRPr="001362A6" w:rsidRDefault="004E314E" w:rsidP="004E314E">
            <w:pPr>
              <w:rPr>
                <w:rFonts w:ascii="Lato" w:hAnsi="Lato"/>
                <w:sz w:val="22"/>
                <w:szCs w:val="22"/>
              </w:rPr>
            </w:pPr>
          </w:p>
        </w:tc>
        <w:tc>
          <w:tcPr>
            <w:tcW w:w="5891" w:type="dxa"/>
          </w:tcPr>
          <w:p w14:paraId="7669E9A4" w14:textId="77777777" w:rsidR="004E314E" w:rsidRPr="001362A6" w:rsidRDefault="004E314E" w:rsidP="004E314E">
            <w:pPr>
              <w:pStyle w:val="Heading3"/>
              <w:spacing w:before="0" w:after="0" w:line="240" w:lineRule="auto"/>
              <w:rPr>
                <w:rFonts w:ascii="Lato" w:eastAsia="Arial Unicode MS" w:hAnsi="Lato"/>
                <w:b w:val="0"/>
                <w:bCs/>
                <w:color w:val="auto"/>
                <w:sz w:val="22"/>
                <w:szCs w:val="22"/>
              </w:rPr>
            </w:pPr>
            <w:r w:rsidRPr="00590C6D">
              <w:rPr>
                <w:rFonts w:ascii="Lato" w:eastAsia="Arial Unicode MS" w:hAnsi="Lato"/>
                <w:b w:val="0"/>
                <w:bCs/>
                <w:color w:val="auto"/>
                <w:sz w:val="22"/>
                <w:szCs w:val="22"/>
              </w:rPr>
              <w:t>and</w:t>
            </w:r>
            <w:r w:rsidRPr="001362A6">
              <w:rPr>
                <w:rFonts w:ascii="Lato" w:eastAsia="Arial Unicode MS" w:hAnsi="Lato"/>
                <w:b w:val="0"/>
                <w:bCs/>
                <w:color w:val="auto"/>
                <w:sz w:val="22"/>
                <w:szCs w:val="22"/>
              </w:rPr>
              <w:t xml:space="preserve"> practices pursuant to Regulation 14</w:t>
            </w:r>
          </w:p>
        </w:tc>
        <w:tc>
          <w:tcPr>
            <w:tcW w:w="3188" w:type="dxa"/>
            <w:tcBorders>
              <w:top w:val="single" w:sz="4" w:space="0" w:color="auto"/>
            </w:tcBorders>
          </w:tcPr>
          <w:p w14:paraId="58352EBD" w14:textId="77777777" w:rsidR="004E314E" w:rsidRPr="001362A6" w:rsidRDefault="004E314E" w:rsidP="004E314E">
            <w:pPr>
              <w:rPr>
                <w:rFonts w:ascii="Lato" w:hAnsi="Lato"/>
                <w:sz w:val="22"/>
                <w:szCs w:val="22"/>
              </w:rPr>
            </w:pPr>
          </w:p>
        </w:tc>
      </w:tr>
      <w:tr w:rsidR="004E314E" w:rsidRPr="001362A6" w14:paraId="1D6117F1" w14:textId="77777777" w:rsidTr="00500602">
        <w:tc>
          <w:tcPr>
            <w:tcW w:w="1316" w:type="dxa"/>
          </w:tcPr>
          <w:p w14:paraId="6EE93C6D" w14:textId="77777777" w:rsidR="004E314E" w:rsidRPr="001362A6" w:rsidRDefault="004E314E" w:rsidP="004E314E">
            <w:pPr>
              <w:rPr>
                <w:rFonts w:ascii="Lato" w:hAnsi="Lato"/>
                <w:sz w:val="22"/>
                <w:szCs w:val="22"/>
              </w:rPr>
            </w:pPr>
          </w:p>
        </w:tc>
        <w:tc>
          <w:tcPr>
            <w:tcW w:w="5891" w:type="dxa"/>
          </w:tcPr>
          <w:p w14:paraId="04C0063B" w14:textId="77777777" w:rsidR="004E314E" w:rsidRPr="001362A6" w:rsidRDefault="004E314E" w:rsidP="004E314E">
            <w:pPr>
              <w:pStyle w:val="Heading3"/>
              <w:spacing w:before="0" w:after="0" w:line="240" w:lineRule="auto"/>
              <w:rPr>
                <w:rFonts w:ascii="Lato" w:eastAsia="Arial Unicode MS" w:hAnsi="Lato"/>
                <w:b w:val="0"/>
                <w:bCs/>
                <w:color w:val="auto"/>
                <w:sz w:val="22"/>
                <w:szCs w:val="22"/>
              </w:rPr>
            </w:pPr>
          </w:p>
        </w:tc>
        <w:tc>
          <w:tcPr>
            <w:tcW w:w="3188" w:type="dxa"/>
            <w:tcBorders>
              <w:bottom w:val="single" w:sz="4" w:space="0" w:color="auto"/>
            </w:tcBorders>
          </w:tcPr>
          <w:p w14:paraId="55BBB6CF" w14:textId="77777777" w:rsidR="004E314E" w:rsidRPr="001362A6" w:rsidRDefault="004E314E" w:rsidP="004E314E">
            <w:pPr>
              <w:rPr>
                <w:rFonts w:ascii="Lato" w:hAnsi="Lato"/>
                <w:sz w:val="22"/>
                <w:szCs w:val="22"/>
              </w:rPr>
            </w:pPr>
          </w:p>
        </w:tc>
      </w:tr>
      <w:tr w:rsidR="004E314E" w:rsidRPr="001362A6" w14:paraId="041FEF56" w14:textId="77777777" w:rsidTr="00990D73">
        <w:trPr>
          <w:cantSplit/>
          <w:trHeight w:val="255"/>
        </w:trPr>
        <w:tc>
          <w:tcPr>
            <w:tcW w:w="1316" w:type="dxa"/>
            <w:vMerge w:val="restart"/>
          </w:tcPr>
          <w:p w14:paraId="30E02BE1" w14:textId="77777777" w:rsidR="004E314E" w:rsidRPr="001362A6" w:rsidRDefault="004E314E" w:rsidP="004E314E">
            <w:pPr>
              <w:rPr>
                <w:rFonts w:ascii="Lato" w:hAnsi="Lato"/>
                <w:sz w:val="22"/>
                <w:szCs w:val="22"/>
              </w:rPr>
            </w:pPr>
            <w:r w:rsidRPr="001362A6">
              <w:rPr>
                <w:rFonts w:ascii="Lato" w:hAnsi="Lato"/>
                <w:sz w:val="22"/>
                <w:szCs w:val="22"/>
              </w:rPr>
              <w:t>2.20.3    a)</w:t>
            </w:r>
          </w:p>
        </w:tc>
        <w:tc>
          <w:tcPr>
            <w:tcW w:w="5891" w:type="dxa"/>
            <w:vMerge w:val="restart"/>
            <w:tcBorders>
              <w:right w:val="single" w:sz="4" w:space="0" w:color="auto"/>
            </w:tcBorders>
          </w:tcPr>
          <w:p w14:paraId="23001A7A" w14:textId="77777777" w:rsidR="004E314E" w:rsidRPr="001362A6" w:rsidRDefault="004E314E" w:rsidP="004E314E">
            <w:pPr>
              <w:jc w:val="both"/>
              <w:rPr>
                <w:rFonts w:ascii="Lato" w:hAnsi="Lato"/>
                <w:sz w:val="22"/>
                <w:szCs w:val="22"/>
              </w:rPr>
            </w:pPr>
            <w:r w:rsidRPr="001362A6">
              <w:rPr>
                <w:rFonts w:ascii="Lato" w:hAnsi="Lato"/>
                <w:sz w:val="22"/>
                <w:szCs w:val="22"/>
              </w:rPr>
              <w:t>Insert details of how each service providers/directors fees are accrued and paid (i.e. daily, weekly, monthly in arrears)</w:t>
            </w:r>
          </w:p>
        </w:tc>
        <w:tc>
          <w:tcPr>
            <w:tcW w:w="3188" w:type="dxa"/>
            <w:tcBorders>
              <w:top w:val="single" w:sz="4" w:space="0" w:color="auto"/>
              <w:left w:val="single" w:sz="4" w:space="0" w:color="auto"/>
              <w:bottom w:val="single" w:sz="4" w:space="0" w:color="auto"/>
              <w:right w:val="single" w:sz="4" w:space="0" w:color="auto"/>
            </w:tcBorders>
          </w:tcPr>
          <w:p w14:paraId="56047596" w14:textId="77777777" w:rsidR="004E314E" w:rsidRPr="001362A6" w:rsidRDefault="004E314E" w:rsidP="004E314E">
            <w:pPr>
              <w:rPr>
                <w:rFonts w:ascii="Lato" w:hAnsi="Lato"/>
                <w:sz w:val="22"/>
                <w:szCs w:val="22"/>
              </w:rPr>
            </w:pPr>
          </w:p>
        </w:tc>
      </w:tr>
      <w:tr w:rsidR="004E314E" w:rsidRPr="001362A6" w14:paraId="164A9923" w14:textId="77777777" w:rsidTr="00990D73">
        <w:trPr>
          <w:cantSplit/>
          <w:trHeight w:val="254"/>
        </w:trPr>
        <w:tc>
          <w:tcPr>
            <w:tcW w:w="1316" w:type="dxa"/>
            <w:vMerge/>
          </w:tcPr>
          <w:p w14:paraId="582D62AC" w14:textId="77777777" w:rsidR="004E314E" w:rsidRPr="001362A6" w:rsidRDefault="004E314E" w:rsidP="004E314E">
            <w:pPr>
              <w:rPr>
                <w:rFonts w:ascii="Lato" w:hAnsi="Lato"/>
                <w:sz w:val="22"/>
                <w:szCs w:val="22"/>
              </w:rPr>
            </w:pPr>
          </w:p>
        </w:tc>
        <w:tc>
          <w:tcPr>
            <w:tcW w:w="5891" w:type="dxa"/>
            <w:vMerge/>
          </w:tcPr>
          <w:p w14:paraId="602F55AC" w14:textId="77777777" w:rsidR="004E314E" w:rsidRPr="001362A6" w:rsidRDefault="004E314E" w:rsidP="004E314E">
            <w:pPr>
              <w:rPr>
                <w:rFonts w:ascii="Lato" w:hAnsi="Lato"/>
                <w:sz w:val="22"/>
                <w:szCs w:val="22"/>
              </w:rPr>
            </w:pPr>
          </w:p>
        </w:tc>
        <w:tc>
          <w:tcPr>
            <w:tcW w:w="3188" w:type="dxa"/>
            <w:tcBorders>
              <w:top w:val="single" w:sz="4" w:space="0" w:color="auto"/>
            </w:tcBorders>
          </w:tcPr>
          <w:p w14:paraId="12F684A0" w14:textId="77777777" w:rsidR="004E314E" w:rsidRPr="001362A6" w:rsidRDefault="004E314E" w:rsidP="004E314E">
            <w:pPr>
              <w:rPr>
                <w:rFonts w:ascii="Lato" w:hAnsi="Lato"/>
                <w:sz w:val="22"/>
                <w:szCs w:val="22"/>
              </w:rPr>
            </w:pPr>
          </w:p>
        </w:tc>
      </w:tr>
      <w:tr w:rsidR="004E314E" w:rsidRPr="001362A6" w14:paraId="5D8822BA" w14:textId="77777777" w:rsidTr="00990D73">
        <w:tc>
          <w:tcPr>
            <w:tcW w:w="1316" w:type="dxa"/>
          </w:tcPr>
          <w:p w14:paraId="46E1913B" w14:textId="77777777" w:rsidR="004E314E" w:rsidRPr="001362A6" w:rsidRDefault="004E314E" w:rsidP="004E314E">
            <w:pPr>
              <w:rPr>
                <w:rFonts w:ascii="Lato" w:hAnsi="Lato"/>
                <w:sz w:val="22"/>
                <w:szCs w:val="22"/>
              </w:rPr>
            </w:pPr>
          </w:p>
        </w:tc>
        <w:tc>
          <w:tcPr>
            <w:tcW w:w="5891" w:type="dxa"/>
          </w:tcPr>
          <w:p w14:paraId="568D6324" w14:textId="77777777" w:rsidR="004E314E" w:rsidRPr="001362A6" w:rsidRDefault="004E314E" w:rsidP="004E314E">
            <w:pPr>
              <w:rPr>
                <w:rFonts w:ascii="Lato" w:hAnsi="Lato"/>
                <w:sz w:val="22"/>
                <w:szCs w:val="22"/>
              </w:rPr>
            </w:pPr>
          </w:p>
        </w:tc>
        <w:tc>
          <w:tcPr>
            <w:tcW w:w="3188" w:type="dxa"/>
          </w:tcPr>
          <w:p w14:paraId="09214CB3" w14:textId="77777777" w:rsidR="004E314E" w:rsidRPr="001362A6" w:rsidRDefault="004E314E" w:rsidP="004E314E">
            <w:pPr>
              <w:rPr>
                <w:rFonts w:ascii="Lato" w:hAnsi="Lato"/>
                <w:sz w:val="22"/>
                <w:szCs w:val="22"/>
              </w:rPr>
            </w:pPr>
          </w:p>
        </w:tc>
      </w:tr>
      <w:tr w:rsidR="004E314E" w:rsidRPr="001362A6" w14:paraId="7B9B6B25" w14:textId="77777777" w:rsidTr="00990D73">
        <w:tc>
          <w:tcPr>
            <w:tcW w:w="1316" w:type="dxa"/>
          </w:tcPr>
          <w:p w14:paraId="4AA92026" w14:textId="77777777" w:rsidR="004E314E" w:rsidRPr="001362A6" w:rsidRDefault="004E314E" w:rsidP="004E314E">
            <w:pPr>
              <w:rPr>
                <w:rFonts w:ascii="Lato" w:hAnsi="Lato"/>
                <w:sz w:val="22"/>
                <w:szCs w:val="22"/>
              </w:rPr>
            </w:pPr>
          </w:p>
        </w:tc>
        <w:tc>
          <w:tcPr>
            <w:tcW w:w="5891" w:type="dxa"/>
          </w:tcPr>
          <w:p w14:paraId="55431ED4" w14:textId="77777777" w:rsidR="004E314E" w:rsidRPr="001362A6" w:rsidRDefault="004E314E" w:rsidP="004E314E">
            <w:pPr>
              <w:jc w:val="both"/>
              <w:rPr>
                <w:rFonts w:ascii="Lato" w:hAnsi="Lato"/>
                <w:sz w:val="22"/>
                <w:szCs w:val="22"/>
              </w:rPr>
            </w:pPr>
            <w:r w:rsidRPr="001362A6">
              <w:rPr>
                <w:rFonts w:ascii="Lato" w:hAnsi="Lato"/>
                <w:sz w:val="22"/>
                <w:szCs w:val="22"/>
              </w:rPr>
              <w:t>Note: (i) if fees are payable in advance the relevant party must have agreed to repay any fees not earned if the agreement is terminated.</w:t>
            </w:r>
          </w:p>
          <w:p w14:paraId="0B02A0BB" w14:textId="77777777" w:rsidR="004E314E" w:rsidRPr="001362A6" w:rsidRDefault="004E314E" w:rsidP="004E314E">
            <w:pPr>
              <w:jc w:val="both"/>
              <w:rPr>
                <w:rFonts w:ascii="Lato" w:hAnsi="Lato"/>
                <w:sz w:val="22"/>
                <w:szCs w:val="22"/>
              </w:rPr>
            </w:pPr>
            <w:r w:rsidRPr="001362A6">
              <w:rPr>
                <w:rFonts w:ascii="Lato" w:hAnsi="Lato"/>
                <w:sz w:val="22"/>
                <w:szCs w:val="22"/>
              </w:rPr>
              <w:t>(ii):  If provision is made for penalty fees, (e.g. fees that may arise on early termination of an appointment), these must be disclosed</w:t>
            </w:r>
          </w:p>
        </w:tc>
        <w:tc>
          <w:tcPr>
            <w:tcW w:w="3188" w:type="dxa"/>
          </w:tcPr>
          <w:p w14:paraId="7EDCE71E" w14:textId="77777777" w:rsidR="004E314E" w:rsidRPr="001362A6" w:rsidRDefault="004E314E" w:rsidP="004E314E">
            <w:pPr>
              <w:rPr>
                <w:rFonts w:ascii="Lato" w:hAnsi="Lato"/>
                <w:sz w:val="22"/>
                <w:szCs w:val="22"/>
              </w:rPr>
            </w:pPr>
          </w:p>
        </w:tc>
      </w:tr>
      <w:tr w:rsidR="004E314E" w:rsidRPr="001362A6" w14:paraId="2084E530" w14:textId="77777777" w:rsidTr="00990D73">
        <w:tc>
          <w:tcPr>
            <w:tcW w:w="1316" w:type="dxa"/>
          </w:tcPr>
          <w:p w14:paraId="146A7762" w14:textId="77777777" w:rsidR="004E314E" w:rsidRPr="001362A6" w:rsidRDefault="004E314E" w:rsidP="004E314E">
            <w:pPr>
              <w:rPr>
                <w:rFonts w:ascii="Lato" w:hAnsi="Lato"/>
                <w:sz w:val="22"/>
                <w:szCs w:val="22"/>
              </w:rPr>
            </w:pPr>
          </w:p>
        </w:tc>
        <w:tc>
          <w:tcPr>
            <w:tcW w:w="5891" w:type="dxa"/>
          </w:tcPr>
          <w:p w14:paraId="5372B7B4" w14:textId="77777777" w:rsidR="004E314E" w:rsidRPr="001362A6" w:rsidRDefault="004E314E" w:rsidP="004E314E">
            <w:pPr>
              <w:rPr>
                <w:rFonts w:ascii="Lato" w:hAnsi="Lato"/>
                <w:sz w:val="22"/>
                <w:szCs w:val="22"/>
              </w:rPr>
            </w:pPr>
          </w:p>
        </w:tc>
        <w:tc>
          <w:tcPr>
            <w:tcW w:w="3188" w:type="dxa"/>
            <w:tcBorders>
              <w:bottom w:val="single" w:sz="4" w:space="0" w:color="auto"/>
            </w:tcBorders>
          </w:tcPr>
          <w:p w14:paraId="72FE4AB5" w14:textId="77777777" w:rsidR="004E314E" w:rsidRPr="001362A6" w:rsidRDefault="004E314E" w:rsidP="004E314E">
            <w:pPr>
              <w:rPr>
                <w:rFonts w:ascii="Lato" w:hAnsi="Lato"/>
                <w:sz w:val="22"/>
                <w:szCs w:val="22"/>
              </w:rPr>
            </w:pPr>
          </w:p>
        </w:tc>
      </w:tr>
      <w:tr w:rsidR="004E314E" w:rsidRPr="001362A6" w14:paraId="73DDBD39" w14:textId="77777777" w:rsidTr="00990D73">
        <w:trPr>
          <w:cantSplit/>
          <w:trHeight w:val="255"/>
        </w:trPr>
        <w:tc>
          <w:tcPr>
            <w:tcW w:w="1316" w:type="dxa"/>
            <w:vMerge w:val="restart"/>
          </w:tcPr>
          <w:p w14:paraId="2559176A" w14:textId="77777777" w:rsidR="004E314E" w:rsidRPr="001362A6" w:rsidRDefault="004E314E" w:rsidP="004E314E">
            <w:pPr>
              <w:jc w:val="right"/>
              <w:rPr>
                <w:rFonts w:ascii="Lato" w:hAnsi="Lato"/>
                <w:sz w:val="22"/>
                <w:szCs w:val="22"/>
              </w:rPr>
            </w:pPr>
            <w:r w:rsidRPr="001362A6">
              <w:rPr>
                <w:rFonts w:ascii="Lato" w:hAnsi="Lato"/>
                <w:sz w:val="22"/>
                <w:szCs w:val="22"/>
              </w:rPr>
              <w:t>b)</w:t>
            </w:r>
          </w:p>
        </w:tc>
        <w:tc>
          <w:tcPr>
            <w:tcW w:w="5891" w:type="dxa"/>
            <w:vMerge w:val="restart"/>
            <w:tcBorders>
              <w:right w:val="single" w:sz="4" w:space="0" w:color="auto"/>
            </w:tcBorders>
          </w:tcPr>
          <w:p w14:paraId="65E40117" w14:textId="77777777" w:rsidR="004E314E" w:rsidRPr="001362A6" w:rsidRDefault="004E314E" w:rsidP="004E314E">
            <w:pPr>
              <w:rPr>
                <w:rFonts w:ascii="Lato" w:hAnsi="Lato"/>
                <w:sz w:val="22"/>
                <w:szCs w:val="22"/>
              </w:rPr>
            </w:pPr>
            <w:r w:rsidRPr="001362A6">
              <w:rPr>
                <w:rFonts w:ascii="Lato" w:hAnsi="Lato"/>
                <w:sz w:val="22"/>
                <w:szCs w:val="22"/>
              </w:rPr>
              <w:t>The basis of the fee calculation (e.g., % per annum of net asset value, gross asset value, gross proceeds)</w:t>
            </w:r>
          </w:p>
        </w:tc>
        <w:tc>
          <w:tcPr>
            <w:tcW w:w="3188" w:type="dxa"/>
            <w:tcBorders>
              <w:top w:val="single" w:sz="4" w:space="0" w:color="auto"/>
              <w:left w:val="single" w:sz="4" w:space="0" w:color="auto"/>
              <w:bottom w:val="single" w:sz="4" w:space="0" w:color="auto"/>
              <w:right w:val="single" w:sz="4" w:space="0" w:color="auto"/>
            </w:tcBorders>
          </w:tcPr>
          <w:p w14:paraId="770AC969" w14:textId="77777777" w:rsidR="004E314E" w:rsidRPr="001362A6" w:rsidRDefault="004E314E" w:rsidP="004E314E">
            <w:pPr>
              <w:rPr>
                <w:rFonts w:ascii="Lato" w:hAnsi="Lato"/>
                <w:sz w:val="22"/>
                <w:szCs w:val="22"/>
              </w:rPr>
            </w:pPr>
          </w:p>
        </w:tc>
      </w:tr>
      <w:tr w:rsidR="004E314E" w:rsidRPr="001362A6" w14:paraId="22821BF5" w14:textId="77777777" w:rsidTr="00990D73">
        <w:trPr>
          <w:cantSplit/>
          <w:trHeight w:val="254"/>
        </w:trPr>
        <w:tc>
          <w:tcPr>
            <w:tcW w:w="1316" w:type="dxa"/>
            <w:vMerge/>
          </w:tcPr>
          <w:p w14:paraId="1CB12C1F" w14:textId="77777777" w:rsidR="004E314E" w:rsidRPr="001362A6" w:rsidRDefault="004E314E" w:rsidP="004E314E">
            <w:pPr>
              <w:jc w:val="right"/>
              <w:rPr>
                <w:rFonts w:ascii="Lato" w:hAnsi="Lato"/>
                <w:sz w:val="22"/>
                <w:szCs w:val="22"/>
              </w:rPr>
            </w:pPr>
          </w:p>
        </w:tc>
        <w:tc>
          <w:tcPr>
            <w:tcW w:w="5891" w:type="dxa"/>
            <w:vMerge/>
          </w:tcPr>
          <w:p w14:paraId="53F650D7" w14:textId="77777777" w:rsidR="004E314E" w:rsidRPr="001362A6" w:rsidRDefault="004E314E" w:rsidP="004E314E">
            <w:pPr>
              <w:rPr>
                <w:rFonts w:ascii="Lato" w:hAnsi="Lato"/>
                <w:sz w:val="22"/>
                <w:szCs w:val="22"/>
              </w:rPr>
            </w:pPr>
          </w:p>
        </w:tc>
        <w:tc>
          <w:tcPr>
            <w:tcW w:w="3188" w:type="dxa"/>
            <w:tcBorders>
              <w:top w:val="single" w:sz="4" w:space="0" w:color="auto"/>
            </w:tcBorders>
          </w:tcPr>
          <w:p w14:paraId="2B882F0F" w14:textId="77777777" w:rsidR="004E314E" w:rsidRPr="001362A6" w:rsidRDefault="004E314E" w:rsidP="004E314E">
            <w:pPr>
              <w:rPr>
                <w:rFonts w:ascii="Lato" w:hAnsi="Lato"/>
                <w:sz w:val="22"/>
                <w:szCs w:val="22"/>
              </w:rPr>
            </w:pPr>
          </w:p>
        </w:tc>
      </w:tr>
      <w:tr w:rsidR="004E314E" w:rsidRPr="001362A6" w14:paraId="25B7B68B" w14:textId="77777777" w:rsidTr="00990D73">
        <w:tc>
          <w:tcPr>
            <w:tcW w:w="1316" w:type="dxa"/>
          </w:tcPr>
          <w:p w14:paraId="747740BF" w14:textId="77777777" w:rsidR="004E314E" w:rsidRPr="001362A6" w:rsidRDefault="004E314E" w:rsidP="004E314E">
            <w:pPr>
              <w:jc w:val="right"/>
              <w:rPr>
                <w:rFonts w:ascii="Lato" w:hAnsi="Lato"/>
                <w:sz w:val="22"/>
                <w:szCs w:val="22"/>
              </w:rPr>
            </w:pPr>
          </w:p>
        </w:tc>
        <w:tc>
          <w:tcPr>
            <w:tcW w:w="5891" w:type="dxa"/>
          </w:tcPr>
          <w:p w14:paraId="1DFBC8D0" w14:textId="77777777" w:rsidR="004E314E" w:rsidRPr="001362A6" w:rsidRDefault="004E314E" w:rsidP="004E314E">
            <w:pPr>
              <w:rPr>
                <w:rFonts w:ascii="Lato" w:hAnsi="Lato"/>
                <w:sz w:val="22"/>
                <w:szCs w:val="22"/>
              </w:rPr>
            </w:pPr>
          </w:p>
        </w:tc>
        <w:tc>
          <w:tcPr>
            <w:tcW w:w="3188" w:type="dxa"/>
            <w:tcBorders>
              <w:bottom w:val="single" w:sz="4" w:space="0" w:color="auto"/>
            </w:tcBorders>
          </w:tcPr>
          <w:p w14:paraId="5F539CEA" w14:textId="77777777" w:rsidR="004E314E" w:rsidRPr="001362A6" w:rsidRDefault="004E314E" w:rsidP="004E314E">
            <w:pPr>
              <w:rPr>
                <w:rFonts w:ascii="Lato" w:hAnsi="Lato"/>
                <w:sz w:val="22"/>
                <w:szCs w:val="22"/>
              </w:rPr>
            </w:pPr>
          </w:p>
        </w:tc>
      </w:tr>
      <w:tr w:rsidR="004E314E" w:rsidRPr="001362A6" w14:paraId="5C4BA204" w14:textId="77777777" w:rsidTr="00990D73">
        <w:tc>
          <w:tcPr>
            <w:tcW w:w="1316" w:type="dxa"/>
          </w:tcPr>
          <w:p w14:paraId="13E2BDCD" w14:textId="77777777" w:rsidR="004E314E" w:rsidRPr="001362A6" w:rsidRDefault="004E314E" w:rsidP="004E314E">
            <w:pPr>
              <w:jc w:val="right"/>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7C982A00" w14:textId="77777777" w:rsidR="004E314E" w:rsidRPr="001362A6" w:rsidRDefault="004E314E" w:rsidP="004E314E">
            <w:pPr>
              <w:rPr>
                <w:rFonts w:ascii="Lato" w:hAnsi="Lato"/>
                <w:sz w:val="22"/>
                <w:szCs w:val="22"/>
              </w:rPr>
            </w:pPr>
            <w:r w:rsidRPr="001362A6">
              <w:rPr>
                <w:rFonts w:ascii="Lato" w:hAnsi="Lato"/>
                <w:sz w:val="22"/>
                <w:szCs w:val="22"/>
              </w:rPr>
              <w:t xml:space="preserve">The maximum fee and out of pocket expenses of each of </w:t>
            </w:r>
          </w:p>
        </w:tc>
        <w:tc>
          <w:tcPr>
            <w:tcW w:w="3188" w:type="dxa"/>
            <w:tcBorders>
              <w:top w:val="single" w:sz="4" w:space="0" w:color="auto"/>
              <w:left w:val="single" w:sz="4" w:space="0" w:color="auto"/>
              <w:bottom w:val="single" w:sz="4" w:space="0" w:color="auto"/>
              <w:right w:val="single" w:sz="4" w:space="0" w:color="auto"/>
            </w:tcBorders>
          </w:tcPr>
          <w:p w14:paraId="74903B9B" w14:textId="77777777" w:rsidR="004E314E" w:rsidRPr="001362A6" w:rsidRDefault="004E314E" w:rsidP="004E314E">
            <w:pPr>
              <w:rPr>
                <w:rFonts w:ascii="Lato" w:hAnsi="Lato"/>
                <w:sz w:val="22"/>
                <w:szCs w:val="22"/>
              </w:rPr>
            </w:pPr>
          </w:p>
        </w:tc>
      </w:tr>
      <w:tr w:rsidR="004E314E" w:rsidRPr="001362A6" w14:paraId="11A596F4" w14:textId="77777777" w:rsidTr="00990D73">
        <w:tc>
          <w:tcPr>
            <w:tcW w:w="1316" w:type="dxa"/>
          </w:tcPr>
          <w:p w14:paraId="5C936545" w14:textId="77777777" w:rsidR="004E314E" w:rsidRPr="001362A6" w:rsidRDefault="004E314E" w:rsidP="004E314E">
            <w:pPr>
              <w:jc w:val="right"/>
              <w:rPr>
                <w:rFonts w:ascii="Lato" w:hAnsi="Lato"/>
                <w:sz w:val="22"/>
                <w:szCs w:val="22"/>
              </w:rPr>
            </w:pPr>
          </w:p>
        </w:tc>
        <w:tc>
          <w:tcPr>
            <w:tcW w:w="5891" w:type="dxa"/>
          </w:tcPr>
          <w:p w14:paraId="1DA0DE89" w14:textId="77777777" w:rsidR="004E314E" w:rsidRPr="001362A6" w:rsidRDefault="004E314E" w:rsidP="004E314E">
            <w:pPr>
              <w:rPr>
                <w:rFonts w:ascii="Lato" w:hAnsi="Lato"/>
                <w:sz w:val="22"/>
                <w:szCs w:val="22"/>
              </w:rPr>
            </w:pPr>
            <w:r w:rsidRPr="00590C6D">
              <w:rPr>
                <w:rFonts w:ascii="Lato" w:hAnsi="Lato"/>
                <w:sz w:val="22"/>
                <w:szCs w:val="22"/>
              </w:rPr>
              <w:t xml:space="preserve">the </w:t>
            </w:r>
            <w:r w:rsidRPr="001362A6">
              <w:rPr>
                <w:rFonts w:ascii="Lato" w:hAnsi="Lato"/>
                <w:sz w:val="22"/>
                <w:szCs w:val="22"/>
              </w:rPr>
              <w:t>service providers/directors, where such fees are payable directly from the assets of the Qualifying Investor AIF</w:t>
            </w:r>
          </w:p>
        </w:tc>
        <w:tc>
          <w:tcPr>
            <w:tcW w:w="3188" w:type="dxa"/>
            <w:tcBorders>
              <w:top w:val="single" w:sz="4" w:space="0" w:color="auto"/>
            </w:tcBorders>
          </w:tcPr>
          <w:p w14:paraId="3F85F8C6" w14:textId="77777777" w:rsidR="004E314E" w:rsidRPr="001362A6" w:rsidRDefault="004E314E" w:rsidP="004E314E">
            <w:pPr>
              <w:rPr>
                <w:rFonts w:ascii="Lato" w:hAnsi="Lato"/>
                <w:sz w:val="22"/>
                <w:szCs w:val="22"/>
              </w:rPr>
            </w:pPr>
          </w:p>
        </w:tc>
      </w:tr>
      <w:tr w:rsidR="004E314E" w:rsidRPr="001362A6" w14:paraId="62F7D0F3" w14:textId="77777777" w:rsidTr="00A70AEC">
        <w:tc>
          <w:tcPr>
            <w:tcW w:w="1316" w:type="dxa"/>
          </w:tcPr>
          <w:p w14:paraId="189CCC02" w14:textId="77777777" w:rsidR="004E314E" w:rsidRPr="001362A6" w:rsidRDefault="004E314E" w:rsidP="004E314E">
            <w:pPr>
              <w:rPr>
                <w:rFonts w:ascii="Lato" w:hAnsi="Lato"/>
                <w:sz w:val="22"/>
                <w:szCs w:val="22"/>
              </w:rPr>
            </w:pPr>
          </w:p>
        </w:tc>
        <w:tc>
          <w:tcPr>
            <w:tcW w:w="5891" w:type="dxa"/>
          </w:tcPr>
          <w:p w14:paraId="524B3980" w14:textId="77777777" w:rsidR="004E314E" w:rsidRPr="001362A6" w:rsidRDefault="004E314E" w:rsidP="004E314E">
            <w:pPr>
              <w:tabs>
                <w:tab w:val="left" w:pos="1036"/>
              </w:tabs>
              <w:rPr>
                <w:rFonts w:ascii="Lato" w:hAnsi="Lato"/>
                <w:sz w:val="22"/>
                <w:szCs w:val="22"/>
              </w:rPr>
            </w:pPr>
          </w:p>
        </w:tc>
        <w:tc>
          <w:tcPr>
            <w:tcW w:w="3188" w:type="dxa"/>
            <w:tcBorders>
              <w:bottom w:val="single" w:sz="4" w:space="0" w:color="auto"/>
            </w:tcBorders>
          </w:tcPr>
          <w:p w14:paraId="2AE9B5FF" w14:textId="77777777" w:rsidR="004E314E" w:rsidRPr="001362A6" w:rsidRDefault="004E314E" w:rsidP="004E314E">
            <w:pPr>
              <w:rPr>
                <w:rFonts w:ascii="Lato" w:hAnsi="Lato"/>
                <w:sz w:val="22"/>
                <w:szCs w:val="22"/>
              </w:rPr>
            </w:pPr>
          </w:p>
        </w:tc>
      </w:tr>
      <w:tr w:rsidR="004E314E" w:rsidRPr="001362A6" w14:paraId="4FC885B7" w14:textId="77777777" w:rsidTr="00A70AEC">
        <w:tc>
          <w:tcPr>
            <w:tcW w:w="1316" w:type="dxa"/>
          </w:tcPr>
          <w:p w14:paraId="5817E7E5"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2828326E" w14:textId="77777777" w:rsidR="004E314E" w:rsidRPr="001362A6" w:rsidRDefault="004E314E" w:rsidP="004E314E">
            <w:pPr>
              <w:tabs>
                <w:tab w:val="left" w:pos="1036"/>
              </w:tabs>
              <w:rPr>
                <w:rFonts w:ascii="Lato" w:hAnsi="Lato"/>
                <w:sz w:val="22"/>
                <w:szCs w:val="22"/>
              </w:rPr>
            </w:pPr>
            <w:r w:rsidRPr="001362A6">
              <w:rPr>
                <w:rFonts w:ascii="Lato" w:hAnsi="Lato"/>
                <w:sz w:val="22"/>
                <w:szCs w:val="22"/>
              </w:rPr>
              <w:t>(i)management company/investment manager</w:t>
            </w:r>
          </w:p>
        </w:tc>
        <w:tc>
          <w:tcPr>
            <w:tcW w:w="3188" w:type="dxa"/>
            <w:tcBorders>
              <w:top w:val="single" w:sz="4" w:space="0" w:color="auto"/>
              <w:left w:val="single" w:sz="4" w:space="0" w:color="auto"/>
              <w:bottom w:val="single" w:sz="4" w:space="0" w:color="auto"/>
              <w:right w:val="single" w:sz="4" w:space="0" w:color="auto"/>
            </w:tcBorders>
          </w:tcPr>
          <w:p w14:paraId="29237191" w14:textId="77777777" w:rsidR="004E314E" w:rsidRPr="001362A6" w:rsidRDefault="004E314E" w:rsidP="004E314E">
            <w:pPr>
              <w:rPr>
                <w:rFonts w:ascii="Lato" w:hAnsi="Lato"/>
                <w:sz w:val="22"/>
                <w:szCs w:val="22"/>
              </w:rPr>
            </w:pPr>
          </w:p>
        </w:tc>
      </w:tr>
      <w:tr w:rsidR="004E314E" w:rsidRPr="001362A6" w14:paraId="33842991" w14:textId="77777777" w:rsidTr="00A70AEC">
        <w:tc>
          <w:tcPr>
            <w:tcW w:w="1316" w:type="dxa"/>
          </w:tcPr>
          <w:p w14:paraId="5ABEA69B"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5F0A5C14" w14:textId="77777777" w:rsidR="004E314E" w:rsidRPr="001362A6" w:rsidRDefault="004E314E" w:rsidP="004E314E">
            <w:pPr>
              <w:tabs>
                <w:tab w:val="left" w:pos="1036"/>
              </w:tabs>
              <w:rPr>
                <w:rFonts w:ascii="Lato" w:hAnsi="Lato"/>
                <w:sz w:val="22"/>
                <w:szCs w:val="22"/>
              </w:rPr>
            </w:pPr>
            <w:r w:rsidRPr="001362A6">
              <w:rPr>
                <w:rFonts w:ascii="Lato" w:hAnsi="Lato"/>
                <w:sz w:val="22"/>
                <w:szCs w:val="22"/>
              </w:rPr>
              <w:t>(ii)administrator/transfer agent</w:t>
            </w:r>
          </w:p>
        </w:tc>
        <w:tc>
          <w:tcPr>
            <w:tcW w:w="3188" w:type="dxa"/>
            <w:tcBorders>
              <w:top w:val="single" w:sz="4" w:space="0" w:color="auto"/>
              <w:left w:val="single" w:sz="4" w:space="0" w:color="auto"/>
              <w:bottom w:val="single" w:sz="4" w:space="0" w:color="auto"/>
              <w:right w:val="single" w:sz="4" w:space="0" w:color="auto"/>
            </w:tcBorders>
          </w:tcPr>
          <w:p w14:paraId="2B7B47F4" w14:textId="77777777" w:rsidR="004E314E" w:rsidRPr="001362A6" w:rsidRDefault="004E314E" w:rsidP="004E314E">
            <w:pPr>
              <w:rPr>
                <w:rFonts w:ascii="Lato" w:hAnsi="Lato"/>
                <w:sz w:val="22"/>
                <w:szCs w:val="22"/>
              </w:rPr>
            </w:pPr>
          </w:p>
        </w:tc>
      </w:tr>
      <w:tr w:rsidR="004E314E" w:rsidRPr="001362A6" w14:paraId="37C87130" w14:textId="77777777" w:rsidTr="00A70AEC">
        <w:tc>
          <w:tcPr>
            <w:tcW w:w="1316" w:type="dxa"/>
          </w:tcPr>
          <w:p w14:paraId="703B75EA"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342794D5" w14:textId="77777777" w:rsidR="004E314E" w:rsidRPr="001362A6" w:rsidRDefault="004E314E" w:rsidP="004E314E">
            <w:pPr>
              <w:tabs>
                <w:tab w:val="left" w:pos="1036"/>
              </w:tabs>
              <w:rPr>
                <w:rFonts w:ascii="Lato" w:hAnsi="Lato"/>
                <w:sz w:val="22"/>
                <w:szCs w:val="22"/>
              </w:rPr>
            </w:pPr>
            <w:r w:rsidRPr="001362A6">
              <w:rPr>
                <w:rFonts w:ascii="Lato" w:hAnsi="Lato"/>
                <w:sz w:val="22"/>
                <w:szCs w:val="22"/>
              </w:rPr>
              <w:t>(iii)depositary</w:t>
            </w:r>
          </w:p>
        </w:tc>
        <w:tc>
          <w:tcPr>
            <w:tcW w:w="3188" w:type="dxa"/>
            <w:tcBorders>
              <w:top w:val="single" w:sz="4" w:space="0" w:color="auto"/>
              <w:left w:val="single" w:sz="4" w:space="0" w:color="auto"/>
              <w:bottom w:val="single" w:sz="4" w:space="0" w:color="auto"/>
              <w:right w:val="single" w:sz="4" w:space="0" w:color="auto"/>
            </w:tcBorders>
          </w:tcPr>
          <w:p w14:paraId="6D858EE9" w14:textId="77777777" w:rsidR="004E314E" w:rsidRPr="001362A6" w:rsidRDefault="004E314E" w:rsidP="004E314E">
            <w:pPr>
              <w:rPr>
                <w:rFonts w:ascii="Lato" w:hAnsi="Lato"/>
                <w:sz w:val="22"/>
                <w:szCs w:val="22"/>
              </w:rPr>
            </w:pPr>
          </w:p>
        </w:tc>
      </w:tr>
      <w:tr w:rsidR="004E314E" w:rsidRPr="001362A6" w14:paraId="53C59B25" w14:textId="77777777" w:rsidTr="00A70AEC">
        <w:tc>
          <w:tcPr>
            <w:tcW w:w="1316" w:type="dxa"/>
          </w:tcPr>
          <w:p w14:paraId="1FAB11AF"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00D238DA" w14:textId="77777777" w:rsidR="004E314E" w:rsidRPr="001362A6" w:rsidRDefault="004E314E" w:rsidP="004E314E">
            <w:pPr>
              <w:tabs>
                <w:tab w:val="left" w:pos="1036"/>
              </w:tabs>
              <w:rPr>
                <w:rFonts w:ascii="Lato" w:hAnsi="Lato"/>
                <w:sz w:val="22"/>
                <w:szCs w:val="22"/>
              </w:rPr>
            </w:pPr>
            <w:r w:rsidRPr="001362A6">
              <w:rPr>
                <w:rFonts w:ascii="Lato" w:hAnsi="Lato"/>
                <w:sz w:val="22"/>
                <w:szCs w:val="22"/>
              </w:rPr>
              <w:t>(iv)sub-depositary (fees and transaction charges)</w:t>
            </w:r>
          </w:p>
        </w:tc>
        <w:tc>
          <w:tcPr>
            <w:tcW w:w="3188" w:type="dxa"/>
            <w:tcBorders>
              <w:top w:val="single" w:sz="4" w:space="0" w:color="auto"/>
              <w:left w:val="single" w:sz="4" w:space="0" w:color="auto"/>
              <w:bottom w:val="single" w:sz="4" w:space="0" w:color="auto"/>
              <w:right w:val="single" w:sz="4" w:space="0" w:color="auto"/>
            </w:tcBorders>
          </w:tcPr>
          <w:p w14:paraId="1BDBA13E" w14:textId="77777777" w:rsidR="004E314E" w:rsidRPr="001362A6" w:rsidRDefault="004E314E" w:rsidP="004E314E">
            <w:pPr>
              <w:rPr>
                <w:rFonts w:ascii="Lato" w:hAnsi="Lato"/>
                <w:sz w:val="22"/>
                <w:szCs w:val="22"/>
              </w:rPr>
            </w:pPr>
          </w:p>
        </w:tc>
      </w:tr>
      <w:tr w:rsidR="004E314E" w:rsidRPr="001362A6" w14:paraId="65F8EF24" w14:textId="77777777" w:rsidTr="00A70AEC">
        <w:tc>
          <w:tcPr>
            <w:tcW w:w="1316" w:type="dxa"/>
          </w:tcPr>
          <w:p w14:paraId="5EDDB4B1"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7A69CF27" w14:textId="77777777" w:rsidR="004E314E" w:rsidRPr="001362A6" w:rsidRDefault="004E314E" w:rsidP="004E314E">
            <w:pPr>
              <w:tabs>
                <w:tab w:val="left" w:pos="1036"/>
              </w:tabs>
              <w:rPr>
                <w:rFonts w:ascii="Lato" w:hAnsi="Lato"/>
                <w:sz w:val="22"/>
                <w:szCs w:val="22"/>
              </w:rPr>
            </w:pPr>
            <w:r w:rsidRPr="001362A6">
              <w:rPr>
                <w:rFonts w:ascii="Lato" w:hAnsi="Lato"/>
                <w:sz w:val="22"/>
                <w:szCs w:val="22"/>
              </w:rPr>
              <w:t>(or state that they will be at normal commercial rates)</w:t>
            </w:r>
          </w:p>
        </w:tc>
        <w:tc>
          <w:tcPr>
            <w:tcW w:w="3188" w:type="dxa"/>
            <w:tcBorders>
              <w:top w:val="single" w:sz="4" w:space="0" w:color="auto"/>
              <w:left w:val="single" w:sz="4" w:space="0" w:color="auto"/>
              <w:bottom w:val="single" w:sz="4" w:space="0" w:color="auto"/>
              <w:right w:val="single" w:sz="4" w:space="0" w:color="auto"/>
            </w:tcBorders>
          </w:tcPr>
          <w:p w14:paraId="483CF7BD" w14:textId="77777777" w:rsidR="004E314E" w:rsidRPr="001362A6" w:rsidRDefault="004E314E" w:rsidP="004E314E">
            <w:pPr>
              <w:rPr>
                <w:rFonts w:ascii="Lato" w:hAnsi="Lato"/>
                <w:sz w:val="22"/>
                <w:szCs w:val="22"/>
              </w:rPr>
            </w:pPr>
          </w:p>
        </w:tc>
      </w:tr>
      <w:tr w:rsidR="004E314E" w:rsidRPr="001362A6" w14:paraId="59C39DD6" w14:textId="77777777" w:rsidTr="00A70AEC">
        <w:tc>
          <w:tcPr>
            <w:tcW w:w="1316" w:type="dxa"/>
          </w:tcPr>
          <w:p w14:paraId="19FB1DFC"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51BA0139" w14:textId="77777777" w:rsidR="004E314E" w:rsidRPr="001362A6" w:rsidRDefault="004E314E" w:rsidP="004E314E">
            <w:pPr>
              <w:tabs>
                <w:tab w:val="left" w:pos="1036"/>
              </w:tabs>
              <w:rPr>
                <w:rFonts w:ascii="Lato" w:hAnsi="Lato"/>
                <w:sz w:val="22"/>
                <w:szCs w:val="22"/>
              </w:rPr>
            </w:pPr>
            <w:r w:rsidRPr="001362A6">
              <w:rPr>
                <w:rFonts w:ascii="Lato" w:hAnsi="Lato"/>
                <w:sz w:val="22"/>
                <w:szCs w:val="22"/>
              </w:rPr>
              <w:t>(v)sub-investment manager</w:t>
            </w:r>
          </w:p>
        </w:tc>
        <w:tc>
          <w:tcPr>
            <w:tcW w:w="3188" w:type="dxa"/>
            <w:tcBorders>
              <w:top w:val="single" w:sz="4" w:space="0" w:color="auto"/>
              <w:left w:val="single" w:sz="4" w:space="0" w:color="auto"/>
              <w:bottom w:val="single" w:sz="4" w:space="0" w:color="auto"/>
              <w:right w:val="single" w:sz="4" w:space="0" w:color="auto"/>
            </w:tcBorders>
          </w:tcPr>
          <w:p w14:paraId="67CDB5C8" w14:textId="77777777" w:rsidR="004E314E" w:rsidRPr="001362A6" w:rsidRDefault="004E314E" w:rsidP="004E314E">
            <w:pPr>
              <w:rPr>
                <w:rFonts w:ascii="Lato" w:hAnsi="Lato"/>
                <w:sz w:val="22"/>
                <w:szCs w:val="22"/>
              </w:rPr>
            </w:pPr>
          </w:p>
        </w:tc>
      </w:tr>
      <w:tr w:rsidR="004E314E" w:rsidRPr="001362A6" w14:paraId="436BEB4E" w14:textId="77777777" w:rsidTr="00A70AEC">
        <w:tc>
          <w:tcPr>
            <w:tcW w:w="1316" w:type="dxa"/>
          </w:tcPr>
          <w:p w14:paraId="408AEEF6"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2CFE3380" w14:textId="77777777" w:rsidR="004E314E" w:rsidRPr="001362A6" w:rsidRDefault="004E314E" w:rsidP="004E314E">
            <w:pPr>
              <w:tabs>
                <w:tab w:val="left" w:pos="1036"/>
              </w:tabs>
              <w:rPr>
                <w:rFonts w:ascii="Lato" w:hAnsi="Lato"/>
                <w:sz w:val="22"/>
                <w:szCs w:val="22"/>
              </w:rPr>
            </w:pPr>
            <w:r w:rsidRPr="001362A6">
              <w:rPr>
                <w:rFonts w:ascii="Lato" w:hAnsi="Lato"/>
                <w:sz w:val="22"/>
                <w:szCs w:val="22"/>
              </w:rPr>
              <w:t>(vi)investment adviser</w:t>
            </w:r>
          </w:p>
        </w:tc>
        <w:tc>
          <w:tcPr>
            <w:tcW w:w="3188" w:type="dxa"/>
            <w:tcBorders>
              <w:top w:val="single" w:sz="4" w:space="0" w:color="auto"/>
              <w:left w:val="single" w:sz="4" w:space="0" w:color="auto"/>
              <w:bottom w:val="single" w:sz="4" w:space="0" w:color="auto"/>
              <w:right w:val="single" w:sz="4" w:space="0" w:color="auto"/>
            </w:tcBorders>
          </w:tcPr>
          <w:p w14:paraId="2F0A9110" w14:textId="77777777" w:rsidR="004E314E" w:rsidRPr="001362A6" w:rsidRDefault="004E314E" w:rsidP="004E314E">
            <w:pPr>
              <w:rPr>
                <w:rFonts w:ascii="Lato" w:hAnsi="Lato"/>
                <w:sz w:val="22"/>
                <w:szCs w:val="22"/>
              </w:rPr>
            </w:pPr>
          </w:p>
        </w:tc>
      </w:tr>
      <w:tr w:rsidR="004E314E" w:rsidRPr="001362A6" w14:paraId="30B88F66" w14:textId="77777777" w:rsidTr="00A70AEC">
        <w:tc>
          <w:tcPr>
            <w:tcW w:w="1316" w:type="dxa"/>
          </w:tcPr>
          <w:p w14:paraId="1E2ED6AC"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05EE34F8" w14:textId="77777777" w:rsidR="004E314E" w:rsidRPr="001362A6" w:rsidRDefault="004E314E" w:rsidP="004E314E">
            <w:pPr>
              <w:tabs>
                <w:tab w:val="left" w:pos="1036"/>
              </w:tabs>
              <w:rPr>
                <w:rFonts w:ascii="Lato" w:hAnsi="Lato"/>
                <w:sz w:val="22"/>
                <w:szCs w:val="22"/>
              </w:rPr>
            </w:pPr>
            <w:r w:rsidRPr="001362A6">
              <w:rPr>
                <w:rFonts w:ascii="Lato" w:hAnsi="Lato"/>
                <w:sz w:val="22"/>
                <w:szCs w:val="22"/>
              </w:rPr>
              <w:t>(vii)distributor</w:t>
            </w:r>
          </w:p>
        </w:tc>
        <w:tc>
          <w:tcPr>
            <w:tcW w:w="3188" w:type="dxa"/>
            <w:tcBorders>
              <w:top w:val="single" w:sz="4" w:space="0" w:color="auto"/>
              <w:left w:val="single" w:sz="4" w:space="0" w:color="auto"/>
              <w:bottom w:val="single" w:sz="4" w:space="0" w:color="auto"/>
              <w:right w:val="single" w:sz="4" w:space="0" w:color="auto"/>
            </w:tcBorders>
          </w:tcPr>
          <w:p w14:paraId="1E72AF37" w14:textId="77777777" w:rsidR="004E314E" w:rsidRPr="001362A6" w:rsidRDefault="004E314E" w:rsidP="004E314E">
            <w:pPr>
              <w:rPr>
                <w:rFonts w:ascii="Lato" w:hAnsi="Lato"/>
                <w:sz w:val="22"/>
                <w:szCs w:val="22"/>
              </w:rPr>
            </w:pPr>
          </w:p>
        </w:tc>
      </w:tr>
      <w:tr w:rsidR="004E314E" w:rsidRPr="001362A6" w14:paraId="2D1E5918" w14:textId="77777777" w:rsidTr="00A70AEC">
        <w:tc>
          <w:tcPr>
            <w:tcW w:w="1316" w:type="dxa"/>
          </w:tcPr>
          <w:p w14:paraId="3361FB4C"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50F251C6" w14:textId="77777777" w:rsidR="004E314E" w:rsidRPr="001362A6" w:rsidRDefault="004E314E" w:rsidP="004E314E">
            <w:pPr>
              <w:tabs>
                <w:tab w:val="left" w:pos="1036"/>
              </w:tabs>
              <w:rPr>
                <w:rFonts w:ascii="Lato" w:hAnsi="Lato"/>
                <w:sz w:val="22"/>
                <w:szCs w:val="22"/>
              </w:rPr>
            </w:pPr>
            <w:r w:rsidRPr="001362A6">
              <w:rPr>
                <w:rFonts w:ascii="Lato" w:hAnsi="Lato"/>
                <w:sz w:val="22"/>
                <w:szCs w:val="22"/>
              </w:rPr>
              <w:t>(viii)sub-distributor/paying agent</w:t>
            </w:r>
          </w:p>
        </w:tc>
        <w:tc>
          <w:tcPr>
            <w:tcW w:w="3188" w:type="dxa"/>
            <w:tcBorders>
              <w:top w:val="single" w:sz="4" w:space="0" w:color="auto"/>
              <w:left w:val="single" w:sz="4" w:space="0" w:color="auto"/>
              <w:bottom w:val="single" w:sz="4" w:space="0" w:color="auto"/>
              <w:right w:val="single" w:sz="4" w:space="0" w:color="auto"/>
            </w:tcBorders>
          </w:tcPr>
          <w:p w14:paraId="7B37F77C" w14:textId="77777777" w:rsidR="004E314E" w:rsidRPr="001362A6" w:rsidRDefault="004E314E" w:rsidP="004E314E">
            <w:pPr>
              <w:rPr>
                <w:rFonts w:ascii="Lato" w:hAnsi="Lato"/>
                <w:sz w:val="22"/>
                <w:szCs w:val="22"/>
              </w:rPr>
            </w:pPr>
          </w:p>
        </w:tc>
      </w:tr>
      <w:tr w:rsidR="004E314E" w:rsidRPr="001362A6" w14:paraId="61CD370F" w14:textId="77777777" w:rsidTr="00A70AEC">
        <w:tc>
          <w:tcPr>
            <w:tcW w:w="1316" w:type="dxa"/>
          </w:tcPr>
          <w:p w14:paraId="004CA9BE"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18187E18" w14:textId="77777777" w:rsidR="004E314E" w:rsidRPr="001362A6" w:rsidRDefault="004E314E" w:rsidP="004E314E">
            <w:pPr>
              <w:tabs>
                <w:tab w:val="left" w:pos="1036"/>
              </w:tabs>
              <w:rPr>
                <w:rFonts w:ascii="Lato" w:hAnsi="Lato"/>
                <w:sz w:val="22"/>
                <w:szCs w:val="22"/>
              </w:rPr>
            </w:pPr>
            <w:r w:rsidRPr="001362A6">
              <w:rPr>
                <w:rFonts w:ascii="Lato" w:hAnsi="Lato"/>
                <w:sz w:val="22"/>
                <w:szCs w:val="22"/>
              </w:rPr>
              <w:t>(ix)directors</w:t>
            </w:r>
          </w:p>
        </w:tc>
        <w:tc>
          <w:tcPr>
            <w:tcW w:w="3188" w:type="dxa"/>
            <w:tcBorders>
              <w:top w:val="single" w:sz="4" w:space="0" w:color="auto"/>
              <w:left w:val="single" w:sz="4" w:space="0" w:color="auto"/>
              <w:bottom w:val="single" w:sz="4" w:space="0" w:color="auto"/>
              <w:right w:val="single" w:sz="4" w:space="0" w:color="auto"/>
            </w:tcBorders>
          </w:tcPr>
          <w:p w14:paraId="7EAA2EAA" w14:textId="77777777" w:rsidR="004E314E" w:rsidRPr="001362A6" w:rsidRDefault="004E314E" w:rsidP="004E314E">
            <w:pPr>
              <w:rPr>
                <w:rFonts w:ascii="Lato" w:hAnsi="Lato"/>
                <w:sz w:val="22"/>
                <w:szCs w:val="22"/>
              </w:rPr>
            </w:pPr>
          </w:p>
        </w:tc>
      </w:tr>
      <w:tr w:rsidR="004E314E" w:rsidRPr="001362A6" w14:paraId="690B8AFF" w14:textId="77777777" w:rsidTr="00A70AEC">
        <w:tc>
          <w:tcPr>
            <w:tcW w:w="1316" w:type="dxa"/>
          </w:tcPr>
          <w:p w14:paraId="18C61DE2"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03751C01" w14:textId="77777777" w:rsidR="004E314E" w:rsidRPr="001362A6" w:rsidRDefault="004E314E" w:rsidP="004E314E">
            <w:pPr>
              <w:tabs>
                <w:tab w:val="left" w:pos="1036"/>
              </w:tabs>
              <w:rPr>
                <w:rFonts w:ascii="Lato" w:hAnsi="Lato"/>
                <w:sz w:val="22"/>
                <w:szCs w:val="22"/>
              </w:rPr>
            </w:pPr>
            <w:r w:rsidRPr="001362A6">
              <w:rPr>
                <w:rFonts w:ascii="Lato" w:hAnsi="Lato"/>
                <w:sz w:val="22"/>
                <w:szCs w:val="22"/>
              </w:rPr>
              <w:t>(x)prime broker</w:t>
            </w:r>
          </w:p>
        </w:tc>
        <w:tc>
          <w:tcPr>
            <w:tcW w:w="3188" w:type="dxa"/>
            <w:tcBorders>
              <w:top w:val="single" w:sz="4" w:space="0" w:color="auto"/>
              <w:left w:val="single" w:sz="4" w:space="0" w:color="auto"/>
              <w:bottom w:val="single" w:sz="4" w:space="0" w:color="auto"/>
              <w:right w:val="single" w:sz="4" w:space="0" w:color="auto"/>
            </w:tcBorders>
          </w:tcPr>
          <w:p w14:paraId="3EC00EFB" w14:textId="77777777" w:rsidR="004E314E" w:rsidRPr="001362A6" w:rsidRDefault="004E314E" w:rsidP="004E314E">
            <w:pPr>
              <w:rPr>
                <w:rFonts w:ascii="Lato" w:hAnsi="Lato"/>
                <w:sz w:val="22"/>
                <w:szCs w:val="22"/>
              </w:rPr>
            </w:pPr>
          </w:p>
        </w:tc>
      </w:tr>
      <w:tr w:rsidR="004E314E" w:rsidRPr="001362A6" w14:paraId="094EE361" w14:textId="77777777" w:rsidTr="00A70AEC">
        <w:tc>
          <w:tcPr>
            <w:tcW w:w="1316" w:type="dxa"/>
          </w:tcPr>
          <w:p w14:paraId="7AE05457"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0B10898A" w14:textId="77777777" w:rsidR="004E314E" w:rsidRPr="001362A6" w:rsidRDefault="004E314E" w:rsidP="004E314E">
            <w:pPr>
              <w:tabs>
                <w:tab w:val="left" w:pos="1036"/>
              </w:tabs>
              <w:rPr>
                <w:rFonts w:ascii="Lato" w:hAnsi="Lato"/>
                <w:sz w:val="22"/>
                <w:szCs w:val="22"/>
              </w:rPr>
            </w:pPr>
            <w:r w:rsidRPr="001362A6">
              <w:rPr>
                <w:rFonts w:ascii="Lato" w:hAnsi="Lato"/>
                <w:sz w:val="22"/>
                <w:szCs w:val="22"/>
              </w:rPr>
              <w:t>(xi)AIFM</w:t>
            </w:r>
          </w:p>
        </w:tc>
        <w:tc>
          <w:tcPr>
            <w:tcW w:w="3188" w:type="dxa"/>
            <w:tcBorders>
              <w:top w:val="single" w:sz="4" w:space="0" w:color="auto"/>
              <w:left w:val="single" w:sz="4" w:space="0" w:color="auto"/>
              <w:bottom w:val="single" w:sz="4" w:space="0" w:color="auto"/>
              <w:right w:val="single" w:sz="4" w:space="0" w:color="auto"/>
            </w:tcBorders>
          </w:tcPr>
          <w:p w14:paraId="14793765" w14:textId="77777777" w:rsidR="004E314E" w:rsidRPr="001362A6" w:rsidRDefault="004E314E" w:rsidP="004E314E">
            <w:pPr>
              <w:rPr>
                <w:rFonts w:ascii="Lato" w:hAnsi="Lato"/>
                <w:sz w:val="22"/>
                <w:szCs w:val="22"/>
              </w:rPr>
            </w:pPr>
          </w:p>
        </w:tc>
      </w:tr>
      <w:tr w:rsidR="004E314E" w:rsidRPr="001362A6" w14:paraId="7D61CE77" w14:textId="77777777" w:rsidTr="00990D73">
        <w:tc>
          <w:tcPr>
            <w:tcW w:w="1316" w:type="dxa"/>
          </w:tcPr>
          <w:p w14:paraId="3275B0DE" w14:textId="77777777" w:rsidR="004E314E" w:rsidRPr="001362A6" w:rsidRDefault="004E314E" w:rsidP="004E314E">
            <w:pPr>
              <w:rPr>
                <w:rFonts w:ascii="Lato" w:hAnsi="Lato"/>
                <w:sz w:val="22"/>
                <w:szCs w:val="22"/>
              </w:rPr>
            </w:pPr>
          </w:p>
        </w:tc>
        <w:tc>
          <w:tcPr>
            <w:tcW w:w="5891" w:type="dxa"/>
          </w:tcPr>
          <w:p w14:paraId="680F0A11" w14:textId="77777777" w:rsidR="004E314E" w:rsidRPr="001362A6" w:rsidRDefault="004E314E" w:rsidP="004E314E">
            <w:pPr>
              <w:tabs>
                <w:tab w:val="left" w:pos="1036"/>
              </w:tabs>
              <w:rPr>
                <w:rFonts w:ascii="Lato" w:hAnsi="Lato"/>
                <w:sz w:val="22"/>
                <w:szCs w:val="22"/>
              </w:rPr>
            </w:pPr>
          </w:p>
        </w:tc>
        <w:tc>
          <w:tcPr>
            <w:tcW w:w="3188" w:type="dxa"/>
            <w:tcBorders>
              <w:bottom w:val="single" w:sz="4" w:space="0" w:color="auto"/>
            </w:tcBorders>
          </w:tcPr>
          <w:p w14:paraId="24020AB7" w14:textId="77777777" w:rsidR="004E314E" w:rsidRPr="001362A6" w:rsidRDefault="004E314E" w:rsidP="004E314E">
            <w:pPr>
              <w:rPr>
                <w:rFonts w:ascii="Lato" w:hAnsi="Lato"/>
                <w:sz w:val="22"/>
                <w:szCs w:val="22"/>
              </w:rPr>
            </w:pPr>
          </w:p>
        </w:tc>
      </w:tr>
      <w:tr w:rsidR="004E314E" w:rsidRPr="001362A6" w14:paraId="4480233B" w14:textId="77777777" w:rsidTr="00990D73">
        <w:tc>
          <w:tcPr>
            <w:tcW w:w="1316" w:type="dxa"/>
          </w:tcPr>
          <w:p w14:paraId="2C3AB014" w14:textId="77777777" w:rsidR="004E314E" w:rsidRPr="001362A6" w:rsidRDefault="004E314E" w:rsidP="004E314E">
            <w:pPr>
              <w:jc w:val="right"/>
              <w:rPr>
                <w:rFonts w:ascii="Lato" w:hAnsi="Lato"/>
                <w:sz w:val="22"/>
                <w:szCs w:val="22"/>
              </w:rPr>
            </w:pPr>
            <w:r w:rsidRPr="001362A6">
              <w:rPr>
                <w:rFonts w:ascii="Lato" w:hAnsi="Lato"/>
                <w:sz w:val="22"/>
                <w:szCs w:val="22"/>
              </w:rPr>
              <w:t>(d)</w:t>
            </w:r>
          </w:p>
        </w:tc>
        <w:tc>
          <w:tcPr>
            <w:tcW w:w="5891" w:type="dxa"/>
            <w:tcBorders>
              <w:right w:val="single" w:sz="4" w:space="0" w:color="auto"/>
            </w:tcBorders>
          </w:tcPr>
          <w:p w14:paraId="6281CB0D" w14:textId="77777777" w:rsidR="004E314E" w:rsidRPr="001362A6" w:rsidRDefault="004E314E" w:rsidP="004E314E">
            <w:pPr>
              <w:tabs>
                <w:tab w:val="left" w:pos="1036"/>
              </w:tabs>
              <w:rPr>
                <w:rFonts w:ascii="Lato" w:hAnsi="Lato"/>
                <w:sz w:val="22"/>
                <w:szCs w:val="22"/>
              </w:rPr>
            </w:pPr>
            <w:r w:rsidRPr="001362A6">
              <w:rPr>
                <w:rFonts w:ascii="Lato" w:hAnsi="Lato"/>
                <w:sz w:val="22"/>
                <w:szCs w:val="22"/>
              </w:rPr>
              <w:t xml:space="preserve">Any other fees and expenses paid directly by the Qualifying </w:t>
            </w:r>
          </w:p>
        </w:tc>
        <w:tc>
          <w:tcPr>
            <w:tcW w:w="3188" w:type="dxa"/>
            <w:tcBorders>
              <w:top w:val="single" w:sz="4" w:space="0" w:color="auto"/>
              <w:left w:val="single" w:sz="4" w:space="0" w:color="auto"/>
              <w:bottom w:val="single" w:sz="4" w:space="0" w:color="auto"/>
              <w:right w:val="single" w:sz="4" w:space="0" w:color="auto"/>
            </w:tcBorders>
          </w:tcPr>
          <w:p w14:paraId="28579F1F" w14:textId="77777777" w:rsidR="004E314E" w:rsidRPr="001362A6" w:rsidRDefault="004E314E" w:rsidP="004E314E">
            <w:pPr>
              <w:rPr>
                <w:rFonts w:ascii="Lato" w:hAnsi="Lato"/>
                <w:sz w:val="22"/>
                <w:szCs w:val="22"/>
              </w:rPr>
            </w:pPr>
          </w:p>
        </w:tc>
      </w:tr>
      <w:tr w:rsidR="004E314E" w:rsidRPr="001362A6" w14:paraId="3D0836E7" w14:textId="77777777" w:rsidTr="00990D73">
        <w:tc>
          <w:tcPr>
            <w:tcW w:w="1316" w:type="dxa"/>
          </w:tcPr>
          <w:p w14:paraId="02D46667" w14:textId="77777777" w:rsidR="004E314E" w:rsidRPr="001362A6" w:rsidRDefault="004E314E" w:rsidP="004E314E">
            <w:pPr>
              <w:jc w:val="right"/>
              <w:rPr>
                <w:rFonts w:ascii="Lato" w:hAnsi="Lato"/>
                <w:sz w:val="22"/>
                <w:szCs w:val="22"/>
              </w:rPr>
            </w:pPr>
          </w:p>
        </w:tc>
        <w:tc>
          <w:tcPr>
            <w:tcW w:w="5891" w:type="dxa"/>
          </w:tcPr>
          <w:p w14:paraId="29693A56" w14:textId="77777777" w:rsidR="004E314E" w:rsidRPr="001362A6" w:rsidRDefault="004E314E" w:rsidP="004E314E">
            <w:pPr>
              <w:tabs>
                <w:tab w:val="left" w:pos="1036"/>
              </w:tabs>
              <w:jc w:val="both"/>
              <w:rPr>
                <w:rFonts w:ascii="Lato" w:hAnsi="Lato"/>
                <w:sz w:val="22"/>
                <w:szCs w:val="22"/>
              </w:rPr>
            </w:pPr>
            <w:r w:rsidRPr="001362A6">
              <w:rPr>
                <w:rFonts w:ascii="Lato" w:hAnsi="Lato"/>
                <w:sz w:val="22"/>
                <w:szCs w:val="22"/>
              </w:rPr>
              <w:t>Investor AIF</w:t>
            </w:r>
          </w:p>
        </w:tc>
        <w:tc>
          <w:tcPr>
            <w:tcW w:w="3188" w:type="dxa"/>
            <w:tcBorders>
              <w:top w:val="single" w:sz="4" w:space="0" w:color="auto"/>
            </w:tcBorders>
          </w:tcPr>
          <w:p w14:paraId="44EFC292" w14:textId="77777777" w:rsidR="004E314E" w:rsidRPr="001362A6" w:rsidRDefault="004E314E" w:rsidP="004E314E">
            <w:pPr>
              <w:rPr>
                <w:rFonts w:ascii="Lato" w:hAnsi="Lato"/>
                <w:sz w:val="22"/>
                <w:szCs w:val="22"/>
              </w:rPr>
            </w:pPr>
          </w:p>
        </w:tc>
      </w:tr>
      <w:tr w:rsidR="004E314E" w:rsidRPr="001362A6" w14:paraId="18E4B85B" w14:textId="77777777" w:rsidTr="00990D73">
        <w:tc>
          <w:tcPr>
            <w:tcW w:w="1316" w:type="dxa"/>
          </w:tcPr>
          <w:p w14:paraId="7F2F09EA" w14:textId="77777777" w:rsidR="004E314E" w:rsidRPr="001362A6" w:rsidRDefault="004E314E" w:rsidP="004E314E">
            <w:pPr>
              <w:jc w:val="right"/>
              <w:rPr>
                <w:rFonts w:ascii="Lato" w:hAnsi="Lato"/>
                <w:sz w:val="22"/>
                <w:szCs w:val="22"/>
              </w:rPr>
            </w:pPr>
          </w:p>
        </w:tc>
        <w:tc>
          <w:tcPr>
            <w:tcW w:w="5891" w:type="dxa"/>
          </w:tcPr>
          <w:p w14:paraId="4A9C5995" w14:textId="77777777" w:rsidR="004E314E" w:rsidRPr="001362A6" w:rsidRDefault="004E314E" w:rsidP="004E314E">
            <w:pPr>
              <w:tabs>
                <w:tab w:val="left" w:pos="1036"/>
              </w:tabs>
              <w:jc w:val="both"/>
              <w:rPr>
                <w:rFonts w:ascii="Lato" w:hAnsi="Lato"/>
                <w:sz w:val="22"/>
                <w:szCs w:val="22"/>
              </w:rPr>
            </w:pPr>
            <w:r w:rsidRPr="001362A6">
              <w:rPr>
                <w:rFonts w:ascii="Lato" w:hAnsi="Lato"/>
                <w:sz w:val="22"/>
                <w:szCs w:val="22"/>
              </w:rPr>
              <w:t>Note:  It is also possible to provide a single figure which relates to all fees payable by the Qualifying Investor AIF provided it is clear what is included in the overall fee.</w:t>
            </w:r>
          </w:p>
        </w:tc>
        <w:tc>
          <w:tcPr>
            <w:tcW w:w="3188" w:type="dxa"/>
          </w:tcPr>
          <w:p w14:paraId="6B258178" w14:textId="77777777" w:rsidR="004E314E" w:rsidRPr="001362A6" w:rsidRDefault="004E314E" w:rsidP="004E314E">
            <w:pPr>
              <w:rPr>
                <w:rFonts w:ascii="Lato" w:hAnsi="Lato"/>
                <w:sz w:val="22"/>
                <w:szCs w:val="22"/>
              </w:rPr>
            </w:pPr>
          </w:p>
        </w:tc>
      </w:tr>
      <w:tr w:rsidR="004E314E" w:rsidRPr="001362A6" w14:paraId="766FBADF" w14:textId="77777777" w:rsidTr="00990D73">
        <w:tc>
          <w:tcPr>
            <w:tcW w:w="1316" w:type="dxa"/>
          </w:tcPr>
          <w:p w14:paraId="198133EF" w14:textId="77777777" w:rsidR="004E314E" w:rsidRPr="001362A6" w:rsidRDefault="004E314E" w:rsidP="004E314E">
            <w:pPr>
              <w:rPr>
                <w:rFonts w:ascii="Lato" w:hAnsi="Lato"/>
                <w:sz w:val="22"/>
                <w:szCs w:val="22"/>
              </w:rPr>
            </w:pPr>
          </w:p>
        </w:tc>
        <w:tc>
          <w:tcPr>
            <w:tcW w:w="5891" w:type="dxa"/>
          </w:tcPr>
          <w:p w14:paraId="0CB20622" w14:textId="77777777" w:rsidR="004E314E" w:rsidRPr="001362A6" w:rsidRDefault="004E314E" w:rsidP="004E314E">
            <w:pPr>
              <w:rPr>
                <w:rFonts w:ascii="Lato" w:hAnsi="Lato"/>
                <w:sz w:val="22"/>
                <w:szCs w:val="22"/>
              </w:rPr>
            </w:pPr>
          </w:p>
        </w:tc>
        <w:tc>
          <w:tcPr>
            <w:tcW w:w="3188" w:type="dxa"/>
            <w:tcBorders>
              <w:bottom w:val="single" w:sz="4" w:space="0" w:color="auto"/>
            </w:tcBorders>
          </w:tcPr>
          <w:p w14:paraId="24A20392" w14:textId="77777777" w:rsidR="004E314E" w:rsidRPr="001362A6" w:rsidRDefault="004E314E" w:rsidP="004E314E">
            <w:pPr>
              <w:rPr>
                <w:rFonts w:ascii="Lato" w:hAnsi="Lato"/>
                <w:sz w:val="22"/>
                <w:szCs w:val="22"/>
              </w:rPr>
            </w:pPr>
          </w:p>
        </w:tc>
      </w:tr>
      <w:tr w:rsidR="004E314E" w:rsidRPr="001362A6" w14:paraId="0F145200" w14:textId="77777777" w:rsidTr="00990D73">
        <w:trPr>
          <w:cantSplit/>
          <w:trHeight w:val="257"/>
        </w:trPr>
        <w:tc>
          <w:tcPr>
            <w:tcW w:w="1316" w:type="dxa"/>
            <w:vMerge w:val="restart"/>
          </w:tcPr>
          <w:p w14:paraId="3760FE1D" w14:textId="77777777" w:rsidR="004E314E" w:rsidRPr="001362A6" w:rsidRDefault="004E314E" w:rsidP="004E314E">
            <w:pPr>
              <w:rPr>
                <w:rFonts w:ascii="Lato" w:hAnsi="Lato"/>
                <w:sz w:val="22"/>
                <w:szCs w:val="22"/>
              </w:rPr>
            </w:pPr>
            <w:r w:rsidRPr="001362A6">
              <w:rPr>
                <w:rFonts w:ascii="Lato" w:hAnsi="Lato"/>
                <w:sz w:val="22"/>
                <w:szCs w:val="22"/>
              </w:rPr>
              <w:t>2.20.4</w:t>
            </w:r>
          </w:p>
        </w:tc>
        <w:tc>
          <w:tcPr>
            <w:tcW w:w="5891" w:type="dxa"/>
            <w:vMerge w:val="restart"/>
            <w:tcBorders>
              <w:right w:val="single" w:sz="4" w:space="0" w:color="auto"/>
            </w:tcBorders>
          </w:tcPr>
          <w:p w14:paraId="1F01772D" w14:textId="77777777" w:rsidR="004E314E" w:rsidRPr="001362A6" w:rsidRDefault="004E314E" w:rsidP="004E314E">
            <w:pPr>
              <w:pStyle w:val="Heading1"/>
              <w:spacing w:before="0" w:after="0" w:line="240" w:lineRule="auto"/>
              <w:jc w:val="both"/>
              <w:rPr>
                <w:rFonts w:ascii="Lato" w:eastAsia="Arial Unicode MS" w:hAnsi="Lato"/>
                <w:color w:val="auto"/>
                <w:sz w:val="22"/>
                <w:szCs w:val="22"/>
              </w:rPr>
            </w:pPr>
            <w:r w:rsidRPr="001362A6">
              <w:rPr>
                <w:rFonts w:ascii="Lato" w:hAnsi="Lato"/>
                <w:color w:val="auto"/>
                <w:sz w:val="22"/>
                <w:szCs w:val="22"/>
              </w:rPr>
              <w:t>All other costs and expenses, including establishment costs.  Indicate how costs of establishment will be dealt with in the accounts of the QIF e.g. amortised over first five accounting periods.</w:t>
            </w:r>
          </w:p>
        </w:tc>
        <w:tc>
          <w:tcPr>
            <w:tcW w:w="3188" w:type="dxa"/>
            <w:tcBorders>
              <w:top w:val="single" w:sz="4" w:space="0" w:color="auto"/>
              <w:left w:val="single" w:sz="4" w:space="0" w:color="auto"/>
              <w:bottom w:val="single" w:sz="4" w:space="0" w:color="auto"/>
              <w:right w:val="single" w:sz="4" w:space="0" w:color="auto"/>
            </w:tcBorders>
          </w:tcPr>
          <w:p w14:paraId="1645CE9E" w14:textId="77777777" w:rsidR="004E314E" w:rsidRPr="001362A6" w:rsidRDefault="004E314E" w:rsidP="004E314E">
            <w:pPr>
              <w:rPr>
                <w:rFonts w:ascii="Lato" w:hAnsi="Lato"/>
                <w:sz w:val="22"/>
                <w:szCs w:val="22"/>
              </w:rPr>
            </w:pPr>
          </w:p>
        </w:tc>
      </w:tr>
      <w:tr w:rsidR="004E314E" w:rsidRPr="001362A6" w14:paraId="3D59C726" w14:textId="77777777" w:rsidTr="00990D73">
        <w:trPr>
          <w:cantSplit/>
          <w:trHeight w:val="254"/>
        </w:trPr>
        <w:tc>
          <w:tcPr>
            <w:tcW w:w="1316" w:type="dxa"/>
            <w:vMerge/>
          </w:tcPr>
          <w:p w14:paraId="199A923C" w14:textId="77777777" w:rsidR="004E314E" w:rsidRPr="001362A6" w:rsidRDefault="004E314E" w:rsidP="004E314E">
            <w:pPr>
              <w:rPr>
                <w:rFonts w:ascii="Lato" w:hAnsi="Lato"/>
                <w:sz w:val="22"/>
                <w:szCs w:val="22"/>
              </w:rPr>
            </w:pPr>
          </w:p>
        </w:tc>
        <w:tc>
          <w:tcPr>
            <w:tcW w:w="5891" w:type="dxa"/>
            <w:vMerge/>
          </w:tcPr>
          <w:p w14:paraId="59E8BF2B" w14:textId="77777777" w:rsidR="004E314E" w:rsidRPr="001362A6" w:rsidRDefault="004E314E" w:rsidP="004E314E">
            <w:pPr>
              <w:pStyle w:val="Heading1"/>
              <w:spacing w:before="0" w:after="0" w:line="240" w:lineRule="auto"/>
              <w:rPr>
                <w:rFonts w:ascii="Lato" w:hAnsi="Lato"/>
                <w:color w:val="auto"/>
                <w:sz w:val="22"/>
                <w:szCs w:val="22"/>
              </w:rPr>
            </w:pPr>
          </w:p>
        </w:tc>
        <w:tc>
          <w:tcPr>
            <w:tcW w:w="3188" w:type="dxa"/>
            <w:tcBorders>
              <w:top w:val="single" w:sz="4" w:space="0" w:color="auto"/>
            </w:tcBorders>
          </w:tcPr>
          <w:p w14:paraId="50FAB760" w14:textId="77777777" w:rsidR="004E314E" w:rsidRPr="001362A6" w:rsidRDefault="004E314E" w:rsidP="004E314E">
            <w:pPr>
              <w:rPr>
                <w:rFonts w:ascii="Lato" w:hAnsi="Lato"/>
                <w:sz w:val="22"/>
                <w:szCs w:val="22"/>
              </w:rPr>
            </w:pPr>
          </w:p>
        </w:tc>
      </w:tr>
      <w:tr w:rsidR="004E314E" w:rsidRPr="001362A6" w14:paraId="1F4B3A1E" w14:textId="77777777" w:rsidTr="00990D73">
        <w:trPr>
          <w:cantSplit/>
          <w:trHeight w:val="254"/>
        </w:trPr>
        <w:tc>
          <w:tcPr>
            <w:tcW w:w="1316" w:type="dxa"/>
            <w:vMerge/>
          </w:tcPr>
          <w:p w14:paraId="3839DE83" w14:textId="77777777" w:rsidR="004E314E" w:rsidRPr="001362A6" w:rsidRDefault="004E314E" w:rsidP="004E314E">
            <w:pPr>
              <w:rPr>
                <w:rFonts w:ascii="Lato" w:hAnsi="Lato"/>
                <w:sz w:val="22"/>
                <w:szCs w:val="22"/>
              </w:rPr>
            </w:pPr>
          </w:p>
        </w:tc>
        <w:tc>
          <w:tcPr>
            <w:tcW w:w="5891" w:type="dxa"/>
            <w:vMerge/>
          </w:tcPr>
          <w:p w14:paraId="1F1A1C09" w14:textId="77777777" w:rsidR="004E314E" w:rsidRPr="001362A6" w:rsidRDefault="004E314E" w:rsidP="004E314E">
            <w:pPr>
              <w:pStyle w:val="Heading1"/>
              <w:spacing w:before="0" w:after="0" w:line="240" w:lineRule="auto"/>
              <w:rPr>
                <w:rFonts w:ascii="Lato" w:hAnsi="Lato"/>
                <w:color w:val="auto"/>
                <w:sz w:val="22"/>
                <w:szCs w:val="22"/>
              </w:rPr>
            </w:pPr>
          </w:p>
        </w:tc>
        <w:tc>
          <w:tcPr>
            <w:tcW w:w="3188" w:type="dxa"/>
          </w:tcPr>
          <w:p w14:paraId="47B253F2" w14:textId="77777777" w:rsidR="004E314E" w:rsidRPr="001362A6" w:rsidRDefault="004E314E" w:rsidP="004E314E">
            <w:pPr>
              <w:rPr>
                <w:rFonts w:ascii="Lato" w:hAnsi="Lato"/>
                <w:sz w:val="22"/>
                <w:szCs w:val="22"/>
              </w:rPr>
            </w:pPr>
          </w:p>
        </w:tc>
      </w:tr>
      <w:tr w:rsidR="004E314E" w:rsidRPr="001362A6" w14:paraId="58D9A0DE" w14:textId="77777777" w:rsidTr="00990D73">
        <w:trPr>
          <w:cantSplit/>
          <w:trHeight w:val="254"/>
        </w:trPr>
        <w:tc>
          <w:tcPr>
            <w:tcW w:w="1316" w:type="dxa"/>
            <w:vMerge/>
          </w:tcPr>
          <w:p w14:paraId="24014427" w14:textId="77777777" w:rsidR="004E314E" w:rsidRPr="001362A6" w:rsidRDefault="004E314E" w:rsidP="004E314E">
            <w:pPr>
              <w:rPr>
                <w:rFonts w:ascii="Lato" w:hAnsi="Lato"/>
                <w:sz w:val="22"/>
                <w:szCs w:val="22"/>
              </w:rPr>
            </w:pPr>
          </w:p>
        </w:tc>
        <w:tc>
          <w:tcPr>
            <w:tcW w:w="5891" w:type="dxa"/>
            <w:vMerge/>
          </w:tcPr>
          <w:p w14:paraId="5FA048EF" w14:textId="77777777" w:rsidR="004E314E" w:rsidRPr="001362A6" w:rsidRDefault="004E314E" w:rsidP="004E314E">
            <w:pPr>
              <w:pStyle w:val="Heading1"/>
              <w:spacing w:before="0" w:after="0" w:line="240" w:lineRule="auto"/>
              <w:rPr>
                <w:rFonts w:ascii="Lato" w:hAnsi="Lato"/>
                <w:color w:val="auto"/>
                <w:sz w:val="22"/>
                <w:szCs w:val="22"/>
              </w:rPr>
            </w:pPr>
          </w:p>
        </w:tc>
        <w:tc>
          <w:tcPr>
            <w:tcW w:w="3188" w:type="dxa"/>
          </w:tcPr>
          <w:p w14:paraId="231ADE94" w14:textId="77777777" w:rsidR="004E314E" w:rsidRPr="001362A6" w:rsidRDefault="004E314E" w:rsidP="004E314E">
            <w:pPr>
              <w:rPr>
                <w:rFonts w:ascii="Lato" w:hAnsi="Lato"/>
                <w:sz w:val="22"/>
                <w:szCs w:val="22"/>
              </w:rPr>
            </w:pPr>
          </w:p>
        </w:tc>
      </w:tr>
      <w:tr w:rsidR="004E314E" w:rsidRPr="001362A6" w14:paraId="60F56283" w14:textId="77777777" w:rsidTr="00990D73">
        <w:tc>
          <w:tcPr>
            <w:tcW w:w="1316" w:type="dxa"/>
          </w:tcPr>
          <w:p w14:paraId="2FFD3AF8" w14:textId="77777777" w:rsidR="004E314E" w:rsidRPr="001362A6" w:rsidRDefault="004E314E" w:rsidP="004E314E">
            <w:pPr>
              <w:rPr>
                <w:rFonts w:ascii="Lato" w:hAnsi="Lato"/>
                <w:sz w:val="22"/>
                <w:szCs w:val="22"/>
              </w:rPr>
            </w:pPr>
          </w:p>
        </w:tc>
        <w:tc>
          <w:tcPr>
            <w:tcW w:w="5891" w:type="dxa"/>
          </w:tcPr>
          <w:p w14:paraId="20CBF92A" w14:textId="77777777" w:rsidR="004E314E" w:rsidRPr="001362A6" w:rsidRDefault="004E314E" w:rsidP="004E314E">
            <w:pPr>
              <w:rPr>
                <w:rFonts w:ascii="Lato" w:hAnsi="Lato"/>
                <w:sz w:val="22"/>
                <w:szCs w:val="22"/>
              </w:rPr>
            </w:pPr>
          </w:p>
        </w:tc>
        <w:tc>
          <w:tcPr>
            <w:tcW w:w="3188" w:type="dxa"/>
          </w:tcPr>
          <w:p w14:paraId="4C227528" w14:textId="77777777" w:rsidR="004E314E" w:rsidRPr="001362A6" w:rsidRDefault="004E314E" w:rsidP="004E314E">
            <w:pPr>
              <w:rPr>
                <w:rFonts w:ascii="Lato" w:hAnsi="Lato"/>
                <w:sz w:val="22"/>
                <w:szCs w:val="22"/>
              </w:rPr>
            </w:pPr>
          </w:p>
        </w:tc>
      </w:tr>
      <w:tr w:rsidR="004E314E" w:rsidRPr="001362A6" w14:paraId="6B9E2146" w14:textId="77777777" w:rsidTr="00D47A86">
        <w:tc>
          <w:tcPr>
            <w:tcW w:w="1316" w:type="dxa"/>
          </w:tcPr>
          <w:p w14:paraId="40D11368" w14:textId="77777777" w:rsidR="004E314E" w:rsidRPr="001362A6" w:rsidRDefault="004E314E" w:rsidP="004E314E">
            <w:pPr>
              <w:rPr>
                <w:rFonts w:ascii="Lato" w:hAnsi="Lato"/>
                <w:sz w:val="22"/>
                <w:szCs w:val="22"/>
              </w:rPr>
            </w:pPr>
            <w:r w:rsidRPr="001362A6">
              <w:rPr>
                <w:rFonts w:ascii="Lato" w:hAnsi="Lato"/>
                <w:sz w:val="22"/>
                <w:szCs w:val="22"/>
              </w:rPr>
              <w:t>2.20.5</w:t>
            </w:r>
          </w:p>
        </w:tc>
        <w:tc>
          <w:tcPr>
            <w:tcW w:w="5891" w:type="dxa"/>
          </w:tcPr>
          <w:p w14:paraId="2FE25220" w14:textId="77777777" w:rsidR="004E314E" w:rsidRPr="001362A6" w:rsidRDefault="004E314E" w:rsidP="004E314E">
            <w:pPr>
              <w:pStyle w:val="Heading1"/>
              <w:spacing w:before="0" w:after="0" w:line="240" w:lineRule="auto"/>
              <w:rPr>
                <w:rFonts w:ascii="Lato" w:eastAsia="Arial Unicode MS" w:hAnsi="Lato"/>
                <w:color w:val="auto"/>
                <w:sz w:val="22"/>
                <w:szCs w:val="22"/>
              </w:rPr>
            </w:pPr>
            <w:r w:rsidRPr="001362A6">
              <w:rPr>
                <w:rFonts w:ascii="Lato" w:hAnsi="Lato"/>
                <w:color w:val="auto"/>
                <w:sz w:val="22"/>
                <w:szCs w:val="22"/>
              </w:rPr>
              <w:t>Carrying forward /backdating of fees</w:t>
            </w:r>
          </w:p>
        </w:tc>
        <w:tc>
          <w:tcPr>
            <w:tcW w:w="3188" w:type="dxa"/>
            <w:tcBorders>
              <w:bottom w:val="single" w:sz="4" w:space="0" w:color="auto"/>
            </w:tcBorders>
          </w:tcPr>
          <w:p w14:paraId="18756B32" w14:textId="77777777" w:rsidR="004E314E" w:rsidRPr="001362A6" w:rsidRDefault="004E314E" w:rsidP="004E314E">
            <w:pPr>
              <w:rPr>
                <w:rFonts w:ascii="Lato" w:hAnsi="Lato"/>
                <w:sz w:val="22"/>
                <w:szCs w:val="22"/>
              </w:rPr>
            </w:pPr>
          </w:p>
        </w:tc>
      </w:tr>
      <w:tr w:rsidR="004E314E" w:rsidRPr="001362A6" w14:paraId="1B0CA482" w14:textId="77777777" w:rsidTr="00D47A86">
        <w:tc>
          <w:tcPr>
            <w:tcW w:w="1316" w:type="dxa"/>
          </w:tcPr>
          <w:p w14:paraId="2C6F588B"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46A4855E" w14:textId="77777777" w:rsidR="004E314E" w:rsidRPr="001362A6" w:rsidRDefault="004E314E" w:rsidP="004E314E">
            <w:pPr>
              <w:jc w:val="both"/>
              <w:rPr>
                <w:rFonts w:ascii="Lato" w:hAnsi="Lato"/>
                <w:sz w:val="22"/>
                <w:szCs w:val="22"/>
              </w:rPr>
            </w:pPr>
            <w:r w:rsidRPr="001362A6">
              <w:rPr>
                <w:rFonts w:ascii="Lato" w:hAnsi="Lato"/>
                <w:sz w:val="22"/>
                <w:szCs w:val="22"/>
              </w:rPr>
              <w:t xml:space="preserve">Note: (i) The carrying forward of fees from one accounting </w:t>
            </w:r>
          </w:p>
        </w:tc>
        <w:tc>
          <w:tcPr>
            <w:tcW w:w="3188" w:type="dxa"/>
            <w:tcBorders>
              <w:top w:val="single" w:sz="4" w:space="0" w:color="auto"/>
              <w:left w:val="single" w:sz="4" w:space="0" w:color="auto"/>
              <w:bottom w:val="single" w:sz="4" w:space="0" w:color="auto"/>
              <w:right w:val="single" w:sz="4" w:space="0" w:color="auto"/>
            </w:tcBorders>
          </w:tcPr>
          <w:p w14:paraId="309D3BD2" w14:textId="77777777" w:rsidR="004E314E" w:rsidRPr="001362A6" w:rsidRDefault="004E314E" w:rsidP="004E314E">
            <w:pPr>
              <w:rPr>
                <w:rFonts w:ascii="Lato" w:hAnsi="Lato"/>
                <w:sz w:val="22"/>
                <w:szCs w:val="22"/>
              </w:rPr>
            </w:pPr>
          </w:p>
        </w:tc>
      </w:tr>
      <w:tr w:rsidR="004E314E" w:rsidRPr="001362A6" w14:paraId="4010E2AF" w14:textId="77777777" w:rsidTr="007E3170">
        <w:tc>
          <w:tcPr>
            <w:tcW w:w="1316" w:type="dxa"/>
          </w:tcPr>
          <w:p w14:paraId="4F0FD210" w14:textId="77777777" w:rsidR="004E314E" w:rsidRPr="001362A6" w:rsidRDefault="004E314E" w:rsidP="004E314E">
            <w:pPr>
              <w:rPr>
                <w:rFonts w:ascii="Lato" w:hAnsi="Lato"/>
                <w:sz w:val="22"/>
                <w:szCs w:val="22"/>
              </w:rPr>
            </w:pPr>
          </w:p>
        </w:tc>
        <w:tc>
          <w:tcPr>
            <w:tcW w:w="5891" w:type="dxa"/>
          </w:tcPr>
          <w:p w14:paraId="2CFA8A8D" w14:textId="77777777" w:rsidR="004E314E" w:rsidRPr="001362A6" w:rsidRDefault="004E314E" w:rsidP="004E314E">
            <w:pPr>
              <w:jc w:val="both"/>
              <w:rPr>
                <w:rFonts w:ascii="Lato" w:hAnsi="Lato"/>
                <w:sz w:val="22"/>
                <w:szCs w:val="22"/>
              </w:rPr>
            </w:pPr>
            <w:r w:rsidRPr="001362A6">
              <w:rPr>
                <w:rFonts w:ascii="Lato" w:hAnsi="Lato"/>
                <w:sz w:val="22"/>
                <w:szCs w:val="22"/>
              </w:rPr>
              <w:t xml:space="preserve">period to subsequent periods is not permitted. </w:t>
            </w:r>
          </w:p>
        </w:tc>
        <w:tc>
          <w:tcPr>
            <w:tcW w:w="3188" w:type="dxa"/>
            <w:tcBorders>
              <w:top w:val="single" w:sz="4" w:space="0" w:color="auto"/>
              <w:bottom w:val="single" w:sz="4" w:space="0" w:color="auto"/>
            </w:tcBorders>
          </w:tcPr>
          <w:p w14:paraId="22A21BCA" w14:textId="77777777" w:rsidR="004E314E" w:rsidRPr="001362A6" w:rsidRDefault="004E314E" w:rsidP="004E314E">
            <w:pPr>
              <w:rPr>
                <w:rFonts w:ascii="Lato" w:hAnsi="Lato"/>
                <w:sz w:val="22"/>
                <w:szCs w:val="22"/>
              </w:rPr>
            </w:pPr>
          </w:p>
        </w:tc>
      </w:tr>
      <w:tr w:rsidR="004E314E" w:rsidRPr="001362A6" w14:paraId="7CDE2B67" w14:textId="77777777" w:rsidTr="007E3170">
        <w:tc>
          <w:tcPr>
            <w:tcW w:w="1316" w:type="dxa"/>
          </w:tcPr>
          <w:p w14:paraId="62D5264B"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262AF978" w14:textId="77777777" w:rsidR="004E314E" w:rsidRPr="001362A6" w:rsidRDefault="004E314E" w:rsidP="004E314E">
            <w:pPr>
              <w:jc w:val="both"/>
              <w:rPr>
                <w:rFonts w:ascii="Lato" w:hAnsi="Lato"/>
                <w:sz w:val="22"/>
                <w:szCs w:val="22"/>
              </w:rPr>
            </w:pPr>
            <w:r w:rsidRPr="001362A6">
              <w:rPr>
                <w:rFonts w:ascii="Lato" w:hAnsi="Lato"/>
                <w:sz w:val="22"/>
                <w:szCs w:val="22"/>
              </w:rPr>
              <w:t>(ii) Backdating of fees is not permitted.</w:t>
            </w:r>
          </w:p>
        </w:tc>
        <w:tc>
          <w:tcPr>
            <w:tcW w:w="3188" w:type="dxa"/>
            <w:tcBorders>
              <w:top w:val="single" w:sz="4" w:space="0" w:color="auto"/>
              <w:left w:val="single" w:sz="4" w:space="0" w:color="auto"/>
              <w:bottom w:val="single" w:sz="4" w:space="0" w:color="auto"/>
              <w:right w:val="single" w:sz="4" w:space="0" w:color="auto"/>
            </w:tcBorders>
          </w:tcPr>
          <w:p w14:paraId="59B12B7C" w14:textId="77777777" w:rsidR="004E314E" w:rsidRPr="001362A6" w:rsidRDefault="004E314E" w:rsidP="004E314E">
            <w:pPr>
              <w:rPr>
                <w:rFonts w:ascii="Lato" w:hAnsi="Lato"/>
                <w:sz w:val="22"/>
                <w:szCs w:val="22"/>
              </w:rPr>
            </w:pPr>
          </w:p>
        </w:tc>
      </w:tr>
      <w:tr w:rsidR="004E314E" w:rsidRPr="001362A6" w14:paraId="12A25148" w14:textId="77777777" w:rsidTr="00D47A86">
        <w:tc>
          <w:tcPr>
            <w:tcW w:w="1316" w:type="dxa"/>
          </w:tcPr>
          <w:p w14:paraId="72341C2E" w14:textId="77777777" w:rsidR="004E314E" w:rsidRPr="001362A6" w:rsidRDefault="004E314E" w:rsidP="004E314E">
            <w:pPr>
              <w:rPr>
                <w:rFonts w:ascii="Lato" w:hAnsi="Lato"/>
                <w:sz w:val="22"/>
                <w:szCs w:val="22"/>
              </w:rPr>
            </w:pPr>
          </w:p>
        </w:tc>
        <w:tc>
          <w:tcPr>
            <w:tcW w:w="5891" w:type="dxa"/>
          </w:tcPr>
          <w:p w14:paraId="542A0406" w14:textId="77777777" w:rsidR="004E314E" w:rsidRPr="001362A6" w:rsidRDefault="004E314E" w:rsidP="004E314E">
            <w:pPr>
              <w:rPr>
                <w:rFonts w:ascii="Lato" w:hAnsi="Lato"/>
                <w:sz w:val="22"/>
                <w:szCs w:val="22"/>
              </w:rPr>
            </w:pPr>
          </w:p>
        </w:tc>
        <w:tc>
          <w:tcPr>
            <w:tcW w:w="3188" w:type="dxa"/>
            <w:tcBorders>
              <w:top w:val="single" w:sz="4" w:space="0" w:color="auto"/>
            </w:tcBorders>
          </w:tcPr>
          <w:p w14:paraId="6AE948FF" w14:textId="77777777" w:rsidR="004E314E" w:rsidRPr="001362A6" w:rsidRDefault="004E314E" w:rsidP="004E314E">
            <w:pPr>
              <w:rPr>
                <w:rFonts w:ascii="Lato" w:hAnsi="Lato"/>
                <w:sz w:val="22"/>
                <w:szCs w:val="22"/>
              </w:rPr>
            </w:pPr>
          </w:p>
        </w:tc>
      </w:tr>
      <w:tr w:rsidR="004E314E" w:rsidRPr="001362A6" w14:paraId="70525795" w14:textId="77777777" w:rsidTr="00990D73">
        <w:tc>
          <w:tcPr>
            <w:tcW w:w="1316" w:type="dxa"/>
          </w:tcPr>
          <w:p w14:paraId="7814E755" w14:textId="77777777" w:rsidR="004E314E" w:rsidRPr="001362A6" w:rsidRDefault="004E314E" w:rsidP="004E314E">
            <w:pPr>
              <w:rPr>
                <w:rFonts w:ascii="Lato" w:hAnsi="Lato"/>
                <w:sz w:val="22"/>
                <w:szCs w:val="22"/>
              </w:rPr>
            </w:pPr>
            <w:r w:rsidRPr="001362A6">
              <w:rPr>
                <w:rFonts w:ascii="Lato" w:hAnsi="Lato"/>
                <w:sz w:val="22"/>
                <w:szCs w:val="22"/>
              </w:rPr>
              <w:t>2.20.6</w:t>
            </w:r>
          </w:p>
        </w:tc>
        <w:tc>
          <w:tcPr>
            <w:tcW w:w="5891" w:type="dxa"/>
          </w:tcPr>
          <w:p w14:paraId="54FBA036" w14:textId="77777777" w:rsidR="004E314E" w:rsidRPr="001362A6" w:rsidRDefault="004E314E" w:rsidP="004E314E">
            <w:pPr>
              <w:pStyle w:val="Heading3"/>
              <w:spacing w:before="0" w:after="0" w:line="240" w:lineRule="auto"/>
              <w:rPr>
                <w:rFonts w:ascii="Lato" w:hAnsi="Lato"/>
                <w:b w:val="0"/>
                <w:bCs/>
                <w:color w:val="auto"/>
                <w:sz w:val="22"/>
                <w:szCs w:val="22"/>
                <w:u w:val="single"/>
              </w:rPr>
            </w:pPr>
            <w:r w:rsidRPr="001362A6">
              <w:rPr>
                <w:rFonts w:ascii="Lato" w:hAnsi="Lato"/>
                <w:b w:val="0"/>
                <w:bCs/>
                <w:color w:val="auto"/>
                <w:sz w:val="22"/>
                <w:szCs w:val="22"/>
                <w:u w:val="single"/>
              </w:rPr>
              <w:t>Performance Fee</w:t>
            </w:r>
          </w:p>
        </w:tc>
        <w:tc>
          <w:tcPr>
            <w:tcW w:w="3188" w:type="dxa"/>
            <w:tcBorders>
              <w:bottom w:val="single" w:sz="4" w:space="0" w:color="auto"/>
            </w:tcBorders>
          </w:tcPr>
          <w:p w14:paraId="543E2D07" w14:textId="77777777" w:rsidR="004E314E" w:rsidRPr="001362A6" w:rsidRDefault="004E314E" w:rsidP="004E314E">
            <w:pPr>
              <w:rPr>
                <w:rFonts w:ascii="Lato" w:hAnsi="Lato"/>
                <w:sz w:val="22"/>
                <w:szCs w:val="22"/>
              </w:rPr>
            </w:pPr>
          </w:p>
        </w:tc>
      </w:tr>
      <w:tr w:rsidR="004E314E" w:rsidRPr="001362A6" w14:paraId="0370A1C9" w14:textId="77777777" w:rsidTr="00990D73">
        <w:tc>
          <w:tcPr>
            <w:tcW w:w="1316" w:type="dxa"/>
          </w:tcPr>
          <w:p w14:paraId="21F6DA81" w14:textId="77777777" w:rsidR="004E314E" w:rsidRPr="001362A6" w:rsidRDefault="004E314E" w:rsidP="004E314E">
            <w:pPr>
              <w:jc w:val="right"/>
              <w:rPr>
                <w:rFonts w:ascii="Lato" w:hAnsi="Lato"/>
                <w:sz w:val="22"/>
                <w:szCs w:val="22"/>
              </w:rPr>
            </w:pPr>
            <w:r w:rsidRPr="001362A6">
              <w:rPr>
                <w:rFonts w:ascii="Lato" w:hAnsi="Lato"/>
                <w:sz w:val="22"/>
                <w:szCs w:val="22"/>
              </w:rPr>
              <w:t>(i)</w:t>
            </w:r>
          </w:p>
        </w:tc>
        <w:tc>
          <w:tcPr>
            <w:tcW w:w="5891" w:type="dxa"/>
            <w:tcBorders>
              <w:right w:val="single" w:sz="4" w:space="0" w:color="auto"/>
            </w:tcBorders>
          </w:tcPr>
          <w:p w14:paraId="16294595" w14:textId="77777777" w:rsidR="004E314E" w:rsidRPr="001362A6" w:rsidRDefault="004E314E" w:rsidP="004E314E">
            <w:pPr>
              <w:rPr>
                <w:rFonts w:ascii="Lato" w:hAnsi="Lato"/>
                <w:sz w:val="22"/>
                <w:szCs w:val="22"/>
              </w:rPr>
            </w:pPr>
            <w:r w:rsidRPr="001362A6">
              <w:rPr>
                <w:rFonts w:ascii="Lato" w:hAnsi="Lato"/>
                <w:sz w:val="22"/>
                <w:szCs w:val="22"/>
              </w:rPr>
              <w:t>Details of the performance fee</w:t>
            </w:r>
          </w:p>
        </w:tc>
        <w:tc>
          <w:tcPr>
            <w:tcW w:w="3188" w:type="dxa"/>
            <w:tcBorders>
              <w:top w:val="single" w:sz="4" w:space="0" w:color="auto"/>
              <w:left w:val="single" w:sz="4" w:space="0" w:color="auto"/>
              <w:bottom w:val="single" w:sz="4" w:space="0" w:color="auto"/>
              <w:right w:val="single" w:sz="4" w:space="0" w:color="auto"/>
            </w:tcBorders>
          </w:tcPr>
          <w:p w14:paraId="485F19E1" w14:textId="77777777" w:rsidR="004E314E" w:rsidRPr="001362A6" w:rsidRDefault="004E314E" w:rsidP="004E314E">
            <w:pPr>
              <w:rPr>
                <w:rFonts w:ascii="Lato" w:hAnsi="Lato"/>
                <w:sz w:val="22"/>
                <w:szCs w:val="22"/>
              </w:rPr>
            </w:pPr>
          </w:p>
        </w:tc>
      </w:tr>
      <w:tr w:rsidR="004E314E" w:rsidRPr="001362A6" w14:paraId="169C01EA" w14:textId="77777777" w:rsidTr="00990D73">
        <w:tc>
          <w:tcPr>
            <w:tcW w:w="1316" w:type="dxa"/>
          </w:tcPr>
          <w:p w14:paraId="12FB55B8" w14:textId="77777777" w:rsidR="004E314E" w:rsidRPr="001362A6" w:rsidRDefault="004E314E" w:rsidP="004E314E">
            <w:pPr>
              <w:jc w:val="right"/>
              <w:rPr>
                <w:rFonts w:ascii="Lato" w:hAnsi="Lato"/>
                <w:sz w:val="22"/>
                <w:szCs w:val="22"/>
              </w:rPr>
            </w:pPr>
          </w:p>
        </w:tc>
        <w:tc>
          <w:tcPr>
            <w:tcW w:w="5891" w:type="dxa"/>
          </w:tcPr>
          <w:p w14:paraId="4F142213" w14:textId="77777777" w:rsidR="004E314E" w:rsidRPr="001362A6" w:rsidRDefault="004E314E" w:rsidP="004E314E">
            <w:pPr>
              <w:rPr>
                <w:rFonts w:ascii="Lato" w:hAnsi="Lato"/>
                <w:sz w:val="22"/>
                <w:szCs w:val="22"/>
              </w:rPr>
            </w:pPr>
          </w:p>
        </w:tc>
        <w:tc>
          <w:tcPr>
            <w:tcW w:w="3188" w:type="dxa"/>
            <w:tcBorders>
              <w:top w:val="single" w:sz="4" w:space="0" w:color="auto"/>
              <w:bottom w:val="single" w:sz="4" w:space="0" w:color="auto"/>
            </w:tcBorders>
          </w:tcPr>
          <w:p w14:paraId="526C0F83" w14:textId="77777777" w:rsidR="004E314E" w:rsidRPr="001362A6" w:rsidRDefault="004E314E" w:rsidP="004E314E">
            <w:pPr>
              <w:rPr>
                <w:rFonts w:ascii="Lato" w:hAnsi="Lato"/>
                <w:sz w:val="22"/>
                <w:szCs w:val="22"/>
              </w:rPr>
            </w:pPr>
          </w:p>
        </w:tc>
      </w:tr>
      <w:tr w:rsidR="004E314E" w:rsidRPr="001362A6" w14:paraId="62ADD44F" w14:textId="77777777" w:rsidTr="00990D73">
        <w:tc>
          <w:tcPr>
            <w:tcW w:w="1316" w:type="dxa"/>
          </w:tcPr>
          <w:p w14:paraId="7A022201" w14:textId="77777777" w:rsidR="004E314E" w:rsidRPr="001362A6" w:rsidRDefault="004E314E" w:rsidP="004E314E">
            <w:pPr>
              <w:jc w:val="right"/>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3EDF82D0" w14:textId="77777777" w:rsidR="004E314E" w:rsidRPr="001362A6" w:rsidRDefault="004E314E" w:rsidP="004E314E">
            <w:pPr>
              <w:rPr>
                <w:rFonts w:ascii="Lato" w:hAnsi="Lato"/>
                <w:sz w:val="22"/>
                <w:szCs w:val="22"/>
              </w:rPr>
            </w:pPr>
            <w:r w:rsidRPr="001362A6">
              <w:rPr>
                <w:rFonts w:ascii="Lato" w:hAnsi="Lato"/>
                <w:sz w:val="22"/>
                <w:szCs w:val="22"/>
              </w:rPr>
              <w:t>The calculation period, including the first calculation period</w:t>
            </w:r>
          </w:p>
        </w:tc>
        <w:tc>
          <w:tcPr>
            <w:tcW w:w="3188" w:type="dxa"/>
            <w:tcBorders>
              <w:top w:val="single" w:sz="4" w:space="0" w:color="auto"/>
              <w:left w:val="single" w:sz="4" w:space="0" w:color="auto"/>
              <w:bottom w:val="single" w:sz="4" w:space="0" w:color="auto"/>
              <w:right w:val="single" w:sz="4" w:space="0" w:color="auto"/>
            </w:tcBorders>
          </w:tcPr>
          <w:p w14:paraId="1FAA488C" w14:textId="77777777" w:rsidR="004E314E" w:rsidRPr="001362A6" w:rsidRDefault="004E314E" w:rsidP="004E314E">
            <w:pPr>
              <w:rPr>
                <w:rFonts w:ascii="Lato" w:hAnsi="Lato"/>
                <w:sz w:val="22"/>
                <w:szCs w:val="22"/>
              </w:rPr>
            </w:pPr>
          </w:p>
        </w:tc>
      </w:tr>
      <w:tr w:rsidR="004E314E" w:rsidRPr="001362A6" w14:paraId="74462DF1" w14:textId="77777777" w:rsidTr="00990D73">
        <w:tc>
          <w:tcPr>
            <w:tcW w:w="1316" w:type="dxa"/>
          </w:tcPr>
          <w:p w14:paraId="41B6D668" w14:textId="77777777" w:rsidR="004E314E" w:rsidRPr="001362A6" w:rsidRDefault="004E314E" w:rsidP="004E314E">
            <w:pPr>
              <w:jc w:val="right"/>
              <w:rPr>
                <w:rFonts w:ascii="Lato" w:hAnsi="Lato"/>
                <w:sz w:val="22"/>
                <w:szCs w:val="22"/>
              </w:rPr>
            </w:pPr>
          </w:p>
        </w:tc>
        <w:tc>
          <w:tcPr>
            <w:tcW w:w="5891" w:type="dxa"/>
          </w:tcPr>
          <w:p w14:paraId="1E4C295A" w14:textId="77777777" w:rsidR="004E314E" w:rsidRPr="001362A6" w:rsidRDefault="004E314E" w:rsidP="004E314E">
            <w:pPr>
              <w:rPr>
                <w:rFonts w:ascii="Lato" w:hAnsi="Lato"/>
                <w:sz w:val="22"/>
                <w:szCs w:val="22"/>
              </w:rPr>
            </w:pPr>
          </w:p>
        </w:tc>
        <w:tc>
          <w:tcPr>
            <w:tcW w:w="3188" w:type="dxa"/>
            <w:tcBorders>
              <w:top w:val="single" w:sz="4" w:space="0" w:color="auto"/>
              <w:bottom w:val="single" w:sz="4" w:space="0" w:color="auto"/>
            </w:tcBorders>
          </w:tcPr>
          <w:p w14:paraId="6ADB25CE" w14:textId="77777777" w:rsidR="004E314E" w:rsidRPr="001362A6" w:rsidRDefault="004E314E" w:rsidP="004E314E">
            <w:pPr>
              <w:rPr>
                <w:rFonts w:ascii="Lato" w:hAnsi="Lato"/>
                <w:sz w:val="22"/>
                <w:szCs w:val="22"/>
              </w:rPr>
            </w:pPr>
          </w:p>
        </w:tc>
      </w:tr>
      <w:tr w:rsidR="004E314E" w:rsidRPr="001362A6" w14:paraId="74974E02" w14:textId="77777777" w:rsidTr="00990D73">
        <w:trPr>
          <w:cantSplit/>
          <w:trHeight w:val="255"/>
        </w:trPr>
        <w:tc>
          <w:tcPr>
            <w:tcW w:w="1316" w:type="dxa"/>
            <w:vMerge w:val="restart"/>
          </w:tcPr>
          <w:p w14:paraId="435D7C26" w14:textId="77777777" w:rsidR="004E314E" w:rsidRPr="001362A6" w:rsidRDefault="004E314E" w:rsidP="004E314E">
            <w:pPr>
              <w:jc w:val="right"/>
              <w:rPr>
                <w:rFonts w:ascii="Lato" w:hAnsi="Lato"/>
                <w:sz w:val="22"/>
                <w:szCs w:val="22"/>
              </w:rPr>
            </w:pPr>
            <w:r w:rsidRPr="001362A6">
              <w:rPr>
                <w:rFonts w:ascii="Lato" w:hAnsi="Lato"/>
                <w:sz w:val="22"/>
                <w:szCs w:val="22"/>
              </w:rPr>
              <w:t>(iii)</w:t>
            </w:r>
          </w:p>
        </w:tc>
        <w:tc>
          <w:tcPr>
            <w:tcW w:w="5891" w:type="dxa"/>
            <w:vMerge w:val="restart"/>
            <w:tcBorders>
              <w:right w:val="single" w:sz="4" w:space="0" w:color="auto"/>
            </w:tcBorders>
          </w:tcPr>
          <w:p w14:paraId="7470928C" w14:textId="77777777" w:rsidR="004E314E" w:rsidRPr="001362A6" w:rsidRDefault="004E314E" w:rsidP="004E314E">
            <w:pPr>
              <w:rPr>
                <w:rFonts w:ascii="Lato" w:hAnsi="Lato"/>
                <w:sz w:val="22"/>
                <w:szCs w:val="22"/>
              </w:rPr>
            </w:pPr>
            <w:r w:rsidRPr="001362A6">
              <w:rPr>
                <w:rFonts w:ascii="Lato" w:hAnsi="Lato"/>
                <w:sz w:val="22"/>
                <w:szCs w:val="22"/>
              </w:rPr>
              <w:t>Details of the calculation method, e.g. percentage increase over previous highest NAV per unit</w:t>
            </w:r>
          </w:p>
        </w:tc>
        <w:tc>
          <w:tcPr>
            <w:tcW w:w="3188" w:type="dxa"/>
            <w:tcBorders>
              <w:top w:val="single" w:sz="4" w:space="0" w:color="auto"/>
              <w:left w:val="single" w:sz="4" w:space="0" w:color="auto"/>
              <w:bottom w:val="single" w:sz="4" w:space="0" w:color="auto"/>
              <w:right w:val="single" w:sz="4" w:space="0" w:color="auto"/>
            </w:tcBorders>
          </w:tcPr>
          <w:p w14:paraId="1DB2EF69" w14:textId="77777777" w:rsidR="004E314E" w:rsidRPr="001362A6" w:rsidRDefault="004E314E" w:rsidP="004E314E">
            <w:pPr>
              <w:rPr>
                <w:rFonts w:ascii="Lato" w:hAnsi="Lato"/>
                <w:sz w:val="22"/>
                <w:szCs w:val="22"/>
              </w:rPr>
            </w:pPr>
          </w:p>
        </w:tc>
      </w:tr>
      <w:tr w:rsidR="004E314E" w:rsidRPr="001362A6" w14:paraId="030F3F40" w14:textId="77777777" w:rsidTr="00990D73">
        <w:trPr>
          <w:cantSplit/>
          <w:trHeight w:val="254"/>
        </w:trPr>
        <w:tc>
          <w:tcPr>
            <w:tcW w:w="1316" w:type="dxa"/>
            <w:vMerge/>
          </w:tcPr>
          <w:p w14:paraId="6B988BC6" w14:textId="77777777" w:rsidR="004E314E" w:rsidRPr="001362A6" w:rsidRDefault="004E314E" w:rsidP="004E314E">
            <w:pPr>
              <w:jc w:val="right"/>
              <w:rPr>
                <w:rFonts w:ascii="Lato" w:hAnsi="Lato"/>
                <w:sz w:val="22"/>
                <w:szCs w:val="22"/>
              </w:rPr>
            </w:pPr>
          </w:p>
        </w:tc>
        <w:tc>
          <w:tcPr>
            <w:tcW w:w="5891" w:type="dxa"/>
            <w:vMerge/>
          </w:tcPr>
          <w:p w14:paraId="56371E3E" w14:textId="77777777" w:rsidR="004E314E" w:rsidRPr="001362A6" w:rsidRDefault="004E314E" w:rsidP="004E314E">
            <w:pPr>
              <w:rPr>
                <w:rFonts w:ascii="Lato" w:hAnsi="Lato"/>
                <w:sz w:val="22"/>
                <w:szCs w:val="22"/>
              </w:rPr>
            </w:pPr>
          </w:p>
        </w:tc>
        <w:tc>
          <w:tcPr>
            <w:tcW w:w="3188" w:type="dxa"/>
            <w:tcBorders>
              <w:top w:val="single" w:sz="4" w:space="0" w:color="auto"/>
            </w:tcBorders>
          </w:tcPr>
          <w:p w14:paraId="1B901F58" w14:textId="77777777" w:rsidR="004E314E" w:rsidRPr="001362A6" w:rsidRDefault="004E314E" w:rsidP="004E314E">
            <w:pPr>
              <w:rPr>
                <w:rFonts w:ascii="Lato" w:hAnsi="Lato"/>
                <w:sz w:val="22"/>
                <w:szCs w:val="22"/>
              </w:rPr>
            </w:pPr>
          </w:p>
        </w:tc>
      </w:tr>
      <w:tr w:rsidR="004E314E" w:rsidRPr="001362A6" w14:paraId="04D65F14" w14:textId="77777777" w:rsidTr="00990D73">
        <w:tc>
          <w:tcPr>
            <w:tcW w:w="1316" w:type="dxa"/>
          </w:tcPr>
          <w:p w14:paraId="7AFA2A47" w14:textId="77777777" w:rsidR="004E314E" w:rsidRPr="001362A6" w:rsidRDefault="004E314E" w:rsidP="004E314E">
            <w:pPr>
              <w:rPr>
                <w:rFonts w:ascii="Lato" w:hAnsi="Lato"/>
                <w:sz w:val="22"/>
                <w:szCs w:val="22"/>
              </w:rPr>
            </w:pPr>
          </w:p>
        </w:tc>
        <w:tc>
          <w:tcPr>
            <w:tcW w:w="5891" w:type="dxa"/>
          </w:tcPr>
          <w:p w14:paraId="6A34D031" w14:textId="77777777" w:rsidR="004E314E" w:rsidRPr="001362A6" w:rsidRDefault="004E314E" w:rsidP="004E314E">
            <w:pPr>
              <w:rPr>
                <w:rFonts w:ascii="Lato" w:hAnsi="Lato"/>
                <w:sz w:val="22"/>
                <w:szCs w:val="22"/>
              </w:rPr>
            </w:pPr>
          </w:p>
        </w:tc>
        <w:tc>
          <w:tcPr>
            <w:tcW w:w="3188" w:type="dxa"/>
            <w:tcBorders>
              <w:bottom w:val="single" w:sz="4" w:space="0" w:color="auto"/>
            </w:tcBorders>
          </w:tcPr>
          <w:p w14:paraId="0723D606" w14:textId="77777777" w:rsidR="004E314E" w:rsidRPr="001362A6" w:rsidRDefault="004E314E" w:rsidP="004E314E">
            <w:pPr>
              <w:rPr>
                <w:rFonts w:ascii="Lato" w:hAnsi="Lato"/>
                <w:sz w:val="22"/>
                <w:szCs w:val="22"/>
              </w:rPr>
            </w:pPr>
          </w:p>
        </w:tc>
      </w:tr>
      <w:tr w:rsidR="004E314E" w:rsidRPr="001362A6" w14:paraId="69C9C062" w14:textId="77777777" w:rsidTr="00990D73">
        <w:tc>
          <w:tcPr>
            <w:tcW w:w="1316" w:type="dxa"/>
          </w:tcPr>
          <w:p w14:paraId="2F0A2CE7" w14:textId="77777777" w:rsidR="004E314E" w:rsidRPr="001362A6" w:rsidRDefault="004E314E" w:rsidP="004E314E">
            <w:pPr>
              <w:jc w:val="right"/>
              <w:rPr>
                <w:rFonts w:ascii="Lato" w:hAnsi="Lato"/>
                <w:sz w:val="22"/>
                <w:szCs w:val="22"/>
              </w:rPr>
            </w:pPr>
            <w:r w:rsidRPr="001362A6">
              <w:rPr>
                <w:rFonts w:ascii="Lato" w:hAnsi="Lato"/>
                <w:sz w:val="22"/>
                <w:szCs w:val="22"/>
              </w:rPr>
              <w:t>(iv)</w:t>
            </w:r>
          </w:p>
        </w:tc>
        <w:tc>
          <w:tcPr>
            <w:tcW w:w="5891" w:type="dxa"/>
            <w:tcBorders>
              <w:right w:val="single" w:sz="4" w:space="0" w:color="auto"/>
            </w:tcBorders>
          </w:tcPr>
          <w:p w14:paraId="34695AF5" w14:textId="77777777" w:rsidR="004E314E" w:rsidRPr="001362A6" w:rsidRDefault="004E314E" w:rsidP="004E314E">
            <w:pPr>
              <w:rPr>
                <w:rFonts w:ascii="Lato" w:hAnsi="Lato"/>
                <w:sz w:val="22"/>
                <w:szCs w:val="22"/>
              </w:rPr>
            </w:pPr>
            <w:r w:rsidRPr="001362A6">
              <w:rPr>
                <w:rFonts w:ascii="Lato" w:hAnsi="Lato"/>
                <w:sz w:val="22"/>
                <w:szCs w:val="22"/>
              </w:rPr>
              <w:t>Accrual basis of fee and payment date(s)</w:t>
            </w:r>
          </w:p>
        </w:tc>
        <w:tc>
          <w:tcPr>
            <w:tcW w:w="3188" w:type="dxa"/>
            <w:tcBorders>
              <w:top w:val="single" w:sz="4" w:space="0" w:color="auto"/>
              <w:left w:val="single" w:sz="4" w:space="0" w:color="auto"/>
              <w:bottom w:val="single" w:sz="4" w:space="0" w:color="auto"/>
              <w:right w:val="single" w:sz="4" w:space="0" w:color="auto"/>
            </w:tcBorders>
          </w:tcPr>
          <w:p w14:paraId="48D335F4" w14:textId="77777777" w:rsidR="004E314E" w:rsidRPr="001362A6" w:rsidRDefault="004E314E" w:rsidP="004E314E">
            <w:pPr>
              <w:rPr>
                <w:rFonts w:ascii="Lato" w:hAnsi="Lato"/>
                <w:sz w:val="22"/>
                <w:szCs w:val="22"/>
              </w:rPr>
            </w:pPr>
          </w:p>
        </w:tc>
      </w:tr>
      <w:tr w:rsidR="004E314E" w:rsidRPr="001362A6" w14:paraId="10228312" w14:textId="77777777" w:rsidTr="00990D73">
        <w:tc>
          <w:tcPr>
            <w:tcW w:w="1316" w:type="dxa"/>
          </w:tcPr>
          <w:p w14:paraId="7BE65B45" w14:textId="77777777" w:rsidR="004E314E" w:rsidRPr="001362A6" w:rsidRDefault="004E314E" w:rsidP="004E314E">
            <w:pPr>
              <w:rPr>
                <w:rFonts w:ascii="Lato" w:hAnsi="Lato"/>
                <w:sz w:val="22"/>
                <w:szCs w:val="22"/>
              </w:rPr>
            </w:pPr>
          </w:p>
        </w:tc>
        <w:tc>
          <w:tcPr>
            <w:tcW w:w="5891" w:type="dxa"/>
          </w:tcPr>
          <w:p w14:paraId="4F4866F1" w14:textId="77777777" w:rsidR="004E314E" w:rsidRPr="001362A6" w:rsidRDefault="004E314E" w:rsidP="004E314E">
            <w:pPr>
              <w:rPr>
                <w:rFonts w:ascii="Lato" w:hAnsi="Lato"/>
                <w:sz w:val="22"/>
                <w:szCs w:val="22"/>
              </w:rPr>
            </w:pPr>
          </w:p>
        </w:tc>
        <w:tc>
          <w:tcPr>
            <w:tcW w:w="3188" w:type="dxa"/>
            <w:tcBorders>
              <w:top w:val="single" w:sz="4" w:space="0" w:color="auto"/>
              <w:bottom w:val="single" w:sz="4" w:space="0" w:color="auto"/>
            </w:tcBorders>
          </w:tcPr>
          <w:p w14:paraId="27A21593" w14:textId="77777777" w:rsidR="004E314E" w:rsidRPr="001362A6" w:rsidRDefault="004E314E" w:rsidP="004E314E">
            <w:pPr>
              <w:rPr>
                <w:rFonts w:ascii="Lato" w:hAnsi="Lato"/>
                <w:sz w:val="22"/>
                <w:szCs w:val="22"/>
              </w:rPr>
            </w:pPr>
          </w:p>
        </w:tc>
      </w:tr>
      <w:tr w:rsidR="004E314E" w:rsidRPr="001362A6" w14:paraId="2E90D660" w14:textId="77777777" w:rsidTr="00990D73">
        <w:trPr>
          <w:cantSplit/>
          <w:trHeight w:val="255"/>
        </w:trPr>
        <w:tc>
          <w:tcPr>
            <w:tcW w:w="1316" w:type="dxa"/>
            <w:vMerge w:val="restart"/>
          </w:tcPr>
          <w:p w14:paraId="170AF4C7" w14:textId="77777777" w:rsidR="004E314E" w:rsidRPr="001362A6" w:rsidRDefault="004E314E" w:rsidP="004E314E">
            <w:pPr>
              <w:jc w:val="right"/>
              <w:rPr>
                <w:rFonts w:ascii="Lato" w:hAnsi="Lato"/>
                <w:sz w:val="22"/>
                <w:szCs w:val="22"/>
              </w:rPr>
            </w:pPr>
            <w:r w:rsidRPr="001362A6">
              <w:rPr>
                <w:rFonts w:ascii="Lato" w:hAnsi="Lato"/>
                <w:sz w:val="22"/>
                <w:szCs w:val="22"/>
              </w:rPr>
              <w:t>(v)</w:t>
            </w:r>
          </w:p>
        </w:tc>
        <w:tc>
          <w:tcPr>
            <w:tcW w:w="5891" w:type="dxa"/>
            <w:vMerge w:val="restart"/>
            <w:tcBorders>
              <w:right w:val="single" w:sz="4" w:space="0" w:color="auto"/>
            </w:tcBorders>
          </w:tcPr>
          <w:p w14:paraId="1A5D225A" w14:textId="77777777" w:rsidR="004E314E" w:rsidRPr="001362A6" w:rsidRDefault="004E314E" w:rsidP="004E314E">
            <w:pPr>
              <w:rPr>
                <w:rFonts w:ascii="Lato" w:hAnsi="Lato"/>
                <w:sz w:val="22"/>
                <w:szCs w:val="22"/>
              </w:rPr>
            </w:pPr>
            <w:r w:rsidRPr="001362A6">
              <w:rPr>
                <w:rFonts w:ascii="Lato" w:hAnsi="Lato"/>
                <w:sz w:val="22"/>
                <w:szCs w:val="22"/>
              </w:rPr>
              <w:t>State that  the Qualifying Investor AIF shall ensure that the calculation of performance fees is  verified by the depositary or by a competent person appointed by the AIFM and approved for the purpose by the depositary</w:t>
            </w:r>
          </w:p>
        </w:tc>
        <w:tc>
          <w:tcPr>
            <w:tcW w:w="3188" w:type="dxa"/>
            <w:tcBorders>
              <w:top w:val="single" w:sz="4" w:space="0" w:color="auto"/>
              <w:left w:val="single" w:sz="4" w:space="0" w:color="auto"/>
              <w:bottom w:val="single" w:sz="4" w:space="0" w:color="auto"/>
              <w:right w:val="single" w:sz="4" w:space="0" w:color="auto"/>
            </w:tcBorders>
          </w:tcPr>
          <w:p w14:paraId="01FBA90C" w14:textId="77777777" w:rsidR="004E314E" w:rsidRPr="001362A6" w:rsidRDefault="004E314E" w:rsidP="004E314E">
            <w:pPr>
              <w:rPr>
                <w:rFonts w:ascii="Lato" w:hAnsi="Lato"/>
                <w:sz w:val="22"/>
                <w:szCs w:val="22"/>
              </w:rPr>
            </w:pPr>
          </w:p>
        </w:tc>
      </w:tr>
      <w:tr w:rsidR="004E314E" w:rsidRPr="001362A6" w14:paraId="459FD9A0" w14:textId="77777777" w:rsidTr="00990D73">
        <w:trPr>
          <w:cantSplit/>
          <w:trHeight w:val="254"/>
        </w:trPr>
        <w:tc>
          <w:tcPr>
            <w:tcW w:w="1316" w:type="dxa"/>
            <w:vMerge/>
          </w:tcPr>
          <w:p w14:paraId="057CF061" w14:textId="77777777" w:rsidR="004E314E" w:rsidRPr="001362A6" w:rsidRDefault="004E314E" w:rsidP="004E314E">
            <w:pPr>
              <w:jc w:val="right"/>
              <w:rPr>
                <w:rFonts w:ascii="Lato" w:hAnsi="Lato"/>
                <w:sz w:val="22"/>
                <w:szCs w:val="22"/>
              </w:rPr>
            </w:pPr>
          </w:p>
        </w:tc>
        <w:tc>
          <w:tcPr>
            <w:tcW w:w="5891" w:type="dxa"/>
            <w:vMerge/>
          </w:tcPr>
          <w:p w14:paraId="251E7901" w14:textId="77777777" w:rsidR="004E314E" w:rsidRPr="001362A6" w:rsidRDefault="004E314E" w:rsidP="004E314E">
            <w:pPr>
              <w:rPr>
                <w:rFonts w:ascii="Lato" w:hAnsi="Lato"/>
                <w:sz w:val="22"/>
                <w:szCs w:val="22"/>
              </w:rPr>
            </w:pPr>
          </w:p>
        </w:tc>
        <w:tc>
          <w:tcPr>
            <w:tcW w:w="3188" w:type="dxa"/>
            <w:tcBorders>
              <w:top w:val="single" w:sz="4" w:space="0" w:color="auto"/>
            </w:tcBorders>
          </w:tcPr>
          <w:p w14:paraId="1D14E4F2" w14:textId="77777777" w:rsidR="004E314E" w:rsidRPr="001362A6" w:rsidRDefault="004E314E" w:rsidP="004E314E">
            <w:pPr>
              <w:rPr>
                <w:rFonts w:ascii="Lato" w:hAnsi="Lato"/>
                <w:sz w:val="22"/>
                <w:szCs w:val="22"/>
              </w:rPr>
            </w:pPr>
          </w:p>
        </w:tc>
      </w:tr>
      <w:tr w:rsidR="004E314E" w:rsidRPr="001362A6" w14:paraId="2C7E6F73" w14:textId="77777777" w:rsidTr="00990D73">
        <w:tc>
          <w:tcPr>
            <w:tcW w:w="1316" w:type="dxa"/>
          </w:tcPr>
          <w:p w14:paraId="206CB46E" w14:textId="77777777" w:rsidR="004E314E" w:rsidRPr="001362A6" w:rsidRDefault="004E314E" w:rsidP="004E314E">
            <w:pPr>
              <w:jc w:val="right"/>
              <w:rPr>
                <w:rFonts w:ascii="Lato" w:hAnsi="Lato"/>
                <w:sz w:val="22"/>
                <w:szCs w:val="22"/>
              </w:rPr>
            </w:pPr>
          </w:p>
        </w:tc>
        <w:tc>
          <w:tcPr>
            <w:tcW w:w="5891" w:type="dxa"/>
          </w:tcPr>
          <w:p w14:paraId="0552A99F" w14:textId="77777777" w:rsidR="004E314E" w:rsidRPr="001362A6" w:rsidRDefault="004E314E" w:rsidP="004E314E">
            <w:pPr>
              <w:rPr>
                <w:rFonts w:ascii="Lato" w:hAnsi="Lato"/>
                <w:sz w:val="22"/>
                <w:szCs w:val="22"/>
              </w:rPr>
            </w:pPr>
          </w:p>
        </w:tc>
        <w:tc>
          <w:tcPr>
            <w:tcW w:w="3188" w:type="dxa"/>
          </w:tcPr>
          <w:p w14:paraId="4F41DB14" w14:textId="77777777" w:rsidR="004E314E" w:rsidRPr="001362A6" w:rsidRDefault="004E314E" w:rsidP="004E314E">
            <w:pPr>
              <w:rPr>
                <w:rFonts w:ascii="Lato" w:hAnsi="Lato"/>
                <w:sz w:val="22"/>
                <w:szCs w:val="22"/>
              </w:rPr>
            </w:pPr>
          </w:p>
        </w:tc>
      </w:tr>
      <w:tr w:rsidR="004E314E" w:rsidRPr="001362A6" w14:paraId="71DC9BE7" w14:textId="77777777" w:rsidTr="00990D73">
        <w:tc>
          <w:tcPr>
            <w:tcW w:w="1316" w:type="dxa"/>
          </w:tcPr>
          <w:p w14:paraId="098658CF" w14:textId="77777777" w:rsidR="004E314E" w:rsidRPr="001362A6" w:rsidRDefault="004E314E" w:rsidP="004E314E">
            <w:pPr>
              <w:rPr>
                <w:rFonts w:ascii="Lato" w:hAnsi="Lato"/>
                <w:b/>
                <w:bCs/>
                <w:sz w:val="22"/>
                <w:szCs w:val="22"/>
              </w:rPr>
            </w:pPr>
            <w:r w:rsidRPr="001362A6">
              <w:rPr>
                <w:rFonts w:ascii="Lato" w:hAnsi="Lato"/>
                <w:b/>
                <w:bCs/>
                <w:sz w:val="22"/>
                <w:szCs w:val="22"/>
              </w:rPr>
              <w:t>2.21</w:t>
            </w:r>
          </w:p>
        </w:tc>
        <w:tc>
          <w:tcPr>
            <w:tcW w:w="5891" w:type="dxa"/>
          </w:tcPr>
          <w:p w14:paraId="0209C25D" w14:textId="77777777" w:rsidR="004E314E" w:rsidRPr="001362A6" w:rsidRDefault="004E314E" w:rsidP="004E314E">
            <w:pPr>
              <w:pStyle w:val="Heading4"/>
              <w:rPr>
                <w:rFonts w:ascii="Lato" w:hAnsi="Lato"/>
                <w:sz w:val="22"/>
                <w:szCs w:val="22"/>
                <w:lang w:val="en-GB"/>
              </w:rPr>
            </w:pPr>
            <w:r w:rsidRPr="001362A6">
              <w:rPr>
                <w:rFonts w:ascii="Lato" w:hAnsi="Lato"/>
                <w:sz w:val="22"/>
                <w:szCs w:val="22"/>
                <w:lang w:val="en-GB"/>
              </w:rPr>
              <w:t>Taxation</w:t>
            </w:r>
          </w:p>
        </w:tc>
        <w:tc>
          <w:tcPr>
            <w:tcW w:w="3188" w:type="dxa"/>
          </w:tcPr>
          <w:p w14:paraId="4B721000" w14:textId="77777777" w:rsidR="004E314E" w:rsidRPr="001362A6" w:rsidRDefault="004E314E" w:rsidP="004E314E">
            <w:pPr>
              <w:rPr>
                <w:rFonts w:ascii="Lato" w:hAnsi="Lato"/>
                <w:sz w:val="22"/>
                <w:szCs w:val="22"/>
              </w:rPr>
            </w:pPr>
          </w:p>
        </w:tc>
      </w:tr>
      <w:tr w:rsidR="004E314E" w:rsidRPr="001362A6" w14:paraId="3E1E95E2" w14:textId="77777777" w:rsidTr="00990D73">
        <w:tc>
          <w:tcPr>
            <w:tcW w:w="1316" w:type="dxa"/>
          </w:tcPr>
          <w:p w14:paraId="3755DDD6" w14:textId="77777777" w:rsidR="004E314E" w:rsidRPr="001362A6" w:rsidRDefault="004E314E" w:rsidP="004E314E">
            <w:pPr>
              <w:rPr>
                <w:rFonts w:ascii="Lato" w:hAnsi="Lato"/>
                <w:sz w:val="22"/>
                <w:szCs w:val="22"/>
              </w:rPr>
            </w:pPr>
          </w:p>
        </w:tc>
        <w:tc>
          <w:tcPr>
            <w:tcW w:w="5891" w:type="dxa"/>
          </w:tcPr>
          <w:p w14:paraId="742C2A63" w14:textId="77777777" w:rsidR="004E314E" w:rsidRPr="001362A6" w:rsidRDefault="004E314E" w:rsidP="004E314E">
            <w:pPr>
              <w:pStyle w:val="Heading4"/>
              <w:rPr>
                <w:rFonts w:ascii="Lato" w:hAnsi="Lato"/>
                <w:sz w:val="22"/>
                <w:szCs w:val="22"/>
                <w:lang w:val="en-GB"/>
              </w:rPr>
            </w:pPr>
          </w:p>
        </w:tc>
        <w:tc>
          <w:tcPr>
            <w:tcW w:w="3188" w:type="dxa"/>
            <w:tcBorders>
              <w:bottom w:val="single" w:sz="4" w:space="0" w:color="auto"/>
            </w:tcBorders>
          </w:tcPr>
          <w:p w14:paraId="5D631B63" w14:textId="77777777" w:rsidR="004E314E" w:rsidRPr="001362A6" w:rsidRDefault="004E314E" w:rsidP="004E314E">
            <w:pPr>
              <w:rPr>
                <w:rFonts w:ascii="Lato" w:hAnsi="Lato"/>
                <w:sz w:val="22"/>
                <w:szCs w:val="22"/>
              </w:rPr>
            </w:pPr>
          </w:p>
        </w:tc>
      </w:tr>
      <w:tr w:rsidR="004E314E" w:rsidRPr="001362A6" w14:paraId="2681D488" w14:textId="77777777" w:rsidTr="00990D73">
        <w:trPr>
          <w:cantSplit/>
          <w:trHeight w:val="255"/>
        </w:trPr>
        <w:tc>
          <w:tcPr>
            <w:tcW w:w="1316" w:type="dxa"/>
            <w:vMerge w:val="restart"/>
          </w:tcPr>
          <w:p w14:paraId="3668CEAD" w14:textId="77777777" w:rsidR="004E314E" w:rsidRPr="001362A6" w:rsidRDefault="004E314E" w:rsidP="004E314E">
            <w:pPr>
              <w:rPr>
                <w:rFonts w:ascii="Lato" w:hAnsi="Lato"/>
                <w:sz w:val="22"/>
                <w:szCs w:val="22"/>
              </w:rPr>
            </w:pPr>
            <w:r w:rsidRPr="001362A6">
              <w:rPr>
                <w:rFonts w:ascii="Lato" w:hAnsi="Lato"/>
                <w:sz w:val="22"/>
                <w:szCs w:val="22"/>
              </w:rPr>
              <w:t>2.21.1</w:t>
            </w:r>
          </w:p>
        </w:tc>
        <w:tc>
          <w:tcPr>
            <w:tcW w:w="5891" w:type="dxa"/>
            <w:vMerge w:val="restart"/>
            <w:tcBorders>
              <w:right w:val="single" w:sz="4" w:space="0" w:color="auto"/>
            </w:tcBorders>
          </w:tcPr>
          <w:p w14:paraId="6DCD98F0" w14:textId="77777777" w:rsidR="004E314E" w:rsidRPr="001362A6" w:rsidRDefault="004E314E" w:rsidP="004E314E">
            <w:pPr>
              <w:jc w:val="both"/>
              <w:rPr>
                <w:rFonts w:ascii="Lato" w:hAnsi="Lato"/>
                <w:sz w:val="22"/>
                <w:szCs w:val="22"/>
              </w:rPr>
            </w:pPr>
            <w:r w:rsidRPr="001362A6">
              <w:rPr>
                <w:rFonts w:ascii="Lato" w:hAnsi="Lato"/>
                <w:sz w:val="22"/>
                <w:szCs w:val="22"/>
              </w:rPr>
              <w:t>Brief indication relevant to unitholders of the tax system applicable to the Qualifying Investor AIF</w:t>
            </w:r>
          </w:p>
        </w:tc>
        <w:tc>
          <w:tcPr>
            <w:tcW w:w="3188" w:type="dxa"/>
            <w:tcBorders>
              <w:top w:val="single" w:sz="4" w:space="0" w:color="auto"/>
              <w:left w:val="single" w:sz="4" w:space="0" w:color="auto"/>
              <w:bottom w:val="single" w:sz="4" w:space="0" w:color="auto"/>
              <w:right w:val="single" w:sz="4" w:space="0" w:color="auto"/>
            </w:tcBorders>
          </w:tcPr>
          <w:p w14:paraId="03712414" w14:textId="77777777" w:rsidR="004E314E" w:rsidRPr="001362A6" w:rsidRDefault="004E314E" w:rsidP="004E314E">
            <w:pPr>
              <w:rPr>
                <w:rFonts w:ascii="Lato" w:hAnsi="Lato"/>
                <w:sz w:val="22"/>
                <w:szCs w:val="22"/>
              </w:rPr>
            </w:pPr>
          </w:p>
        </w:tc>
      </w:tr>
      <w:tr w:rsidR="004E314E" w:rsidRPr="001362A6" w14:paraId="1198CDB7" w14:textId="77777777" w:rsidTr="00990D73">
        <w:trPr>
          <w:cantSplit/>
          <w:trHeight w:val="254"/>
        </w:trPr>
        <w:tc>
          <w:tcPr>
            <w:tcW w:w="1316" w:type="dxa"/>
            <w:vMerge/>
          </w:tcPr>
          <w:p w14:paraId="5DC320E6" w14:textId="77777777" w:rsidR="004E314E" w:rsidRPr="001362A6" w:rsidRDefault="004E314E" w:rsidP="004E314E">
            <w:pPr>
              <w:rPr>
                <w:rFonts w:ascii="Lato" w:hAnsi="Lato"/>
                <w:sz w:val="22"/>
                <w:szCs w:val="22"/>
              </w:rPr>
            </w:pPr>
          </w:p>
        </w:tc>
        <w:tc>
          <w:tcPr>
            <w:tcW w:w="5891" w:type="dxa"/>
            <w:vMerge/>
          </w:tcPr>
          <w:p w14:paraId="21D1F9F0" w14:textId="77777777" w:rsidR="004E314E" w:rsidRPr="001362A6" w:rsidRDefault="004E314E" w:rsidP="004E314E">
            <w:pPr>
              <w:jc w:val="both"/>
              <w:rPr>
                <w:rFonts w:ascii="Lato" w:hAnsi="Lato"/>
                <w:sz w:val="22"/>
                <w:szCs w:val="22"/>
              </w:rPr>
            </w:pPr>
          </w:p>
        </w:tc>
        <w:tc>
          <w:tcPr>
            <w:tcW w:w="3188" w:type="dxa"/>
            <w:tcBorders>
              <w:top w:val="single" w:sz="4" w:space="0" w:color="auto"/>
            </w:tcBorders>
          </w:tcPr>
          <w:p w14:paraId="0F6E32A0" w14:textId="77777777" w:rsidR="004E314E" w:rsidRPr="001362A6" w:rsidRDefault="004E314E" w:rsidP="004E314E">
            <w:pPr>
              <w:rPr>
                <w:rFonts w:ascii="Lato" w:hAnsi="Lato"/>
                <w:sz w:val="22"/>
                <w:szCs w:val="22"/>
              </w:rPr>
            </w:pPr>
          </w:p>
        </w:tc>
      </w:tr>
      <w:tr w:rsidR="004E314E" w:rsidRPr="001362A6" w14:paraId="422C3CB8" w14:textId="77777777" w:rsidTr="00990D73">
        <w:tc>
          <w:tcPr>
            <w:tcW w:w="1316" w:type="dxa"/>
          </w:tcPr>
          <w:p w14:paraId="2E1891B1" w14:textId="77777777" w:rsidR="004E314E" w:rsidRPr="001362A6" w:rsidRDefault="004E314E" w:rsidP="004E314E">
            <w:pPr>
              <w:rPr>
                <w:rFonts w:ascii="Lato" w:hAnsi="Lato"/>
                <w:sz w:val="22"/>
                <w:szCs w:val="22"/>
              </w:rPr>
            </w:pPr>
          </w:p>
        </w:tc>
        <w:tc>
          <w:tcPr>
            <w:tcW w:w="5891" w:type="dxa"/>
          </w:tcPr>
          <w:p w14:paraId="7F99ED38" w14:textId="77777777" w:rsidR="004E314E" w:rsidRPr="001362A6" w:rsidRDefault="004E314E" w:rsidP="004E314E">
            <w:pPr>
              <w:jc w:val="both"/>
              <w:rPr>
                <w:rFonts w:ascii="Lato" w:hAnsi="Lato"/>
                <w:sz w:val="22"/>
                <w:szCs w:val="22"/>
              </w:rPr>
            </w:pPr>
          </w:p>
        </w:tc>
        <w:tc>
          <w:tcPr>
            <w:tcW w:w="3188" w:type="dxa"/>
            <w:tcBorders>
              <w:bottom w:val="single" w:sz="4" w:space="0" w:color="auto"/>
            </w:tcBorders>
          </w:tcPr>
          <w:p w14:paraId="4F2E66D8" w14:textId="77777777" w:rsidR="004E314E" w:rsidRPr="001362A6" w:rsidRDefault="004E314E" w:rsidP="004E314E">
            <w:pPr>
              <w:rPr>
                <w:rFonts w:ascii="Lato" w:hAnsi="Lato"/>
                <w:sz w:val="22"/>
                <w:szCs w:val="22"/>
              </w:rPr>
            </w:pPr>
          </w:p>
        </w:tc>
      </w:tr>
      <w:tr w:rsidR="004E314E" w:rsidRPr="001362A6" w14:paraId="7FB7CEF5" w14:textId="77777777" w:rsidTr="00990D73">
        <w:trPr>
          <w:cantSplit/>
          <w:trHeight w:val="255"/>
        </w:trPr>
        <w:tc>
          <w:tcPr>
            <w:tcW w:w="1316" w:type="dxa"/>
            <w:vMerge w:val="restart"/>
          </w:tcPr>
          <w:p w14:paraId="362226ED" w14:textId="77777777" w:rsidR="004E314E" w:rsidRPr="001362A6" w:rsidRDefault="004E314E" w:rsidP="004E314E">
            <w:pPr>
              <w:rPr>
                <w:rFonts w:ascii="Lato" w:hAnsi="Lato"/>
                <w:sz w:val="22"/>
                <w:szCs w:val="22"/>
              </w:rPr>
            </w:pPr>
            <w:r w:rsidRPr="001362A6">
              <w:rPr>
                <w:rFonts w:ascii="Lato" w:hAnsi="Lato"/>
                <w:sz w:val="22"/>
                <w:szCs w:val="22"/>
              </w:rPr>
              <w:t>2.21.2</w:t>
            </w:r>
          </w:p>
        </w:tc>
        <w:tc>
          <w:tcPr>
            <w:tcW w:w="5891" w:type="dxa"/>
            <w:vMerge w:val="restart"/>
            <w:tcBorders>
              <w:right w:val="single" w:sz="4" w:space="0" w:color="auto"/>
            </w:tcBorders>
          </w:tcPr>
          <w:p w14:paraId="573C21E5" w14:textId="77777777" w:rsidR="004E314E" w:rsidRPr="001362A6" w:rsidRDefault="004E314E" w:rsidP="004E314E">
            <w:pPr>
              <w:jc w:val="both"/>
              <w:rPr>
                <w:rFonts w:ascii="Lato" w:hAnsi="Lato"/>
                <w:sz w:val="22"/>
                <w:szCs w:val="22"/>
              </w:rPr>
            </w:pPr>
            <w:r w:rsidRPr="001362A6">
              <w:rPr>
                <w:rFonts w:ascii="Lato" w:hAnsi="Lato"/>
                <w:sz w:val="22"/>
                <w:szCs w:val="22"/>
              </w:rPr>
              <w:t>Details of whether deductions are made at source from the income and capital gains paid by the Qualifying Investor AIF to unitholders</w:t>
            </w:r>
          </w:p>
        </w:tc>
        <w:tc>
          <w:tcPr>
            <w:tcW w:w="3188" w:type="dxa"/>
            <w:tcBorders>
              <w:top w:val="single" w:sz="4" w:space="0" w:color="auto"/>
              <w:left w:val="single" w:sz="4" w:space="0" w:color="auto"/>
              <w:bottom w:val="single" w:sz="4" w:space="0" w:color="auto"/>
              <w:right w:val="single" w:sz="4" w:space="0" w:color="auto"/>
            </w:tcBorders>
          </w:tcPr>
          <w:p w14:paraId="38ED3931" w14:textId="77777777" w:rsidR="004E314E" w:rsidRPr="001362A6" w:rsidRDefault="004E314E" w:rsidP="004E314E">
            <w:pPr>
              <w:rPr>
                <w:rFonts w:ascii="Lato" w:hAnsi="Lato"/>
                <w:sz w:val="22"/>
                <w:szCs w:val="22"/>
              </w:rPr>
            </w:pPr>
          </w:p>
        </w:tc>
      </w:tr>
      <w:tr w:rsidR="004E314E" w:rsidRPr="001362A6" w14:paraId="17C691C5" w14:textId="77777777" w:rsidTr="00990D73">
        <w:trPr>
          <w:cantSplit/>
          <w:trHeight w:val="254"/>
        </w:trPr>
        <w:tc>
          <w:tcPr>
            <w:tcW w:w="1316" w:type="dxa"/>
            <w:vMerge/>
          </w:tcPr>
          <w:p w14:paraId="498B9C1E" w14:textId="77777777" w:rsidR="004E314E" w:rsidRPr="001362A6" w:rsidRDefault="004E314E" w:rsidP="004E314E">
            <w:pPr>
              <w:rPr>
                <w:rFonts w:ascii="Lato" w:hAnsi="Lato"/>
                <w:sz w:val="22"/>
                <w:szCs w:val="22"/>
              </w:rPr>
            </w:pPr>
          </w:p>
        </w:tc>
        <w:tc>
          <w:tcPr>
            <w:tcW w:w="5891" w:type="dxa"/>
            <w:vMerge/>
          </w:tcPr>
          <w:p w14:paraId="0BF10258" w14:textId="77777777" w:rsidR="004E314E" w:rsidRPr="001362A6" w:rsidRDefault="004E314E" w:rsidP="004E314E">
            <w:pPr>
              <w:rPr>
                <w:rFonts w:ascii="Lato" w:hAnsi="Lato"/>
                <w:sz w:val="22"/>
                <w:szCs w:val="22"/>
              </w:rPr>
            </w:pPr>
          </w:p>
        </w:tc>
        <w:tc>
          <w:tcPr>
            <w:tcW w:w="3188" w:type="dxa"/>
            <w:tcBorders>
              <w:top w:val="single" w:sz="4" w:space="0" w:color="auto"/>
            </w:tcBorders>
          </w:tcPr>
          <w:p w14:paraId="37F39C79" w14:textId="77777777" w:rsidR="004E314E" w:rsidRPr="001362A6" w:rsidRDefault="004E314E" w:rsidP="004E314E">
            <w:pPr>
              <w:rPr>
                <w:rFonts w:ascii="Lato" w:hAnsi="Lato"/>
                <w:sz w:val="22"/>
                <w:szCs w:val="22"/>
              </w:rPr>
            </w:pPr>
          </w:p>
        </w:tc>
      </w:tr>
      <w:tr w:rsidR="004E314E" w:rsidRPr="001362A6" w14:paraId="59CF09C2" w14:textId="77777777" w:rsidTr="00990D73">
        <w:tc>
          <w:tcPr>
            <w:tcW w:w="1316" w:type="dxa"/>
          </w:tcPr>
          <w:p w14:paraId="37D2F4CE" w14:textId="77777777" w:rsidR="004E314E" w:rsidRPr="001362A6" w:rsidRDefault="004E314E" w:rsidP="004E314E">
            <w:pPr>
              <w:rPr>
                <w:rFonts w:ascii="Lato" w:hAnsi="Lato"/>
                <w:sz w:val="22"/>
                <w:szCs w:val="22"/>
              </w:rPr>
            </w:pPr>
          </w:p>
        </w:tc>
        <w:tc>
          <w:tcPr>
            <w:tcW w:w="5891" w:type="dxa"/>
          </w:tcPr>
          <w:p w14:paraId="33064C31" w14:textId="77777777" w:rsidR="004E314E" w:rsidRPr="001362A6" w:rsidRDefault="004E314E" w:rsidP="004E314E">
            <w:pPr>
              <w:rPr>
                <w:rFonts w:ascii="Lato" w:hAnsi="Lato"/>
                <w:sz w:val="22"/>
                <w:szCs w:val="22"/>
              </w:rPr>
            </w:pPr>
          </w:p>
        </w:tc>
        <w:tc>
          <w:tcPr>
            <w:tcW w:w="3188" w:type="dxa"/>
          </w:tcPr>
          <w:p w14:paraId="13A5C6F9" w14:textId="77777777" w:rsidR="004E314E" w:rsidRPr="001362A6" w:rsidRDefault="004E314E" w:rsidP="004E314E">
            <w:pPr>
              <w:rPr>
                <w:rFonts w:ascii="Lato" w:hAnsi="Lato"/>
                <w:sz w:val="22"/>
                <w:szCs w:val="22"/>
              </w:rPr>
            </w:pPr>
          </w:p>
        </w:tc>
      </w:tr>
      <w:tr w:rsidR="004E314E" w:rsidRPr="001362A6" w14:paraId="0ECD6309" w14:textId="77777777" w:rsidTr="00990D73">
        <w:tc>
          <w:tcPr>
            <w:tcW w:w="1316" w:type="dxa"/>
          </w:tcPr>
          <w:p w14:paraId="76B6465E" w14:textId="77777777" w:rsidR="004E314E" w:rsidRPr="001362A6" w:rsidRDefault="004E314E" w:rsidP="004E314E">
            <w:pPr>
              <w:rPr>
                <w:rFonts w:ascii="Lato" w:hAnsi="Lato"/>
                <w:b/>
                <w:bCs/>
                <w:sz w:val="22"/>
                <w:szCs w:val="22"/>
              </w:rPr>
            </w:pPr>
            <w:r w:rsidRPr="001362A6">
              <w:rPr>
                <w:rFonts w:ascii="Lato" w:hAnsi="Lato"/>
                <w:b/>
                <w:bCs/>
                <w:sz w:val="22"/>
                <w:szCs w:val="22"/>
              </w:rPr>
              <w:t>2.22</w:t>
            </w:r>
          </w:p>
        </w:tc>
        <w:tc>
          <w:tcPr>
            <w:tcW w:w="5891" w:type="dxa"/>
          </w:tcPr>
          <w:p w14:paraId="49B67DC2" w14:textId="77777777" w:rsidR="004E314E" w:rsidRPr="001362A6" w:rsidRDefault="004E314E" w:rsidP="004E314E">
            <w:pPr>
              <w:pStyle w:val="Heading4"/>
              <w:rPr>
                <w:rFonts w:ascii="Lato" w:hAnsi="Lato"/>
                <w:sz w:val="22"/>
                <w:szCs w:val="22"/>
                <w:lang w:val="en-GB"/>
              </w:rPr>
            </w:pPr>
            <w:r w:rsidRPr="001362A6">
              <w:rPr>
                <w:rFonts w:ascii="Lato" w:hAnsi="Lato"/>
                <w:sz w:val="22"/>
                <w:szCs w:val="22"/>
                <w:lang w:val="en-GB"/>
              </w:rPr>
              <w:t>Statutory Information</w:t>
            </w:r>
          </w:p>
        </w:tc>
        <w:tc>
          <w:tcPr>
            <w:tcW w:w="3188" w:type="dxa"/>
          </w:tcPr>
          <w:p w14:paraId="79034DD2" w14:textId="77777777" w:rsidR="004E314E" w:rsidRPr="001362A6" w:rsidRDefault="004E314E" w:rsidP="004E314E">
            <w:pPr>
              <w:rPr>
                <w:rFonts w:ascii="Lato" w:hAnsi="Lato"/>
                <w:sz w:val="22"/>
                <w:szCs w:val="22"/>
              </w:rPr>
            </w:pPr>
          </w:p>
        </w:tc>
      </w:tr>
      <w:tr w:rsidR="004E314E" w:rsidRPr="001362A6" w14:paraId="24D3AA7F" w14:textId="77777777" w:rsidTr="00990D73">
        <w:tc>
          <w:tcPr>
            <w:tcW w:w="1316" w:type="dxa"/>
          </w:tcPr>
          <w:p w14:paraId="785CF98D" w14:textId="77777777" w:rsidR="004E314E" w:rsidRPr="001362A6" w:rsidRDefault="004E314E" w:rsidP="004E314E">
            <w:pPr>
              <w:rPr>
                <w:rFonts w:ascii="Lato" w:hAnsi="Lato"/>
                <w:sz w:val="22"/>
                <w:szCs w:val="22"/>
              </w:rPr>
            </w:pPr>
          </w:p>
        </w:tc>
        <w:tc>
          <w:tcPr>
            <w:tcW w:w="5891" w:type="dxa"/>
          </w:tcPr>
          <w:p w14:paraId="21DE99A6" w14:textId="77777777" w:rsidR="004E314E" w:rsidRPr="001362A6" w:rsidRDefault="004E314E" w:rsidP="004E314E">
            <w:pPr>
              <w:rPr>
                <w:rFonts w:ascii="Lato" w:hAnsi="Lato"/>
                <w:sz w:val="22"/>
                <w:szCs w:val="22"/>
              </w:rPr>
            </w:pPr>
          </w:p>
        </w:tc>
        <w:tc>
          <w:tcPr>
            <w:tcW w:w="3188" w:type="dxa"/>
          </w:tcPr>
          <w:p w14:paraId="73B93FDB" w14:textId="77777777" w:rsidR="004E314E" w:rsidRPr="001362A6" w:rsidRDefault="004E314E" w:rsidP="004E314E">
            <w:pPr>
              <w:rPr>
                <w:rFonts w:ascii="Lato" w:hAnsi="Lato"/>
                <w:sz w:val="22"/>
                <w:szCs w:val="22"/>
              </w:rPr>
            </w:pPr>
          </w:p>
        </w:tc>
      </w:tr>
      <w:tr w:rsidR="004E314E" w:rsidRPr="001362A6" w14:paraId="1B4AB5C1" w14:textId="77777777" w:rsidTr="00990D73">
        <w:tc>
          <w:tcPr>
            <w:tcW w:w="1316" w:type="dxa"/>
          </w:tcPr>
          <w:p w14:paraId="6740A061" w14:textId="77777777" w:rsidR="004E314E" w:rsidRPr="001362A6" w:rsidRDefault="004E314E" w:rsidP="004E314E">
            <w:pPr>
              <w:rPr>
                <w:rFonts w:ascii="Lato" w:hAnsi="Lato"/>
                <w:sz w:val="22"/>
                <w:szCs w:val="22"/>
              </w:rPr>
            </w:pPr>
            <w:r w:rsidRPr="001362A6">
              <w:rPr>
                <w:rFonts w:ascii="Lato" w:hAnsi="Lato"/>
                <w:sz w:val="22"/>
                <w:szCs w:val="22"/>
              </w:rPr>
              <w:t>2.22.1</w:t>
            </w:r>
          </w:p>
        </w:tc>
        <w:tc>
          <w:tcPr>
            <w:tcW w:w="5891" w:type="dxa"/>
          </w:tcPr>
          <w:p w14:paraId="355585B3" w14:textId="77777777" w:rsidR="004E314E" w:rsidRPr="001362A6" w:rsidRDefault="004E314E" w:rsidP="004E314E">
            <w:pPr>
              <w:pStyle w:val="Heading1"/>
              <w:spacing w:before="0" w:after="0" w:line="240" w:lineRule="auto"/>
              <w:rPr>
                <w:rFonts w:ascii="Lato" w:hAnsi="Lato"/>
                <w:color w:val="auto"/>
                <w:sz w:val="22"/>
                <w:szCs w:val="22"/>
              </w:rPr>
            </w:pPr>
            <w:r w:rsidRPr="001362A6">
              <w:rPr>
                <w:rFonts w:ascii="Lato" w:hAnsi="Lato"/>
                <w:color w:val="auto"/>
                <w:sz w:val="22"/>
                <w:szCs w:val="22"/>
              </w:rPr>
              <w:t>Investment Company/ICAV</w:t>
            </w:r>
          </w:p>
        </w:tc>
        <w:tc>
          <w:tcPr>
            <w:tcW w:w="3188" w:type="dxa"/>
            <w:tcBorders>
              <w:bottom w:val="single" w:sz="4" w:space="0" w:color="auto"/>
            </w:tcBorders>
          </w:tcPr>
          <w:p w14:paraId="2CF7036A" w14:textId="77777777" w:rsidR="004E314E" w:rsidRPr="001362A6" w:rsidRDefault="004E314E" w:rsidP="004E314E">
            <w:pPr>
              <w:rPr>
                <w:rFonts w:ascii="Lato" w:hAnsi="Lato"/>
                <w:sz w:val="22"/>
                <w:szCs w:val="22"/>
              </w:rPr>
            </w:pPr>
          </w:p>
        </w:tc>
      </w:tr>
      <w:tr w:rsidR="004E314E" w:rsidRPr="001362A6" w14:paraId="38E75A9B" w14:textId="77777777" w:rsidTr="00990D73">
        <w:tc>
          <w:tcPr>
            <w:tcW w:w="1316" w:type="dxa"/>
          </w:tcPr>
          <w:p w14:paraId="1C2B6217"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475ECFF1" w14:textId="77777777" w:rsidR="004E314E" w:rsidRPr="001362A6" w:rsidRDefault="004E314E" w:rsidP="004E314E">
            <w:pPr>
              <w:rPr>
                <w:rFonts w:ascii="Lato" w:hAnsi="Lato"/>
                <w:sz w:val="22"/>
                <w:szCs w:val="22"/>
              </w:rPr>
            </w:pPr>
            <w:r w:rsidRPr="001362A6">
              <w:rPr>
                <w:rFonts w:ascii="Lato" w:hAnsi="Lato"/>
                <w:sz w:val="22"/>
                <w:szCs w:val="22"/>
              </w:rPr>
              <w:t>Authorised share capital of the investment company/ICAV</w:t>
            </w:r>
          </w:p>
        </w:tc>
        <w:tc>
          <w:tcPr>
            <w:tcW w:w="3188" w:type="dxa"/>
            <w:tcBorders>
              <w:top w:val="single" w:sz="4" w:space="0" w:color="auto"/>
              <w:left w:val="single" w:sz="4" w:space="0" w:color="auto"/>
              <w:bottom w:val="single" w:sz="4" w:space="0" w:color="auto"/>
              <w:right w:val="single" w:sz="4" w:space="0" w:color="auto"/>
            </w:tcBorders>
          </w:tcPr>
          <w:p w14:paraId="1B5C2440" w14:textId="77777777" w:rsidR="004E314E" w:rsidRPr="001362A6" w:rsidRDefault="004E314E" w:rsidP="004E314E">
            <w:pPr>
              <w:rPr>
                <w:rFonts w:ascii="Lato" w:hAnsi="Lato"/>
                <w:sz w:val="22"/>
                <w:szCs w:val="22"/>
              </w:rPr>
            </w:pPr>
          </w:p>
        </w:tc>
      </w:tr>
      <w:tr w:rsidR="004E314E" w:rsidRPr="001362A6" w14:paraId="64073554" w14:textId="77777777" w:rsidTr="00D47A86">
        <w:trPr>
          <w:cantSplit/>
          <w:trHeight w:val="254"/>
        </w:trPr>
        <w:tc>
          <w:tcPr>
            <w:tcW w:w="1316" w:type="dxa"/>
          </w:tcPr>
          <w:p w14:paraId="1E8BBE5C" w14:textId="77777777" w:rsidR="004E314E" w:rsidRPr="001362A6" w:rsidRDefault="004E314E" w:rsidP="004E314E">
            <w:pPr>
              <w:rPr>
                <w:rFonts w:ascii="Lato" w:hAnsi="Lato"/>
                <w:sz w:val="22"/>
                <w:szCs w:val="22"/>
              </w:rPr>
            </w:pPr>
          </w:p>
        </w:tc>
        <w:tc>
          <w:tcPr>
            <w:tcW w:w="5891" w:type="dxa"/>
          </w:tcPr>
          <w:p w14:paraId="72127EEC" w14:textId="77777777" w:rsidR="004E314E" w:rsidRPr="001362A6" w:rsidRDefault="004E314E" w:rsidP="004E314E">
            <w:pPr>
              <w:rPr>
                <w:rFonts w:ascii="Lato" w:hAnsi="Lato"/>
                <w:sz w:val="22"/>
                <w:szCs w:val="22"/>
              </w:rPr>
            </w:pPr>
          </w:p>
        </w:tc>
        <w:tc>
          <w:tcPr>
            <w:tcW w:w="3188" w:type="dxa"/>
            <w:tcBorders>
              <w:top w:val="single" w:sz="4" w:space="0" w:color="auto"/>
            </w:tcBorders>
          </w:tcPr>
          <w:p w14:paraId="4A9C2A15" w14:textId="77777777" w:rsidR="004E314E" w:rsidRPr="001362A6" w:rsidRDefault="004E314E" w:rsidP="004E314E">
            <w:pPr>
              <w:rPr>
                <w:rFonts w:ascii="Lato" w:hAnsi="Lato"/>
                <w:sz w:val="22"/>
                <w:szCs w:val="22"/>
              </w:rPr>
            </w:pPr>
          </w:p>
        </w:tc>
      </w:tr>
      <w:tr w:rsidR="004E314E" w:rsidRPr="001362A6" w14:paraId="2ECFBFE4" w14:textId="77777777" w:rsidTr="00D47A86">
        <w:tc>
          <w:tcPr>
            <w:tcW w:w="1316" w:type="dxa"/>
          </w:tcPr>
          <w:p w14:paraId="0395BF38" w14:textId="77777777" w:rsidR="004E314E" w:rsidRPr="001362A6" w:rsidRDefault="004E314E" w:rsidP="004E314E">
            <w:pPr>
              <w:rPr>
                <w:rFonts w:ascii="Lato" w:hAnsi="Lato"/>
                <w:sz w:val="22"/>
                <w:szCs w:val="22"/>
              </w:rPr>
            </w:pPr>
            <w:r w:rsidRPr="001362A6">
              <w:rPr>
                <w:rFonts w:ascii="Lato" w:hAnsi="Lato"/>
                <w:sz w:val="22"/>
                <w:szCs w:val="22"/>
              </w:rPr>
              <w:t>2.22.2</w:t>
            </w:r>
          </w:p>
        </w:tc>
        <w:tc>
          <w:tcPr>
            <w:tcW w:w="5891" w:type="dxa"/>
          </w:tcPr>
          <w:p w14:paraId="22D589CF" w14:textId="77777777" w:rsidR="004E314E" w:rsidRPr="001362A6" w:rsidRDefault="004E314E" w:rsidP="004E314E">
            <w:pPr>
              <w:pStyle w:val="Heading1"/>
              <w:spacing w:before="0" w:after="0" w:line="240" w:lineRule="auto"/>
              <w:rPr>
                <w:rFonts w:ascii="Lato" w:eastAsia="Arial Unicode MS" w:hAnsi="Lato"/>
                <w:color w:val="auto"/>
                <w:sz w:val="22"/>
                <w:szCs w:val="22"/>
              </w:rPr>
            </w:pPr>
            <w:r w:rsidRPr="001362A6">
              <w:rPr>
                <w:rFonts w:ascii="Lato" w:hAnsi="Lato"/>
                <w:color w:val="auto"/>
                <w:sz w:val="22"/>
                <w:szCs w:val="22"/>
              </w:rPr>
              <w:t>Valuation Rules for the Qualifying Investor AIFs assets</w:t>
            </w:r>
          </w:p>
        </w:tc>
        <w:tc>
          <w:tcPr>
            <w:tcW w:w="3188" w:type="dxa"/>
          </w:tcPr>
          <w:p w14:paraId="75148218" w14:textId="77777777" w:rsidR="004E314E" w:rsidRPr="001362A6" w:rsidRDefault="004E314E" w:rsidP="004E314E">
            <w:pPr>
              <w:rPr>
                <w:rFonts w:ascii="Lato" w:hAnsi="Lato"/>
                <w:sz w:val="22"/>
                <w:szCs w:val="22"/>
              </w:rPr>
            </w:pPr>
          </w:p>
        </w:tc>
      </w:tr>
      <w:tr w:rsidR="004E314E" w:rsidRPr="001362A6" w14:paraId="591315D9" w14:textId="77777777" w:rsidTr="007E3170">
        <w:trPr>
          <w:cantSplit/>
          <w:trHeight w:val="255"/>
        </w:trPr>
        <w:tc>
          <w:tcPr>
            <w:tcW w:w="1316" w:type="dxa"/>
          </w:tcPr>
          <w:p w14:paraId="73015A54" w14:textId="77777777" w:rsidR="004E314E" w:rsidRPr="001362A6" w:rsidRDefault="004E314E" w:rsidP="004E314E">
            <w:pPr>
              <w:jc w:val="right"/>
              <w:rPr>
                <w:rFonts w:ascii="Lato" w:hAnsi="Lato"/>
                <w:sz w:val="22"/>
                <w:szCs w:val="22"/>
              </w:rPr>
            </w:pPr>
          </w:p>
        </w:tc>
        <w:tc>
          <w:tcPr>
            <w:tcW w:w="5891" w:type="dxa"/>
          </w:tcPr>
          <w:p w14:paraId="15F333D1" w14:textId="77777777" w:rsidR="004E314E" w:rsidRPr="001362A6" w:rsidRDefault="004E314E" w:rsidP="004E314E">
            <w:pPr>
              <w:pStyle w:val="Heading1"/>
              <w:spacing w:before="0" w:after="0" w:line="240" w:lineRule="auto"/>
              <w:jc w:val="both"/>
              <w:rPr>
                <w:rFonts w:ascii="Lato" w:hAnsi="Lato"/>
                <w:color w:val="auto"/>
                <w:sz w:val="22"/>
                <w:szCs w:val="22"/>
              </w:rPr>
            </w:pPr>
          </w:p>
        </w:tc>
        <w:tc>
          <w:tcPr>
            <w:tcW w:w="3188" w:type="dxa"/>
            <w:tcBorders>
              <w:bottom w:val="single" w:sz="4" w:space="0" w:color="auto"/>
            </w:tcBorders>
          </w:tcPr>
          <w:p w14:paraId="2E179099" w14:textId="77777777" w:rsidR="004E314E" w:rsidRPr="001362A6" w:rsidRDefault="004E314E" w:rsidP="004E314E">
            <w:pPr>
              <w:rPr>
                <w:rFonts w:ascii="Lato" w:hAnsi="Lato"/>
                <w:sz w:val="22"/>
                <w:szCs w:val="22"/>
              </w:rPr>
            </w:pPr>
          </w:p>
        </w:tc>
      </w:tr>
      <w:tr w:rsidR="004E314E" w:rsidRPr="001362A6" w14:paraId="3FA5371F" w14:textId="77777777" w:rsidTr="007E3170">
        <w:trPr>
          <w:cantSplit/>
          <w:trHeight w:val="255"/>
        </w:trPr>
        <w:tc>
          <w:tcPr>
            <w:tcW w:w="1316" w:type="dxa"/>
          </w:tcPr>
          <w:p w14:paraId="4C39FE9F" w14:textId="77777777" w:rsidR="004E314E" w:rsidRPr="001362A6" w:rsidRDefault="004E314E" w:rsidP="004E314E">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67E9FCF7" w14:textId="77777777" w:rsidR="004E314E" w:rsidRPr="001362A6" w:rsidRDefault="004E314E" w:rsidP="004E314E">
            <w:pPr>
              <w:pStyle w:val="Heading1"/>
              <w:spacing w:before="0" w:after="0" w:line="240" w:lineRule="auto"/>
              <w:jc w:val="both"/>
              <w:rPr>
                <w:rFonts w:ascii="Lato" w:hAnsi="Lato"/>
                <w:color w:val="auto"/>
                <w:sz w:val="22"/>
                <w:szCs w:val="22"/>
              </w:rPr>
            </w:pPr>
            <w:r w:rsidRPr="001362A6">
              <w:rPr>
                <w:rFonts w:ascii="Lato" w:hAnsi="Lato"/>
                <w:color w:val="auto"/>
                <w:sz w:val="22"/>
                <w:szCs w:val="22"/>
              </w:rPr>
              <w:t xml:space="preserve">Insert a description of the Qualifying Investor AIF’s </w:t>
            </w:r>
          </w:p>
        </w:tc>
        <w:tc>
          <w:tcPr>
            <w:tcW w:w="3188" w:type="dxa"/>
            <w:tcBorders>
              <w:top w:val="single" w:sz="4" w:space="0" w:color="auto"/>
              <w:left w:val="single" w:sz="4" w:space="0" w:color="auto"/>
              <w:bottom w:val="single" w:sz="4" w:space="0" w:color="auto"/>
              <w:right w:val="single" w:sz="4" w:space="0" w:color="auto"/>
            </w:tcBorders>
          </w:tcPr>
          <w:p w14:paraId="169A7C74" w14:textId="77777777" w:rsidR="004E314E" w:rsidRPr="001362A6" w:rsidRDefault="004E314E" w:rsidP="004E314E">
            <w:pPr>
              <w:rPr>
                <w:rFonts w:ascii="Lato" w:hAnsi="Lato"/>
                <w:sz w:val="22"/>
                <w:szCs w:val="22"/>
              </w:rPr>
            </w:pPr>
          </w:p>
        </w:tc>
      </w:tr>
      <w:tr w:rsidR="004E314E" w:rsidRPr="001362A6" w14:paraId="47BCC597" w14:textId="77777777" w:rsidTr="007E3170">
        <w:trPr>
          <w:cantSplit/>
          <w:trHeight w:val="255"/>
        </w:trPr>
        <w:tc>
          <w:tcPr>
            <w:tcW w:w="1316" w:type="dxa"/>
          </w:tcPr>
          <w:p w14:paraId="404076F4" w14:textId="77777777" w:rsidR="004E314E" w:rsidRPr="001362A6" w:rsidRDefault="004E314E" w:rsidP="004E314E">
            <w:pPr>
              <w:jc w:val="right"/>
              <w:rPr>
                <w:rFonts w:ascii="Lato" w:hAnsi="Lato"/>
                <w:sz w:val="22"/>
                <w:szCs w:val="22"/>
              </w:rPr>
            </w:pPr>
          </w:p>
        </w:tc>
        <w:tc>
          <w:tcPr>
            <w:tcW w:w="5891" w:type="dxa"/>
          </w:tcPr>
          <w:p w14:paraId="04204E8E" w14:textId="77777777" w:rsidR="004E314E" w:rsidRPr="001362A6" w:rsidRDefault="004E314E" w:rsidP="004E314E">
            <w:pPr>
              <w:pStyle w:val="Heading1"/>
              <w:spacing w:before="0" w:after="0" w:line="240" w:lineRule="auto"/>
              <w:jc w:val="both"/>
              <w:rPr>
                <w:rFonts w:ascii="Lato" w:hAnsi="Lato"/>
                <w:color w:val="auto"/>
                <w:sz w:val="22"/>
                <w:szCs w:val="22"/>
              </w:rPr>
            </w:pPr>
            <w:r w:rsidRPr="00590C6D">
              <w:rPr>
                <w:rFonts w:ascii="Lato" w:hAnsi="Lato"/>
                <w:color w:val="auto"/>
                <w:sz w:val="22"/>
                <w:szCs w:val="22"/>
              </w:rPr>
              <w:t>valuation</w:t>
            </w:r>
            <w:r w:rsidRPr="001362A6">
              <w:rPr>
                <w:rFonts w:ascii="Lato" w:hAnsi="Lato"/>
                <w:color w:val="auto"/>
                <w:sz w:val="22"/>
                <w:szCs w:val="22"/>
              </w:rPr>
              <w:t xml:space="preserve"> procedure:</w:t>
            </w:r>
          </w:p>
        </w:tc>
        <w:tc>
          <w:tcPr>
            <w:tcW w:w="3188" w:type="dxa"/>
            <w:tcBorders>
              <w:top w:val="single" w:sz="4" w:space="0" w:color="auto"/>
              <w:bottom w:val="single" w:sz="4" w:space="0" w:color="auto"/>
            </w:tcBorders>
          </w:tcPr>
          <w:p w14:paraId="66723DE1" w14:textId="77777777" w:rsidR="004E314E" w:rsidRPr="001362A6" w:rsidRDefault="004E314E" w:rsidP="004E314E">
            <w:pPr>
              <w:rPr>
                <w:rFonts w:ascii="Lato" w:hAnsi="Lato"/>
                <w:sz w:val="22"/>
                <w:szCs w:val="22"/>
              </w:rPr>
            </w:pPr>
          </w:p>
        </w:tc>
      </w:tr>
      <w:tr w:rsidR="004E314E" w:rsidRPr="001362A6" w14:paraId="6B55D8C4" w14:textId="77777777" w:rsidTr="007E3170">
        <w:trPr>
          <w:cantSplit/>
          <w:trHeight w:val="255"/>
        </w:trPr>
        <w:tc>
          <w:tcPr>
            <w:tcW w:w="1316" w:type="dxa"/>
          </w:tcPr>
          <w:p w14:paraId="2FF51E6E" w14:textId="77777777" w:rsidR="004E314E" w:rsidRPr="001362A6" w:rsidRDefault="004E314E" w:rsidP="004E314E">
            <w:pPr>
              <w:jc w:val="right"/>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699D1D01" w14:textId="77777777" w:rsidR="004E314E" w:rsidRPr="001362A6" w:rsidRDefault="004E314E" w:rsidP="004E314E">
            <w:pPr>
              <w:pStyle w:val="Heading1"/>
              <w:spacing w:before="0" w:after="0" w:line="240" w:lineRule="auto"/>
              <w:jc w:val="both"/>
              <w:rPr>
                <w:rFonts w:ascii="Lato" w:hAnsi="Lato"/>
                <w:color w:val="auto"/>
                <w:sz w:val="22"/>
                <w:szCs w:val="22"/>
              </w:rPr>
            </w:pPr>
            <w:r w:rsidRPr="001362A6">
              <w:rPr>
                <w:rFonts w:ascii="Lato" w:hAnsi="Lato"/>
                <w:color w:val="auto"/>
                <w:sz w:val="22"/>
                <w:szCs w:val="22"/>
              </w:rPr>
              <w:t xml:space="preserve">and pricing methodology for valuing assets (including </w:t>
            </w:r>
          </w:p>
        </w:tc>
        <w:tc>
          <w:tcPr>
            <w:tcW w:w="3188" w:type="dxa"/>
            <w:tcBorders>
              <w:top w:val="single" w:sz="4" w:space="0" w:color="auto"/>
              <w:left w:val="single" w:sz="4" w:space="0" w:color="auto"/>
              <w:bottom w:val="single" w:sz="4" w:space="0" w:color="auto"/>
              <w:right w:val="single" w:sz="4" w:space="0" w:color="auto"/>
            </w:tcBorders>
          </w:tcPr>
          <w:p w14:paraId="4B6E8E4C" w14:textId="77777777" w:rsidR="004E314E" w:rsidRPr="001362A6" w:rsidRDefault="004E314E" w:rsidP="004E314E">
            <w:pPr>
              <w:rPr>
                <w:rFonts w:ascii="Lato" w:hAnsi="Lato"/>
                <w:sz w:val="22"/>
                <w:szCs w:val="22"/>
              </w:rPr>
            </w:pPr>
          </w:p>
        </w:tc>
      </w:tr>
      <w:tr w:rsidR="004E314E" w:rsidRPr="001362A6" w14:paraId="7E3B59AC" w14:textId="77777777" w:rsidTr="007E3170">
        <w:trPr>
          <w:cantSplit/>
          <w:trHeight w:val="255"/>
        </w:trPr>
        <w:tc>
          <w:tcPr>
            <w:tcW w:w="1316" w:type="dxa"/>
          </w:tcPr>
          <w:p w14:paraId="5769CB44" w14:textId="77777777" w:rsidR="004E314E" w:rsidRPr="001362A6" w:rsidRDefault="004E314E" w:rsidP="004E314E">
            <w:pPr>
              <w:jc w:val="right"/>
              <w:rPr>
                <w:rFonts w:ascii="Lato" w:hAnsi="Lato"/>
                <w:sz w:val="22"/>
                <w:szCs w:val="22"/>
              </w:rPr>
            </w:pPr>
          </w:p>
        </w:tc>
        <w:tc>
          <w:tcPr>
            <w:tcW w:w="5891" w:type="dxa"/>
          </w:tcPr>
          <w:p w14:paraId="10A7D77B" w14:textId="77777777" w:rsidR="004E314E" w:rsidRPr="001362A6" w:rsidRDefault="004E314E" w:rsidP="004E314E">
            <w:pPr>
              <w:pStyle w:val="Heading1"/>
              <w:spacing w:before="0" w:after="0" w:line="240" w:lineRule="auto"/>
              <w:jc w:val="both"/>
              <w:rPr>
                <w:rFonts w:ascii="Lato" w:hAnsi="Lato"/>
                <w:color w:val="auto"/>
                <w:sz w:val="22"/>
                <w:szCs w:val="22"/>
              </w:rPr>
            </w:pPr>
            <w:r w:rsidRPr="00590C6D">
              <w:rPr>
                <w:rFonts w:ascii="Lato" w:hAnsi="Lato"/>
                <w:color w:val="auto"/>
                <w:sz w:val="22"/>
                <w:szCs w:val="22"/>
              </w:rPr>
              <w:t>methods</w:t>
            </w:r>
            <w:r w:rsidRPr="001362A6">
              <w:rPr>
                <w:rFonts w:ascii="Lato" w:hAnsi="Lato"/>
                <w:color w:val="auto"/>
                <w:sz w:val="22"/>
                <w:szCs w:val="22"/>
              </w:rPr>
              <w:t xml:space="preserve"> used in valuing hard-to-value assets as per the </w:t>
            </w:r>
          </w:p>
        </w:tc>
        <w:tc>
          <w:tcPr>
            <w:tcW w:w="3188" w:type="dxa"/>
            <w:tcBorders>
              <w:top w:val="single" w:sz="4" w:space="0" w:color="auto"/>
            </w:tcBorders>
          </w:tcPr>
          <w:p w14:paraId="1202531E" w14:textId="77777777" w:rsidR="004E314E" w:rsidRPr="001362A6" w:rsidRDefault="004E314E" w:rsidP="004E314E">
            <w:pPr>
              <w:rPr>
                <w:rFonts w:ascii="Lato" w:hAnsi="Lato"/>
                <w:sz w:val="22"/>
                <w:szCs w:val="22"/>
              </w:rPr>
            </w:pPr>
          </w:p>
        </w:tc>
      </w:tr>
      <w:tr w:rsidR="004E314E" w:rsidRPr="001362A6" w14:paraId="62CE1754" w14:textId="77777777" w:rsidTr="00D47A86">
        <w:trPr>
          <w:cantSplit/>
          <w:trHeight w:val="255"/>
        </w:trPr>
        <w:tc>
          <w:tcPr>
            <w:tcW w:w="1316" w:type="dxa"/>
          </w:tcPr>
          <w:p w14:paraId="45EC0908" w14:textId="77777777" w:rsidR="004E314E" w:rsidRPr="001362A6" w:rsidRDefault="004E314E" w:rsidP="004E314E">
            <w:pPr>
              <w:jc w:val="right"/>
              <w:rPr>
                <w:rFonts w:ascii="Lato" w:hAnsi="Lato"/>
                <w:sz w:val="22"/>
                <w:szCs w:val="22"/>
              </w:rPr>
            </w:pPr>
          </w:p>
        </w:tc>
        <w:tc>
          <w:tcPr>
            <w:tcW w:w="5891" w:type="dxa"/>
          </w:tcPr>
          <w:p w14:paraId="0B2340F7" w14:textId="77777777" w:rsidR="004E314E" w:rsidRPr="001362A6" w:rsidRDefault="004E314E" w:rsidP="004E314E">
            <w:pPr>
              <w:pStyle w:val="Heading1"/>
              <w:spacing w:before="0" w:after="0" w:line="240" w:lineRule="auto"/>
              <w:jc w:val="both"/>
              <w:rPr>
                <w:rFonts w:ascii="Lato" w:hAnsi="Lato"/>
                <w:color w:val="auto"/>
                <w:sz w:val="22"/>
                <w:szCs w:val="22"/>
              </w:rPr>
            </w:pPr>
            <w:r w:rsidRPr="00590C6D">
              <w:rPr>
                <w:rFonts w:ascii="Lato" w:hAnsi="Lato"/>
                <w:color w:val="auto"/>
                <w:sz w:val="22"/>
                <w:szCs w:val="22"/>
              </w:rPr>
              <w:t xml:space="preserve">constitutional </w:t>
            </w:r>
            <w:r w:rsidRPr="001362A6">
              <w:rPr>
                <w:rFonts w:ascii="Lato" w:hAnsi="Lato"/>
                <w:color w:val="auto"/>
                <w:sz w:val="22"/>
                <w:szCs w:val="22"/>
              </w:rPr>
              <w:t>document)</w:t>
            </w:r>
          </w:p>
        </w:tc>
        <w:tc>
          <w:tcPr>
            <w:tcW w:w="3188" w:type="dxa"/>
          </w:tcPr>
          <w:p w14:paraId="627FFB07" w14:textId="77777777" w:rsidR="004E314E" w:rsidRPr="001362A6" w:rsidRDefault="004E314E" w:rsidP="004E314E">
            <w:pPr>
              <w:rPr>
                <w:rFonts w:ascii="Lato" w:hAnsi="Lato"/>
                <w:sz w:val="22"/>
                <w:szCs w:val="22"/>
              </w:rPr>
            </w:pPr>
          </w:p>
        </w:tc>
      </w:tr>
      <w:tr w:rsidR="004E314E" w:rsidRPr="001362A6" w14:paraId="6EC4114C" w14:textId="77777777" w:rsidTr="007E3170">
        <w:tc>
          <w:tcPr>
            <w:tcW w:w="1316" w:type="dxa"/>
          </w:tcPr>
          <w:p w14:paraId="1761DEEA" w14:textId="77777777" w:rsidR="004E314E" w:rsidRPr="001362A6" w:rsidRDefault="004E314E" w:rsidP="004E314E">
            <w:pPr>
              <w:jc w:val="right"/>
              <w:rPr>
                <w:rFonts w:ascii="Lato" w:hAnsi="Lato"/>
                <w:sz w:val="22"/>
                <w:szCs w:val="22"/>
              </w:rPr>
            </w:pPr>
          </w:p>
        </w:tc>
        <w:tc>
          <w:tcPr>
            <w:tcW w:w="5891" w:type="dxa"/>
          </w:tcPr>
          <w:p w14:paraId="20B171FB" w14:textId="77777777" w:rsidR="004E314E" w:rsidRPr="001362A6" w:rsidRDefault="004E314E" w:rsidP="004E314E">
            <w:pPr>
              <w:rPr>
                <w:rFonts w:ascii="Lato" w:hAnsi="Lato"/>
                <w:sz w:val="22"/>
                <w:szCs w:val="22"/>
              </w:rPr>
            </w:pPr>
          </w:p>
        </w:tc>
        <w:tc>
          <w:tcPr>
            <w:tcW w:w="3188" w:type="dxa"/>
            <w:tcBorders>
              <w:bottom w:val="single" w:sz="4" w:space="0" w:color="auto"/>
            </w:tcBorders>
          </w:tcPr>
          <w:p w14:paraId="526E5BC9" w14:textId="77777777" w:rsidR="004E314E" w:rsidRPr="001362A6" w:rsidRDefault="004E314E" w:rsidP="004E314E">
            <w:pPr>
              <w:rPr>
                <w:rFonts w:ascii="Lato" w:hAnsi="Lato"/>
                <w:sz w:val="22"/>
                <w:szCs w:val="22"/>
              </w:rPr>
            </w:pPr>
          </w:p>
        </w:tc>
      </w:tr>
      <w:tr w:rsidR="004E314E" w:rsidRPr="001362A6" w14:paraId="3A351DBF" w14:textId="77777777" w:rsidTr="007E3170">
        <w:tc>
          <w:tcPr>
            <w:tcW w:w="1316" w:type="dxa"/>
          </w:tcPr>
          <w:p w14:paraId="72D8844C" w14:textId="77777777" w:rsidR="004E314E" w:rsidRPr="001362A6" w:rsidRDefault="004E314E" w:rsidP="004E314E">
            <w:pPr>
              <w:jc w:val="right"/>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775842D4" w14:textId="77777777" w:rsidR="004E314E" w:rsidRPr="001362A6" w:rsidRDefault="004E314E" w:rsidP="004E314E">
            <w:pPr>
              <w:rPr>
                <w:rFonts w:ascii="Lato" w:hAnsi="Lato"/>
                <w:sz w:val="22"/>
                <w:szCs w:val="22"/>
              </w:rPr>
            </w:pPr>
            <w:r w:rsidRPr="001362A6">
              <w:rPr>
                <w:rFonts w:ascii="Lato" w:hAnsi="Lato"/>
                <w:sz w:val="22"/>
                <w:szCs w:val="22"/>
              </w:rPr>
              <w:t>Disclose details of the external valuer, where relevant</w:t>
            </w:r>
          </w:p>
        </w:tc>
        <w:tc>
          <w:tcPr>
            <w:tcW w:w="3188" w:type="dxa"/>
            <w:tcBorders>
              <w:top w:val="single" w:sz="4" w:space="0" w:color="auto"/>
              <w:left w:val="single" w:sz="4" w:space="0" w:color="auto"/>
              <w:bottom w:val="single" w:sz="4" w:space="0" w:color="auto"/>
              <w:right w:val="single" w:sz="4" w:space="0" w:color="auto"/>
            </w:tcBorders>
          </w:tcPr>
          <w:p w14:paraId="1008BC86" w14:textId="77777777" w:rsidR="004E314E" w:rsidRPr="001362A6" w:rsidRDefault="004E314E" w:rsidP="004E314E">
            <w:pPr>
              <w:rPr>
                <w:rFonts w:ascii="Lato" w:hAnsi="Lato"/>
                <w:sz w:val="22"/>
                <w:szCs w:val="22"/>
              </w:rPr>
            </w:pPr>
          </w:p>
        </w:tc>
      </w:tr>
      <w:tr w:rsidR="004E314E" w:rsidRPr="001362A6" w14:paraId="2A318A96" w14:textId="77777777" w:rsidTr="00990D73">
        <w:tc>
          <w:tcPr>
            <w:tcW w:w="1316" w:type="dxa"/>
          </w:tcPr>
          <w:p w14:paraId="22C303A7" w14:textId="77777777" w:rsidR="004E314E" w:rsidRPr="001362A6" w:rsidRDefault="004E314E" w:rsidP="004E314E">
            <w:pPr>
              <w:jc w:val="right"/>
              <w:rPr>
                <w:rFonts w:ascii="Lato" w:hAnsi="Lato"/>
                <w:sz w:val="22"/>
                <w:szCs w:val="22"/>
              </w:rPr>
            </w:pPr>
          </w:p>
        </w:tc>
        <w:tc>
          <w:tcPr>
            <w:tcW w:w="5891" w:type="dxa"/>
          </w:tcPr>
          <w:p w14:paraId="2E6FDA49" w14:textId="77777777" w:rsidR="004E314E" w:rsidRPr="001362A6" w:rsidRDefault="004E314E" w:rsidP="004E314E">
            <w:pPr>
              <w:rPr>
                <w:rFonts w:ascii="Lato" w:hAnsi="Lato"/>
                <w:sz w:val="22"/>
                <w:szCs w:val="22"/>
              </w:rPr>
            </w:pPr>
          </w:p>
        </w:tc>
        <w:tc>
          <w:tcPr>
            <w:tcW w:w="3188" w:type="dxa"/>
            <w:tcBorders>
              <w:bottom w:val="single" w:sz="4" w:space="0" w:color="auto"/>
            </w:tcBorders>
          </w:tcPr>
          <w:p w14:paraId="1415FA57" w14:textId="77777777" w:rsidR="004E314E" w:rsidRPr="001362A6" w:rsidRDefault="004E314E" w:rsidP="004E314E">
            <w:pPr>
              <w:rPr>
                <w:rFonts w:ascii="Lato" w:hAnsi="Lato"/>
                <w:sz w:val="22"/>
                <w:szCs w:val="22"/>
              </w:rPr>
            </w:pPr>
          </w:p>
        </w:tc>
      </w:tr>
      <w:tr w:rsidR="004E314E" w:rsidRPr="001362A6" w14:paraId="5AC917B4" w14:textId="77777777" w:rsidTr="00990D73">
        <w:trPr>
          <w:cantSplit/>
          <w:trHeight w:val="255"/>
        </w:trPr>
        <w:tc>
          <w:tcPr>
            <w:tcW w:w="1316" w:type="dxa"/>
            <w:vMerge w:val="restart"/>
          </w:tcPr>
          <w:p w14:paraId="499E720F" w14:textId="77777777" w:rsidR="004E314E" w:rsidRPr="001362A6" w:rsidRDefault="004E314E" w:rsidP="004E314E">
            <w:pPr>
              <w:jc w:val="right"/>
              <w:rPr>
                <w:rFonts w:ascii="Lato" w:hAnsi="Lato"/>
                <w:sz w:val="22"/>
                <w:szCs w:val="22"/>
              </w:rPr>
            </w:pPr>
            <w:r w:rsidRPr="001362A6">
              <w:rPr>
                <w:rFonts w:ascii="Lato" w:hAnsi="Lato"/>
                <w:sz w:val="22"/>
                <w:szCs w:val="22"/>
              </w:rPr>
              <w:t xml:space="preserve">         d)</w:t>
            </w:r>
          </w:p>
        </w:tc>
        <w:tc>
          <w:tcPr>
            <w:tcW w:w="5891" w:type="dxa"/>
            <w:vMerge w:val="restart"/>
            <w:tcBorders>
              <w:right w:val="single" w:sz="4" w:space="0" w:color="auto"/>
            </w:tcBorders>
          </w:tcPr>
          <w:p w14:paraId="5E8A93EC" w14:textId="77777777" w:rsidR="004E314E" w:rsidRPr="001362A6" w:rsidRDefault="004E314E" w:rsidP="004E314E">
            <w:pPr>
              <w:rPr>
                <w:rFonts w:ascii="Lato" w:hAnsi="Lato"/>
                <w:sz w:val="22"/>
                <w:szCs w:val="22"/>
              </w:rPr>
            </w:pPr>
            <w:r w:rsidRPr="001362A6">
              <w:rPr>
                <w:rFonts w:ascii="Lato" w:hAnsi="Lato"/>
                <w:sz w:val="22"/>
                <w:szCs w:val="22"/>
              </w:rPr>
              <w:t>Disclose that valuation is carried out as often as the Qualifying Investor AIF deals</w:t>
            </w:r>
          </w:p>
        </w:tc>
        <w:tc>
          <w:tcPr>
            <w:tcW w:w="3188" w:type="dxa"/>
            <w:tcBorders>
              <w:top w:val="single" w:sz="4" w:space="0" w:color="auto"/>
              <w:left w:val="single" w:sz="4" w:space="0" w:color="auto"/>
              <w:bottom w:val="single" w:sz="4" w:space="0" w:color="auto"/>
              <w:right w:val="single" w:sz="4" w:space="0" w:color="auto"/>
            </w:tcBorders>
          </w:tcPr>
          <w:p w14:paraId="0559A2D9" w14:textId="77777777" w:rsidR="004E314E" w:rsidRPr="001362A6" w:rsidRDefault="004E314E" w:rsidP="004E314E">
            <w:pPr>
              <w:rPr>
                <w:rFonts w:ascii="Lato" w:hAnsi="Lato"/>
                <w:sz w:val="22"/>
                <w:szCs w:val="22"/>
              </w:rPr>
            </w:pPr>
          </w:p>
        </w:tc>
      </w:tr>
      <w:tr w:rsidR="004E314E" w:rsidRPr="001362A6" w14:paraId="5B797CA2" w14:textId="77777777" w:rsidTr="00990D73">
        <w:trPr>
          <w:cantSplit/>
          <w:trHeight w:val="254"/>
        </w:trPr>
        <w:tc>
          <w:tcPr>
            <w:tcW w:w="1316" w:type="dxa"/>
            <w:vMerge/>
          </w:tcPr>
          <w:p w14:paraId="6F9F290F" w14:textId="77777777" w:rsidR="004E314E" w:rsidRPr="001362A6" w:rsidRDefault="004E314E" w:rsidP="004E314E">
            <w:pPr>
              <w:jc w:val="right"/>
              <w:rPr>
                <w:rFonts w:ascii="Lato" w:hAnsi="Lato"/>
                <w:sz w:val="22"/>
                <w:szCs w:val="22"/>
              </w:rPr>
            </w:pPr>
          </w:p>
        </w:tc>
        <w:tc>
          <w:tcPr>
            <w:tcW w:w="5891" w:type="dxa"/>
            <w:vMerge/>
          </w:tcPr>
          <w:p w14:paraId="47F70807" w14:textId="77777777" w:rsidR="004E314E" w:rsidRPr="001362A6" w:rsidRDefault="004E314E" w:rsidP="004E314E">
            <w:pPr>
              <w:rPr>
                <w:rFonts w:ascii="Lato" w:hAnsi="Lato"/>
                <w:sz w:val="22"/>
                <w:szCs w:val="22"/>
              </w:rPr>
            </w:pPr>
          </w:p>
        </w:tc>
        <w:tc>
          <w:tcPr>
            <w:tcW w:w="3188" w:type="dxa"/>
            <w:tcBorders>
              <w:top w:val="single" w:sz="4" w:space="0" w:color="auto"/>
            </w:tcBorders>
          </w:tcPr>
          <w:p w14:paraId="6AFBDDD1" w14:textId="77777777" w:rsidR="004E314E" w:rsidRPr="001362A6" w:rsidRDefault="004E314E" w:rsidP="004E314E">
            <w:pPr>
              <w:rPr>
                <w:rFonts w:ascii="Lato" w:hAnsi="Lato"/>
                <w:sz w:val="22"/>
                <w:szCs w:val="22"/>
              </w:rPr>
            </w:pPr>
          </w:p>
        </w:tc>
      </w:tr>
      <w:tr w:rsidR="004E314E" w:rsidRPr="001362A6" w14:paraId="3EEFD476" w14:textId="77777777" w:rsidTr="00990D73">
        <w:trPr>
          <w:trHeight w:val="271"/>
        </w:trPr>
        <w:tc>
          <w:tcPr>
            <w:tcW w:w="1316" w:type="dxa"/>
          </w:tcPr>
          <w:p w14:paraId="5EAF274B" w14:textId="77777777" w:rsidR="004E314E" w:rsidRPr="001362A6" w:rsidRDefault="004E314E" w:rsidP="004E314E">
            <w:pPr>
              <w:jc w:val="right"/>
              <w:rPr>
                <w:rFonts w:ascii="Lato" w:hAnsi="Lato"/>
                <w:sz w:val="22"/>
                <w:szCs w:val="22"/>
              </w:rPr>
            </w:pPr>
          </w:p>
        </w:tc>
        <w:tc>
          <w:tcPr>
            <w:tcW w:w="5891" w:type="dxa"/>
          </w:tcPr>
          <w:p w14:paraId="00835D4A" w14:textId="77777777" w:rsidR="004E314E" w:rsidRPr="001362A6" w:rsidRDefault="004E314E" w:rsidP="004E314E">
            <w:pPr>
              <w:rPr>
                <w:rFonts w:ascii="Lato" w:hAnsi="Lato"/>
                <w:sz w:val="22"/>
                <w:szCs w:val="22"/>
              </w:rPr>
            </w:pPr>
          </w:p>
        </w:tc>
        <w:tc>
          <w:tcPr>
            <w:tcW w:w="3188" w:type="dxa"/>
            <w:tcBorders>
              <w:bottom w:val="single" w:sz="4" w:space="0" w:color="auto"/>
            </w:tcBorders>
          </w:tcPr>
          <w:p w14:paraId="4A9E88B8" w14:textId="77777777" w:rsidR="004E314E" w:rsidRPr="001362A6" w:rsidRDefault="004E314E" w:rsidP="004E314E">
            <w:pPr>
              <w:rPr>
                <w:rFonts w:ascii="Lato" w:hAnsi="Lato"/>
                <w:sz w:val="22"/>
                <w:szCs w:val="22"/>
              </w:rPr>
            </w:pPr>
          </w:p>
        </w:tc>
      </w:tr>
      <w:tr w:rsidR="004E314E" w:rsidRPr="001362A6" w14:paraId="3ACCC37C" w14:textId="77777777" w:rsidTr="00990D73">
        <w:trPr>
          <w:trHeight w:val="271"/>
        </w:trPr>
        <w:tc>
          <w:tcPr>
            <w:tcW w:w="1316" w:type="dxa"/>
          </w:tcPr>
          <w:p w14:paraId="11B67B1A" w14:textId="77777777" w:rsidR="004E314E" w:rsidRPr="001362A6" w:rsidRDefault="004E314E" w:rsidP="004E314E">
            <w:pPr>
              <w:jc w:val="right"/>
              <w:rPr>
                <w:rFonts w:ascii="Lato" w:hAnsi="Lato"/>
                <w:sz w:val="22"/>
                <w:szCs w:val="22"/>
              </w:rPr>
            </w:pPr>
            <w:r w:rsidRPr="001362A6">
              <w:rPr>
                <w:rFonts w:ascii="Lato" w:hAnsi="Lato"/>
                <w:sz w:val="22"/>
                <w:szCs w:val="22"/>
              </w:rPr>
              <w:t>e)</w:t>
            </w:r>
          </w:p>
        </w:tc>
        <w:tc>
          <w:tcPr>
            <w:tcW w:w="5891" w:type="dxa"/>
            <w:tcBorders>
              <w:right w:val="single" w:sz="4" w:space="0" w:color="auto"/>
            </w:tcBorders>
          </w:tcPr>
          <w:p w14:paraId="209D4BD2" w14:textId="77777777" w:rsidR="004E314E" w:rsidRPr="001362A6" w:rsidRDefault="004E314E" w:rsidP="004E314E">
            <w:pPr>
              <w:rPr>
                <w:rFonts w:ascii="Lato" w:hAnsi="Lato"/>
                <w:sz w:val="22"/>
                <w:szCs w:val="22"/>
              </w:rPr>
            </w:pPr>
            <w:r w:rsidRPr="001362A6">
              <w:rPr>
                <w:rFonts w:ascii="Lato" w:hAnsi="Lato"/>
                <w:sz w:val="22"/>
                <w:szCs w:val="22"/>
              </w:rPr>
              <w:t xml:space="preserve">Confirm that for closed ended, or open ended with limited </w:t>
            </w:r>
          </w:p>
        </w:tc>
        <w:tc>
          <w:tcPr>
            <w:tcW w:w="3188" w:type="dxa"/>
            <w:tcBorders>
              <w:top w:val="single" w:sz="4" w:space="0" w:color="auto"/>
              <w:left w:val="single" w:sz="4" w:space="0" w:color="auto"/>
              <w:bottom w:val="single" w:sz="4" w:space="0" w:color="auto"/>
              <w:right w:val="single" w:sz="4" w:space="0" w:color="auto"/>
            </w:tcBorders>
          </w:tcPr>
          <w:p w14:paraId="4D7273AE" w14:textId="77777777" w:rsidR="004E314E" w:rsidRPr="001362A6" w:rsidRDefault="004E314E" w:rsidP="004E314E">
            <w:pPr>
              <w:rPr>
                <w:rFonts w:ascii="Lato" w:hAnsi="Lato"/>
                <w:sz w:val="22"/>
                <w:szCs w:val="22"/>
              </w:rPr>
            </w:pPr>
          </w:p>
        </w:tc>
      </w:tr>
      <w:tr w:rsidR="004E314E" w:rsidRPr="001362A6" w14:paraId="1371D67A" w14:textId="77777777" w:rsidTr="00990D73">
        <w:trPr>
          <w:trHeight w:val="271"/>
        </w:trPr>
        <w:tc>
          <w:tcPr>
            <w:tcW w:w="1316" w:type="dxa"/>
          </w:tcPr>
          <w:p w14:paraId="5C744DC1" w14:textId="77777777" w:rsidR="004E314E" w:rsidRPr="001362A6" w:rsidRDefault="004E314E" w:rsidP="004E314E">
            <w:pPr>
              <w:jc w:val="right"/>
              <w:rPr>
                <w:rFonts w:ascii="Lato" w:hAnsi="Lato"/>
                <w:sz w:val="22"/>
                <w:szCs w:val="22"/>
              </w:rPr>
            </w:pPr>
          </w:p>
        </w:tc>
        <w:tc>
          <w:tcPr>
            <w:tcW w:w="5891" w:type="dxa"/>
          </w:tcPr>
          <w:p w14:paraId="74D7B98E" w14:textId="77777777" w:rsidR="004E314E" w:rsidRPr="001362A6" w:rsidRDefault="004E314E" w:rsidP="004E314E">
            <w:pPr>
              <w:rPr>
                <w:rFonts w:ascii="Lato" w:hAnsi="Lato"/>
                <w:sz w:val="22"/>
                <w:szCs w:val="22"/>
              </w:rPr>
            </w:pPr>
            <w:r w:rsidRPr="001362A6">
              <w:rPr>
                <w:rFonts w:ascii="Lato" w:hAnsi="Lato"/>
                <w:sz w:val="22"/>
                <w:szCs w:val="22"/>
              </w:rPr>
              <w:t xml:space="preserve">liquidity Qualifying Investor AIFs the valuation of assets </w:t>
            </w:r>
          </w:p>
        </w:tc>
        <w:tc>
          <w:tcPr>
            <w:tcW w:w="3188" w:type="dxa"/>
            <w:tcBorders>
              <w:top w:val="single" w:sz="4" w:space="0" w:color="auto"/>
            </w:tcBorders>
          </w:tcPr>
          <w:p w14:paraId="12F671A1" w14:textId="77777777" w:rsidR="004E314E" w:rsidRPr="001362A6" w:rsidRDefault="004E314E" w:rsidP="004E314E">
            <w:pPr>
              <w:rPr>
                <w:rFonts w:ascii="Lato" w:hAnsi="Lato"/>
                <w:sz w:val="22"/>
                <w:szCs w:val="22"/>
              </w:rPr>
            </w:pPr>
          </w:p>
        </w:tc>
      </w:tr>
      <w:tr w:rsidR="004E314E" w:rsidRPr="001362A6" w14:paraId="743A91B0" w14:textId="77777777" w:rsidTr="00990D73">
        <w:trPr>
          <w:trHeight w:val="271"/>
        </w:trPr>
        <w:tc>
          <w:tcPr>
            <w:tcW w:w="1316" w:type="dxa"/>
          </w:tcPr>
          <w:p w14:paraId="113DC783" w14:textId="77777777" w:rsidR="004E314E" w:rsidRPr="001362A6" w:rsidRDefault="004E314E" w:rsidP="004E314E">
            <w:pPr>
              <w:jc w:val="right"/>
              <w:rPr>
                <w:rFonts w:ascii="Lato" w:hAnsi="Lato"/>
                <w:sz w:val="22"/>
                <w:szCs w:val="22"/>
              </w:rPr>
            </w:pPr>
          </w:p>
        </w:tc>
        <w:tc>
          <w:tcPr>
            <w:tcW w:w="5891" w:type="dxa"/>
          </w:tcPr>
          <w:p w14:paraId="0A1BA11E" w14:textId="77777777" w:rsidR="004E314E" w:rsidRPr="001362A6" w:rsidRDefault="004E314E" w:rsidP="004E314E">
            <w:pPr>
              <w:rPr>
                <w:rFonts w:ascii="Lato" w:hAnsi="Lato"/>
                <w:sz w:val="22"/>
                <w:szCs w:val="22"/>
              </w:rPr>
            </w:pPr>
            <w:r w:rsidRPr="00590C6D">
              <w:rPr>
                <w:rFonts w:ascii="Lato" w:hAnsi="Lato"/>
                <w:sz w:val="22"/>
                <w:szCs w:val="22"/>
              </w:rPr>
              <w:t>and</w:t>
            </w:r>
            <w:r w:rsidRPr="001362A6">
              <w:rPr>
                <w:rFonts w:ascii="Lato" w:hAnsi="Lato"/>
                <w:sz w:val="22"/>
                <w:szCs w:val="22"/>
              </w:rPr>
              <w:t xml:space="preserve"> calculation of net asset value is calculated at least once a year</w:t>
            </w:r>
          </w:p>
        </w:tc>
        <w:tc>
          <w:tcPr>
            <w:tcW w:w="3188" w:type="dxa"/>
          </w:tcPr>
          <w:p w14:paraId="6100BC09" w14:textId="77777777" w:rsidR="004E314E" w:rsidRPr="001362A6" w:rsidRDefault="004E314E" w:rsidP="004E314E">
            <w:pPr>
              <w:rPr>
                <w:rFonts w:ascii="Lato" w:hAnsi="Lato"/>
                <w:sz w:val="22"/>
                <w:szCs w:val="22"/>
              </w:rPr>
            </w:pPr>
          </w:p>
        </w:tc>
      </w:tr>
      <w:tr w:rsidR="004E314E" w:rsidRPr="001362A6" w14:paraId="6717CFFF" w14:textId="77777777" w:rsidTr="00990D73">
        <w:trPr>
          <w:trHeight w:val="271"/>
        </w:trPr>
        <w:tc>
          <w:tcPr>
            <w:tcW w:w="1316" w:type="dxa"/>
          </w:tcPr>
          <w:p w14:paraId="05F406C6" w14:textId="77777777" w:rsidR="004E314E" w:rsidRPr="001362A6" w:rsidRDefault="004E314E" w:rsidP="004E314E">
            <w:pPr>
              <w:jc w:val="right"/>
              <w:rPr>
                <w:rFonts w:ascii="Lato" w:hAnsi="Lato"/>
                <w:sz w:val="22"/>
                <w:szCs w:val="22"/>
              </w:rPr>
            </w:pPr>
          </w:p>
        </w:tc>
        <w:tc>
          <w:tcPr>
            <w:tcW w:w="5891" w:type="dxa"/>
          </w:tcPr>
          <w:p w14:paraId="7DB49AE4" w14:textId="77777777" w:rsidR="004E314E" w:rsidRPr="001362A6" w:rsidRDefault="004E314E" w:rsidP="004E314E">
            <w:pPr>
              <w:rPr>
                <w:rFonts w:ascii="Lato" w:hAnsi="Lato"/>
                <w:sz w:val="22"/>
                <w:szCs w:val="22"/>
              </w:rPr>
            </w:pPr>
          </w:p>
        </w:tc>
        <w:tc>
          <w:tcPr>
            <w:tcW w:w="3188" w:type="dxa"/>
          </w:tcPr>
          <w:p w14:paraId="14A7092D" w14:textId="77777777" w:rsidR="004E314E" w:rsidRPr="001362A6" w:rsidRDefault="004E314E" w:rsidP="004E314E">
            <w:pPr>
              <w:rPr>
                <w:rFonts w:ascii="Lato" w:hAnsi="Lato"/>
                <w:sz w:val="22"/>
                <w:szCs w:val="22"/>
              </w:rPr>
            </w:pPr>
          </w:p>
        </w:tc>
      </w:tr>
      <w:tr w:rsidR="004E314E" w:rsidRPr="001362A6" w14:paraId="143A21F2" w14:textId="77777777" w:rsidTr="00990D73">
        <w:tc>
          <w:tcPr>
            <w:tcW w:w="1316" w:type="dxa"/>
          </w:tcPr>
          <w:p w14:paraId="179362E0" w14:textId="77777777" w:rsidR="004E314E" w:rsidRPr="001362A6" w:rsidRDefault="004E314E" w:rsidP="004E314E">
            <w:pPr>
              <w:rPr>
                <w:rFonts w:ascii="Lato" w:hAnsi="Lato"/>
                <w:b/>
                <w:bCs/>
                <w:sz w:val="22"/>
                <w:szCs w:val="22"/>
              </w:rPr>
            </w:pPr>
            <w:r w:rsidRPr="001362A6">
              <w:rPr>
                <w:rFonts w:ascii="Lato" w:hAnsi="Lato"/>
                <w:b/>
                <w:bCs/>
                <w:sz w:val="22"/>
                <w:szCs w:val="22"/>
              </w:rPr>
              <w:t>2.23</w:t>
            </w:r>
          </w:p>
        </w:tc>
        <w:tc>
          <w:tcPr>
            <w:tcW w:w="5891" w:type="dxa"/>
          </w:tcPr>
          <w:p w14:paraId="0C44DACF" w14:textId="77777777" w:rsidR="004E314E" w:rsidRPr="001362A6" w:rsidRDefault="004E314E" w:rsidP="004E314E">
            <w:pPr>
              <w:rPr>
                <w:rFonts w:ascii="Lato" w:hAnsi="Lato"/>
                <w:b/>
                <w:bCs/>
                <w:sz w:val="22"/>
                <w:szCs w:val="22"/>
              </w:rPr>
            </w:pPr>
            <w:r w:rsidRPr="001362A6">
              <w:rPr>
                <w:rFonts w:ascii="Lato" w:hAnsi="Lato"/>
                <w:b/>
                <w:bCs/>
                <w:sz w:val="22"/>
                <w:szCs w:val="22"/>
              </w:rPr>
              <w:t>Umbrella Funds</w:t>
            </w:r>
          </w:p>
        </w:tc>
        <w:tc>
          <w:tcPr>
            <w:tcW w:w="3188" w:type="dxa"/>
          </w:tcPr>
          <w:p w14:paraId="488AE9DA" w14:textId="77777777" w:rsidR="004E314E" w:rsidRPr="001362A6" w:rsidRDefault="004E314E" w:rsidP="004E314E">
            <w:pPr>
              <w:rPr>
                <w:rFonts w:ascii="Lato" w:hAnsi="Lato"/>
                <w:sz w:val="22"/>
                <w:szCs w:val="22"/>
              </w:rPr>
            </w:pPr>
          </w:p>
        </w:tc>
      </w:tr>
      <w:tr w:rsidR="004E314E" w:rsidRPr="001362A6" w14:paraId="5C7F6331" w14:textId="77777777" w:rsidTr="00990D73">
        <w:tc>
          <w:tcPr>
            <w:tcW w:w="1316" w:type="dxa"/>
          </w:tcPr>
          <w:p w14:paraId="1534FAE9" w14:textId="77777777" w:rsidR="004E314E" w:rsidRPr="001362A6" w:rsidRDefault="004E314E" w:rsidP="004E314E">
            <w:pPr>
              <w:rPr>
                <w:rFonts w:ascii="Lato" w:hAnsi="Lato"/>
                <w:sz w:val="22"/>
                <w:szCs w:val="22"/>
              </w:rPr>
            </w:pPr>
          </w:p>
        </w:tc>
        <w:tc>
          <w:tcPr>
            <w:tcW w:w="5891" w:type="dxa"/>
          </w:tcPr>
          <w:p w14:paraId="2C8A86C0" w14:textId="77777777" w:rsidR="004E314E" w:rsidRPr="001362A6" w:rsidRDefault="004E314E" w:rsidP="004E314E">
            <w:pPr>
              <w:rPr>
                <w:rFonts w:ascii="Lato" w:hAnsi="Lato"/>
                <w:sz w:val="22"/>
                <w:szCs w:val="22"/>
              </w:rPr>
            </w:pPr>
          </w:p>
        </w:tc>
        <w:tc>
          <w:tcPr>
            <w:tcW w:w="3188" w:type="dxa"/>
            <w:tcBorders>
              <w:bottom w:val="single" w:sz="4" w:space="0" w:color="auto"/>
            </w:tcBorders>
          </w:tcPr>
          <w:p w14:paraId="59603FE0" w14:textId="77777777" w:rsidR="004E314E" w:rsidRPr="001362A6" w:rsidRDefault="004E314E" w:rsidP="004E314E">
            <w:pPr>
              <w:rPr>
                <w:rFonts w:ascii="Lato" w:hAnsi="Lato"/>
                <w:sz w:val="22"/>
                <w:szCs w:val="22"/>
              </w:rPr>
            </w:pPr>
          </w:p>
        </w:tc>
      </w:tr>
      <w:tr w:rsidR="004E314E" w:rsidRPr="001362A6" w14:paraId="2706D9EC" w14:textId="77777777" w:rsidTr="00990D73">
        <w:trPr>
          <w:cantSplit/>
          <w:trHeight w:val="253"/>
        </w:trPr>
        <w:tc>
          <w:tcPr>
            <w:tcW w:w="1316" w:type="dxa"/>
            <w:vMerge w:val="restart"/>
          </w:tcPr>
          <w:p w14:paraId="1E0D4172" w14:textId="77777777" w:rsidR="004E314E" w:rsidRPr="001362A6" w:rsidRDefault="004E314E" w:rsidP="004E314E">
            <w:pPr>
              <w:rPr>
                <w:rFonts w:ascii="Lato" w:hAnsi="Lato"/>
                <w:sz w:val="22"/>
                <w:szCs w:val="22"/>
              </w:rPr>
            </w:pPr>
            <w:r w:rsidRPr="001362A6">
              <w:rPr>
                <w:rFonts w:ascii="Lato" w:hAnsi="Lato"/>
                <w:sz w:val="22"/>
                <w:szCs w:val="22"/>
              </w:rPr>
              <w:t>2.23.1</w:t>
            </w:r>
          </w:p>
        </w:tc>
        <w:tc>
          <w:tcPr>
            <w:tcW w:w="5891" w:type="dxa"/>
            <w:vMerge w:val="restart"/>
            <w:tcBorders>
              <w:right w:val="single" w:sz="4" w:space="0" w:color="auto"/>
            </w:tcBorders>
          </w:tcPr>
          <w:p w14:paraId="7D946271" w14:textId="77777777" w:rsidR="004E314E" w:rsidRPr="001362A6" w:rsidRDefault="004E314E" w:rsidP="004E314E">
            <w:pPr>
              <w:jc w:val="both"/>
              <w:rPr>
                <w:rFonts w:ascii="Lato" w:hAnsi="Lato"/>
                <w:sz w:val="22"/>
                <w:szCs w:val="22"/>
              </w:rPr>
            </w:pPr>
            <w:r w:rsidRPr="001362A6">
              <w:rPr>
                <w:rFonts w:ascii="Lato" w:hAnsi="Lato"/>
                <w:sz w:val="22"/>
                <w:szCs w:val="22"/>
              </w:rPr>
              <w:t>In the case of investment companies/ICAVs, a statement on the cover of the prospectus that the Qualifying Investor AIF is ‘</w:t>
            </w:r>
            <w:r w:rsidRPr="001362A6">
              <w:rPr>
                <w:rFonts w:ascii="Lato" w:hAnsi="Lato"/>
                <w:b/>
                <w:sz w:val="22"/>
                <w:szCs w:val="22"/>
              </w:rPr>
              <w:t>An umbrella fund with segregated liability between sub-funds</w:t>
            </w:r>
            <w:r w:rsidRPr="001362A6">
              <w:rPr>
                <w:rFonts w:ascii="Lato" w:hAnsi="Lato"/>
                <w:sz w:val="22"/>
                <w:szCs w:val="22"/>
              </w:rPr>
              <w:t>’</w:t>
            </w:r>
          </w:p>
        </w:tc>
        <w:tc>
          <w:tcPr>
            <w:tcW w:w="3188" w:type="dxa"/>
            <w:tcBorders>
              <w:top w:val="single" w:sz="4" w:space="0" w:color="auto"/>
              <w:left w:val="single" w:sz="4" w:space="0" w:color="auto"/>
              <w:bottom w:val="single" w:sz="4" w:space="0" w:color="auto"/>
              <w:right w:val="single" w:sz="4" w:space="0" w:color="auto"/>
            </w:tcBorders>
          </w:tcPr>
          <w:p w14:paraId="40917373" w14:textId="77777777" w:rsidR="004E314E" w:rsidRPr="001362A6" w:rsidRDefault="004E314E" w:rsidP="004E314E">
            <w:pPr>
              <w:rPr>
                <w:rFonts w:ascii="Lato" w:hAnsi="Lato"/>
                <w:sz w:val="22"/>
                <w:szCs w:val="22"/>
              </w:rPr>
            </w:pPr>
          </w:p>
        </w:tc>
      </w:tr>
      <w:tr w:rsidR="004E314E" w:rsidRPr="001362A6" w14:paraId="03D3B469" w14:textId="77777777" w:rsidTr="00990D73">
        <w:trPr>
          <w:cantSplit/>
          <w:trHeight w:val="251"/>
        </w:trPr>
        <w:tc>
          <w:tcPr>
            <w:tcW w:w="1316" w:type="dxa"/>
            <w:vMerge/>
          </w:tcPr>
          <w:p w14:paraId="4CE2EFBA" w14:textId="77777777" w:rsidR="004E314E" w:rsidRPr="001362A6" w:rsidRDefault="004E314E" w:rsidP="004E314E">
            <w:pPr>
              <w:rPr>
                <w:rFonts w:ascii="Lato" w:hAnsi="Lato"/>
                <w:sz w:val="22"/>
                <w:szCs w:val="22"/>
              </w:rPr>
            </w:pPr>
          </w:p>
        </w:tc>
        <w:tc>
          <w:tcPr>
            <w:tcW w:w="5891" w:type="dxa"/>
            <w:vMerge/>
          </w:tcPr>
          <w:p w14:paraId="391386DE" w14:textId="77777777" w:rsidR="004E314E" w:rsidRPr="001362A6" w:rsidRDefault="004E314E" w:rsidP="004E314E">
            <w:pPr>
              <w:jc w:val="both"/>
              <w:rPr>
                <w:rFonts w:ascii="Lato" w:hAnsi="Lato"/>
                <w:sz w:val="22"/>
                <w:szCs w:val="22"/>
              </w:rPr>
            </w:pPr>
          </w:p>
        </w:tc>
        <w:tc>
          <w:tcPr>
            <w:tcW w:w="3188" w:type="dxa"/>
            <w:tcBorders>
              <w:top w:val="single" w:sz="4" w:space="0" w:color="auto"/>
            </w:tcBorders>
          </w:tcPr>
          <w:p w14:paraId="3D29B363" w14:textId="77777777" w:rsidR="004E314E" w:rsidRPr="001362A6" w:rsidRDefault="004E314E" w:rsidP="004E314E">
            <w:pPr>
              <w:rPr>
                <w:rFonts w:ascii="Lato" w:hAnsi="Lato"/>
                <w:sz w:val="22"/>
                <w:szCs w:val="22"/>
              </w:rPr>
            </w:pPr>
          </w:p>
        </w:tc>
      </w:tr>
      <w:tr w:rsidR="004E314E" w:rsidRPr="001362A6" w14:paraId="2B6162F1" w14:textId="77777777" w:rsidTr="00990D73">
        <w:trPr>
          <w:cantSplit/>
          <w:trHeight w:val="251"/>
        </w:trPr>
        <w:tc>
          <w:tcPr>
            <w:tcW w:w="1316" w:type="dxa"/>
            <w:vMerge/>
          </w:tcPr>
          <w:p w14:paraId="6BBCD2A5" w14:textId="77777777" w:rsidR="004E314E" w:rsidRPr="001362A6" w:rsidRDefault="004E314E" w:rsidP="004E314E">
            <w:pPr>
              <w:rPr>
                <w:rFonts w:ascii="Lato" w:hAnsi="Lato"/>
                <w:sz w:val="22"/>
                <w:szCs w:val="22"/>
              </w:rPr>
            </w:pPr>
          </w:p>
        </w:tc>
        <w:tc>
          <w:tcPr>
            <w:tcW w:w="5891" w:type="dxa"/>
            <w:vMerge/>
          </w:tcPr>
          <w:p w14:paraId="45E9EE1D" w14:textId="77777777" w:rsidR="004E314E" w:rsidRPr="001362A6" w:rsidRDefault="004E314E" w:rsidP="004E314E">
            <w:pPr>
              <w:jc w:val="both"/>
              <w:rPr>
                <w:rFonts w:ascii="Lato" w:hAnsi="Lato"/>
                <w:sz w:val="22"/>
                <w:szCs w:val="22"/>
              </w:rPr>
            </w:pPr>
          </w:p>
        </w:tc>
        <w:tc>
          <w:tcPr>
            <w:tcW w:w="3188" w:type="dxa"/>
          </w:tcPr>
          <w:p w14:paraId="3A60B736" w14:textId="77777777" w:rsidR="004E314E" w:rsidRPr="001362A6" w:rsidRDefault="004E314E" w:rsidP="004E314E">
            <w:pPr>
              <w:rPr>
                <w:rFonts w:ascii="Lato" w:hAnsi="Lato"/>
                <w:sz w:val="22"/>
                <w:szCs w:val="22"/>
              </w:rPr>
            </w:pPr>
          </w:p>
        </w:tc>
      </w:tr>
      <w:tr w:rsidR="004E314E" w:rsidRPr="001362A6" w14:paraId="34D6155B" w14:textId="77777777" w:rsidTr="00990D73">
        <w:trPr>
          <w:cantSplit/>
          <w:trHeight w:val="251"/>
        </w:trPr>
        <w:tc>
          <w:tcPr>
            <w:tcW w:w="1316" w:type="dxa"/>
          </w:tcPr>
          <w:p w14:paraId="521D8699" w14:textId="77777777" w:rsidR="004E314E" w:rsidRPr="001362A6" w:rsidRDefault="004E314E" w:rsidP="004E314E">
            <w:pPr>
              <w:rPr>
                <w:rFonts w:ascii="Lato" w:hAnsi="Lato"/>
                <w:sz w:val="22"/>
                <w:szCs w:val="22"/>
              </w:rPr>
            </w:pPr>
          </w:p>
        </w:tc>
        <w:tc>
          <w:tcPr>
            <w:tcW w:w="5891" w:type="dxa"/>
          </w:tcPr>
          <w:p w14:paraId="51C18D9F" w14:textId="77777777" w:rsidR="004E314E" w:rsidRPr="001362A6" w:rsidRDefault="004E314E" w:rsidP="004E314E">
            <w:pPr>
              <w:jc w:val="both"/>
              <w:rPr>
                <w:rFonts w:ascii="Lato" w:hAnsi="Lato"/>
                <w:sz w:val="22"/>
                <w:szCs w:val="22"/>
              </w:rPr>
            </w:pPr>
          </w:p>
        </w:tc>
        <w:tc>
          <w:tcPr>
            <w:tcW w:w="3188" w:type="dxa"/>
            <w:tcBorders>
              <w:bottom w:val="single" w:sz="4" w:space="0" w:color="auto"/>
            </w:tcBorders>
          </w:tcPr>
          <w:p w14:paraId="0962F823" w14:textId="77777777" w:rsidR="004E314E" w:rsidRPr="001362A6" w:rsidRDefault="004E314E" w:rsidP="004E314E">
            <w:pPr>
              <w:rPr>
                <w:rFonts w:ascii="Lato" w:hAnsi="Lato"/>
                <w:sz w:val="22"/>
                <w:szCs w:val="22"/>
              </w:rPr>
            </w:pPr>
          </w:p>
        </w:tc>
      </w:tr>
      <w:tr w:rsidR="004E314E" w:rsidRPr="001362A6" w14:paraId="3369B1AF" w14:textId="77777777" w:rsidTr="00990D73">
        <w:trPr>
          <w:cantSplit/>
          <w:trHeight w:val="251"/>
        </w:trPr>
        <w:tc>
          <w:tcPr>
            <w:tcW w:w="1316" w:type="dxa"/>
          </w:tcPr>
          <w:p w14:paraId="13FE1835" w14:textId="77777777" w:rsidR="004E314E" w:rsidRPr="001362A6" w:rsidRDefault="004E314E" w:rsidP="004E314E">
            <w:pPr>
              <w:rPr>
                <w:rFonts w:ascii="Lato" w:hAnsi="Lato"/>
                <w:sz w:val="22"/>
                <w:szCs w:val="22"/>
              </w:rPr>
            </w:pPr>
            <w:r w:rsidRPr="001362A6">
              <w:rPr>
                <w:rFonts w:ascii="Lato" w:hAnsi="Lato"/>
                <w:sz w:val="22"/>
                <w:szCs w:val="22"/>
              </w:rPr>
              <w:t>2.23.2</w:t>
            </w:r>
          </w:p>
        </w:tc>
        <w:tc>
          <w:tcPr>
            <w:tcW w:w="5891" w:type="dxa"/>
            <w:tcBorders>
              <w:right w:val="single" w:sz="4" w:space="0" w:color="auto"/>
            </w:tcBorders>
          </w:tcPr>
          <w:p w14:paraId="15F35C0F" w14:textId="77777777" w:rsidR="004E314E" w:rsidRPr="001362A6" w:rsidRDefault="004E314E" w:rsidP="004E314E">
            <w:pPr>
              <w:jc w:val="both"/>
              <w:rPr>
                <w:rFonts w:ascii="Lato" w:hAnsi="Lato"/>
                <w:sz w:val="22"/>
                <w:szCs w:val="22"/>
              </w:rPr>
            </w:pPr>
            <w:r w:rsidRPr="001362A6">
              <w:rPr>
                <w:rFonts w:ascii="Lato" w:hAnsi="Lato"/>
                <w:sz w:val="22"/>
                <w:szCs w:val="22"/>
              </w:rPr>
              <w:t xml:space="preserve">State in bold text that the supplement forms part of, and </w:t>
            </w:r>
          </w:p>
        </w:tc>
        <w:tc>
          <w:tcPr>
            <w:tcW w:w="3188" w:type="dxa"/>
            <w:tcBorders>
              <w:top w:val="single" w:sz="4" w:space="0" w:color="auto"/>
              <w:left w:val="single" w:sz="4" w:space="0" w:color="auto"/>
              <w:bottom w:val="single" w:sz="4" w:space="0" w:color="auto"/>
              <w:right w:val="single" w:sz="4" w:space="0" w:color="auto"/>
            </w:tcBorders>
          </w:tcPr>
          <w:p w14:paraId="341F64C5" w14:textId="77777777" w:rsidR="004E314E" w:rsidRPr="001362A6" w:rsidRDefault="004E314E" w:rsidP="004E314E">
            <w:pPr>
              <w:rPr>
                <w:rFonts w:ascii="Lato" w:hAnsi="Lato"/>
                <w:sz w:val="22"/>
                <w:szCs w:val="22"/>
              </w:rPr>
            </w:pPr>
          </w:p>
        </w:tc>
      </w:tr>
      <w:tr w:rsidR="004E314E" w:rsidRPr="001362A6" w14:paraId="696104DB" w14:textId="77777777" w:rsidTr="00990D73">
        <w:trPr>
          <w:cantSplit/>
          <w:trHeight w:val="251"/>
        </w:trPr>
        <w:tc>
          <w:tcPr>
            <w:tcW w:w="1316" w:type="dxa"/>
          </w:tcPr>
          <w:p w14:paraId="78D2516D" w14:textId="77777777" w:rsidR="004E314E" w:rsidRPr="001362A6" w:rsidRDefault="004E314E" w:rsidP="004E314E">
            <w:pPr>
              <w:rPr>
                <w:rFonts w:ascii="Lato" w:hAnsi="Lato"/>
                <w:sz w:val="22"/>
                <w:szCs w:val="22"/>
              </w:rPr>
            </w:pPr>
          </w:p>
        </w:tc>
        <w:tc>
          <w:tcPr>
            <w:tcW w:w="5891" w:type="dxa"/>
          </w:tcPr>
          <w:p w14:paraId="378AAE0C" w14:textId="77777777" w:rsidR="004E314E" w:rsidRPr="001362A6" w:rsidRDefault="004E314E" w:rsidP="004E314E">
            <w:pPr>
              <w:jc w:val="both"/>
              <w:rPr>
                <w:rFonts w:ascii="Lato" w:hAnsi="Lato"/>
                <w:sz w:val="22"/>
                <w:szCs w:val="22"/>
              </w:rPr>
            </w:pPr>
            <w:r w:rsidRPr="00590C6D">
              <w:rPr>
                <w:rFonts w:ascii="Lato" w:hAnsi="Lato"/>
                <w:sz w:val="22"/>
                <w:szCs w:val="22"/>
              </w:rPr>
              <w:t>should</w:t>
            </w:r>
            <w:r w:rsidRPr="001362A6">
              <w:rPr>
                <w:rFonts w:ascii="Lato" w:hAnsi="Lato"/>
                <w:sz w:val="22"/>
                <w:szCs w:val="22"/>
              </w:rPr>
              <w:t xml:space="preserve"> be read in conjunction with the prospectus</w:t>
            </w:r>
          </w:p>
        </w:tc>
        <w:tc>
          <w:tcPr>
            <w:tcW w:w="3188" w:type="dxa"/>
            <w:tcBorders>
              <w:top w:val="single" w:sz="4" w:space="0" w:color="auto"/>
            </w:tcBorders>
          </w:tcPr>
          <w:p w14:paraId="5E43C81E" w14:textId="77777777" w:rsidR="004E314E" w:rsidRPr="001362A6" w:rsidRDefault="004E314E" w:rsidP="004E314E">
            <w:pPr>
              <w:rPr>
                <w:rFonts w:ascii="Lato" w:hAnsi="Lato"/>
                <w:sz w:val="22"/>
                <w:szCs w:val="22"/>
              </w:rPr>
            </w:pPr>
          </w:p>
        </w:tc>
      </w:tr>
      <w:tr w:rsidR="004E314E" w:rsidRPr="001362A6" w14:paraId="4A80394B" w14:textId="77777777" w:rsidTr="00990D73">
        <w:trPr>
          <w:cantSplit/>
          <w:trHeight w:val="251"/>
        </w:trPr>
        <w:tc>
          <w:tcPr>
            <w:tcW w:w="1316" w:type="dxa"/>
          </w:tcPr>
          <w:p w14:paraId="4A043D38" w14:textId="77777777" w:rsidR="004E314E" w:rsidRPr="001362A6" w:rsidRDefault="004E314E" w:rsidP="004E314E">
            <w:pPr>
              <w:rPr>
                <w:rFonts w:ascii="Lato" w:hAnsi="Lato"/>
                <w:sz w:val="22"/>
                <w:szCs w:val="22"/>
              </w:rPr>
            </w:pPr>
          </w:p>
        </w:tc>
        <w:tc>
          <w:tcPr>
            <w:tcW w:w="5891" w:type="dxa"/>
          </w:tcPr>
          <w:p w14:paraId="1FAD6A42" w14:textId="77777777" w:rsidR="004E314E" w:rsidRPr="001362A6" w:rsidRDefault="004E314E" w:rsidP="004E314E">
            <w:pPr>
              <w:jc w:val="both"/>
              <w:rPr>
                <w:rFonts w:ascii="Lato" w:hAnsi="Lato"/>
                <w:sz w:val="22"/>
                <w:szCs w:val="22"/>
              </w:rPr>
            </w:pPr>
          </w:p>
        </w:tc>
        <w:tc>
          <w:tcPr>
            <w:tcW w:w="3188" w:type="dxa"/>
          </w:tcPr>
          <w:p w14:paraId="5AD22271" w14:textId="77777777" w:rsidR="004E314E" w:rsidRPr="001362A6" w:rsidRDefault="004E314E" w:rsidP="004E314E">
            <w:pPr>
              <w:rPr>
                <w:rFonts w:ascii="Lato" w:hAnsi="Lato"/>
                <w:sz w:val="22"/>
                <w:szCs w:val="22"/>
              </w:rPr>
            </w:pPr>
          </w:p>
        </w:tc>
      </w:tr>
      <w:tr w:rsidR="004E314E" w:rsidRPr="001362A6" w14:paraId="6D56122A" w14:textId="77777777" w:rsidTr="00990D73">
        <w:tc>
          <w:tcPr>
            <w:tcW w:w="1316" w:type="dxa"/>
          </w:tcPr>
          <w:p w14:paraId="3422CFD5" w14:textId="77777777" w:rsidR="004E314E" w:rsidRPr="001362A6" w:rsidRDefault="004E314E" w:rsidP="004E314E">
            <w:pPr>
              <w:rPr>
                <w:rFonts w:ascii="Lato" w:hAnsi="Lato"/>
                <w:sz w:val="22"/>
                <w:szCs w:val="22"/>
              </w:rPr>
            </w:pPr>
            <w:r w:rsidRPr="001362A6">
              <w:rPr>
                <w:rFonts w:ascii="Lato" w:hAnsi="Lato"/>
                <w:sz w:val="22"/>
                <w:szCs w:val="22"/>
              </w:rPr>
              <w:t>2.23.3</w:t>
            </w:r>
          </w:p>
        </w:tc>
        <w:tc>
          <w:tcPr>
            <w:tcW w:w="5891" w:type="dxa"/>
            <w:tcBorders>
              <w:right w:val="single" w:sz="4" w:space="0" w:color="auto"/>
            </w:tcBorders>
          </w:tcPr>
          <w:p w14:paraId="368BF333" w14:textId="77777777" w:rsidR="004E314E" w:rsidRPr="001362A6" w:rsidRDefault="004E314E" w:rsidP="004E314E">
            <w:pPr>
              <w:jc w:val="both"/>
              <w:rPr>
                <w:rFonts w:ascii="Lato" w:hAnsi="Lato"/>
                <w:sz w:val="22"/>
                <w:szCs w:val="22"/>
              </w:rPr>
            </w:pPr>
            <w:r w:rsidRPr="001362A6">
              <w:rPr>
                <w:rFonts w:ascii="Lato" w:hAnsi="Lato"/>
                <w:sz w:val="22"/>
                <w:szCs w:val="22"/>
              </w:rPr>
              <w:t>List all existing sub funds approved by the Central Bank</w:t>
            </w:r>
          </w:p>
        </w:tc>
        <w:tc>
          <w:tcPr>
            <w:tcW w:w="3188" w:type="dxa"/>
            <w:tcBorders>
              <w:top w:val="single" w:sz="4" w:space="0" w:color="auto"/>
              <w:left w:val="single" w:sz="4" w:space="0" w:color="auto"/>
              <w:bottom w:val="single" w:sz="4" w:space="0" w:color="auto"/>
              <w:right w:val="single" w:sz="4" w:space="0" w:color="auto"/>
            </w:tcBorders>
          </w:tcPr>
          <w:p w14:paraId="31FDB6AE" w14:textId="77777777" w:rsidR="004E314E" w:rsidRPr="001362A6" w:rsidRDefault="004E314E" w:rsidP="004E314E">
            <w:pPr>
              <w:rPr>
                <w:rFonts w:ascii="Lato" w:hAnsi="Lato"/>
                <w:sz w:val="22"/>
                <w:szCs w:val="22"/>
              </w:rPr>
            </w:pPr>
          </w:p>
        </w:tc>
      </w:tr>
      <w:tr w:rsidR="004E314E" w:rsidRPr="001362A6" w14:paraId="061BE543" w14:textId="77777777" w:rsidTr="00990D73">
        <w:tc>
          <w:tcPr>
            <w:tcW w:w="1316" w:type="dxa"/>
          </w:tcPr>
          <w:p w14:paraId="1A03D71C" w14:textId="77777777" w:rsidR="004E314E" w:rsidRPr="001362A6" w:rsidRDefault="004E314E" w:rsidP="004E314E">
            <w:pPr>
              <w:rPr>
                <w:rFonts w:ascii="Lato" w:hAnsi="Lato"/>
                <w:sz w:val="22"/>
                <w:szCs w:val="22"/>
              </w:rPr>
            </w:pPr>
          </w:p>
        </w:tc>
        <w:tc>
          <w:tcPr>
            <w:tcW w:w="5891" w:type="dxa"/>
          </w:tcPr>
          <w:p w14:paraId="20601EC5" w14:textId="77777777" w:rsidR="004E314E" w:rsidRPr="001362A6" w:rsidRDefault="004E314E" w:rsidP="004E314E">
            <w:pPr>
              <w:jc w:val="both"/>
              <w:rPr>
                <w:rFonts w:ascii="Lato" w:hAnsi="Lato"/>
                <w:sz w:val="22"/>
                <w:szCs w:val="22"/>
              </w:rPr>
            </w:pPr>
          </w:p>
        </w:tc>
        <w:tc>
          <w:tcPr>
            <w:tcW w:w="3188" w:type="dxa"/>
            <w:tcBorders>
              <w:top w:val="single" w:sz="4" w:space="0" w:color="auto"/>
            </w:tcBorders>
          </w:tcPr>
          <w:p w14:paraId="22893DFD" w14:textId="77777777" w:rsidR="004E314E" w:rsidRPr="001362A6" w:rsidRDefault="004E314E" w:rsidP="004E314E">
            <w:pPr>
              <w:rPr>
                <w:rFonts w:ascii="Lato" w:hAnsi="Lato"/>
                <w:sz w:val="22"/>
                <w:szCs w:val="22"/>
              </w:rPr>
            </w:pPr>
          </w:p>
        </w:tc>
      </w:tr>
      <w:tr w:rsidR="004E314E" w:rsidRPr="001362A6" w14:paraId="3A90966B" w14:textId="77777777" w:rsidTr="00990D73">
        <w:tc>
          <w:tcPr>
            <w:tcW w:w="1316" w:type="dxa"/>
          </w:tcPr>
          <w:p w14:paraId="7736E05A" w14:textId="77777777" w:rsidR="004E314E" w:rsidRPr="001362A6" w:rsidRDefault="004E314E" w:rsidP="004E314E">
            <w:pPr>
              <w:rPr>
                <w:rFonts w:ascii="Lato" w:hAnsi="Lato"/>
                <w:sz w:val="22"/>
                <w:szCs w:val="22"/>
              </w:rPr>
            </w:pPr>
            <w:r w:rsidRPr="001362A6">
              <w:rPr>
                <w:rFonts w:ascii="Lato" w:hAnsi="Lato"/>
                <w:sz w:val="22"/>
                <w:szCs w:val="22"/>
              </w:rPr>
              <w:t>2.23.4</w:t>
            </w:r>
          </w:p>
        </w:tc>
        <w:tc>
          <w:tcPr>
            <w:tcW w:w="5891" w:type="dxa"/>
          </w:tcPr>
          <w:p w14:paraId="0F49D290" w14:textId="77777777" w:rsidR="004E314E" w:rsidRPr="001362A6" w:rsidRDefault="004E314E" w:rsidP="004E314E">
            <w:pPr>
              <w:jc w:val="both"/>
              <w:rPr>
                <w:rFonts w:ascii="Lato" w:hAnsi="Lato"/>
                <w:sz w:val="22"/>
                <w:szCs w:val="22"/>
              </w:rPr>
            </w:pPr>
            <w:r w:rsidRPr="001362A6">
              <w:rPr>
                <w:rFonts w:ascii="Lato" w:hAnsi="Lato"/>
                <w:sz w:val="22"/>
                <w:szCs w:val="22"/>
              </w:rPr>
              <w:t xml:space="preserve">New sub-funds of existing Qualifying Investor AIFs </w:t>
            </w:r>
          </w:p>
        </w:tc>
        <w:tc>
          <w:tcPr>
            <w:tcW w:w="3188" w:type="dxa"/>
            <w:tcBorders>
              <w:bottom w:val="single" w:sz="4" w:space="0" w:color="auto"/>
            </w:tcBorders>
          </w:tcPr>
          <w:p w14:paraId="1E1F8727" w14:textId="77777777" w:rsidR="004E314E" w:rsidRPr="001362A6" w:rsidRDefault="004E314E" w:rsidP="004E314E">
            <w:pPr>
              <w:rPr>
                <w:rFonts w:ascii="Lato" w:hAnsi="Lato"/>
                <w:sz w:val="22"/>
                <w:szCs w:val="22"/>
              </w:rPr>
            </w:pPr>
          </w:p>
        </w:tc>
      </w:tr>
      <w:tr w:rsidR="004E314E" w:rsidRPr="001362A6" w14:paraId="2839284D" w14:textId="77777777" w:rsidTr="00990D73">
        <w:tc>
          <w:tcPr>
            <w:tcW w:w="1316" w:type="dxa"/>
          </w:tcPr>
          <w:p w14:paraId="57E76A00"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63DA67C0" w14:textId="77777777" w:rsidR="004E314E" w:rsidRPr="001362A6" w:rsidRDefault="004E314E" w:rsidP="004E314E">
            <w:pPr>
              <w:jc w:val="both"/>
              <w:rPr>
                <w:rFonts w:ascii="Lato" w:hAnsi="Lato"/>
                <w:sz w:val="22"/>
                <w:szCs w:val="22"/>
              </w:rPr>
            </w:pPr>
            <w:r w:rsidRPr="001362A6">
              <w:rPr>
                <w:rFonts w:ascii="Lato" w:hAnsi="Lato"/>
                <w:sz w:val="22"/>
                <w:szCs w:val="22"/>
              </w:rPr>
              <w:t xml:space="preserve">Confirm that where a supplement to the prospectus or a </w:t>
            </w:r>
          </w:p>
        </w:tc>
        <w:tc>
          <w:tcPr>
            <w:tcW w:w="3188" w:type="dxa"/>
            <w:tcBorders>
              <w:top w:val="single" w:sz="4" w:space="0" w:color="auto"/>
              <w:left w:val="single" w:sz="4" w:space="0" w:color="auto"/>
              <w:bottom w:val="single" w:sz="4" w:space="0" w:color="auto"/>
              <w:right w:val="single" w:sz="4" w:space="0" w:color="auto"/>
            </w:tcBorders>
          </w:tcPr>
          <w:p w14:paraId="4CCB2437" w14:textId="77777777" w:rsidR="004E314E" w:rsidRPr="001362A6" w:rsidRDefault="004E314E" w:rsidP="004E314E">
            <w:pPr>
              <w:rPr>
                <w:rFonts w:ascii="Lato" w:hAnsi="Lato"/>
                <w:sz w:val="22"/>
                <w:szCs w:val="22"/>
              </w:rPr>
            </w:pPr>
          </w:p>
        </w:tc>
      </w:tr>
      <w:tr w:rsidR="004E314E" w:rsidRPr="001362A6" w14:paraId="535B08CD" w14:textId="77777777" w:rsidTr="00990D73">
        <w:tc>
          <w:tcPr>
            <w:tcW w:w="1316" w:type="dxa"/>
          </w:tcPr>
          <w:p w14:paraId="33CBCF0A" w14:textId="77777777" w:rsidR="004E314E" w:rsidRPr="001362A6" w:rsidRDefault="004E314E" w:rsidP="004E314E">
            <w:pPr>
              <w:rPr>
                <w:rFonts w:ascii="Lato" w:hAnsi="Lato"/>
                <w:sz w:val="22"/>
                <w:szCs w:val="22"/>
              </w:rPr>
            </w:pPr>
          </w:p>
        </w:tc>
        <w:tc>
          <w:tcPr>
            <w:tcW w:w="5891" w:type="dxa"/>
          </w:tcPr>
          <w:p w14:paraId="2CD28DE6" w14:textId="77777777" w:rsidR="004E314E" w:rsidRPr="001362A6" w:rsidRDefault="004E314E" w:rsidP="004E314E">
            <w:pPr>
              <w:jc w:val="both"/>
              <w:rPr>
                <w:rFonts w:ascii="Lato" w:hAnsi="Lato"/>
                <w:sz w:val="22"/>
                <w:szCs w:val="22"/>
              </w:rPr>
            </w:pPr>
            <w:r w:rsidRPr="00590C6D">
              <w:rPr>
                <w:rFonts w:ascii="Lato" w:hAnsi="Lato"/>
                <w:sz w:val="22"/>
                <w:szCs w:val="22"/>
              </w:rPr>
              <w:t>separate</w:t>
            </w:r>
            <w:r w:rsidRPr="001362A6">
              <w:rPr>
                <w:rFonts w:ascii="Lato" w:hAnsi="Lato"/>
                <w:sz w:val="22"/>
                <w:szCs w:val="22"/>
              </w:rPr>
              <w:t xml:space="preserve"> prospectus is issued for a sub-fund/class, that supplement/prospectus states that the Qualifying investor AIF is constituted as an umbrella Qualifying Investor AIF and  names the other existing sub-funds or provide that these will be available upon request.</w:t>
            </w:r>
          </w:p>
        </w:tc>
        <w:tc>
          <w:tcPr>
            <w:tcW w:w="3188" w:type="dxa"/>
            <w:tcBorders>
              <w:top w:val="single" w:sz="4" w:space="0" w:color="auto"/>
            </w:tcBorders>
          </w:tcPr>
          <w:p w14:paraId="249A6D2C" w14:textId="77777777" w:rsidR="004E314E" w:rsidRPr="001362A6" w:rsidRDefault="004E314E" w:rsidP="004E314E">
            <w:pPr>
              <w:rPr>
                <w:rFonts w:ascii="Lato" w:hAnsi="Lato"/>
                <w:sz w:val="22"/>
                <w:szCs w:val="22"/>
              </w:rPr>
            </w:pPr>
          </w:p>
        </w:tc>
      </w:tr>
      <w:tr w:rsidR="004E314E" w:rsidRPr="001362A6" w14:paraId="27EC5300" w14:textId="77777777" w:rsidTr="00990D73">
        <w:tc>
          <w:tcPr>
            <w:tcW w:w="1316" w:type="dxa"/>
          </w:tcPr>
          <w:p w14:paraId="666D75D0" w14:textId="77777777" w:rsidR="004E314E" w:rsidRPr="001362A6" w:rsidRDefault="004E314E" w:rsidP="004E314E">
            <w:pPr>
              <w:rPr>
                <w:rFonts w:ascii="Lato" w:hAnsi="Lato"/>
                <w:sz w:val="22"/>
                <w:szCs w:val="22"/>
              </w:rPr>
            </w:pPr>
          </w:p>
        </w:tc>
        <w:tc>
          <w:tcPr>
            <w:tcW w:w="5891" w:type="dxa"/>
          </w:tcPr>
          <w:p w14:paraId="104DA87F" w14:textId="77777777" w:rsidR="004E314E" w:rsidRPr="001362A6" w:rsidRDefault="004E314E" w:rsidP="004E314E">
            <w:pPr>
              <w:rPr>
                <w:rFonts w:ascii="Lato" w:hAnsi="Lato"/>
                <w:sz w:val="22"/>
                <w:szCs w:val="22"/>
              </w:rPr>
            </w:pPr>
          </w:p>
        </w:tc>
        <w:tc>
          <w:tcPr>
            <w:tcW w:w="3188" w:type="dxa"/>
            <w:tcBorders>
              <w:bottom w:val="single" w:sz="4" w:space="0" w:color="auto"/>
            </w:tcBorders>
          </w:tcPr>
          <w:p w14:paraId="0E45D440" w14:textId="77777777" w:rsidR="004E314E" w:rsidRPr="001362A6" w:rsidRDefault="004E314E" w:rsidP="004E314E">
            <w:pPr>
              <w:rPr>
                <w:rFonts w:ascii="Lato" w:hAnsi="Lato"/>
                <w:sz w:val="22"/>
                <w:szCs w:val="22"/>
              </w:rPr>
            </w:pPr>
          </w:p>
        </w:tc>
      </w:tr>
      <w:tr w:rsidR="004E314E" w:rsidRPr="001362A6" w14:paraId="69FD5E94" w14:textId="77777777" w:rsidTr="00990D73">
        <w:trPr>
          <w:cantSplit/>
          <w:trHeight w:val="255"/>
        </w:trPr>
        <w:tc>
          <w:tcPr>
            <w:tcW w:w="1316" w:type="dxa"/>
            <w:vMerge w:val="restart"/>
          </w:tcPr>
          <w:p w14:paraId="3038DFDF" w14:textId="77777777" w:rsidR="004E314E" w:rsidRPr="001362A6" w:rsidRDefault="004E314E" w:rsidP="004E314E">
            <w:pPr>
              <w:rPr>
                <w:rFonts w:ascii="Lato" w:hAnsi="Lato"/>
                <w:sz w:val="22"/>
                <w:szCs w:val="22"/>
              </w:rPr>
            </w:pPr>
            <w:r w:rsidRPr="001362A6">
              <w:rPr>
                <w:rFonts w:ascii="Lato" w:hAnsi="Lato"/>
                <w:sz w:val="22"/>
                <w:szCs w:val="22"/>
              </w:rPr>
              <w:t>2.23.5</w:t>
            </w:r>
          </w:p>
        </w:tc>
        <w:tc>
          <w:tcPr>
            <w:tcW w:w="5891" w:type="dxa"/>
            <w:vMerge w:val="restart"/>
            <w:tcBorders>
              <w:right w:val="single" w:sz="4" w:space="0" w:color="auto"/>
            </w:tcBorders>
          </w:tcPr>
          <w:p w14:paraId="10F142AF" w14:textId="77777777" w:rsidR="004E314E" w:rsidRPr="001362A6" w:rsidRDefault="004E314E" w:rsidP="004E314E">
            <w:pPr>
              <w:jc w:val="both"/>
              <w:rPr>
                <w:rFonts w:ascii="Lato" w:hAnsi="Lato"/>
                <w:sz w:val="22"/>
                <w:szCs w:val="22"/>
              </w:rPr>
            </w:pPr>
            <w:r w:rsidRPr="001362A6">
              <w:rPr>
                <w:rFonts w:ascii="Lato" w:hAnsi="Lato"/>
                <w:sz w:val="22"/>
                <w:szCs w:val="22"/>
              </w:rPr>
              <w:t>A statement that new sub-funds require the prior approval of the Central Bank.</w:t>
            </w:r>
          </w:p>
        </w:tc>
        <w:tc>
          <w:tcPr>
            <w:tcW w:w="3188" w:type="dxa"/>
            <w:tcBorders>
              <w:top w:val="single" w:sz="4" w:space="0" w:color="auto"/>
              <w:bottom w:val="single" w:sz="4" w:space="0" w:color="auto"/>
              <w:right w:val="single" w:sz="4" w:space="0" w:color="auto"/>
            </w:tcBorders>
          </w:tcPr>
          <w:p w14:paraId="1297F0CB" w14:textId="77777777" w:rsidR="004E314E" w:rsidRPr="001362A6" w:rsidRDefault="004E314E" w:rsidP="004E314E">
            <w:pPr>
              <w:rPr>
                <w:rFonts w:ascii="Lato" w:hAnsi="Lato"/>
                <w:sz w:val="22"/>
                <w:szCs w:val="22"/>
              </w:rPr>
            </w:pPr>
          </w:p>
        </w:tc>
      </w:tr>
      <w:tr w:rsidR="004E314E" w:rsidRPr="001362A6" w14:paraId="3D6E61E1" w14:textId="77777777" w:rsidTr="00990D73">
        <w:trPr>
          <w:cantSplit/>
          <w:trHeight w:val="254"/>
        </w:trPr>
        <w:tc>
          <w:tcPr>
            <w:tcW w:w="1316" w:type="dxa"/>
            <w:vMerge/>
          </w:tcPr>
          <w:p w14:paraId="382254DE" w14:textId="77777777" w:rsidR="004E314E" w:rsidRPr="001362A6" w:rsidRDefault="004E314E" w:rsidP="004E314E">
            <w:pPr>
              <w:rPr>
                <w:rFonts w:ascii="Lato" w:hAnsi="Lato"/>
                <w:sz w:val="22"/>
                <w:szCs w:val="22"/>
              </w:rPr>
            </w:pPr>
          </w:p>
        </w:tc>
        <w:tc>
          <w:tcPr>
            <w:tcW w:w="5891" w:type="dxa"/>
            <w:vMerge/>
          </w:tcPr>
          <w:p w14:paraId="181EA137" w14:textId="77777777" w:rsidR="004E314E" w:rsidRPr="001362A6" w:rsidRDefault="004E314E" w:rsidP="004E314E">
            <w:pPr>
              <w:jc w:val="both"/>
              <w:rPr>
                <w:rFonts w:ascii="Lato" w:hAnsi="Lato"/>
                <w:sz w:val="22"/>
                <w:szCs w:val="22"/>
              </w:rPr>
            </w:pPr>
          </w:p>
        </w:tc>
        <w:tc>
          <w:tcPr>
            <w:tcW w:w="3188" w:type="dxa"/>
            <w:tcBorders>
              <w:top w:val="single" w:sz="4" w:space="0" w:color="auto"/>
            </w:tcBorders>
          </w:tcPr>
          <w:p w14:paraId="6A1B8947" w14:textId="77777777" w:rsidR="004E314E" w:rsidRPr="001362A6" w:rsidRDefault="004E314E" w:rsidP="004E314E">
            <w:pPr>
              <w:rPr>
                <w:rFonts w:ascii="Lato" w:hAnsi="Lato"/>
                <w:sz w:val="22"/>
                <w:szCs w:val="22"/>
              </w:rPr>
            </w:pPr>
          </w:p>
        </w:tc>
      </w:tr>
      <w:tr w:rsidR="004E314E" w:rsidRPr="001362A6" w14:paraId="4566B3E7" w14:textId="77777777" w:rsidTr="00990D73">
        <w:tc>
          <w:tcPr>
            <w:tcW w:w="1316" w:type="dxa"/>
          </w:tcPr>
          <w:p w14:paraId="4EADBC98" w14:textId="77777777" w:rsidR="004E314E" w:rsidRPr="001362A6" w:rsidRDefault="004E314E" w:rsidP="004E314E">
            <w:pPr>
              <w:rPr>
                <w:rFonts w:ascii="Lato" w:hAnsi="Lato"/>
                <w:sz w:val="22"/>
                <w:szCs w:val="22"/>
              </w:rPr>
            </w:pPr>
          </w:p>
        </w:tc>
        <w:tc>
          <w:tcPr>
            <w:tcW w:w="5891" w:type="dxa"/>
          </w:tcPr>
          <w:p w14:paraId="7A28F479" w14:textId="77777777" w:rsidR="004E314E" w:rsidRPr="001362A6" w:rsidRDefault="004E314E" w:rsidP="004E314E">
            <w:pPr>
              <w:jc w:val="both"/>
              <w:rPr>
                <w:rFonts w:ascii="Lato" w:hAnsi="Lato"/>
                <w:sz w:val="22"/>
                <w:szCs w:val="22"/>
              </w:rPr>
            </w:pPr>
          </w:p>
        </w:tc>
        <w:tc>
          <w:tcPr>
            <w:tcW w:w="3188" w:type="dxa"/>
            <w:tcBorders>
              <w:bottom w:val="single" w:sz="4" w:space="0" w:color="auto"/>
            </w:tcBorders>
          </w:tcPr>
          <w:p w14:paraId="1037BD52" w14:textId="77777777" w:rsidR="004E314E" w:rsidRPr="001362A6" w:rsidRDefault="004E314E" w:rsidP="004E314E">
            <w:pPr>
              <w:rPr>
                <w:rFonts w:ascii="Lato" w:hAnsi="Lato"/>
                <w:sz w:val="22"/>
                <w:szCs w:val="22"/>
              </w:rPr>
            </w:pPr>
          </w:p>
        </w:tc>
      </w:tr>
      <w:tr w:rsidR="004E314E" w:rsidRPr="001362A6" w14:paraId="3E696301" w14:textId="77777777" w:rsidTr="00990D73">
        <w:trPr>
          <w:cantSplit/>
          <w:trHeight w:val="255"/>
        </w:trPr>
        <w:tc>
          <w:tcPr>
            <w:tcW w:w="1316" w:type="dxa"/>
            <w:vMerge w:val="restart"/>
          </w:tcPr>
          <w:p w14:paraId="101078D7" w14:textId="77777777" w:rsidR="004E314E" w:rsidRPr="001362A6" w:rsidRDefault="004E314E" w:rsidP="004E314E">
            <w:pPr>
              <w:rPr>
                <w:rFonts w:ascii="Lato" w:hAnsi="Lato"/>
                <w:sz w:val="22"/>
                <w:szCs w:val="22"/>
              </w:rPr>
            </w:pPr>
            <w:r w:rsidRPr="001362A6">
              <w:rPr>
                <w:rFonts w:ascii="Lato" w:hAnsi="Lato"/>
                <w:sz w:val="22"/>
                <w:szCs w:val="22"/>
              </w:rPr>
              <w:t>2.23.6 a)</w:t>
            </w:r>
          </w:p>
        </w:tc>
        <w:tc>
          <w:tcPr>
            <w:tcW w:w="5891" w:type="dxa"/>
            <w:vMerge w:val="restart"/>
            <w:tcBorders>
              <w:right w:val="single" w:sz="4" w:space="0" w:color="auto"/>
            </w:tcBorders>
          </w:tcPr>
          <w:p w14:paraId="62F8945D" w14:textId="77777777" w:rsidR="004E314E" w:rsidRPr="001362A6" w:rsidRDefault="004E314E" w:rsidP="004E314E">
            <w:pPr>
              <w:pStyle w:val="Heading1"/>
              <w:spacing w:before="0" w:after="0" w:line="240" w:lineRule="auto"/>
              <w:jc w:val="both"/>
              <w:rPr>
                <w:rFonts w:ascii="Lato" w:eastAsia="Arial Unicode MS" w:hAnsi="Lato"/>
                <w:color w:val="auto"/>
                <w:sz w:val="22"/>
                <w:szCs w:val="22"/>
              </w:rPr>
            </w:pPr>
            <w:r w:rsidRPr="001362A6">
              <w:rPr>
                <w:rFonts w:ascii="Lato" w:hAnsi="Lato"/>
                <w:color w:val="auto"/>
                <w:sz w:val="22"/>
                <w:szCs w:val="22"/>
              </w:rPr>
              <w:t>Investment companies constituted as umbrella Qualifying Investor AIFs which were authorised and commenced trading before 30 June 2005 and which do not have segregated liability between sub-funds clearly disclose the potential risks to unitholders arising from the absence of the segregation of liability between sub-funds</w:t>
            </w:r>
          </w:p>
          <w:p w14:paraId="75609FD4" w14:textId="77777777" w:rsidR="004E314E" w:rsidRPr="001362A6" w:rsidRDefault="004E314E" w:rsidP="004E314E">
            <w:pPr>
              <w:rPr>
                <w:rFonts w:ascii="Lato" w:eastAsia="Arial Unicode MS" w:hAnsi="Lato"/>
                <w:sz w:val="22"/>
                <w:szCs w:val="22"/>
              </w:rPr>
            </w:pPr>
          </w:p>
        </w:tc>
        <w:tc>
          <w:tcPr>
            <w:tcW w:w="3188" w:type="dxa"/>
            <w:tcBorders>
              <w:top w:val="single" w:sz="4" w:space="0" w:color="auto"/>
              <w:bottom w:val="single" w:sz="4" w:space="0" w:color="auto"/>
              <w:right w:val="single" w:sz="4" w:space="0" w:color="auto"/>
            </w:tcBorders>
          </w:tcPr>
          <w:p w14:paraId="16E08560" w14:textId="77777777" w:rsidR="004E314E" w:rsidRPr="001362A6" w:rsidRDefault="004E314E" w:rsidP="004E314E">
            <w:pPr>
              <w:rPr>
                <w:rFonts w:ascii="Lato" w:hAnsi="Lato"/>
                <w:sz w:val="22"/>
                <w:szCs w:val="22"/>
              </w:rPr>
            </w:pPr>
          </w:p>
        </w:tc>
      </w:tr>
      <w:tr w:rsidR="004E314E" w:rsidRPr="001362A6" w14:paraId="04C8F9A6" w14:textId="77777777" w:rsidTr="00990D73">
        <w:trPr>
          <w:cantSplit/>
          <w:trHeight w:val="254"/>
        </w:trPr>
        <w:tc>
          <w:tcPr>
            <w:tcW w:w="1316" w:type="dxa"/>
            <w:vMerge/>
          </w:tcPr>
          <w:p w14:paraId="6C0800DE" w14:textId="77777777" w:rsidR="004E314E" w:rsidRPr="001362A6" w:rsidRDefault="004E314E" w:rsidP="004E314E">
            <w:pPr>
              <w:rPr>
                <w:rFonts w:ascii="Lato" w:hAnsi="Lato"/>
                <w:sz w:val="22"/>
                <w:szCs w:val="22"/>
              </w:rPr>
            </w:pPr>
          </w:p>
        </w:tc>
        <w:tc>
          <w:tcPr>
            <w:tcW w:w="5891" w:type="dxa"/>
            <w:vMerge/>
          </w:tcPr>
          <w:p w14:paraId="0A1626E2" w14:textId="77777777" w:rsidR="004E314E" w:rsidRPr="001362A6" w:rsidRDefault="004E314E" w:rsidP="004E314E">
            <w:pPr>
              <w:pStyle w:val="Heading1"/>
              <w:spacing w:before="0" w:after="0" w:line="240" w:lineRule="auto"/>
              <w:rPr>
                <w:rFonts w:ascii="Lato" w:hAnsi="Lato"/>
                <w:color w:val="auto"/>
                <w:sz w:val="22"/>
                <w:szCs w:val="22"/>
              </w:rPr>
            </w:pPr>
          </w:p>
        </w:tc>
        <w:tc>
          <w:tcPr>
            <w:tcW w:w="3188" w:type="dxa"/>
            <w:tcBorders>
              <w:top w:val="single" w:sz="4" w:space="0" w:color="auto"/>
              <w:bottom w:val="single" w:sz="4" w:space="0" w:color="auto"/>
            </w:tcBorders>
          </w:tcPr>
          <w:p w14:paraId="0EDE64AD" w14:textId="77777777" w:rsidR="004E314E" w:rsidRPr="001362A6" w:rsidRDefault="004E314E" w:rsidP="004E314E">
            <w:pPr>
              <w:rPr>
                <w:rFonts w:ascii="Lato" w:hAnsi="Lato"/>
                <w:sz w:val="22"/>
                <w:szCs w:val="22"/>
              </w:rPr>
            </w:pPr>
          </w:p>
        </w:tc>
      </w:tr>
      <w:tr w:rsidR="004E314E" w:rsidRPr="001362A6" w14:paraId="352CE6BC" w14:textId="77777777" w:rsidTr="00990D73">
        <w:trPr>
          <w:cantSplit/>
          <w:trHeight w:val="254"/>
        </w:trPr>
        <w:tc>
          <w:tcPr>
            <w:tcW w:w="1316" w:type="dxa"/>
          </w:tcPr>
          <w:p w14:paraId="2D1DFCA5" w14:textId="77777777" w:rsidR="004E314E" w:rsidRPr="001362A6" w:rsidRDefault="004E314E" w:rsidP="004E314E">
            <w:pPr>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72720747" w14:textId="77777777" w:rsidR="004E314E" w:rsidRPr="001362A6" w:rsidRDefault="004E314E" w:rsidP="004E314E">
            <w:pPr>
              <w:pStyle w:val="Heading1"/>
              <w:spacing w:before="0" w:after="0" w:line="240" w:lineRule="auto"/>
              <w:rPr>
                <w:rFonts w:ascii="Lato" w:hAnsi="Lato"/>
                <w:color w:val="auto"/>
                <w:sz w:val="22"/>
                <w:szCs w:val="22"/>
              </w:rPr>
            </w:pPr>
            <w:r w:rsidRPr="001362A6">
              <w:rPr>
                <w:rFonts w:ascii="Lato" w:eastAsia="Arial Unicode MS" w:hAnsi="Lato"/>
                <w:color w:val="auto"/>
                <w:sz w:val="22"/>
                <w:szCs w:val="22"/>
              </w:rPr>
              <w:t>Confirm, where relevant that Investment Companies</w:t>
            </w:r>
          </w:p>
        </w:tc>
        <w:tc>
          <w:tcPr>
            <w:tcW w:w="3188" w:type="dxa"/>
            <w:tcBorders>
              <w:top w:val="single" w:sz="4" w:space="0" w:color="auto"/>
              <w:left w:val="single" w:sz="4" w:space="0" w:color="auto"/>
              <w:bottom w:val="single" w:sz="4" w:space="0" w:color="auto"/>
              <w:right w:val="single" w:sz="4" w:space="0" w:color="auto"/>
            </w:tcBorders>
          </w:tcPr>
          <w:p w14:paraId="1B8E179F" w14:textId="77777777" w:rsidR="004E314E" w:rsidRPr="001362A6" w:rsidRDefault="004E314E" w:rsidP="004E314E">
            <w:pPr>
              <w:rPr>
                <w:rFonts w:ascii="Lato" w:hAnsi="Lato"/>
                <w:sz w:val="22"/>
                <w:szCs w:val="22"/>
              </w:rPr>
            </w:pPr>
          </w:p>
        </w:tc>
      </w:tr>
      <w:tr w:rsidR="004E314E" w:rsidRPr="001362A6" w14:paraId="44D207A3" w14:textId="77777777" w:rsidTr="00990D73">
        <w:trPr>
          <w:cantSplit/>
          <w:trHeight w:val="254"/>
        </w:trPr>
        <w:tc>
          <w:tcPr>
            <w:tcW w:w="1316" w:type="dxa"/>
          </w:tcPr>
          <w:p w14:paraId="169C8813" w14:textId="77777777" w:rsidR="004E314E" w:rsidRPr="001362A6" w:rsidRDefault="004E314E" w:rsidP="004E314E">
            <w:pPr>
              <w:rPr>
                <w:rFonts w:ascii="Lato" w:hAnsi="Lato"/>
                <w:sz w:val="22"/>
                <w:szCs w:val="22"/>
              </w:rPr>
            </w:pPr>
          </w:p>
        </w:tc>
        <w:tc>
          <w:tcPr>
            <w:tcW w:w="5891" w:type="dxa"/>
          </w:tcPr>
          <w:p w14:paraId="0E1D0936" w14:textId="77777777" w:rsidR="004E314E" w:rsidRPr="001362A6" w:rsidRDefault="004E314E" w:rsidP="004E314E">
            <w:pPr>
              <w:pStyle w:val="Heading1"/>
              <w:spacing w:before="0" w:after="0" w:line="240" w:lineRule="auto"/>
              <w:rPr>
                <w:rFonts w:ascii="Lato" w:hAnsi="Lato"/>
                <w:color w:val="auto"/>
                <w:sz w:val="22"/>
                <w:szCs w:val="22"/>
              </w:rPr>
            </w:pPr>
            <w:r w:rsidRPr="001362A6">
              <w:rPr>
                <w:rFonts w:ascii="Lato" w:eastAsia="Arial Unicode MS" w:hAnsi="Lato"/>
                <w:color w:val="auto"/>
                <w:sz w:val="22"/>
                <w:szCs w:val="22"/>
              </w:rPr>
              <w:t>authorised before 30 June 2005, which have as an</w:t>
            </w:r>
          </w:p>
        </w:tc>
        <w:tc>
          <w:tcPr>
            <w:tcW w:w="3188" w:type="dxa"/>
            <w:tcBorders>
              <w:top w:val="single" w:sz="4" w:space="0" w:color="auto"/>
            </w:tcBorders>
          </w:tcPr>
          <w:p w14:paraId="0AF71AF6" w14:textId="77777777" w:rsidR="004E314E" w:rsidRPr="001362A6" w:rsidRDefault="004E314E" w:rsidP="004E314E">
            <w:pPr>
              <w:rPr>
                <w:rFonts w:ascii="Lato" w:hAnsi="Lato"/>
                <w:sz w:val="22"/>
                <w:szCs w:val="22"/>
              </w:rPr>
            </w:pPr>
          </w:p>
        </w:tc>
      </w:tr>
      <w:tr w:rsidR="004E314E" w:rsidRPr="001362A6" w14:paraId="7E2360A7" w14:textId="77777777" w:rsidTr="00990D73">
        <w:trPr>
          <w:cantSplit/>
          <w:trHeight w:val="254"/>
        </w:trPr>
        <w:tc>
          <w:tcPr>
            <w:tcW w:w="1316" w:type="dxa"/>
          </w:tcPr>
          <w:p w14:paraId="487BE1DD" w14:textId="77777777" w:rsidR="004E314E" w:rsidRPr="001362A6" w:rsidRDefault="004E314E" w:rsidP="004E314E">
            <w:pPr>
              <w:rPr>
                <w:rFonts w:ascii="Lato" w:hAnsi="Lato"/>
                <w:sz w:val="22"/>
                <w:szCs w:val="22"/>
              </w:rPr>
            </w:pPr>
          </w:p>
        </w:tc>
        <w:tc>
          <w:tcPr>
            <w:tcW w:w="5891" w:type="dxa"/>
          </w:tcPr>
          <w:p w14:paraId="5394B978" w14:textId="77777777" w:rsidR="004E314E" w:rsidRPr="001362A6" w:rsidRDefault="004E314E" w:rsidP="004E314E">
            <w:pPr>
              <w:pStyle w:val="Heading1"/>
              <w:spacing w:before="0" w:after="0" w:line="240" w:lineRule="auto"/>
              <w:rPr>
                <w:rFonts w:ascii="Lato" w:hAnsi="Lato"/>
                <w:color w:val="auto"/>
                <w:sz w:val="22"/>
                <w:szCs w:val="22"/>
              </w:rPr>
            </w:pPr>
            <w:r w:rsidRPr="001362A6">
              <w:rPr>
                <w:rFonts w:ascii="Lato" w:eastAsia="Arial Unicode MS" w:hAnsi="Lato"/>
                <w:color w:val="auto"/>
                <w:sz w:val="22"/>
                <w:szCs w:val="22"/>
              </w:rPr>
              <w:t>investment objective the employment of leverage, will not</w:t>
            </w:r>
          </w:p>
        </w:tc>
        <w:tc>
          <w:tcPr>
            <w:tcW w:w="3188" w:type="dxa"/>
          </w:tcPr>
          <w:p w14:paraId="0B9C16CD" w14:textId="77777777" w:rsidR="004E314E" w:rsidRPr="001362A6" w:rsidRDefault="004E314E" w:rsidP="004E314E">
            <w:pPr>
              <w:rPr>
                <w:rFonts w:ascii="Lato" w:hAnsi="Lato"/>
                <w:sz w:val="22"/>
                <w:szCs w:val="22"/>
              </w:rPr>
            </w:pPr>
          </w:p>
        </w:tc>
      </w:tr>
      <w:tr w:rsidR="004E314E" w:rsidRPr="001362A6" w14:paraId="0163151D" w14:textId="77777777" w:rsidTr="00990D73">
        <w:trPr>
          <w:cantSplit/>
          <w:trHeight w:val="254"/>
        </w:trPr>
        <w:tc>
          <w:tcPr>
            <w:tcW w:w="1316" w:type="dxa"/>
          </w:tcPr>
          <w:p w14:paraId="2E3FF0FD" w14:textId="77777777" w:rsidR="004E314E" w:rsidRPr="001362A6" w:rsidRDefault="004E314E" w:rsidP="004E314E">
            <w:pPr>
              <w:rPr>
                <w:rFonts w:ascii="Lato" w:hAnsi="Lato"/>
                <w:sz w:val="22"/>
                <w:szCs w:val="22"/>
              </w:rPr>
            </w:pPr>
          </w:p>
        </w:tc>
        <w:tc>
          <w:tcPr>
            <w:tcW w:w="5891" w:type="dxa"/>
          </w:tcPr>
          <w:p w14:paraId="660CD95F" w14:textId="77777777" w:rsidR="004E314E" w:rsidRPr="001362A6" w:rsidRDefault="004E314E" w:rsidP="004E314E">
            <w:pPr>
              <w:pStyle w:val="Heading1"/>
              <w:spacing w:before="0" w:after="0" w:line="240" w:lineRule="auto"/>
              <w:rPr>
                <w:rFonts w:ascii="Lato" w:hAnsi="Lato"/>
                <w:color w:val="auto"/>
                <w:sz w:val="22"/>
                <w:szCs w:val="22"/>
              </w:rPr>
            </w:pPr>
            <w:r w:rsidRPr="001362A6">
              <w:rPr>
                <w:rFonts w:ascii="Lato" w:eastAsia="Arial Unicode MS" w:hAnsi="Lato"/>
                <w:color w:val="auto"/>
                <w:sz w:val="22"/>
                <w:szCs w:val="22"/>
              </w:rPr>
              <w:t>establish additional sub-funds unless the umbrella</w:t>
            </w:r>
          </w:p>
        </w:tc>
        <w:tc>
          <w:tcPr>
            <w:tcW w:w="3188" w:type="dxa"/>
          </w:tcPr>
          <w:p w14:paraId="15FC0BF3" w14:textId="77777777" w:rsidR="004E314E" w:rsidRPr="001362A6" w:rsidRDefault="004E314E" w:rsidP="004E314E">
            <w:pPr>
              <w:rPr>
                <w:rFonts w:ascii="Lato" w:hAnsi="Lato"/>
                <w:sz w:val="22"/>
                <w:szCs w:val="22"/>
              </w:rPr>
            </w:pPr>
          </w:p>
        </w:tc>
      </w:tr>
      <w:tr w:rsidR="004E314E" w:rsidRPr="001362A6" w14:paraId="11126BD8" w14:textId="77777777" w:rsidTr="00990D73">
        <w:trPr>
          <w:cantSplit/>
          <w:trHeight w:val="254"/>
        </w:trPr>
        <w:tc>
          <w:tcPr>
            <w:tcW w:w="1316" w:type="dxa"/>
          </w:tcPr>
          <w:p w14:paraId="512DB6FA" w14:textId="77777777" w:rsidR="004E314E" w:rsidRPr="001362A6" w:rsidRDefault="004E314E" w:rsidP="004E314E">
            <w:pPr>
              <w:rPr>
                <w:rFonts w:ascii="Lato" w:hAnsi="Lato"/>
                <w:sz w:val="22"/>
                <w:szCs w:val="22"/>
              </w:rPr>
            </w:pPr>
          </w:p>
        </w:tc>
        <w:tc>
          <w:tcPr>
            <w:tcW w:w="5891" w:type="dxa"/>
          </w:tcPr>
          <w:p w14:paraId="61D16C90" w14:textId="77777777" w:rsidR="004E314E" w:rsidRPr="001362A6" w:rsidRDefault="004E314E" w:rsidP="004E314E">
            <w:pPr>
              <w:pStyle w:val="Heading1"/>
              <w:spacing w:before="0" w:after="0" w:line="240" w:lineRule="auto"/>
              <w:rPr>
                <w:rFonts w:ascii="Lato" w:hAnsi="Lato"/>
                <w:color w:val="auto"/>
                <w:sz w:val="22"/>
                <w:szCs w:val="22"/>
              </w:rPr>
            </w:pPr>
            <w:r w:rsidRPr="001362A6">
              <w:rPr>
                <w:rFonts w:ascii="Lato" w:hAnsi="Lato"/>
                <w:color w:val="auto"/>
                <w:sz w:val="22"/>
                <w:szCs w:val="22"/>
              </w:rPr>
              <w:t xml:space="preserve">Qualifying Investor AIF has taken measures necessary to </w:t>
            </w:r>
          </w:p>
        </w:tc>
        <w:tc>
          <w:tcPr>
            <w:tcW w:w="3188" w:type="dxa"/>
          </w:tcPr>
          <w:p w14:paraId="3A3EAA27" w14:textId="77777777" w:rsidR="004E314E" w:rsidRPr="001362A6" w:rsidRDefault="004E314E" w:rsidP="004E314E">
            <w:pPr>
              <w:rPr>
                <w:rFonts w:ascii="Lato" w:hAnsi="Lato"/>
                <w:sz w:val="22"/>
                <w:szCs w:val="22"/>
              </w:rPr>
            </w:pPr>
          </w:p>
        </w:tc>
      </w:tr>
      <w:tr w:rsidR="004E314E" w:rsidRPr="001362A6" w14:paraId="5BD61F1C" w14:textId="77777777" w:rsidTr="00990D73">
        <w:trPr>
          <w:cantSplit/>
          <w:trHeight w:val="254"/>
        </w:trPr>
        <w:tc>
          <w:tcPr>
            <w:tcW w:w="1316" w:type="dxa"/>
          </w:tcPr>
          <w:p w14:paraId="0ABFF080" w14:textId="77777777" w:rsidR="004E314E" w:rsidRPr="001362A6" w:rsidRDefault="004E314E" w:rsidP="004E314E">
            <w:pPr>
              <w:rPr>
                <w:rFonts w:ascii="Lato" w:hAnsi="Lato"/>
                <w:sz w:val="22"/>
                <w:szCs w:val="22"/>
              </w:rPr>
            </w:pPr>
          </w:p>
        </w:tc>
        <w:tc>
          <w:tcPr>
            <w:tcW w:w="5891" w:type="dxa"/>
          </w:tcPr>
          <w:p w14:paraId="007A065E" w14:textId="77777777" w:rsidR="004E314E" w:rsidRPr="001362A6" w:rsidRDefault="004E314E" w:rsidP="004E314E">
            <w:pPr>
              <w:pStyle w:val="Heading1"/>
              <w:spacing w:before="0" w:after="0" w:line="240" w:lineRule="auto"/>
              <w:rPr>
                <w:rFonts w:ascii="Lato" w:hAnsi="Lato"/>
                <w:color w:val="auto"/>
                <w:sz w:val="22"/>
                <w:szCs w:val="22"/>
              </w:rPr>
            </w:pPr>
            <w:r w:rsidRPr="00590C6D">
              <w:rPr>
                <w:rFonts w:ascii="Lato" w:hAnsi="Lato"/>
                <w:color w:val="auto"/>
                <w:sz w:val="22"/>
                <w:szCs w:val="22"/>
              </w:rPr>
              <w:t>apply</w:t>
            </w:r>
            <w:r w:rsidRPr="001362A6">
              <w:rPr>
                <w:rFonts w:ascii="Lato" w:hAnsi="Lato"/>
                <w:color w:val="auto"/>
                <w:sz w:val="22"/>
                <w:szCs w:val="22"/>
              </w:rPr>
              <w:t xml:space="preserve"> segregated liability between sub-funds</w:t>
            </w:r>
          </w:p>
        </w:tc>
        <w:tc>
          <w:tcPr>
            <w:tcW w:w="3188" w:type="dxa"/>
          </w:tcPr>
          <w:p w14:paraId="6452E989" w14:textId="77777777" w:rsidR="004E314E" w:rsidRPr="001362A6" w:rsidRDefault="004E314E" w:rsidP="004E314E">
            <w:pPr>
              <w:rPr>
                <w:rFonts w:ascii="Lato" w:hAnsi="Lato"/>
                <w:sz w:val="22"/>
                <w:szCs w:val="22"/>
              </w:rPr>
            </w:pPr>
          </w:p>
        </w:tc>
      </w:tr>
      <w:tr w:rsidR="004E314E" w:rsidRPr="001362A6" w14:paraId="684780BD" w14:textId="77777777" w:rsidTr="00990D73">
        <w:trPr>
          <w:cantSplit/>
          <w:trHeight w:val="254"/>
        </w:trPr>
        <w:tc>
          <w:tcPr>
            <w:tcW w:w="1316" w:type="dxa"/>
          </w:tcPr>
          <w:p w14:paraId="40746185" w14:textId="77777777" w:rsidR="004E314E" w:rsidRPr="001362A6" w:rsidRDefault="004E314E" w:rsidP="004E314E">
            <w:pPr>
              <w:rPr>
                <w:rFonts w:ascii="Lato" w:hAnsi="Lato"/>
                <w:sz w:val="22"/>
                <w:szCs w:val="22"/>
              </w:rPr>
            </w:pPr>
          </w:p>
        </w:tc>
        <w:tc>
          <w:tcPr>
            <w:tcW w:w="5891" w:type="dxa"/>
          </w:tcPr>
          <w:p w14:paraId="4BCDF7D1" w14:textId="77777777" w:rsidR="004E314E" w:rsidRPr="001362A6" w:rsidRDefault="004E314E" w:rsidP="004E314E">
            <w:pPr>
              <w:pStyle w:val="Heading1"/>
              <w:spacing w:before="0" w:after="0" w:line="240" w:lineRule="auto"/>
              <w:rPr>
                <w:rFonts w:ascii="Lato" w:hAnsi="Lato"/>
                <w:color w:val="auto"/>
                <w:sz w:val="22"/>
                <w:szCs w:val="22"/>
              </w:rPr>
            </w:pPr>
          </w:p>
        </w:tc>
        <w:tc>
          <w:tcPr>
            <w:tcW w:w="3188" w:type="dxa"/>
          </w:tcPr>
          <w:p w14:paraId="37A8F839" w14:textId="77777777" w:rsidR="004E314E" w:rsidRPr="001362A6" w:rsidRDefault="004E314E" w:rsidP="004E314E">
            <w:pPr>
              <w:rPr>
                <w:rFonts w:ascii="Lato" w:hAnsi="Lato"/>
                <w:sz w:val="22"/>
                <w:szCs w:val="22"/>
              </w:rPr>
            </w:pPr>
          </w:p>
        </w:tc>
      </w:tr>
      <w:tr w:rsidR="004E314E" w:rsidRPr="001362A6" w14:paraId="707C6DA8" w14:textId="77777777" w:rsidTr="00990D73">
        <w:tc>
          <w:tcPr>
            <w:tcW w:w="1316" w:type="dxa"/>
          </w:tcPr>
          <w:p w14:paraId="1A22D14B" w14:textId="77777777" w:rsidR="004E314E" w:rsidRPr="001362A6" w:rsidRDefault="004E314E" w:rsidP="004E314E">
            <w:pPr>
              <w:rPr>
                <w:rFonts w:ascii="Lato" w:hAnsi="Lato"/>
                <w:sz w:val="22"/>
                <w:szCs w:val="22"/>
              </w:rPr>
            </w:pPr>
            <w:r w:rsidRPr="001362A6">
              <w:rPr>
                <w:rFonts w:ascii="Lato" w:hAnsi="Lato"/>
                <w:sz w:val="22"/>
                <w:szCs w:val="22"/>
              </w:rPr>
              <w:t>2.23.7</w:t>
            </w:r>
          </w:p>
        </w:tc>
        <w:tc>
          <w:tcPr>
            <w:tcW w:w="5891" w:type="dxa"/>
          </w:tcPr>
          <w:p w14:paraId="44C3DCAC" w14:textId="77777777" w:rsidR="004E314E" w:rsidRPr="001362A6" w:rsidRDefault="004E314E" w:rsidP="004E314E">
            <w:pPr>
              <w:rPr>
                <w:rFonts w:ascii="Lato" w:hAnsi="Lato"/>
                <w:sz w:val="22"/>
                <w:szCs w:val="22"/>
                <w:u w:val="single"/>
              </w:rPr>
            </w:pPr>
          </w:p>
        </w:tc>
        <w:tc>
          <w:tcPr>
            <w:tcW w:w="3188" w:type="dxa"/>
            <w:tcBorders>
              <w:bottom w:val="single" w:sz="4" w:space="0" w:color="auto"/>
            </w:tcBorders>
          </w:tcPr>
          <w:p w14:paraId="28F595B1" w14:textId="77777777" w:rsidR="004E314E" w:rsidRPr="001362A6" w:rsidRDefault="004E314E" w:rsidP="004E314E">
            <w:pPr>
              <w:rPr>
                <w:rFonts w:ascii="Lato" w:hAnsi="Lato"/>
                <w:sz w:val="22"/>
                <w:szCs w:val="22"/>
              </w:rPr>
            </w:pPr>
          </w:p>
        </w:tc>
      </w:tr>
      <w:tr w:rsidR="004E314E" w:rsidRPr="001362A6" w14:paraId="45A430CD" w14:textId="77777777" w:rsidTr="00990D73">
        <w:trPr>
          <w:cantSplit/>
          <w:trHeight w:val="255"/>
        </w:trPr>
        <w:tc>
          <w:tcPr>
            <w:tcW w:w="1316" w:type="dxa"/>
            <w:vMerge w:val="restart"/>
          </w:tcPr>
          <w:p w14:paraId="7087B55F" w14:textId="77777777" w:rsidR="004E314E" w:rsidRPr="001362A6" w:rsidRDefault="004E314E" w:rsidP="004E314E">
            <w:pPr>
              <w:jc w:val="right"/>
              <w:rPr>
                <w:rFonts w:ascii="Lato" w:hAnsi="Lato"/>
                <w:sz w:val="22"/>
                <w:szCs w:val="22"/>
              </w:rPr>
            </w:pPr>
            <w:r w:rsidRPr="001362A6">
              <w:rPr>
                <w:rFonts w:ascii="Lato" w:hAnsi="Lato"/>
                <w:sz w:val="22"/>
                <w:szCs w:val="22"/>
              </w:rPr>
              <w:t>a)</w:t>
            </w:r>
          </w:p>
        </w:tc>
        <w:tc>
          <w:tcPr>
            <w:tcW w:w="5891" w:type="dxa"/>
            <w:vMerge w:val="restart"/>
            <w:tcBorders>
              <w:right w:val="single" w:sz="4" w:space="0" w:color="auto"/>
            </w:tcBorders>
          </w:tcPr>
          <w:p w14:paraId="2145FAB8" w14:textId="77777777" w:rsidR="004E314E" w:rsidRPr="001362A6" w:rsidRDefault="004E314E" w:rsidP="004E314E">
            <w:pPr>
              <w:rPr>
                <w:rFonts w:ascii="Lato" w:hAnsi="Lato"/>
                <w:sz w:val="22"/>
                <w:szCs w:val="22"/>
              </w:rPr>
            </w:pPr>
            <w:r w:rsidRPr="001362A6">
              <w:rPr>
                <w:rFonts w:ascii="Lato" w:hAnsi="Lato"/>
                <w:sz w:val="22"/>
                <w:szCs w:val="22"/>
              </w:rPr>
              <w:t>Disclose the intention to and the extent to which one sub-fund can invest in another  sub-fund of the Qualifying Investor AIF and the conditions which apply to such investments</w:t>
            </w:r>
          </w:p>
        </w:tc>
        <w:tc>
          <w:tcPr>
            <w:tcW w:w="3188" w:type="dxa"/>
            <w:tcBorders>
              <w:top w:val="single" w:sz="4" w:space="0" w:color="auto"/>
              <w:left w:val="single" w:sz="4" w:space="0" w:color="auto"/>
              <w:bottom w:val="single" w:sz="4" w:space="0" w:color="auto"/>
              <w:right w:val="single" w:sz="4" w:space="0" w:color="auto"/>
            </w:tcBorders>
          </w:tcPr>
          <w:p w14:paraId="14B02C67" w14:textId="77777777" w:rsidR="004E314E" w:rsidRPr="001362A6" w:rsidRDefault="004E314E" w:rsidP="004E314E">
            <w:pPr>
              <w:rPr>
                <w:rFonts w:ascii="Lato" w:hAnsi="Lato"/>
                <w:sz w:val="22"/>
                <w:szCs w:val="22"/>
              </w:rPr>
            </w:pPr>
          </w:p>
        </w:tc>
      </w:tr>
      <w:tr w:rsidR="004E314E" w:rsidRPr="001362A6" w14:paraId="7B08BBD7" w14:textId="77777777" w:rsidTr="00990D73">
        <w:trPr>
          <w:cantSplit/>
          <w:trHeight w:val="254"/>
        </w:trPr>
        <w:tc>
          <w:tcPr>
            <w:tcW w:w="1316" w:type="dxa"/>
            <w:vMerge/>
          </w:tcPr>
          <w:p w14:paraId="46F109F4" w14:textId="77777777" w:rsidR="004E314E" w:rsidRPr="001362A6" w:rsidRDefault="004E314E" w:rsidP="004E314E">
            <w:pPr>
              <w:jc w:val="right"/>
              <w:rPr>
                <w:rFonts w:ascii="Lato" w:hAnsi="Lato"/>
                <w:sz w:val="22"/>
                <w:szCs w:val="22"/>
              </w:rPr>
            </w:pPr>
          </w:p>
        </w:tc>
        <w:tc>
          <w:tcPr>
            <w:tcW w:w="5891" w:type="dxa"/>
            <w:vMerge/>
          </w:tcPr>
          <w:p w14:paraId="2817BB8B" w14:textId="77777777" w:rsidR="004E314E" w:rsidRPr="001362A6" w:rsidRDefault="004E314E" w:rsidP="004E314E">
            <w:pPr>
              <w:rPr>
                <w:rFonts w:ascii="Lato" w:hAnsi="Lato"/>
                <w:sz w:val="22"/>
                <w:szCs w:val="22"/>
              </w:rPr>
            </w:pPr>
          </w:p>
        </w:tc>
        <w:tc>
          <w:tcPr>
            <w:tcW w:w="3188" w:type="dxa"/>
            <w:tcBorders>
              <w:top w:val="single" w:sz="4" w:space="0" w:color="auto"/>
            </w:tcBorders>
          </w:tcPr>
          <w:p w14:paraId="31829E89" w14:textId="77777777" w:rsidR="004E314E" w:rsidRPr="001362A6" w:rsidRDefault="004E314E" w:rsidP="004E314E">
            <w:pPr>
              <w:rPr>
                <w:rFonts w:ascii="Lato" w:hAnsi="Lato"/>
                <w:sz w:val="22"/>
                <w:szCs w:val="22"/>
              </w:rPr>
            </w:pPr>
          </w:p>
        </w:tc>
      </w:tr>
      <w:tr w:rsidR="004E314E" w:rsidRPr="001362A6" w14:paraId="59F15E04" w14:textId="77777777" w:rsidTr="00990D73">
        <w:tc>
          <w:tcPr>
            <w:tcW w:w="1316" w:type="dxa"/>
          </w:tcPr>
          <w:p w14:paraId="191B31A7" w14:textId="77777777" w:rsidR="004E314E" w:rsidRPr="001362A6" w:rsidRDefault="004E314E" w:rsidP="004E314E">
            <w:pPr>
              <w:jc w:val="right"/>
              <w:rPr>
                <w:rFonts w:ascii="Lato" w:hAnsi="Lato"/>
                <w:sz w:val="22"/>
                <w:szCs w:val="22"/>
              </w:rPr>
            </w:pPr>
          </w:p>
        </w:tc>
        <w:tc>
          <w:tcPr>
            <w:tcW w:w="5891" w:type="dxa"/>
          </w:tcPr>
          <w:p w14:paraId="434C8199" w14:textId="77777777" w:rsidR="004E314E" w:rsidRPr="001362A6" w:rsidRDefault="004E314E" w:rsidP="004E314E">
            <w:pPr>
              <w:rPr>
                <w:rFonts w:ascii="Lato" w:hAnsi="Lato"/>
                <w:sz w:val="22"/>
                <w:szCs w:val="22"/>
              </w:rPr>
            </w:pPr>
          </w:p>
        </w:tc>
        <w:tc>
          <w:tcPr>
            <w:tcW w:w="3188" w:type="dxa"/>
            <w:tcBorders>
              <w:bottom w:val="single" w:sz="4" w:space="0" w:color="auto"/>
            </w:tcBorders>
          </w:tcPr>
          <w:p w14:paraId="6914B1AE" w14:textId="77777777" w:rsidR="004E314E" w:rsidRPr="001362A6" w:rsidRDefault="004E314E" w:rsidP="004E314E">
            <w:pPr>
              <w:rPr>
                <w:rFonts w:ascii="Lato" w:hAnsi="Lato"/>
                <w:sz w:val="22"/>
                <w:szCs w:val="22"/>
              </w:rPr>
            </w:pPr>
          </w:p>
        </w:tc>
      </w:tr>
      <w:tr w:rsidR="004E314E" w:rsidRPr="001362A6" w14:paraId="49E3B222" w14:textId="77777777" w:rsidTr="00990D73">
        <w:trPr>
          <w:cantSplit/>
          <w:trHeight w:val="255"/>
        </w:trPr>
        <w:tc>
          <w:tcPr>
            <w:tcW w:w="1316" w:type="dxa"/>
            <w:vMerge w:val="restart"/>
          </w:tcPr>
          <w:p w14:paraId="1BB09852" w14:textId="77777777" w:rsidR="004E314E" w:rsidRPr="001362A6" w:rsidRDefault="004E314E" w:rsidP="004E314E">
            <w:pPr>
              <w:jc w:val="right"/>
              <w:rPr>
                <w:rFonts w:ascii="Lato" w:hAnsi="Lato"/>
                <w:sz w:val="22"/>
                <w:szCs w:val="22"/>
              </w:rPr>
            </w:pPr>
            <w:r w:rsidRPr="001362A6">
              <w:rPr>
                <w:rFonts w:ascii="Lato" w:hAnsi="Lato"/>
                <w:sz w:val="22"/>
                <w:szCs w:val="22"/>
              </w:rPr>
              <w:t>b)</w:t>
            </w:r>
          </w:p>
        </w:tc>
        <w:tc>
          <w:tcPr>
            <w:tcW w:w="5891" w:type="dxa"/>
            <w:vMerge w:val="restart"/>
            <w:tcBorders>
              <w:right w:val="single" w:sz="4" w:space="0" w:color="auto"/>
            </w:tcBorders>
          </w:tcPr>
          <w:p w14:paraId="60D04599" w14:textId="77777777" w:rsidR="004E314E" w:rsidRPr="001362A6" w:rsidRDefault="004E314E" w:rsidP="004E314E">
            <w:pPr>
              <w:jc w:val="both"/>
              <w:rPr>
                <w:rFonts w:ascii="Lato" w:hAnsi="Lato"/>
                <w:sz w:val="22"/>
                <w:szCs w:val="22"/>
              </w:rPr>
            </w:pPr>
            <w:r w:rsidRPr="001362A6">
              <w:rPr>
                <w:rFonts w:ascii="Lato" w:hAnsi="Lato"/>
                <w:sz w:val="22"/>
                <w:szCs w:val="22"/>
              </w:rPr>
              <w:t xml:space="preserve">Where a sub-fund (the “Investing Fund”) of an umbrella Qualifying Investor AIF invests in the units of other sub-funds of the Qualifying Investor AIF (each a “Receiving Fund”), the rate of the annual management fee which investors in the Investing Fund are charged in respect of that portion of the Investing Fund’s assets invested in Receiving Funds(whether such fee is paid directly at the Investing Fund level, indirectly at the level of the Receiving Funds or a combination of both) may not exceed the rate of the maximum annual management fee which investors in the Investing Fund may be charged in respect of the balance of the Investing Fund’s assets, such that there shall be no double charging of annual management fee to the Investing Fund as a result of its investments in the Receiving Fund. </w:t>
            </w:r>
          </w:p>
          <w:p w14:paraId="310AE72F" w14:textId="77777777" w:rsidR="004E314E" w:rsidRPr="001362A6" w:rsidRDefault="004E314E" w:rsidP="004E314E">
            <w:pPr>
              <w:jc w:val="both"/>
              <w:rPr>
                <w:rFonts w:ascii="Lato" w:hAnsi="Lato"/>
                <w:sz w:val="22"/>
                <w:szCs w:val="22"/>
              </w:rPr>
            </w:pPr>
          </w:p>
        </w:tc>
        <w:tc>
          <w:tcPr>
            <w:tcW w:w="3188" w:type="dxa"/>
            <w:tcBorders>
              <w:top w:val="single" w:sz="4" w:space="0" w:color="auto"/>
              <w:left w:val="single" w:sz="4" w:space="0" w:color="auto"/>
              <w:bottom w:val="single" w:sz="4" w:space="0" w:color="auto"/>
              <w:right w:val="single" w:sz="4" w:space="0" w:color="auto"/>
            </w:tcBorders>
          </w:tcPr>
          <w:p w14:paraId="0A53BF6F" w14:textId="77777777" w:rsidR="004E314E" w:rsidRPr="001362A6" w:rsidRDefault="004E314E" w:rsidP="004E314E">
            <w:pPr>
              <w:rPr>
                <w:rFonts w:ascii="Lato" w:hAnsi="Lato"/>
                <w:sz w:val="22"/>
                <w:szCs w:val="22"/>
              </w:rPr>
            </w:pPr>
          </w:p>
        </w:tc>
      </w:tr>
      <w:tr w:rsidR="004E314E" w:rsidRPr="001362A6" w14:paraId="7CCDC938" w14:textId="77777777" w:rsidTr="00990D73">
        <w:trPr>
          <w:cantSplit/>
          <w:trHeight w:val="251"/>
        </w:trPr>
        <w:tc>
          <w:tcPr>
            <w:tcW w:w="1316" w:type="dxa"/>
            <w:vMerge/>
          </w:tcPr>
          <w:p w14:paraId="3F358DA8" w14:textId="77777777" w:rsidR="004E314E" w:rsidRPr="001362A6" w:rsidRDefault="004E314E" w:rsidP="004E314E">
            <w:pPr>
              <w:jc w:val="right"/>
              <w:rPr>
                <w:rFonts w:ascii="Lato" w:hAnsi="Lato"/>
                <w:sz w:val="22"/>
                <w:szCs w:val="22"/>
              </w:rPr>
            </w:pPr>
          </w:p>
        </w:tc>
        <w:tc>
          <w:tcPr>
            <w:tcW w:w="5891" w:type="dxa"/>
            <w:vMerge/>
          </w:tcPr>
          <w:p w14:paraId="04882E91" w14:textId="77777777" w:rsidR="004E314E" w:rsidRPr="001362A6" w:rsidRDefault="004E314E" w:rsidP="004E314E">
            <w:pPr>
              <w:rPr>
                <w:rFonts w:ascii="Lato" w:hAnsi="Lato"/>
                <w:sz w:val="22"/>
                <w:szCs w:val="22"/>
              </w:rPr>
            </w:pPr>
          </w:p>
        </w:tc>
        <w:tc>
          <w:tcPr>
            <w:tcW w:w="3188" w:type="dxa"/>
            <w:tcBorders>
              <w:top w:val="single" w:sz="4" w:space="0" w:color="auto"/>
            </w:tcBorders>
          </w:tcPr>
          <w:p w14:paraId="776F1D8E" w14:textId="77777777" w:rsidR="004E314E" w:rsidRPr="001362A6" w:rsidRDefault="004E314E" w:rsidP="004E314E">
            <w:pPr>
              <w:rPr>
                <w:rFonts w:ascii="Lato" w:hAnsi="Lato"/>
                <w:sz w:val="22"/>
                <w:szCs w:val="22"/>
              </w:rPr>
            </w:pPr>
          </w:p>
        </w:tc>
      </w:tr>
      <w:tr w:rsidR="004E314E" w:rsidRPr="001362A6" w14:paraId="1909FB96" w14:textId="77777777" w:rsidTr="00990D73">
        <w:trPr>
          <w:cantSplit/>
          <w:trHeight w:val="251"/>
        </w:trPr>
        <w:tc>
          <w:tcPr>
            <w:tcW w:w="1316" w:type="dxa"/>
            <w:vMerge/>
          </w:tcPr>
          <w:p w14:paraId="7DAD5443" w14:textId="77777777" w:rsidR="004E314E" w:rsidRPr="001362A6" w:rsidRDefault="004E314E" w:rsidP="004E314E">
            <w:pPr>
              <w:jc w:val="right"/>
              <w:rPr>
                <w:rFonts w:ascii="Lato" w:hAnsi="Lato"/>
                <w:sz w:val="22"/>
                <w:szCs w:val="22"/>
              </w:rPr>
            </w:pPr>
          </w:p>
        </w:tc>
        <w:tc>
          <w:tcPr>
            <w:tcW w:w="5891" w:type="dxa"/>
            <w:vMerge/>
          </w:tcPr>
          <w:p w14:paraId="7D869655" w14:textId="77777777" w:rsidR="004E314E" w:rsidRPr="001362A6" w:rsidRDefault="004E314E" w:rsidP="004E314E">
            <w:pPr>
              <w:rPr>
                <w:rFonts w:ascii="Lato" w:hAnsi="Lato"/>
                <w:sz w:val="22"/>
                <w:szCs w:val="22"/>
              </w:rPr>
            </w:pPr>
          </w:p>
        </w:tc>
        <w:tc>
          <w:tcPr>
            <w:tcW w:w="3188" w:type="dxa"/>
          </w:tcPr>
          <w:p w14:paraId="2F422ECB" w14:textId="77777777" w:rsidR="004E314E" w:rsidRPr="001362A6" w:rsidRDefault="004E314E" w:rsidP="004E314E">
            <w:pPr>
              <w:rPr>
                <w:rFonts w:ascii="Lato" w:hAnsi="Lato"/>
                <w:sz w:val="22"/>
                <w:szCs w:val="22"/>
              </w:rPr>
            </w:pPr>
          </w:p>
        </w:tc>
      </w:tr>
      <w:tr w:rsidR="004E314E" w:rsidRPr="001362A6" w14:paraId="63740E29" w14:textId="77777777" w:rsidTr="00990D73">
        <w:trPr>
          <w:cantSplit/>
          <w:trHeight w:val="251"/>
        </w:trPr>
        <w:tc>
          <w:tcPr>
            <w:tcW w:w="1316" w:type="dxa"/>
            <w:vMerge/>
          </w:tcPr>
          <w:p w14:paraId="2F057B2A" w14:textId="77777777" w:rsidR="004E314E" w:rsidRPr="001362A6" w:rsidRDefault="004E314E" w:rsidP="004E314E">
            <w:pPr>
              <w:jc w:val="right"/>
              <w:rPr>
                <w:rFonts w:ascii="Lato" w:hAnsi="Lato"/>
                <w:sz w:val="22"/>
                <w:szCs w:val="22"/>
              </w:rPr>
            </w:pPr>
          </w:p>
        </w:tc>
        <w:tc>
          <w:tcPr>
            <w:tcW w:w="5891" w:type="dxa"/>
            <w:vMerge/>
          </w:tcPr>
          <w:p w14:paraId="0052D3A7" w14:textId="77777777" w:rsidR="004E314E" w:rsidRPr="001362A6" w:rsidRDefault="004E314E" w:rsidP="004E314E">
            <w:pPr>
              <w:rPr>
                <w:rFonts w:ascii="Lato" w:hAnsi="Lato"/>
                <w:sz w:val="22"/>
                <w:szCs w:val="22"/>
              </w:rPr>
            </w:pPr>
          </w:p>
        </w:tc>
        <w:tc>
          <w:tcPr>
            <w:tcW w:w="3188" w:type="dxa"/>
          </w:tcPr>
          <w:p w14:paraId="048E5589" w14:textId="77777777" w:rsidR="004E314E" w:rsidRPr="001362A6" w:rsidRDefault="004E314E" w:rsidP="004E314E">
            <w:pPr>
              <w:rPr>
                <w:rFonts w:ascii="Lato" w:hAnsi="Lato"/>
                <w:sz w:val="22"/>
                <w:szCs w:val="22"/>
              </w:rPr>
            </w:pPr>
          </w:p>
        </w:tc>
      </w:tr>
      <w:tr w:rsidR="004E314E" w:rsidRPr="001362A6" w14:paraId="2B9B340F" w14:textId="77777777" w:rsidTr="00990D73">
        <w:trPr>
          <w:cantSplit/>
          <w:trHeight w:val="251"/>
        </w:trPr>
        <w:tc>
          <w:tcPr>
            <w:tcW w:w="1316" w:type="dxa"/>
            <w:vMerge/>
          </w:tcPr>
          <w:p w14:paraId="7650153E" w14:textId="77777777" w:rsidR="004E314E" w:rsidRPr="001362A6" w:rsidRDefault="004E314E" w:rsidP="004E314E">
            <w:pPr>
              <w:jc w:val="right"/>
              <w:rPr>
                <w:rFonts w:ascii="Lato" w:hAnsi="Lato"/>
                <w:sz w:val="22"/>
                <w:szCs w:val="22"/>
              </w:rPr>
            </w:pPr>
          </w:p>
        </w:tc>
        <w:tc>
          <w:tcPr>
            <w:tcW w:w="5891" w:type="dxa"/>
            <w:vMerge/>
          </w:tcPr>
          <w:p w14:paraId="794BD71E" w14:textId="77777777" w:rsidR="004E314E" w:rsidRPr="001362A6" w:rsidRDefault="004E314E" w:rsidP="004E314E">
            <w:pPr>
              <w:rPr>
                <w:rFonts w:ascii="Lato" w:hAnsi="Lato"/>
                <w:sz w:val="22"/>
                <w:szCs w:val="22"/>
              </w:rPr>
            </w:pPr>
          </w:p>
        </w:tc>
        <w:tc>
          <w:tcPr>
            <w:tcW w:w="3188" w:type="dxa"/>
          </w:tcPr>
          <w:p w14:paraId="6D8893CE" w14:textId="77777777" w:rsidR="004E314E" w:rsidRPr="001362A6" w:rsidRDefault="004E314E" w:rsidP="004E314E">
            <w:pPr>
              <w:rPr>
                <w:rFonts w:ascii="Lato" w:hAnsi="Lato"/>
                <w:sz w:val="22"/>
                <w:szCs w:val="22"/>
              </w:rPr>
            </w:pPr>
          </w:p>
        </w:tc>
      </w:tr>
      <w:tr w:rsidR="004E314E" w:rsidRPr="001362A6" w14:paraId="360EAA3F" w14:textId="77777777" w:rsidTr="00990D73">
        <w:trPr>
          <w:cantSplit/>
          <w:trHeight w:val="251"/>
        </w:trPr>
        <w:tc>
          <w:tcPr>
            <w:tcW w:w="1316" w:type="dxa"/>
            <w:vMerge/>
          </w:tcPr>
          <w:p w14:paraId="7C28DE6A" w14:textId="77777777" w:rsidR="004E314E" w:rsidRPr="001362A6" w:rsidRDefault="004E314E" w:rsidP="004E314E">
            <w:pPr>
              <w:jc w:val="right"/>
              <w:rPr>
                <w:rFonts w:ascii="Lato" w:hAnsi="Lato"/>
                <w:sz w:val="22"/>
                <w:szCs w:val="22"/>
              </w:rPr>
            </w:pPr>
          </w:p>
        </w:tc>
        <w:tc>
          <w:tcPr>
            <w:tcW w:w="5891" w:type="dxa"/>
            <w:vMerge/>
          </w:tcPr>
          <w:p w14:paraId="46E986D6" w14:textId="77777777" w:rsidR="004E314E" w:rsidRPr="001362A6" w:rsidRDefault="004E314E" w:rsidP="004E314E">
            <w:pPr>
              <w:rPr>
                <w:rFonts w:ascii="Lato" w:hAnsi="Lato"/>
                <w:sz w:val="22"/>
                <w:szCs w:val="22"/>
              </w:rPr>
            </w:pPr>
          </w:p>
        </w:tc>
        <w:tc>
          <w:tcPr>
            <w:tcW w:w="3188" w:type="dxa"/>
          </w:tcPr>
          <w:p w14:paraId="07E6A32D" w14:textId="77777777" w:rsidR="004E314E" w:rsidRPr="001362A6" w:rsidRDefault="004E314E" w:rsidP="004E314E">
            <w:pPr>
              <w:rPr>
                <w:rFonts w:ascii="Lato" w:hAnsi="Lato"/>
                <w:sz w:val="22"/>
                <w:szCs w:val="22"/>
              </w:rPr>
            </w:pPr>
          </w:p>
        </w:tc>
      </w:tr>
      <w:tr w:rsidR="004E314E" w:rsidRPr="001362A6" w14:paraId="720903F8" w14:textId="77777777" w:rsidTr="00990D73">
        <w:trPr>
          <w:cantSplit/>
          <w:trHeight w:val="714"/>
        </w:trPr>
        <w:tc>
          <w:tcPr>
            <w:tcW w:w="1316" w:type="dxa"/>
          </w:tcPr>
          <w:p w14:paraId="6BA615DD" w14:textId="77777777" w:rsidR="004E314E" w:rsidRPr="001362A6" w:rsidRDefault="004E314E" w:rsidP="004E314E">
            <w:pPr>
              <w:jc w:val="right"/>
              <w:rPr>
                <w:rFonts w:ascii="Lato" w:hAnsi="Lato"/>
                <w:sz w:val="22"/>
                <w:szCs w:val="22"/>
              </w:rPr>
            </w:pPr>
          </w:p>
        </w:tc>
        <w:tc>
          <w:tcPr>
            <w:tcW w:w="5891" w:type="dxa"/>
          </w:tcPr>
          <w:p w14:paraId="5DA1BD77" w14:textId="77777777" w:rsidR="004E314E" w:rsidRPr="001362A6" w:rsidRDefault="004E314E" w:rsidP="004E314E">
            <w:pPr>
              <w:rPr>
                <w:rFonts w:ascii="Lato" w:hAnsi="Lato"/>
                <w:sz w:val="22"/>
                <w:szCs w:val="22"/>
              </w:rPr>
            </w:pPr>
            <w:r w:rsidRPr="001362A6">
              <w:rPr>
                <w:rFonts w:ascii="Lato" w:hAnsi="Lato"/>
                <w:sz w:val="22"/>
                <w:szCs w:val="22"/>
              </w:rPr>
              <w:t>This provision is also applicable to the annual fee charged by an investment manager where this fee is paid directly out of the assets of the Qualifying Investor AIF.</w:t>
            </w:r>
          </w:p>
        </w:tc>
        <w:tc>
          <w:tcPr>
            <w:tcW w:w="3188" w:type="dxa"/>
          </w:tcPr>
          <w:p w14:paraId="20EE5393" w14:textId="77777777" w:rsidR="004E314E" w:rsidRPr="001362A6" w:rsidRDefault="004E314E" w:rsidP="004E314E">
            <w:pPr>
              <w:rPr>
                <w:rFonts w:ascii="Lato" w:hAnsi="Lato"/>
                <w:sz w:val="22"/>
                <w:szCs w:val="22"/>
              </w:rPr>
            </w:pPr>
          </w:p>
        </w:tc>
      </w:tr>
      <w:tr w:rsidR="004E314E" w:rsidRPr="001362A6" w14:paraId="473B712C" w14:textId="77777777" w:rsidTr="00990D73">
        <w:tc>
          <w:tcPr>
            <w:tcW w:w="1316" w:type="dxa"/>
          </w:tcPr>
          <w:p w14:paraId="5EEA2B91" w14:textId="77777777" w:rsidR="004E314E" w:rsidRPr="001362A6" w:rsidRDefault="004E314E" w:rsidP="004E314E">
            <w:pPr>
              <w:rPr>
                <w:rFonts w:ascii="Lato" w:hAnsi="Lato"/>
                <w:sz w:val="22"/>
                <w:szCs w:val="22"/>
              </w:rPr>
            </w:pPr>
          </w:p>
        </w:tc>
        <w:tc>
          <w:tcPr>
            <w:tcW w:w="5891" w:type="dxa"/>
          </w:tcPr>
          <w:p w14:paraId="589637DC" w14:textId="77777777" w:rsidR="004E314E" w:rsidRPr="001362A6" w:rsidRDefault="004E314E" w:rsidP="004E314E">
            <w:pPr>
              <w:rPr>
                <w:rFonts w:ascii="Lato" w:hAnsi="Lato"/>
                <w:sz w:val="22"/>
                <w:szCs w:val="22"/>
              </w:rPr>
            </w:pPr>
          </w:p>
        </w:tc>
        <w:tc>
          <w:tcPr>
            <w:tcW w:w="3188" w:type="dxa"/>
          </w:tcPr>
          <w:p w14:paraId="15E9D921" w14:textId="77777777" w:rsidR="004E314E" w:rsidRPr="001362A6" w:rsidRDefault="004E314E" w:rsidP="004E314E">
            <w:pPr>
              <w:rPr>
                <w:rFonts w:ascii="Lato" w:hAnsi="Lato"/>
                <w:sz w:val="22"/>
                <w:szCs w:val="22"/>
              </w:rPr>
            </w:pPr>
          </w:p>
        </w:tc>
      </w:tr>
      <w:tr w:rsidR="004E314E" w:rsidRPr="001362A6" w14:paraId="32A0D919" w14:textId="77777777" w:rsidTr="00990D73">
        <w:tc>
          <w:tcPr>
            <w:tcW w:w="1316" w:type="dxa"/>
          </w:tcPr>
          <w:p w14:paraId="4E7188F0" w14:textId="77777777" w:rsidR="004E314E" w:rsidRPr="001362A6" w:rsidRDefault="004E314E" w:rsidP="004E314E">
            <w:pPr>
              <w:rPr>
                <w:rFonts w:ascii="Lato" w:hAnsi="Lato"/>
                <w:sz w:val="22"/>
                <w:szCs w:val="22"/>
              </w:rPr>
            </w:pPr>
            <w:r w:rsidRPr="001362A6">
              <w:rPr>
                <w:rFonts w:ascii="Lato" w:hAnsi="Lato"/>
                <w:sz w:val="22"/>
                <w:szCs w:val="22"/>
              </w:rPr>
              <w:t>2.23.8 (i)</w:t>
            </w:r>
          </w:p>
        </w:tc>
        <w:tc>
          <w:tcPr>
            <w:tcW w:w="5891" w:type="dxa"/>
            <w:tcBorders>
              <w:right w:val="single" w:sz="4" w:space="0" w:color="auto"/>
            </w:tcBorders>
          </w:tcPr>
          <w:p w14:paraId="749F44DD" w14:textId="77777777" w:rsidR="004E314E" w:rsidRPr="001362A6" w:rsidRDefault="004E314E" w:rsidP="004E314E">
            <w:pPr>
              <w:rPr>
                <w:rFonts w:ascii="Lato" w:hAnsi="Lato"/>
                <w:sz w:val="22"/>
                <w:szCs w:val="22"/>
              </w:rPr>
            </w:pPr>
            <w:r w:rsidRPr="001362A6">
              <w:rPr>
                <w:rFonts w:ascii="Lato" w:hAnsi="Lato"/>
                <w:sz w:val="22"/>
                <w:szCs w:val="22"/>
              </w:rPr>
              <w:t xml:space="preserve">Disclose details of procedures for the exchange of shares  </w:t>
            </w:r>
          </w:p>
        </w:tc>
        <w:tc>
          <w:tcPr>
            <w:tcW w:w="3188" w:type="dxa"/>
            <w:tcBorders>
              <w:top w:val="single" w:sz="4" w:space="0" w:color="auto"/>
              <w:left w:val="single" w:sz="4" w:space="0" w:color="auto"/>
              <w:bottom w:val="single" w:sz="4" w:space="0" w:color="auto"/>
              <w:right w:val="single" w:sz="4" w:space="0" w:color="auto"/>
            </w:tcBorders>
          </w:tcPr>
          <w:p w14:paraId="1D21BEC9" w14:textId="77777777" w:rsidR="004E314E" w:rsidRPr="001362A6" w:rsidRDefault="004E314E" w:rsidP="004E314E">
            <w:pPr>
              <w:rPr>
                <w:rFonts w:ascii="Lato" w:hAnsi="Lato"/>
                <w:sz w:val="22"/>
                <w:szCs w:val="22"/>
              </w:rPr>
            </w:pPr>
          </w:p>
        </w:tc>
      </w:tr>
      <w:tr w:rsidR="004E314E" w:rsidRPr="001362A6" w14:paraId="1926E256" w14:textId="77777777" w:rsidTr="00990D73">
        <w:tc>
          <w:tcPr>
            <w:tcW w:w="1316" w:type="dxa"/>
          </w:tcPr>
          <w:p w14:paraId="5FB550C6" w14:textId="77777777" w:rsidR="004E314E" w:rsidRPr="001362A6" w:rsidRDefault="004E314E" w:rsidP="004E314E">
            <w:pPr>
              <w:jc w:val="right"/>
              <w:rPr>
                <w:rFonts w:ascii="Lato" w:hAnsi="Lato"/>
                <w:sz w:val="22"/>
                <w:szCs w:val="22"/>
              </w:rPr>
            </w:pPr>
            <w:r w:rsidRPr="001362A6">
              <w:rPr>
                <w:rFonts w:ascii="Lato" w:hAnsi="Lato"/>
                <w:sz w:val="22"/>
                <w:szCs w:val="22"/>
              </w:rPr>
              <w:lastRenderedPageBreak/>
              <w:t>(ii)</w:t>
            </w:r>
          </w:p>
        </w:tc>
        <w:tc>
          <w:tcPr>
            <w:tcW w:w="5891" w:type="dxa"/>
            <w:tcBorders>
              <w:right w:val="single" w:sz="4" w:space="0" w:color="auto"/>
            </w:tcBorders>
          </w:tcPr>
          <w:p w14:paraId="49E89AB7" w14:textId="77777777" w:rsidR="004E314E" w:rsidRPr="001362A6" w:rsidRDefault="004E314E" w:rsidP="004E314E">
            <w:pPr>
              <w:rPr>
                <w:rFonts w:ascii="Lato" w:hAnsi="Lato"/>
                <w:sz w:val="22"/>
                <w:szCs w:val="22"/>
              </w:rPr>
            </w:pPr>
            <w:r w:rsidRPr="001362A6">
              <w:rPr>
                <w:rFonts w:ascii="Lato" w:hAnsi="Lato"/>
                <w:sz w:val="22"/>
                <w:szCs w:val="22"/>
              </w:rPr>
              <w:t xml:space="preserve">Disclose any charges applicable to the exchange of units in </w:t>
            </w:r>
          </w:p>
        </w:tc>
        <w:tc>
          <w:tcPr>
            <w:tcW w:w="3188" w:type="dxa"/>
            <w:tcBorders>
              <w:top w:val="single" w:sz="4" w:space="0" w:color="auto"/>
              <w:left w:val="single" w:sz="4" w:space="0" w:color="auto"/>
              <w:bottom w:val="single" w:sz="4" w:space="0" w:color="auto"/>
              <w:right w:val="single" w:sz="4" w:space="0" w:color="auto"/>
            </w:tcBorders>
          </w:tcPr>
          <w:p w14:paraId="7B842FB3" w14:textId="77777777" w:rsidR="004E314E" w:rsidRPr="001362A6" w:rsidRDefault="004E314E" w:rsidP="004E314E">
            <w:pPr>
              <w:rPr>
                <w:rFonts w:ascii="Lato" w:hAnsi="Lato"/>
                <w:sz w:val="22"/>
                <w:szCs w:val="22"/>
              </w:rPr>
            </w:pPr>
          </w:p>
        </w:tc>
      </w:tr>
      <w:tr w:rsidR="004E314E" w:rsidRPr="001362A6" w14:paraId="673892E1" w14:textId="77777777" w:rsidTr="00990D73">
        <w:tc>
          <w:tcPr>
            <w:tcW w:w="1316" w:type="dxa"/>
          </w:tcPr>
          <w:p w14:paraId="03C5BDE9" w14:textId="77777777" w:rsidR="004E314E" w:rsidRPr="001362A6" w:rsidRDefault="004E314E" w:rsidP="004E314E">
            <w:pPr>
              <w:rPr>
                <w:rFonts w:ascii="Lato" w:hAnsi="Lato"/>
                <w:sz w:val="22"/>
                <w:szCs w:val="22"/>
              </w:rPr>
            </w:pPr>
          </w:p>
        </w:tc>
        <w:tc>
          <w:tcPr>
            <w:tcW w:w="5891" w:type="dxa"/>
          </w:tcPr>
          <w:p w14:paraId="54133DC1" w14:textId="77777777" w:rsidR="004E314E" w:rsidRPr="001362A6" w:rsidRDefault="004E314E" w:rsidP="004E314E">
            <w:pPr>
              <w:rPr>
                <w:rFonts w:ascii="Lato" w:hAnsi="Lato"/>
                <w:sz w:val="22"/>
                <w:szCs w:val="22"/>
              </w:rPr>
            </w:pPr>
            <w:r w:rsidRPr="00590C6D">
              <w:rPr>
                <w:rFonts w:ascii="Lato" w:hAnsi="Lato"/>
                <w:sz w:val="22"/>
                <w:szCs w:val="22"/>
              </w:rPr>
              <w:t>one</w:t>
            </w:r>
            <w:r w:rsidRPr="001362A6">
              <w:rPr>
                <w:rFonts w:ascii="Lato" w:hAnsi="Lato"/>
                <w:sz w:val="22"/>
                <w:szCs w:val="22"/>
              </w:rPr>
              <w:t xml:space="preserve"> sub-fund for units in another</w:t>
            </w:r>
          </w:p>
        </w:tc>
        <w:tc>
          <w:tcPr>
            <w:tcW w:w="3188" w:type="dxa"/>
            <w:tcBorders>
              <w:top w:val="single" w:sz="4" w:space="0" w:color="auto"/>
            </w:tcBorders>
          </w:tcPr>
          <w:p w14:paraId="0134F21A" w14:textId="77777777" w:rsidR="004E314E" w:rsidRPr="001362A6" w:rsidRDefault="004E314E" w:rsidP="004E314E">
            <w:pPr>
              <w:rPr>
                <w:rFonts w:ascii="Lato" w:hAnsi="Lato"/>
                <w:sz w:val="22"/>
                <w:szCs w:val="22"/>
              </w:rPr>
            </w:pPr>
          </w:p>
        </w:tc>
      </w:tr>
      <w:tr w:rsidR="004E314E" w:rsidRPr="001362A6" w14:paraId="018CAEA1" w14:textId="77777777" w:rsidTr="00990D73">
        <w:tc>
          <w:tcPr>
            <w:tcW w:w="1316" w:type="dxa"/>
          </w:tcPr>
          <w:p w14:paraId="0067ADDD" w14:textId="77777777" w:rsidR="004E314E" w:rsidRPr="001362A6" w:rsidRDefault="004E314E" w:rsidP="004E314E">
            <w:pPr>
              <w:rPr>
                <w:rFonts w:ascii="Lato" w:hAnsi="Lato"/>
                <w:sz w:val="22"/>
                <w:szCs w:val="22"/>
              </w:rPr>
            </w:pPr>
          </w:p>
        </w:tc>
        <w:tc>
          <w:tcPr>
            <w:tcW w:w="5891" w:type="dxa"/>
          </w:tcPr>
          <w:p w14:paraId="2485BA59" w14:textId="77777777" w:rsidR="004E314E" w:rsidRPr="001362A6" w:rsidRDefault="004E314E" w:rsidP="004E314E">
            <w:pPr>
              <w:rPr>
                <w:rFonts w:ascii="Lato" w:hAnsi="Lato"/>
                <w:sz w:val="22"/>
                <w:szCs w:val="22"/>
              </w:rPr>
            </w:pPr>
          </w:p>
        </w:tc>
        <w:tc>
          <w:tcPr>
            <w:tcW w:w="3188" w:type="dxa"/>
          </w:tcPr>
          <w:p w14:paraId="394AB19D" w14:textId="77777777" w:rsidR="004E314E" w:rsidRPr="001362A6" w:rsidRDefault="004E314E" w:rsidP="004E314E">
            <w:pPr>
              <w:rPr>
                <w:rFonts w:ascii="Lato" w:hAnsi="Lato"/>
                <w:sz w:val="22"/>
                <w:szCs w:val="22"/>
              </w:rPr>
            </w:pPr>
          </w:p>
        </w:tc>
      </w:tr>
      <w:tr w:rsidR="004E314E" w:rsidRPr="001362A6" w14:paraId="6E25085F" w14:textId="77777777" w:rsidTr="00990D73">
        <w:tc>
          <w:tcPr>
            <w:tcW w:w="1316" w:type="dxa"/>
          </w:tcPr>
          <w:p w14:paraId="0D13FAC2" w14:textId="77777777" w:rsidR="004E314E" w:rsidRPr="001362A6" w:rsidRDefault="004E314E" w:rsidP="004E314E">
            <w:pPr>
              <w:rPr>
                <w:rFonts w:ascii="Lato" w:hAnsi="Lato"/>
                <w:b/>
                <w:sz w:val="22"/>
                <w:szCs w:val="22"/>
              </w:rPr>
            </w:pPr>
            <w:r w:rsidRPr="001362A6">
              <w:rPr>
                <w:rFonts w:ascii="Lato" w:hAnsi="Lato"/>
                <w:b/>
                <w:sz w:val="22"/>
                <w:szCs w:val="22"/>
              </w:rPr>
              <w:t>2.24</w:t>
            </w:r>
          </w:p>
        </w:tc>
        <w:tc>
          <w:tcPr>
            <w:tcW w:w="5891" w:type="dxa"/>
          </w:tcPr>
          <w:p w14:paraId="528794A8" w14:textId="77777777" w:rsidR="004E314E" w:rsidRPr="001362A6" w:rsidRDefault="004E314E" w:rsidP="004E314E">
            <w:pPr>
              <w:rPr>
                <w:rFonts w:ascii="Lato" w:hAnsi="Lato"/>
                <w:b/>
                <w:sz w:val="22"/>
                <w:szCs w:val="22"/>
              </w:rPr>
            </w:pPr>
            <w:r w:rsidRPr="001362A6">
              <w:rPr>
                <w:rFonts w:ascii="Lato" w:hAnsi="Lato"/>
                <w:b/>
                <w:sz w:val="22"/>
                <w:szCs w:val="22"/>
              </w:rPr>
              <w:t>Classes of Funds</w:t>
            </w:r>
          </w:p>
        </w:tc>
        <w:tc>
          <w:tcPr>
            <w:tcW w:w="3188" w:type="dxa"/>
            <w:tcBorders>
              <w:bottom w:val="single" w:sz="4" w:space="0" w:color="auto"/>
            </w:tcBorders>
          </w:tcPr>
          <w:p w14:paraId="365ECE81" w14:textId="77777777" w:rsidR="004E314E" w:rsidRPr="001362A6" w:rsidRDefault="004E314E" w:rsidP="004E314E">
            <w:pPr>
              <w:rPr>
                <w:rFonts w:ascii="Lato" w:hAnsi="Lato"/>
                <w:sz w:val="22"/>
                <w:szCs w:val="22"/>
              </w:rPr>
            </w:pPr>
          </w:p>
        </w:tc>
      </w:tr>
      <w:tr w:rsidR="004E314E" w:rsidRPr="001362A6" w14:paraId="7501349F" w14:textId="77777777" w:rsidTr="00990D73">
        <w:tc>
          <w:tcPr>
            <w:tcW w:w="1316" w:type="dxa"/>
          </w:tcPr>
          <w:p w14:paraId="1DBF18BA" w14:textId="77777777" w:rsidR="004E314E" w:rsidRPr="001362A6" w:rsidRDefault="004E314E" w:rsidP="004E314E">
            <w:pPr>
              <w:rPr>
                <w:rFonts w:ascii="Lato" w:hAnsi="Lato"/>
                <w:sz w:val="22"/>
                <w:szCs w:val="22"/>
              </w:rPr>
            </w:pPr>
            <w:r w:rsidRPr="001362A6">
              <w:rPr>
                <w:rFonts w:ascii="Lato" w:hAnsi="Lato"/>
                <w:sz w:val="22"/>
                <w:szCs w:val="22"/>
              </w:rPr>
              <w:t>2.24.1  a)</w:t>
            </w:r>
          </w:p>
        </w:tc>
        <w:tc>
          <w:tcPr>
            <w:tcW w:w="5891" w:type="dxa"/>
            <w:tcBorders>
              <w:right w:val="single" w:sz="4" w:space="0" w:color="auto"/>
            </w:tcBorders>
          </w:tcPr>
          <w:p w14:paraId="472466EB" w14:textId="77777777" w:rsidR="004E314E" w:rsidRPr="001362A6" w:rsidRDefault="004E314E" w:rsidP="004E314E">
            <w:pPr>
              <w:rPr>
                <w:rFonts w:ascii="Lato" w:hAnsi="Lato"/>
                <w:sz w:val="22"/>
                <w:szCs w:val="22"/>
              </w:rPr>
            </w:pPr>
            <w:r w:rsidRPr="001362A6">
              <w:rPr>
                <w:rFonts w:ascii="Lato" w:hAnsi="Lato"/>
                <w:sz w:val="22"/>
                <w:szCs w:val="22"/>
              </w:rPr>
              <w:t xml:space="preserve">Disclose if the Qualifying Investor AIF may establish share </w:t>
            </w:r>
          </w:p>
        </w:tc>
        <w:tc>
          <w:tcPr>
            <w:tcW w:w="3188" w:type="dxa"/>
            <w:tcBorders>
              <w:top w:val="single" w:sz="4" w:space="0" w:color="auto"/>
              <w:left w:val="single" w:sz="4" w:space="0" w:color="auto"/>
              <w:bottom w:val="single" w:sz="4" w:space="0" w:color="auto"/>
              <w:right w:val="single" w:sz="4" w:space="0" w:color="auto"/>
            </w:tcBorders>
          </w:tcPr>
          <w:p w14:paraId="5A8D2CEC" w14:textId="77777777" w:rsidR="004E314E" w:rsidRPr="001362A6" w:rsidRDefault="004E314E" w:rsidP="004E314E">
            <w:pPr>
              <w:rPr>
                <w:rFonts w:ascii="Lato" w:hAnsi="Lato"/>
                <w:sz w:val="22"/>
                <w:szCs w:val="22"/>
              </w:rPr>
            </w:pPr>
          </w:p>
        </w:tc>
      </w:tr>
      <w:tr w:rsidR="004E314E" w:rsidRPr="001362A6" w14:paraId="67E01086" w14:textId="77777777" w:rsidTr="00990D73">
        <w:tc>
          <w:tcPr>
            <w:tcW w:w="1316" w:type="dxa"/>
          </w:tcPr>
          <w:p w14:paraId="4A4C9E43" w14:textId="77777777" w:rsidR="004E314E" w:rsidRPr="001362A6" w:rsidRDefault="004E314E" w:rsidP="004E314E">
            <w:pPr>
              <w:rPr>
                <w:rFonts w:ascii="Lato" w:hAnsi="Lato"/>
                <w:sz w:val="22"/>
                <w:szCs w:val="22"/>
              </w:rPr>
            </w:pPr>
          </w:p>
        </w:tc>
        <w:tc>
          <w:tcPr>
            <w:tcW w:w="5891" w:type="dxa"/>
          </w:tcPr>
          <w:p w14:paraId="78605CC2" w14:textId="77777777" w:rsidR="004E314E" w:rsidRPr="001362A6" w:rsidRDefault="004E314E" w:rsidP="004E314E">
            <w:pPr>
              <w:rPr>
                <w:rFonts w:ascii="Lato" w:hAnsi="Lato"/>
                <w:sz w:val="22"/>
                <w:szCs w:val="22"/>
              </w:rPr>
            </w:pPr>
            <w:r w:rsidRPr="001362A6">
              <w:rPr>
                <w:rFonts w:ascii="Lato" w:hAnsi="Lato"/>
                <w:sz w:val="22"/>
                <w:szCs w:val="22"/>
              </w:rPr>
              <w:t>classes and if so disclose the differentiating factors (i.e. subscription/redemption procedures, distribution policies or charging structure, hedging policies or other criteria) between share classes</w:t>
            </w:r>
          </w:p>
          <w:p w14:paraId="23D37850" w14:textId="77777777" w:rsidR="004E314E" w:rsidRPr="001362A6" w:rsidRDefault="004E314E" w:rsidP="004E314E">
            <w:pPr>
              <w:rPr>
                <w:rFonts w:ascii="Lato" w:hAnsi="Lato"/>
                <w:sz w:val="22"/>
                <w:szCs w:val="22"/>
              </w:rPr>
            </w:pPr>
          </w:p>
        </w:tc>
        <w:tc>
          <w:tcPr>
            <w:tcW w:w="3188" w:type="dxa"/>
            <w:tcBorders>
              <w:top w:val="single" w:sz="4" w:space="0" w:color="auto"/>
              <w:bottom w:val="single" w:sz="4" w:space="0" w:color="auto"/>
            </w:tcBorders>
          </w:tcPr>
          <w:p w14:paraId="02BB5608" w14:textId="77777777" w:rsidR="004E314E" w:rsidRPr="001362A6" w:rsidRDefault="004E314E" w:rsidP="004E314E">
            <w:pPr>
              <w:rPr>
                <w:rFonts w:ascii="Lato" w:hAnsi="Lato"/>
                <w:sz w:val="22"/>
                <w:szCs w:val="22"/>
              </w:rPr>
            </w:pPr>
          </w:p>
        </w:tc>
      </w:tr>
      <w:tr w:rsidR="004E314E" w:rsidRPr="001362A6" w14:paraId="6C277C5A" w14:textId="77777777" w:rsidTr="00990D73">
        <w:tc>
          <w:tcPr>
            <w:tcW w:w="1316" w:type="dxa"/>
          </w:tcPr>
          <w:p w14:paraId="19E6D78D" w14:textId="77777777" w:rsidR="004E314E" w:rsidRPr="001362A6" w:rsidRDefault="004E314E" w:rsidP="004E314E">
            <w:pPr>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47E7F1CC" w14:textId="77777777" w:rsidR="004E314E" w:rsidRPr="001362A6" w:rsidRDefault="004E314E" w:rsidP="004E314E">
            <w:pPr>
              <w:rPr>
                <w:rFonts w:ascii="Lato" w:hAnsi="Lato"/>
                <w:sz w:val="22"/>
                <w:szCs w:val="22"/>
              </w:rPr>
            </w:pPr>
            <w:r w:rsidRPr="001362A6">
              <w:rPr>
                <w:rFonts w:ascii="Lato" w:hAnsi="Lato"/>
                <w:sz w:val="22"/>
                <w:szCs w:val="22"/>
              </w:rPr>
              <w:t>Subject to the provisions of the AIF Rulebook</w:t>
            </w:r>
          </w:p>
        </w:tc>
        <w:tc>
          <w:tcPr>
            <w:tcW w:w="3188" w:type="dxa"/>
            <w:tcBorders>
              <w:top w:val="single" w:sz="4" w:space="0" w:color="auto"/>
              <w:left w:val="single" w:sz="4" w:space="0" w:color="auto"/>
              <w:bottom w:val="single" w:sz="4" w:space="0" w:color="auto"/>
              <w:right w:val="single" w:sz="4" w:space="0" w:color="auto"/>
            </w:tcBorders>
          </w:tcPr>
          <w:p w14:paraId="2833F414" w14:textId="77777777" w:rsidR="004E314E" w:rsidRPr="001362A6" w:rsidRDefault="004E314E" w:rsidP="004E314E">
            <w:pPr>
              <w:rPr>
                <w:rFonts w:ascii="Lato" w:hAnsi="Lato"/>
                <w:sz w:val="22"/>
                <w:szCs w:val="22"/>
              </w:rPr>
            </w:pPr>
          </w:p>
        </w:tc>
      </w:tr>
      <w:tr w:rsidR="004E314E" w:rsidRPr="001362A6" w14:paraId="467EE533" w14:textId="77777777" w:rsidTr="00990D73">
        <w:tc>
          <w:tcPr>
            <w:tcW w:w="1316" w:type="dxa"/>
          </w:tcPr>
          <w:p w14:paraId="41DA87C6" w14:textId="77777777" w:rsidR="004E314E" w:rsidRPr="001362A6" w:rsidRDefault="004E314E" w:rsidP="004E314E">
            <w:pPr>
              <w:rPr>
                <w:rFonts w:ascii="Lato" w:hAnsi="Lato"/>
                <w:sz w:val="22"/>
                <w:szCs w:val="22"/>
              </w:rPr>
            </w:pPr>
          </w:p>
        </w:tc>
        <w:tc>
          <w:tcPr>
            <w:tcW w:w="5891" w:type="dxa"/>
          </w:tcPr>
          <w:p w14:paraId="7797932A" w14:textId="77777777" w:rsidR="004E314E" w:rsidRPr="001362A6" w:rsidRDefault="004E314E" w:rsidP="004E314E">
            <w:pPr>
              <w:rPr>
                <w:rFonts w:ascii="Lato" w:hAnsi="Lato"/>
                <w:sz w:val="22"/>
                <w:szCs w:val="22"/>
              </w:rPr>
            </w:pPr>
            <w:r w:rsidRPr="001362A6">
              <w:rPr>
                <w:rFonts w:ascii="Lato" w:hAnsi="Lato"/>
                <w:sz w:val="22"/>
                <w:szCs w:val="22"/>
              </w:rPr>
              <w:t xml:space="preserve">Provide that the Qualifying Investor AIF shall distribute </w:t>
            </w:r>
          </w:p>
        </w:tc>
        <w:tc>
          <w:tcPr>
            <w:tcW w:w="3188" w:type="dxa"/>
            <w:tcBorders>
              <w:top w:val="single" w:sz="4" w:space="0" w:color="auto"/>
            </w:tcBorders>
          </w:tcPr>
          <w:p w14:paraId="0CF5A31A" w14:textId="77777777" w:rsidR="004E314E" w:rsidRPr="001362A6" w:rsidRDefault="004E314E" w:rsidP="004E314E">
            <w:pPr>
              <w:rPr>
                <w:rFonts w:ascii="Lato" w:hAnsi="Lato"/>
                <w:sz w:val="22"/>
                <w:szCs w:val="22"/>
              </w:rPr>
            </w:pPr>
          </w:p>
        </w:tc>
      </w:tr>
      <w:tr w:rsidR="004E314E" w:rsidRPr="001362A6" w14:paraId="2172EF2B" w14:textId="77777777" w:rsidTr="00990D73">
        <w:tc>
          <w:tcPr>
            <w:tcW w:w="1316" w:type="dxa"/>
          </w:tcPr>
          <w:p w14:paraId="0D2BBDAE" w14:textId="77777777" w:rsidR="004E314E" w:rsidRPr="001362A6" w:rsidRDefault="004E314E" w:rsidP="004E314E">
            <w:pPr>
              <w:rPr>
                <w:rFonts w:ascii="Lato" w:hAnsi="Lato"/>
                <w:sz w:val="22"/>
                <w:szCs w:val="22"/>
              </w:rPr>
            </w:pPr>
          </w:p>
        </w:tc>
        <w:tc>
          <w:tcPr>
            <w:tcW w:w="5891" w:type="dxa"/>
          </w:tcPr>
          <w:p w14:paraId="6218821E" w14:textId="77777777" w:rsidR="004E314E" w:rsidRPr="001362A6" w:rsidRDefault="004E314E" w:rsidP="004E314E">
            <w:pPr>
              <w:rPr>
                <w:rFonts w:ascii="Lato" w:hAnsi="Lato"/>
                <w:sz w:val="22"/>
                <w:szCs w:val="22"/>
              </w:rPr>
            </w:pPr>
            <w:r w:rsidRPr="00590C6D">
              <w:rPr>
                <w:rFonts w:ascii="Lato" w:hAnsi="Lato"/>
                <w:sz w:val="22"/>
                <w:szCs w:val="22"/>
              </w:rPr>
              <w:t xml:space="preserve">and/or </w:t>
            </w:r>
            <w:r w:rsidRPr="001362A6">
              <w:rPr>
                <w:rFonts w:ascii="Lato" w:hAnsi="Lato"/>
                <w:sz w:val="22"/>
                <w:szCs w:val="22"/>
              </w:rPr>
              <w:t xml:space="preserve">accrue capital gains/losses and income to each </w:t>
            </w:r>
          </w:p>
        </w:tc>
        <w:tc>
          <w:tcPr>
            <w:tcW w:w="3188" w:type="dxa"/>
          </w:tcPr>
          <w:p w14:paraId="6144A4CB" w14:textId="77777777" w:rsidR="004E314E" w:rsidRPr="001362A6" w:rsidRDefault="004E314E" w:rsidP="004E314E">
            <w:pPr>
              <w:rPr>
                <w:rFonts w:ascii="Lato" w:hAnsi="Lato"/>
                <w:sz w:val="22"/>
                <w:szCs w:val="22"/>
              </w:rPr>
            </w:pPr>
          </w:p>
        </w:tc>
      </w:tr>
      <w:tr w:rsidR="004E314E" w:rsidRPr="001362A6" w14:paraId="2755966E" w14:textId="77777777" w:rsidTr="00990D73">
        <w:tc>
          <w:tcPr>
            <w:tcW w:w="1316" w:type="dxa"/>
          </w:tcPr>
          <w:p w14:paraId="514DFBEB" w14:textId="77777777" w:rsidR="004E314E" w:rsidRPr="001362A6" w:rsidRDefault="004E314E" w:rsidP="004E314E">
            <w:pPr>
              <w:rPr>
                <w:rFonts w:ascii="Lato" w:hAnsi="Lato"/>
                <w:sz w:val="22"/>
                <w:szCs w:val="22"/>
              </w:rPr>
            </w:pPr>
          </w:p>
        </w:tc>
        <w:tc>
          <w:tcPr>
            <w:tcW w:w="5891" w:type="dxa"/>
          </w:tcPr>
          <w:p w14:paraId="37C64229" w14:textId="77777777" w:rsidR="004E314E" w:rsidRPr="001362A6" w:rsidRDefault="004E314E" w:rsidP="004E314E">
            <w:pPr>
              <w:rPr>
                <w:rFonts w:ascii="Lato" w:hAnsi="Lato"/>
                <w:sz w:val="22"/>
                <w:szCs w:val="22"/>
              </w:rPr>
            </w:pPr>
            <w:r w:rsidRPr="00590C6D">
              <w:rPr>
                <w:rFonts w:ascii="Lato" w:hAnsi="Lato"/>
                <w:sz w:val="22"/>
                <w:szCs w:val="22"/>
              </w:rPr>
              <w:t>unitholder</w:t>
            </w:r>
            <w:r w:rsidRPr="001362A6">
              <w:rPr>
                <w:rFonts w:ascii="Lato" w:hAnsi="Lato"/>
                <w:sz w:val="22"/>
                <w:szCs w:val="22"/>
              </w:rPr>
              <w:t xml:space="preserve"> relative to their participation in the relevant share class</w:t>
            </w:r>
          </w:p>
        </w:tc>
        <w:tc>
          <w:tcPr>
            <w:tcW w:w="3188" w:type="dxa"/>
          </w:tcPr>
          <w:p w14:paraId="4BE4E5ED" w14:textId="77777777" w:rsidR="004E314E" w:rsidRPr="001362A6" w:rsidRDefault="004E314E" w:rsidP="004E314E">
            <w:pPr>
              <w:rPr>
                <w:rFonts w:ascii="Lato" w:hAnsi="Lato"/>
                <w:sz w:val="22"/>
                <w:szCs w:val="22"/>
              </w:rPr>
            </w:pPr>
          </w:p>
        </w:tc>
      </w:tr>
      <w:tr w:rsidR="004E314E" w:rsidRPr="001362A6" w14:paraId="1684B18A" w14:textId="77777777" w:rsidTr="00D47A86">
        <w:tc>
          <w:tcPr>
            <w:tcW w:w="1316" w:type="dxa"/>
          </w:tcPr>
          <w:p w14:paraId="1978D1EE" w14:textId="77777777" w:rsidR="004E314E" w:rsidRPr="001362A6" w:rsidRDefault="004E314E" w:rsidP="004E314E">
            <w:pPr>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4B1A5461" w14:textId="77777777" w:rsidR="004E314E" w:rsidRPr="001362A6" w:rsidRDefault="004E314E" w:rsidP="004E314E">
            <w:pPr>
              <w:rPr>
                <w:rFonts w:ascii="Lato" w:hAnsi="Lato"/>
                <w:sz w:val="22"/>
                <w:szCs w:val="22"/>
              </w:rPr>
            </w:pPr>
            <w:r w:rsidRPr="001362A6">
              <w:rPr>
                <w:rFonts w:ascii="Lato" w:hAnsi="Lato"/>
                <w:sz w:val="22"/>
                <w:szCs w:val="22"/>
              </w:rPr>
              <w:t xml:space="preserve">Disclose prominently the attendant risks </w:t>
            </w:r>
          </w:p>
        </w:tc>
        <w:tc>
          <w:tcPr>
            <w:tcW w:w="3188" w:type="dxa"/>
            <w:tcBorders>
              <w:top w:val="single" w:sz="4" w:space="0" w:color="auto"/>
              <w:left w:val="single" w:sz="4" w:space="0" w:color="auto"/>
              <w:bottom w:val="single" w:sz="4" w:space="0" w:color="auto"/>
              <w:right w:val="single" w:sz="4" w:space="0" w:color="auto"/>
            </w:tcBorders>
          </w:tcPr>
          <w:p w14:paraId="4C23DA90" w14:textId="77777777" w:rsidR="004E314E" w:rsidRPr="001362A6" w:rsidRDefault="004E314E" w:rsidP="004E314E">
            <w:pPr>
              <w:rPr>
                <w:rFonts w:ascii="Lato" w:hAnsi="Lato"/>
                <w:sz w:val="22"/>
                <w:szCs w:val="22"/>
              </w:rPr>
            </w:pPr>
          </w:p>
        </w:tc>
      </w:tr>
      <w:tr w:rsidR="004E314E" w:rsidRPr="001362A6" w14:paraId="2130CD04" w14:textId="77777777" w:rsidTr="00D47A86">
        <w:tc>
          <w:tcPr>
            <w:tcW w:w="1316" w:type="dxa"/>
          </w:tcPr>
          <w:p w14:paraId="7B9BABD5" w14:textId="77777777" w:rsidR="004E314E" w:rsidRPr="001362A6" w:rsidRDefault="004E314E" w:rsidP="004E314E">
            <w:pPr>
              <w:rPr>
                <w:rFonts w:ascii="Lato" w:hAnsi="Lato"/>
                <w:sz w:val="22"/>
                <w:szCs w:val="22"/>
              </w:rPr>
            </w:pPr>
            <w:r w:rsidRPr="001362A6">
              <w:rPr>
                <w:rFonts w:ascii="Lato" w:hAnsi="Lato"/>
                <w:sz w:val="22"/>
                <w:szCs w:val="22"/>
              </w:rPr>
              <w:t>d)</w:t>
            </w:r>
          </w:p>
        </w:tc>
        <w:tc>
          <w:tcPr>
            <w:tcW w:w="5891" w:type="dxa"/>
            <w:tcBorders>
              <w:right w:val="single" w:sz="4" w:space="0" w:color="auto"/>
            </w:tcBorders>
          </w:tcPr>
          <w:p w14:paraId="1E1C0D22" w14:textId="77777777" w:rsidR="004E314E" w:rsidRPr="001362A6" w:rsidRDefault="004E314E" w:rsidP="004E314E">
            <w:pPr>
              <w:rPr>
                <w:rFonts w:ascii="Lato" w:hAnsi="Lato"/>
                <w:sz w:val="22"/>
                <w:szCs w:val="22"/>
              </w:rPr>
            </w:pPr>
            <w:r w:rsidRPr="001362A6">
              <w:rPr>
                <w:rFonts w:ascii="Lato" w:hAnsi="Lato"/>
                <w:sz w:val="22"/>
                <w:szCs w:val="22"/>
              </w:rPr>
              <w:t xml:space="preserve">Disclose clause in constitutional document that permits the </w:t>
            </w:r>
          </w:p>
        </w:tc>
        <w:tc>
          <w:tcPr>
            <w:tcW w:w="3188" w:type="dxa"/>
            <w:tcBorders>
              <w:top w:val="single" w:sz="4" w:space="0" w:color="auto"/>
              <w:left w:val="single" w:sz="4" w:space="0" w:color="auto"/>
              <w:bottom w:val="single" w:sz="4" w:space="0" w:color="auto"/>
              <w:right w:val="single" w:sz="4" w:space="0" w:color="auto"/>
            </w:tcBorders>
          </w:tcPr>
          <w:p w14:paraId="3530837B" w14:textId="77777777" w:rsidR="004E314E" w:rsidRPr="001362A6" w:rsidRDefault="004E314E" w:rsidP="004E314E">
            <w:pPr>
              <w:rPr>
                <w:rFonts w:ascii="Lato" w:hAnsi="Lato"/>
                <w:sz w:val="22"/>
                <w:szCs w:val="22"/>
              </w:rPr>
            </w:pPr>
          </w:p>
        </w:tc>
      </w:tr>
      <w:tr w:rsidR="004E314E" w:rsidRPr="001362A6" w14:paraId="41B9E908" w14:textId="77777777" w:rsidTr="007E3170">
        <w:tc>
          <w:tcPr>
            <w:tcW w:w="1316" w:type="dxa"/>
          </w:tcPr>
          <w:p w14:paraId="6835E94B" w14:textId="77777777" w:rsidR="004E314E" w:rsidRPr="001362A6" w:rsidRDefault="004E314E" w:rsidP="004E314E">
            <w:pPr>
              <w:rPr>
                <w:rFonts w:ascii="Lato" w:hAnsi="Lato"/>
                <w:sz w:val="22"/>
                <w:szCs w:val="22"/>
              </w:rPr>
            </w:pPr>
          </w:p>
        </w:tc>
        <w:tc>
          <w:tcPr>
            <w:tcW w:w="5891" w:type="dxa"/>
          </w:tcPr>
          <w:p w14:paraId="7743D017" w14:textId="77777777" w:rsidR="004E314E" w:rsidRPr="001362A6" w:rsidRDefault="004E314E" w:rsidP="004E314E">
            <w:pPr>
              <w:rPr>
                <w:rFonts w:ascii="Lato" w:hAnsi="Lato"/>
                <w:sz w:val="22"/>
                <w:szCs w:val="22"/>
              </w:rPr>
            </w:pPr>
            <w:r w:rsidRPr="001362A6">
              <w:rPr>
                <w:rFonts w:ascii="Lato" w:hAnsi="Lato"/>
                <w:sz w:val="22"/>
                <w:szCs w:val="22"/>
              </w:rPr>
              <w:t>creation of share classes</w:t>
            </w:r>
          </w:p>
        </w:tc>
        <w:tc>
          <w:tcPr>
            <w:tcW w:w="3188" w:type="dxa"/>
            <w:tcBorders>
              <w:top w:val="single" w:sz="4" w:space="0" w:color="auto"/>
              <w:bottom w:val="single" w:sz="4" w:space="0" w:color="auto"/>
            </w:tcBorders>
          </w:tcPr>
          <w:p w14:paraId="7F92E721" w14:textId="77777777" w:rsidR="004E314E" w:rsidRPr="001362A6" w:rsidRDefault="004E314E" w:rsidP="004E314E">
            <w:pPr>
              <w:rPr>
                <w:rFonts w:ascii="Lato" w:hAnsi="Lato"/>
                <w:sz w:val="22"/>
                <w:szCs w:val="22"/>
              </w:rPr>
            </w:pPr>
          </w:p>
        </w:tc>
      </w:tr>
      <w:tr w:rsidR="004E314E" w:rsidRPr="001362A6" w14:paraId="0241D736" w14:textId="77777777" w:rsidTr="007E3170">
        <w:tc>
          <w:tcPr>
            <w:tcW w:w="1316" w:type="dxa"/>
          </w:tcPr>
          <w:p w14:paraId="142D9E1E" w14:textId="77777777" w:rsidR="004E314E" w:rsidRPr="001362A6" w:rsidRDefault="004E314E" w:rsidP="004E314E">
            <w:pPr>
              <w:rPr>
                <w:rFonts w:ascii="Lato" w:hAnsi="Lato"/>
                <w:sz w:val="22"/>
                <w:szCs w:val="22"/>
              </w:rPr>
            </w:pPr>
            <w:r w:rsidRPr="001362A6">
              <w:rPr>
                <w:rFonts w:ascii="Lato" w:hAnsi="Lato"/>
                <w:sz w:val="22"/>
                <w:szCs w:val="22"/>
              </w:rPr>
              <w:t>e)</w:t>
            </w:r>
          </w:p>
        </w:tc>
        <w:tc>
          <w:tcPr>
            <w:tcW w:w="5891" w:type="dxa"/>
            <w:tcBorders>
              <w:right w:val="single" w:sz="4" w:space="0" w:color="auto"/>
            </w:tcBorders>
          </w:tcPr>
          <w:p w14:paraId="35179FF1" w14:textId="77777777" w:rsidR="004E314E" w:rsidRPr="001362A6" w:rsidRDefault="004E314E" w:rsidP="004E314E">
            <w:pPr>
              <w:rPr>
                <w:rFonts w:ascii="Lato" w:hAnsi="Lato"/>
                <w:sz w:val="22"/>
                <w:szCs w:val="22"/>
              </w:rPr>
            </w:pPr>
            <w:r w:rsidRPr="001362A6">
              <w:rPr>
                <w:rFonts w:ascii="Lato" w:hAnsi="Lato"/>
                <w:sz w:val="22"/>
                <w:szCs w:val="22"/>
              </w:rPr>
              <w:t xml:space="preserve">To the extent possible under the investment fund legislation and </w:t>
            </w:r>
          </w:p>
        </w:tc>
        <w:tc>
          <w:tcPr>
            <w:tcW w:w="3188" w:type="dxa"/>
            <w:tcBorders>
              <w:top w:val="single" w:sz="4" w:space="0" w:color="auto"/>
              <w:left w:val="single" w:sz="4" w:space="0" w:color="auto"/>
              <w:bottom w:val="single" w:sz="4" w:space="0" w:color="auto"/>
              <w:right w:val="single" w:sz="4" w:space="0" w:color="auto"/>
            </w:tcBorders>
          </w:tcPr>
          <w:p w14:paraId="665FBF7C" w14:textId="77777777" w:rsidR="004E314E" w:rsidRPr="001362A6" w:rsidRDefault="004E314E" w:rsidP="004E314E">
            <w:pPr>
              <w:rPr>
                <w:rFonts w:ascii="Lato" w:hAnsi="Lato"/>
                <w:sz w:val="22"/>
                <w:szCs w:val="22"/>
              </w:rPr>
            </w:pPr>
          </w:p>
        </w:tc>
      </w:tr>
      <w:tr w:rsidR="004E314E" w:rsidRPr="001362A6" w14:paraId="43713185" w14:textId="77777777" w:rsidTr="007E3170">
        <w:tc>
          <w:tcPr>
            <w:tcW w:w="1316" w:type="dxa"/>
          </w:tcPr>
          <w:p w14:paraId="32E9D9F5" w14:textId="77777777" w:rsidR="004E314E" w:rsidRPr="001362A6" w:rsidRDefault="004E314E" w:rsidP="004E314E">
            <w:pPr>
              <w:rPr>
                <w:rFonts w:ascii="Lato" w:hAnsi="Lato"/>
                <w:sz w:val="22"/>
                <w:szCs w:val="22"/>
              </w:rPr>
            </w:pPr>
          </w:p>
        </w:tc>
        <w:tc>
          <w:tcPr>
            <w:tcW w:w="5891" w:type="dxa"/>
          </w:tcPr>
          <w:p w14:paraId="505B4D58" w14:textId="77777777" w:rsidR="004E314E" w:rsidRPr="001362A6" w:rsidRDefault="004E314E" w:rsidP="004E314E">
            <w:pPr>
              <w:rPr>
                <w:rFonts w:ascii="Lato" w:hAnsi="Lato"/>
                <w:sz w:val="22"/>
                <w:szCs w:val="22"/>
              </w:rPr>
            </w:pPr>
            <w:r w:rsidRPr="001362A6">
              <w:rPr>
                <w:rFonts w:ascii="Lato" w:hAnsi="Lato"/>
                <w:sz w:val="22"/>
                <w:szCs w:val="22"/>
              </w:rPr>
              <w:t xml:space="preserve">applicable law the constitutional document should contain provisions aimed at achieving segregation of liability between such shares classes and the share classes participating in the common pool of assets of the Qualifying Investor AIF.  Disclose prominently where this is not possible. </w:t>
            </w:r>
          </w:p>
        </w:tc>
        <w:tc>
          <w:tcPr>
            <w:tcW w:w="3188" w:type="dxa"/>
            <w:tcBorders>
              <w:top w:val="single" w:sz="4" w:space="0" w:color="auto"/>
            </w:tcBorders>
          </w:tcPr>
          <w:p w14:paraId="59B3026F" w14:textId="77777777" w:rsidR="004E314E" w:rsidRPr="001362A6" w:rsidRDefault="004E314E" w:rsidP="004E314E">
            <w:pPr>
              <w:rPr>
                <w:rFonts w:ascii="Lato" w:hAnsi="Lato"/>
                <w:sz w:val="22"/>
                <w:szCs w:val="22"/>
              </w:rPr>
            </w:pPr>
          </w:p>
        </w:tc>
      </w:tr>
      <w:tr w:rsidR="004E314E" w:rsidRPr="001362A6" w14:paraId="6BD8441B" w14:textId="77777777" w:rsidTr="00990D73">
        <w:tc>
          <w:tcPr>
            <w:tcW w:w="1316" w:type="dxa"/>
          </w:tcPr>
          <w:p w14:paraId="688582F2" w14:textId="77777777" w:rsidR="004E314E" w:rsidRPr="001362A6" w:rsidRDefault="004E314E" w:rsidP="004E314E">
            <w:pPr>
              <w:rPr>
                <w:rFonts w:ascii="Lato" w:hAnsi="Lato"/>
                <w:sz w:val="22"/>
                <w:szCs w:val="22"/>
              </w:rPr>
            </w:pPr>
          </w:p>
        </w:tc>
        <w:tc>
          <w:tcPr>
            <w:tcW w:w="5891" w:type="dxa"/>
          </w:tcPr>
          <w:p w14:paraId="64FD70A1" w14:textId="77777777" w:rsidR="004E314E" w:rsidRPr="001362A6" w:rsidRDefault="004E314E" w:rsidP="004E314E">
            <w:pPr>
              <w:rPr>
                <w:rFonts w:ascii="Lato" w:hAnsi="Lato"/>
                <w:sz w:val="22"/>
                <w:szCs w:val="22"/>
              </w:rPr>
            </w:pPr>
          </w:p>
        </w:tc>
        <w:tc>
          <w:tcPr>
            <w:tcW w:w="3188" w:type="dxa"/>
          </w:tcPr>
          <w:p w14:paraId="69D6ADD9" w14:textId="77777777" w:rsidR="004E314E" w:rsidRPr="001362A6" w:rsidRDefault="004E314E" w:rsidP="004E314E">
            <w:pPr>
              <w:rPr>
                <w:rFonts w:ascii="Lato" w:hAnsi="Lato"/>
                <w:sz w:val="22"/>
                <w:szCs w:val="22"/>
              </w:rPr>
            </w:pPr>
          </w:p>
        </w:tc>
      </w:tr>
      <w:tr w:rsidR="004E314E" w:rsidRPr="001362A6" w14:paraId="620B9D5F" w14:textId="77777777" w:rsidTr="00990D73">
        <w:tc>
          <w:tcPr>
            <w:tcW w:w="1316" w:type="dxa"/>
          </w:tcPr>
          <w:p w14:paraId="62B9BDB0" w14:textId="77777777" w:rsidR="004E314E" w:rsidRPr="001362A6" w:rsidRDefault="004E314E" w:rsidP="004E314E">
            <w:pPr>
              <w:rPr>
                <w:rFonts w:ascii="Lato" w:hAnsi="Lato"/>
                <w:b/>
                <w:bCs/>
                <w:sz w:val="22"/>
                <w:szCs w:val="22"/>
              </w:rPr>
            </w:pPr>
            <w:r w:rsidRPr="001362A6">
              <w:rPr>
                <w:rFonts w:ascii="Lato" w:hAnsi="Lato"/>
                <w:b/>
                <w:bCs/>
                <w:sz w:val="22"/>
                <w:szCs w:val="22"/>
              </w:rPr>
              <w:t>2.25</w:t>
            </w:r>
          </w:p>
        </w:tc>
        <w:tc>
          <w:tcPr>
            <w:tcW w:w="5891" w:type="dxa"/>
          </w:tcPr>
          <w:p w14:paraId="0AAEE8C6" w14:textId="77777777" w:rsidR="004E314E" w:rsidRPr="001362A6" w:rsidRDefault="004E314E" w:rsidP="004E314E">
            <w:pPr>
              <w:pStyle w:val="Heading4"/>
              <w:rPr>
                <w:rFonts w:ascii="Lato" w:hAnsi="Lato"/>
                <w:sz w:val="22"/>
                <w:szCs w:val="22"/>
                <w:lang w:val="en-GB"/>
              </w:rPr>
            </w:pPr>
            <w:r w:rsidRPr="001362A6">
              <w:rPr>
                <w:rFonts w:ascii="Lato" w:hAnsi="Lato"/>
                <w:sz w:val="22"/>
                <w:szCs w:val="22"/>
                <w:lang w:val="en-GB"/>
              </w:rPr>
              <w:t xml:space="preserve">Side Pockets Share Classes </w:t>
            </w:r>
          </w:p>
        </w:tc>
        <w:tc>
          <w:tcPr>
            <w:tcW w:w="3188" w:type="dxa"/>
          </w:tcPr>
          <w:p w14:paraId="7324B39E" w14:textId="77777777" w:rsidR="004E314E" w:rsidRPr="001362A6" w:rsidRDefault="004E314E" w:rsidP="004E314E">
            <w:pPr>
              <w:rPr>
                <w:rFonts w:ascii="Lato" w:hAnsi="Lato"/>
                <w:sz w:val="22"/>
                <w:szCs w:val="22"/>
              </w:rPr>
            </w:pPr>
          </w:p>
        </w:tc>
      </w:tr>
      <w:tr w:rsidR="004E314E" w:rsidRPr="001362A6" w14:paraId="2E543A3D" w14:textId="77777777" w:rsidTr="00990D73">
        <w:tc>
          <w:tcPr>
            <w:tcW w:w="1316" w:type="dxa"/>
          </w:tcPr>
          <w:p w14:paraId="72A131C8" w14:textId="77777777" w:rsidR="004E314E" w:rsidRPr="001362A6" w:rsidRDefault="004E314E" w:rsidP="004E314E">
            <w:pPr>
              <w:rPr>
                <w:rFonts w:ascii="Lato" w:hAnsi="Lato"/>
                <w:b/>
                <w:bCs/>
                <w:sz w:val="22"/>
                <w:szCs w:val="22"/>
              </w:rPr>
            </w:pPr>
          </w:p>
        </w:tc>
        <w:tc>
          <w:tcPr>
            <w:tcW w:w="5891" w:type="dxa"/>
          </w:tcPr>
          <w:p w14:paraId="2CFFB18E" w14:textId="77777777" w:rsidR="004E314E" w:rsidRPr="001362A6" w:rsidRDefault="004E314E" w:rsidP="004E314E">
            <w:pPr>
              <w:pStyle w:val="Heading4"/>
              <w:rPr>
                <w:rFonts w:ascii="Lato" w:hAnsi="Lato"/>
                <w:sz w:val="22"/>
                <w:szCs w:val="22"/>
                <w:lang w:val="en-GB"/>
              </w:rPr>
            </w:pPr>
          </w:p>
        </w:tc>
        <w:tc>
          <w:tcPr>
            <w:tcW w:w="3188" w:type="dxa"/>
            <w:tcBorders>
              <w:bottom w:val="single" w:sz="4" w:space="0" w:color="auto"/>
            </w:tcBorders>
          </w:tcPr>
          <w:p w14:paraId="684B5DA4" w14:textId="77777777" w:rsidR="004E314E" w:rsidRPr="001362A6" w:rsidRDefault="004E314E" w:rsidP="004E314E">
            <w:pPr>
              <w:rPr>
                <w:rFonts w:ascii="Lato" w:hAnsi="Lato"/>
                <w:sz w:val="22"/>
                <w:szCs w:val="22"/>
              </w:rPr>
            </w:pPr>
          </w:p>
        </w:tc>
      </w:tr>
      <w:tr w:rsidR="004E314E" w:rsidRPr="001362A6" w14:paraId="31E4B0E0" w14:textId="77777777" w:rsidTr="00990D73">
        <w:tc>
          <w:tcPr>
            <w:tcW w:w="1316" w:type="dxa"/>
          </w:tcPr>
          <w:p w14:paraId="704B11F2" w14:textId="77777777" w:rsidR="004E314E" w:rsidRPr="001362A6" w:rsidRDefault="004E314E" w:rsidP="004E314E">
            <w:pPr>
              <w:jc w:val="right"/>
              <w:rPr>
                <w:rFonts w:ascii="Lato" w:hAnsi="Lato"/>
                <w:bCs/>
                <w:sz w:val="22"/>
                <w:szCs w:val="22"/>
              </w:rPr>
            </w:pPr>
            <w:r w:rsidRPr="001362A6">
              <w:rPr>
                <w:rFonts w:ascii="Lato" w:hAnsi="Lato"/>
                <w:bCs/>
                <w:sz w:val="22"/>
                <w:szCs w:val="22"/>
              </w:rPr>
              <w:t>a)</w:t>
            </w:r>
          </w:p>
        </w:tc>
        <w:tc>
          <w:tcPr>
            <w:tcW w:w="5891" w:type="dxa"/>
            <w:tcBorders>
              <w:right w:val="single" w:sz="4" w:space="0" w:color="auto"/>
            </w:tcBorders>
          </w:tcPr>
          <w:p w14:paraId="0AFC5E50" w14:textId="77777777" w:rsidR="004E314E" w:rsidRPr="001362A6" w:rsidRDefault="004E314E" w:rsidP="004E314E">
            <w:pPr>
              <w:pStyle w:val="Heading4"/>
              <w:rPr>
                <w:rFonts w:ascii="Lato" w:hAnsi="Lato"/>
                <w:sz w:val="22"/>
                <w:szCs w:val="22"/>
                <w:lang w:val="en-GB"/>
              </w:rPr>
            </w:pPr>
            <w:r w:rsidRPr="001362A6">
              <w:rPr>
                <w:rFonts w:ascii="Lato" w:hAnsi="Lato"/>
                <w:b w:val="0"/>
                <w:sz w:val="22"/>
                <w:szCs w:val="22"/>
              </w:rPr>
              <w:t xml:space="preserve">Provide a clear and unambiguous description of any </w:t>
            </w:r>
          </w:p>
        </w:tc>
        <w:tc>
          <w:tcPr>
            <w:tcW w:w="3188" w:type="dxa"/>
            <w:tcBorders>
              <w:top w:val="single" w:sz="4" w:space="0" w:color="auto"/>
              <w:left w:val="single" w:sz="4" w:space="0" w:color="auto"/>
              <w:bottom w:val="single" w:sz="4" w:space="0" w:color="auto"/>
              <w:right w:val="single" w:sz="4" w:space="0" w:color="auto"/>
            </w:tcBorders>
          </w:tcPr>
          <w:p w14:paraId="0EBADE09" w14:textId="77777777" w:rsidR="004E314E" w:rsidRPr="001362A6" w:rsidRDefault="004E314E" w:rsidP="004E314E">
            <w:pPr>
              <w:rPr>
                <w:rFonts w:ascii="Lato" w:hAnsi="Lato"/>
                <w:sz w:val="22"/>
                <w:szCs w:val="22"/>
              </w:rPr>
            </w:pPr>
          </w:p>
        </w:tc>
      </w:tr>
      <w:tr w:rsidR="004E314E" w:rsidRPr="001362A6" w14:paraId="59A00D68" w14:textId="77777777" w:rsidTr="00990D73">
        <w:tc>
          <w:tcPr>
            <w:tcW w:w="1316" w:type="dxa"/>
          </w:tcPr>
          <w:p w14:paraId="2D623E4B" w14:textId="77777777" w:rsidR="004E314E" w:rsidRPr="001362A6" w:rsidRDefault="004E314E" w:rsidP="004E314E">
            <w:pPr>
              <w:rPr>
                <w:rFonts w:ascii="Lato" w:hAnsi="Lato"/>
                <w:b/>
                <w:bCs/>
                <w:sz w:val="22"/>
                <w:szCs w:val="22"/>
              </w:rPr>
            </w:pPr>
          </w:p>
        </w:tc>
        <w:tc>
          <w:tcPr>
            <w:tcW w:w="5891" w:type="dxa"/>
          </w:tcPr>
          <w:p w14:paraId="2CFC9093" w14:textId="77777777" w:rsidR="004E314E" w:rsidRPr="001362A6" w:rsidRDefault="004E314E" w:rsidP="004E314E">
            <w:pPr>
              <w:pStyle w:val="Heading4"/>
              <w:rPr>
                <w:rFonts w:ascii="Lato" w:hAnsi="Lato"/>
                <w:sz w:val="22"/>
                <w:szCs w:val="22"/>
                <w:lang w:val="en-GB"/>
              </w:rPr>
            </w:pPr>
            <w:r w:rsidRPr="00590C6D">
              <w:rPr>
                <w:rFonts w:ascii="Lato" w:hAnsi="Lato"/>
                <w:b w:val="0"/>
                <w:sz w:val="22"/>
                <w:szCs w:val="22"/>
              </w:rPr>
              <w:t>proposed</w:t>
            </w:r>
            <w:r w:rsidRPr="001362A6">
              <w:rPr>
                <w:rFonts w:ascii="Lato" w:hAnsi="Lato"/>
                <w:b w:val="0"/>
                <w:sz w:val="22"/>
                <w:szCs w:val="22"/>
              </w:rPr>
              <w:t xml:space="preserve"> side pocket arrangements and information on the </w:t>
            </w:r>
          </w:p>
        </w:tc>
        <w:tc>
          <w:tcPr>
            <w:tcW w:w="3188" w:type="dxa"/>
            <w:tcBorders>
              <w:top w:val="single" w:sz="4" w:space="0" w:color="auto"/>
            </w:tcBorders>
          </w:tcPr>
          <w:p w14:paraId="70431C42" w14:textId="77777777" w:rsidR="004E314E" w:rsidRPr="001362A6" w:rsidRDefault="004E314E" w:rsidP="004E314E">
            <w:pPr>
              <w:rPr>
                <w:rFonts w:ascii="Lato" w:hAnsi="Lato"/>
                <w:sz w:val="22"/>
                <w:szCs w:val="22"/>
              </w:rPr>
            </w:pPr>
          </w:p>
        </w:tc>
      </w:tr>
      <w:tr w:rsidR="004E314E" w:rsidRPr="001362A6" w14:paraId="30A345BF" w14:textId="77777777" w:rsidTr="00990D73">
        <w:tc>
          <w:tcPr>
            <w:tcW w:w="1316" w:type="dxa"/>
          </w:tcPr>
          <w:p w14:paraId="6C2F2B51" w14:textId="77777777" w:rsidR="004E314E" w:rsidRPr="001362A6" w:rsidRDefault="004E314E" w:rsidP="004E314E">
            <w:pPr>
              <w:rPr>
                <w:rFonts w:ascii="Lato" w:hAnsi="Lato"/>
                <w:b/>
                <w:bCs/>
                <w:sz w:val="22"/>
                <w:szCs w:val="22"/>
              </w:rPr>
            </w:pPr>
          </w:p>
        </w:tc>
        <w:tc>
          <w:tcPr>
            <w:tcW w:w="5891" w:type="dxa"/>
          </w:tcPr>
          <w:p w14:paraId="689DA8C7" w14:textId="77777777" w:rsidR="004E314E" w:rsidRPr="001362A6" w:rsidRDefault="004E314E" w:rsidP="004E314E">
            <w:pPr>
              <w:pStyle w:val="Heading4"/>
              <w:rPr>
                <w:rFonts w:ascii="Lato" w:hAnsi="Lato"/>
                <w:sz w:val="22"/>
                <w:szCs w:val="22"/>
                <w:lang w:val="en-GB"/>
              </w:rPr>
            </w:pPr>
            <w:r w:rsidRPr="00590C6D">
              <w:rPr>
                <w:rFonts w:ascii="Lato" w:hAnsi="Lato"/>
                <w:b w:val="0"/>
                <w:sz w:val="22"/>
                <w:szCs w:val="22"/>
              </w:rPr>
              <w:t>action which will be taken</w:t>
            </w:r>
            <w:r w:rsidRPr="001362A6">
              <w:rPr>
                <w:rFonts w:ascii="Lato" w:hAnsi="Lato"/>
                <w:b w:val="0"/>
                <w:sz w:val="22"/>
                <w:szCs w:val="22"/>
              </w:rPr>
              <w:t xml:space="preserve"> in the event that the assets within the side pockets are not re-</w:t>
            </w:r>
          </w:p>
        </w:tc>
        <w:tc>
          <w:tcPr>
            <w:tcW w:w="3188" w:type="dxa"/>
          </w:tcPr>
          <w:p w14:paraId="0360B8EE" w14:textId="77777777" w:rsidR="004E314E" w:rsidRPr="001362A6" w:rsidRDefault="004E314E" w:rsidP="004E314E">
            <w:pPr>
              <w:rPr>
                <w:rFonts w:ascii="Lato" w:hAnsi="Lato"/>
                <w:sz w:val="22"/>
                <w:szCs w:val="22"/>
              </w:rPr>
            </w:pPr>
          </w:p>
        </w:tc>
      </w:tr>
      <w:tr w:rsidR="004E314E" w:rsidRPr="001362A6" w14:paraId="2CD8817F" w14:textId="77777777" w:rsidTr="00990D73">
        <w:tc>
          <w:tcPr>
            <w:tcW w:w="1316" w:type="dxa"/>
          </w:tcPr>
          <w:p w14:paraId="02B78E93" w14:textId="77777777" w:rsidR="004E314E" w:rsidRPr="001362A6" w:rsidRDefault="004E314E" w:rsidP="004E314E">
            <w:pPr>
              <w:rPr>
                <w:rFonts w:ascii="Lato" w:hAnsi="Lato"/>
                <w:b/>
                <w:bCs/>
                <w:sz w:val="22"/>
                <w:szCs w:val="22"/>
              </w:rPr>
            </w:pPr>
          </w:p>
        </w:tc>
        <w:tc>
          <w:tcPr>
            <w:tcW w:w="5891" w:type="dxa"/>
          </w:tcPr>
          <w:p w14:paraId="56E55D3D" w14:textId="77777777" w:rsidR="004E314E" w:rsidRPr="001362A6" w:rsidRDefault="004E314E" w:rsidP="004E314E">
            <w:pPr>
              <w:pStyle w:val="Heading4"/>
              <w:rPr>
                <w:rFonts w:ascii="Lato" w:hAnsi="Lato"/>
                <w:sz w:val="22"/>
                <w:szCs w:val="22"/>
                <w:lang w:val="en-GB"/>
              </w:rPr>
            </w:pPr>
            <w:r w:rsidRPr="001362A6">
              <w:rPr>
                <w:rFonts w:ascii="Lato" w:hAnsi="Lato"/>
                <w:b w:val="0"/>
                <w:sz w:val="22"/>
                <w:szCs w:val="22"/>
              </w:rPr>
              <w:t>admitted to trading or otherwise increase in value and/or</w:t>
            </w:r>
          </w:p>
        </w:tc>
        <w:tc>
          <w:tcPr>
            <w:tcW w:w="3188" w:type="dxa"/>
          </w:tcPr>
          <w:p w14:paraId="3836E413" w14:textId="77777777" w:rsidR="004E314E" w:rsidRPr="001362A6" w:rsidRDefault="004E314E" w:rsidP="004E314E">
            <w:pPr>
              <w:rPr>
                <w:rFonts w:ascii="Lato" w:hAnsi="Lato"/>
                <w:sz w:val="22"/>
                <w:szCs w:val="22"/>
              </w:rPr>
            </w:pPr>
          </w:p>
        </w:tc>
      </w:tr>
      <w:tr w:rsidR="004E314E" w:rsidRPr="001362A6" w14:paraId="1215DE23" w14:textId="77777777" w:rsidTr="00990D73">
        <w:tc>
          <w:tcPr>
            <w:tcW w:w="1316" w:type="dxa"/>
          </w:tcPr>
          <w:p w14:paraId="08ECC1C0" w14:textId="77777777" w:rsidR="004E314E" w:rsidRPr="001362A6" w:rsidRDefault="004E314E" w:rsidP="004E314E">
            <w:pPr>
              <w:rPr>
                <w:rFonts w:ascii="Lato" w:hAnsi="Lato"/>
                <w:b/>
                <w:bCs/>
                <w:sz w:val="22"/>
                <w:szCs w:val="22"/>
              </w:rPr>
            </w:pPr>
          </w:p>
        </w:tc>
        <w:tc>
          <w:tcPr>
            <w:tcW w:w="5891" w:type="dxa"/>
          </w:tcPr>
          <w:p w14:paraId="7DD1A9B4" w14:textId="77777777" w:rsidR="004E314E" w:rsidRPr="001362A6" w:rsidRDefault="004E314E" w:rsidP="004E314E">
            <w:pPr>
              <w:pStyle w:val="Heading4"/>
              <w:rPr>
                <w:rFonts w:ascii="Lato" w:hAnsi="Lato"/>
                <w:sz w:val="22"/>
                <w:szCs w:val="22"/>
                <w:lang w:val="en-GB"/>
              </w:rPr>
            </w:pPr>
            <w:r w:rsidRPr="001362A6">
              <w:rPr>
                <w:rFonts w:ascii="Lato" w:hAnsi="Lato"/>
                <w:b w:val="0"/>
                <w:sz w:val="22"/>
                <w:szCs w:val="22"/>
              </w:rPr>
              <w:t>liquidity as anticipated.</w:t>
            </w:r>
          </w:p>
        </w:tc>
        <w:tc>
          <w:tcPr>
            <w:tcW w:w="3188" w:type="dxa"/>
          </w:tcPr>
          <w:p w14:paraId="6F685F1D" w14:textId="77777777" w:rsidR="004E314E" w:rsidRPr="001362A6" w:rsidRDefault="004E314E" w:rsidP="004E314E">
            <w:pPr>
              <w:rPr>
                <w:rFonts w:ascii="Lato" w:hAnsi="Lato"/>
                <w:sz w:val="22"/>
                <w:szCs w:val="22"/>
              </w:rPr>
            </w:pPr>
          </w:p>
        </w:tc>
      </w:tr>
      <w:tr w:rsidR="004E314E" w:rsidRPr="001362A6" w14:paraId="1522BAC1" w14:textId="77777777" w:rsidTr="00990D73">
        <w:tc>
          <w:tcPr>
            <w:tcW w:w="1316" w:type="dxa"/>
          </w:tcPr>
          <w:p w14:paraId="6BF7AF44" w14:textId="77777777" w:rsidR="004E314E" w:rsidRPr="001362A6" w:rsidRDefault="004E314E" w:rsidP="004E314E">
            <w:pPr>
              <w:rPr>
                <w:rFonts w:ascii="Lato" w:hAnsi="Lato"/>
                <w:b/>
                <w:bCs/>
                <w:sz w:val="22"/>
                <w:szCs w:val="22"/>
              </w:rPr>
            </w:pPr>
          </w:p>
        </w:tc>
        <w:tc>
          <w:tcPr>
            <w:tcW w:w="5891" w:type="dxa"/>
          </w:tcPr>
          <w:p w14:paraId="180BB9A5" w14:textId="77777777" w:rsidR="004E314E" w:rsidRPr="001362A6" w:rsidRDefault="004E314E" w:rsidP="004E314E">
            <w:pPr>
              <w:pStyle w:val="Heading4"/>
              <w:rPr>
                <w:rFonts w:ascii="Lato" w:hAnsi="Lato"/>
                <w:sz w:val="22"/>
                <w:szCs w:val="22"/>
                <w:lang w:val="en-GB"/>
              </w:rPr>
            </w:pPr>
          </w:p>
        </w:tc>
        <w:tc>
          <w:tcPr>
            <w:tcW w:w="3188" w:type="dxa"/>
            <w:tcBorders>
              <w:bottom w:val="single" w:sz="4" w:space="0" w:color="auto"/>
            </w:tcBorders>
          </w:tcPr>
          <w:p w14:paraId="14DD9ED3" w14:textId="77777777" w:rsidR="004E314E" w:rsidRPr="001362A6" w:rsidRDefault="004E314E" w:rsidP="004E314E">
            <w:pPr>
              <w:rPr>
                <w:rFonts w:ascii="Lato" w:hAnsi="Lato"/>
                <w:sz w:val="22"/>
                <w:szCs w:val="22"/>
              </w:rPr>
            </w:pPr>
          </w:p>
        </w:tc>
      </w:tr>
      <w:tr w:rsidR="004E314E" w:rsidRPr="001362A6" w14:paraId="6E5F5A8D" w14:textId="77777777" w:rsidTr="00990D73">
        <w:tc>
          <w:tcPr>
            <w:tcW w:w="1316" w:type="dxa"/>
          </w:tcPr>
          <w:p w14:paraId="70633722" w14:textId="77777777" w:rsidR="004E314E" w:rsidRPr="001362A6" w:rsidRDefault="004E314E" w:rsidP="004E314E">
            <w:pPr>
              <w:jc w:val="right"/>
              <w:rPr>
                <w:rFonts w:ascii="Lato" w:hAnsi="Lato"/>
                <w:bCs/>
                <w:sz w:val="22"/>
                <w:szCs w:val="22"/>
              </w:rPr>
            </w:pPr>
            <w:r w:rsidRPr="001362A6">
              <w:rPr>
                <w:rFonts w:ascii="Lato" w:hAnsi="Lato"/>
                <w:bCs/>
                <w:sz w:val="22"/>
                <w:szCs w:val="22"/>
              </w:rPr>
              <w:t>b)</w:t>
            </w:r>
          </w:p>
        </w:tc>
        <w:tc>
          <w:tcPr>
            <w:tcW w:w="5891" w:type="dxa"/>
            <w:tcBorders>
              <w:right w:val="single" w:sz="4" w:space="0" w:color="auto"/>
            </w:tcBorders>
          </w:tcPr>
          <w:p w14:paraId="2946F5F5" w14:textId="77777777" w:rsidR="004E314E" w:rsidRPr="001362A6" w:rsidRDefault="004E314E" w:rsidP="004E314E">
            <w:pPr>
              <w:pStyle w:val="Heading4"/>
              <w:rPr>
                <w:rFonts w:ascii="Lato" w:hAnsi="Lato"/>
                <w:b w:val="0"/>
                <w:sz w:val="22"/>
                <w:szCs w:val="22"/>
                <w:lang w:val="en-GB"/>
              </w:rPr>
            </w:pPr>
            <w:r w:rsidRPr="001362A6">
              <w:rPr>
                <w:rFonts w:ascii="Lato" w:hAnsi="Lato"/>
                <w:b w:val="0"/>
                <w:sz w:val="22"/>
                <w:szCs w:val="22"/>
              </w:rPr>
              <w:t xml:space="preserve">Disclose if the Qualifying Investor AIF may establish side </w:t>
            </w:r>
          </w:p>
        </w:tc>
        <w:tc>
          <w:tcPr>
            <w:tcW w:w="3188" w:type="dxa"/>
            <w:tcBorders>
              <w:top w:val="single" w:sz="4" w:space="0" w:color="auto"/>
              <w:left w:val="single" w:sz="4" w:space="0" w:color="auto"/>
              <w:bottom w:val="single" w:sz="4" w:space="0" w:color="auto"/>
              <w:right w:val="single" w:sz="4" w:space="0" w:color="auto"/>
            </w:tcBorders>
          </w:tcPr>
          <w:p w14:paraId="22569358" w14:textId="77777777" w:rsidR="004E314E" w:rsidRPr="001362A6" w:rsidRDefault="004E314E" w:rsidP="004E314E">
            <w:pPr>
              <w:rPr>
                <w:rFonts w:ascii="Lato" w:hAnsi="Lato"/>
                <w:sz w:val="22"/>
                <w:szCs w:val="22"/>
              </w:rPr>
            </w:pPr>
          </w:p>
        </w:tc>
      </w:tr>
      <w:tr w:rsidR="004E314E" w:rsidRPr="001362A6" w14:paraId="49AF3DFE" w14:textId="77777777" w:rsidTr="00990D73">
        <w:tc>
          <w:tcPr>
            <w:tcW w:w="1316" w:type="dxa"/>
          </w:tcPr>
          <w:p w14:paraId="5B21CD48" w14:textId="77777777" w:rsidR="004E314E" w:rsidRPr="001362A6" w:rsidRDefault="004E314E" w:rsidP="004E314E">
            <w:pPr>
              <w:jc w:val="right"/>
              <w:rPr>
                <w:rFonts w:ascii="Lato" w:hAnsi="Lato"/>
                <w:bCs/>
                <w:sz w:val="22"/>
                <w:szCs w:val="22"/>
              </w:rPr>
            </w:pPr>
          </w:p>
        </w:tc>
        <w:tc>
          <w:tcPr>
            <w:tcW w:w="5891" w:type="dxa"/>
          </w:tcPr>
          <w:p w14:paraId="3ACD18F3" w14:textId="77777777" w:rsidR="004E314E" w:rsidRPr="001362A6" w:rsidRDefault="004E314E" w:rsidP="004E314E">
            <w:pPr>
              <w:pStyle w:val="Heading4"/>
              <w:rPr>
                <w:rFonts w:ascii="Lato" w:hAnsi="Lato"/>
                <w:b w:val="0"/>
                <w:sz w:val="22"/>
                <w:szCs w:val="22"/>
                <w:lang w:val="en-GB"/>
              </w:rPr>
            </w:pPr>
            <w:r w:rsidRPr="001362A6">
              <w:rPr>
                <w:rFonts w:ascii="Lato" w:hAnsi="Lato"/>
                <w:b w:val="0"/>
                <w:sz w:val="22"/>
                <w:szCs w:val="22"/>
              </w:rPr>
              <w:t>pocket share classes into which assets which are  illiquid when purchased may be placed</w:t>
            </w:r>
          </w:p>
        </w:tc>
        <w:tc>
          <w:tcPr>
            <w:tcW w:w="3188" w:type="dxa"/>
            <w:tcBorders>
              <w:top w:val="single" w:sz="4" w:space="0" w:color="auto"/>
            </w:tcBorders>
          </w:tcPr>
          <w:p w14:paraId="6942FB4A" w14:textId="77777777" w:rsidR="004E314E" w:rsidRPr="001362A6" w:rsidRDefault="004E314E" w:rsidP="004E314E">
            <w:pPr>
              <w:rPr>
                <w:rFonts w:ascii="Lato" w:hAnsi="Lato"/>
                <w:sz w:val="22"/>
                <w:szCs w:val="22"/>
              </w:rPr>
            </w:pPr>
          </w:p>
        </w:tc>
      </w:tr>
      <w:tr w:rsidR="004E314E" w:rsidRPr="001362A6" w14:paraId="5F8484CE" w14:textId="77777777" w:rsidTr="00990D73">
        <w:tc>
          <w:tcPr>
            <w:tcW w:w="1316" w:type="dxa"/>
          </w:tcPr>
          <w:p w14:paraId="62EA19A1" w14:textId="77777777" w:rsidR="004E314E" w:rsidRPr="001362A6" w:rsidRDefault="004E314E" w:rsidP="004E314E">
            <w:pPr>
              <w:jc w:val="right"/>
              <w:rPr>
                <w:rFonts w:ascii="Lato" w:hAnsi="Lato"/>
                <w:bCs/>
                <w:sz w:val="22"/>
                <w:szCs w:val="22"/>
              </w:rPr>
            </w:pPr>
          </w:p>
        </w:tc>
        <w:tc>
          <w:tcPr>
            <w:tcW w:w="5891" w:type="dxa"/>
          </w:tcPr>
          <w:p w14:paraId="49E625F5" w14:textId="77777777" w:rsidR="004E314E" w:rsidRPr="001362A6" w:rsidRDefault="004E314E" w:rsidP="004E314E">
            <w:pPr>
              <w:pStyle w:val="Heading4"/>
              <w:rPr>
                <w:rFonts w:ascii="Lato" w:hAnsi="Lato"/>
                <w:b w:val="0"/>
                <w:sz w:val="22"/>
                <w:szCs w:val="22"/>
                <w:lang w:val="en-GB"/>
              </w:rPr>
            </w:pPr>
            <w:r w:rsidRPr="001362A6">
              <w:rPr>
                <w:rFonts w:ascii="Lato" w:hAnsi="Lato"/>
                <w:b w:val="0"/>
                <w:sz w:val="22"/>
                <w:szCs w:val="22"/>
              </w:rPr>
              <w:t xml:space="preserve"> (permissible only for open-ended with limited liquidity or closed ended)</w:t>
            </w:r>
          </w:p>
        </w:tc>
        <w:tc>
          <w:tcPr>
            <w:tcW w:w="3188" w:type="dxa"/>
          </w:tcPr>
          <w:p w14:paraId="1D4AF422" w14:textId="77777777" w:rsidR="004E314E" w:rsidRPr="001362A6" w:rsidRDefault="004E314E" w:rsidP="004E314E">
            <w:pPr>
              <w:rPr>
                <w:rFonts w:ascii="Lato" w:hAnsi="Lato"/>
                <w:sz w:val="22"/>
                <w:szCs w:val="22"/>
              </w:rPr>
            </w:pPr>
          </w:p>
        </w:tc>
      </w:tr>
      <w:tr w:rsidR="004E314E" w:rsidRPr="001362A6" w14:paraId="68E055F7" w14:textId="77777777" w:rsidTr="00990D73">
        <w:trPr>
          <w:trHeight w:val="190"/>
        </w:trPr>
        <w:tc>
          <w:tcPr>
            <w:tcW w:w="1316" w:type="dxa"/>
          </w:tcPr>
          <w:p w14:paraId="79E7C579" w14:textId="77777777" w:rsidR="004E314E" w:rsidRPr="001362A6" w:rsidRDefault="004E314E" w:rsidP="004E314E">
            <w:pPr>
              <w:jc w:val="right"/>
              <w:rPr>
                <w:rFonts w:ascii="Lato" w:hAnsi="Lato"/>
                <w:bCs/>
                <w:sz w:val="22"/>
                <w:szCs w:val="22"/>
              </w:rPr>
            </w:pPr>
          </w:p>
        </w:tc>
        <w:tc>
          <w:tcPr>
            <w:tcW w:w="5891" w:type="dxa"/>
          </w:tcPr>
          <w:p w14:paraId="4B8FAFB6" w14:textId="77777777" w:rsidR="004E314E" w:rsidRPr="001362A6" w:rsidRDefault="004E314E" w:rsidP="004E314E">
            <w:pPr>
              <w:pStyle w:val="Heading4"/>
              <w:rPr>
                <w:rFonts w:ascii="Lato" w:hAnsi="Lato"/>
                <w:sz w:val="22"/>
                <w:szCs w:val="22"/>
                <w:lang w:val="en-GB"/>
              </w:rPr>
            </w:pPr>
          </w:p>
        </w:tc>
        <w:tc>
          <w:tcPr>
            <w:tcW w:w="3188" w:type="dxa"/>
            <w:tcBorders>
              <w:bottom w:val="single" w:sz="4" w:space="0" w:color="auto"/>
            </w:tcBorders>
          </w:tcPr>
          <w:p w14:paraId="6254C397" w14:textId="77777777" w:rsidR="004E314E" w:rsidRPr="001362A6" w:rsidRDefault="004E314E" w:rsidP="004E314E">
            <w:pPr>
              <w:rPr>
                <w:rFonts w:ascii="Lato" w:hAnsi="Lato"/>
                <w:sz w:val="22"/>
                <w:szCs w:val="22"/>
              </w:rPr>
            </w:pPr>
          </w:p>
        </w:tc>
      </w:tr>
      <w:tr w:rsidR="004E314E" w:rsidRPr="001362A6" w14:paraId="39659E84" w14:textId="77777777" w:rsidTr="00990D73">
        <w:tc>
          <w:tcPr>
            <w:tcW w:w="1316" w:type="dxa"/>
          </w:tcPr>
          <w:p w14:paraId="014EC3F8" w14:textId="77777777" w:rsidR="004E314E" w:rsidRPr="001362A6" w:rsidRDefault="004E314E" w:rsidP="004E314E">
            <w:pPr>
              <w:jc w:val="right"/>
              <w:rPr>
                <w:rFonts w:ascii="Lato" w:hAnsi="Lato"/>
                <w:bCs/>
                <w:sz w:val="22"/>
                <w:szCs w:val="22"/>
              </w:rPr>
            </w:pPr>
            <w:r w:rsidRPr="001362A6">
              <w:rPr>
                <w:rFonts w:ascii="Lato" w:hAnsi="Lato"/>
                <w:bCs/>
                <w:sz w:val="22"/>
                <w:szCs w:val="22"/>
              </w:rPr>
              <w:t>c)</w:t>
            </w:r>
          </w:p>
        </w:tc>
        <w:tc>
          <w:tcPr>
            <w:tcW w:w="5891" w:type="dxa"/>
            <w:tcBorders>
              <w:right w:val="single" w:sz="4" w:space="0" w:color="auto"/>
            </w:tcBorders>
          </w:tcPr>
          <w:p w14:paraId="45C0AF66" w14:textId="77777777" w:rsidR="004E314E" w:rsidRPr="001362A6" w:rsidDel="00932080" w:rsidRDefault="004E314E" w:rsidP="004E314E">
            <w:pPr>
              <w:pStyle w:val="Heading4"/>
              <w:rPr>
                <w:rFonts w:ascii="Lato" w:hAnsi="Lato"/>
                <w:b w:val="0"/>
                <w:sz w:val="22"/>
                <w:szCs w:val="22"/>
                <w:lang w:val="en-GB"/>
              </w:rPr>
            </w:pPr>
            <w:r w:rsidRPr="001362A6">
              <w:rPr>
                <w:rFonts w:ascii="Lato" w:hAnsi="Lato"/>
                <w:b w:val="0"/>
                <w:sz w:val="22"/>
                <w:szCs w:val="22"/>
                <w:lang w:val="en-GB"/>
              </w:rPr>
              <w:t xml:space="preserve">Disclose the clause in the constitutional document which </w:t>
            </w:r>
          </w:p>
        </w:tc>
        <w:tc>
          <w:tcPr>
            <w:tcW w:w="3188" w:type="dxa"/>
            <w:tcBorders>
              <w:top w:val="single" w:sz="4" w:space="0" w:color="auto"/>
              <w:left w:val="single" w:sz="4" w:space="0" w:color="auto"/>
              <w:bottom w:val="single" w:sz="4" w:space="0" w:color="auto"/>
              <w:right w:val="single" w:sz="4" w:space="0" w:color="auto"/>
            </w:tcBorders>
          </w:tcPr>
          <w:p w14:paraId="0C15BFA4" w14:textId="77777777" w:rsidR="004E314E" w:rsidRPr="001362A6" w:rsidRDefault="004E314E" w:rsidP="004E314E">
            <w:pPr>
              <w:rPr>
                <w:rFonts w:ascii="Lato" w:hAnsi="Lato"/>
                <w:sz w:val="22"/>
                <w:szCs w:val="22"/>
              </w:rPr>
            </w:pPr>
          </w:p>
        </w:tc>
      </w:tr>
      <w:tr w:rsidR="004E314E" w:rsidRPr="001362A6" w14:paraId="7FBE374C" w14:textId="77777777" w:rsidTr="00990D73">
        <w:tc>
          <w:tcPr>
            <w:tcW w:w="1316" w:type="dxa"/>
          </w:tcPr>
          <w:p w14:paraId="0A7F00AD" w14:textId="77777777" w:rsidR="004E314E" w:rsidRPr="001362A6" w:rsidRDefault="004E314E" w:rsidP="004E314E">
            <w:pPr>
              <w:jc w:val="right"/>
              <w:rPr>
                <w:rFonts w:ascii="Lato" w:hAnsi="Lato"/>
                <w:bCs/>
                <w:sz w:val="22"/>
                <w:szCs w:val="22"/>
              </w:rPr>
            </w:pPr>
          </w:p>
        </w:tc>
        <w:tc>
          <w:tcPr>
            <w:tcW w:w="5891" w:type="dxa"/>
          </w:tcPr>
          <w:p w14:paraId="4549B4B4" w14:textId="77777777" w:rsidR="004E314E" w:rsidRPr="001362A6" w:rsidRDefault="004E314E" w:rsidP="004E314E">
            <w:pPr>
              <w:pStyle w:val="Heading4"/>
              <w:rPr>
                <w:rFonts w:ascii="Lato" w:hAnsi="Lato"/>
                <w:b w:val="0"/>
                <w:sz w:val="22"/>
                <w:szCs w:val="22"/>
                <w:lang w:val="en-GB"/>
              </w:rPr>
            </w:pPr>
            <w:r w:rsidRPr="001362A6">
              <w:rPr>
                <w:rFonts w:ascii="Lato" w:hAnsi="Lato"/>
                <w:b w:val="0"/>
                <w:sz w:val="22"/>
                <w:szCs w:val="22"/>
                <w:lang w:val="en-GB"/>
              </w:rPr>
              <w:t>permits the creation of side pockets, including where relevant purchasing illiquid assets to  place into side pockets.</w:t>
            </w:r>
          </w:p>
        </w:tc>
        <w:tc>
          <w:tcPr>
            <w:tcW w:w="3188" w:type="dxa"/>
            <w:tcBorders>
              <w:top w:val="single" w:sz="4" w:space="0" w:color="auto"/>
            </w:tcBorders>
          </w:tcPr>
          <w:p w14:paraId="37A63EA6" w14:textId="77777777" w:rsidR="004E314E" w:rsidRPr="001362A6" w:rsidRDefault="004E314E" w:rsidP="004E314E">
            <w:pPr>
              <w:rPr>
                <w:rFonts w:ascii="Lato" w:hAnsi="Lato"/>
                <w:sz w:val="22"/>
                <w:szCs w:val="22"/>
              </w:rPr>
            </w:pPr>
          </w:p>
        </w:tc>
      </w:tr>
      <w:tr w:rsidR="004E314E" w:rsidRPr="001362A6" w14:paraId="77724A5C" w14:textId="77777777" w:rsidTr="00990D73">
        <w:trPr>
          <w:trHeight w:val="90"/>
        </w:trPr>
        <w:tc>
          <w:tcPr>
            <w:tcW w:w="1316" w:type="dxa"/>
          </w:tcPr>
          <w:p w14:paraId="3F5C6C60" w14:textId="77777777" w:rsidR="004E314E" w:rsidRPr="001362A6" w:rsidRDefault="004E314E" w:rsidP="004E314E">
            <w:pPr>
              <w:rPr>
                <w:rFonts w:ascii="Lato" w:hAnsi="Lato"/>
                <w:b/>
                <w:bCs/>
                <w:sz w:val="22"/>
                <w:szCs w:val="22"/>
              </w:rPr>
            </w:pPr>
          </w:p>
        </w:tc>
        <w:tc>
          <w:tcPr>
            <w:tcW w:w="5891" w:type="dxa"/>
          </w:tcPr>
          <w:p w14:paraId="57B66BD3" w14:textId="77777777" w:rsidR="004E314E" w:rsidRPr="001362A6" w:rsidRDefault="004E314E" w:rsidP="004E314E">
            <w:pPr>
              <w:pStyle w:val="BodyTextIndent"/>
              <w:ind w:left="-5"/>
              <w:rPr>
                <w:rFonts w:ascii="Lato" w:hAnsi="Lato"/>
                <w:b/>
                <w:bCs/>
                <w:szCs w:val="22"/>
              </w:rPr>
            </w:pPr>
          </w:p>
        </w:tc>
        <w:tc>
          <w:tcPr>
            <w:tcW w:w="3188" w:type="dxa"/>
          </w:tcPr>
          <w:p w14:paraId="0C536C66" w14:textId="77777777" w:rsidR="004E314E" w:rsidRPr="001362A6" w:rsidRDefault="004E314E" w:rsidP="004E314E">
            <w:pPr>
              <w:rPr>
                <w:rFonts w:ascii="Lato" w:hAnsi="Lato"/>
                <w:sz w:val="22"/>
                <w:szCs w:val="22"/>
              </w:rPr>
            </w:pPr>
          </w:p>
        </w:tc>
      </w:tr>
      <w:tr w:rsidR="004E314E" w:rsidRPr="001362A6" w14:paraId="57DE476B" w14:textId="77777777" w:rsidTr="00990D73">
        <w:trPr>
          <w:trHeight w:val="90"/>
        </w:trPr>
        <w:tc>
          <w:tcPr>
            <w:tcW w:w="1316" w:type="dxa"/>
          </w:tcPr>
          <w:p w14:paraId="769BAC4C" w14:textId="77777777" w:rsidR="004E314E" w:rsidRPr="001362A6" w:rsidRDefault="004E314E" w:rsidP="004E314E">
            <w:pPr>
              <w:rPr>
                <w:rFonts w:ascii="Lato" w:hAnsi="Lato"/>
                <w:b/>
                <w:bCs/>
                <w:sz w:val="22"/>
                <w:szCs w:val="22"/>
              </w:rPr>
            </w:pPr>
            <w:r w:rsidRPr="001362A6">
              <w:rPr>
                <w:rFonts w:ascii="Lato" w:hAnsi="Lato"/>
                <w:b/>
                <w:bCs/>
                <w:sz w:val="22"/>
                <w:szCs w:val="22"/>
              </w:rPr>
              <w:t>2.26</w:t>
            </w:r>
          </w:p>
        </w:tc>
        <w:tc>
          <w:tcPr>
            <w:tcW w:w="5891" w:type="dxa"/>
          </w:tcPr>
          <w:p w14:paraId="4D2DC9A2" w14:textId="77777777" w:rsidR="004E314E" w:rsidRPr="001362A6" w:rsidRDefault="004E314E" w:rsidP="004E314E">
            <w:pPr>
              <w:pStyle w:val="BodyTextIndent"/>
              <w:ind w:left="-5"/>
              <w:rPr>
                <w:rFonts w:ascii="Lato" w:hAnsi="Lato"/>
                <w:b/>
                <w:bCs/>
                <w:szCs w:val="22"/>
              </w:rPr>
            </w:pPr>
            <w:r w:rsidRPr="001362A6">
              <w:rPr>
                <w:rFonts w:ascii="Lato" w:hAnsi="Lato"/>
                <w:b/>
                <w:bCs/>
                <w:szCs w:val="22"/>
              </w:rPr>
              <w:t>Authorisation status</w:t>
            </w:r>
          </w:p>
        </w:tc>
        <w:tc>
          <w:tcPr>
            <w:tcW w:w="3188" w:type="dxa"/>
            <w:tcBorders>
              <w:bottom w:val="single" w:sz="4" w:space="0" w:color="auto"/>
            </w:tcBorders>
          </w:tcPr>
          <w:p w14:paraId="709D2696" w14:textId="77777777" w:rsidR="004E314E" w:rsidRPr="001362A6" w:rsidRDefault="004E314E" w:rsidP="004E314E">
            <w:pPr>
              <w:rPr>
                <w:rFonts w:ascii="Lato" w:hAnsi="Lato"/>
                <w:sz w:val="22"/>
                <w:szCs w:val="22"/>
              </w:rPr>
            </w:pPr>
          </w:p>
        </w:tc>
      </w:tr>
      <w:tr w:rsidR="004E314E" w:rsidRPr="001362A6" w14:paraId="01379928" w14:textId="77777777" w:rsidTr="007E3170">
        <w:trPr>
          <w:cantSplit/>
          <w:trHeight w:val="255"/>
        </w:trPr>
        <w:tc>
          <w:tcPr>
            <w:tcW w:w="1316" w:type="dxa"/>
            <w:vMerge w:val="restart"/>
          </w:tcPr>
          <w:p w14:paraId="0566C8B0" w14:textId="77777777" w:rsidR="004E314E" w:rsidRPr="001362A6" w:rsidRDefault="004E314E" w:rsidP="004E314E">
            <w:pPr>
              <w:rPr>
                <w:rFonts w:ascii="Lato" w:hAnsi="Lato"/>
                <w:sz w:val="22"/>
                <w:szCs w:val="22"/>
              </w:rPr>
            </w:pPr>
            <w:r w:rsidRPr="001362A6">
              <w:rPr>
                <w:rFonts w:ascii="Lato" w:hAnsi="Lato"/>
                <w:sz w:val="22"/>
                <w:szCs w:val="22"/>
              </w:rPr>
              <w:t>2.26.1</w:t>
            </w:r>
          </w:p>
        </w:tc>
        <w:tc>
          <w:tcPr>
            <w:tcW w:w="5891" w:type="dxa"/>
            <w:vMerge w:val="restart"/>
            <w:tcBorders>
              <w:right w:val="single" w:sz="4" w:space="0" w:color="auto"/>
            </w:tcBorders>
          </w:tcPr>
          <w:p w14:paraId="532DC23B" w14:textId="77777777" w:rsidR="004E314E" w:rsidRPr="001362A6" w:rsidRDefault="004E314E" w:rsidP="004E314E">
            <w:pPr>
              <w:rPr>
                <w:rFonts w:ascii="Lato" w:hAnsi="Lato"/>
                <w:sz w:val="22"/>
                <w:szCs w:val="22"/>
              </w:rPr>
            </w:pPr>
            <w:r w:rsidRPr="001362A6">
              <w:rPr>
                <w:rFonts w:ascii="Lato" w:hAnsi="Lato"/>
                <w:sz w:val="22"/>
                <w:szCs w:val="22"/>
              </w:rPr>
              <w:t>A minimum subscription requirement of at least €100,000 (or its equivalent in other currencies)</w:t>
            </w:r>
          </w:p>
        </w:tc>
        <w:tc>
          <w:tcPr>
            <w:tcW w:w="3188" w:type="dxa"/>
            <w:tcBorders>
              <w:top w:val="single" w:sz="4" w:space="0" w:color="auto"/>
              <w:left w:val="single" w:sz="4" w:space="0" w:color="auto"/>
              <w:bottom w:val="single" w:sz="4" w:space="0" w:color="auto"/>
              <w:right w:val="single" w:sz="4" w:space="0" w:color="auto"/>
            </w:tcBorders>
          </w:tcPr>
          <w:p w14:paraId="1D81376A" w14:textId="77777777" w:rsidR="004E314E" w:rsidRPr="001362A6" w:rsidRDefault="004E314E" w:rsidP="004E314E">
            <w:pPr>
              <w:rPr>
                <w:rFonts w:ascii="Lato" w:hAnsi="Lato"/>
                <w:sz w:val="22"/>
                <w:szCs w:val="22"/>
              </w:rPr>
            </w:pPr>
          </w:p>
        </w:tc>
      </w:tr>
      <w:tr w:rsidR="004E314E" w:rsidRPr="001362A6" w14:paraId="0BBA8FDF" w14:textId="77777777" w:rsidTr="00D47A86">
        <w:trPr>
          <w:cantSplit/>
          <w:trHeight w:val="254"/>
        </w:trPr>
        <w:tc>
          <w:tcPr>
            <w:tcW w:w="1316" w:type="dxa"/>
            <w:vMerge/>
          </w:tcPr>
          <w:p w14:paraId="4CFB371F" w14:textId="77777777" w:rsidR="004E314E" w:rsidRPr="001362A6" w:rsidRDefault="004E314E" w:rsidP="004E314E">
            <w:pPr>
              <w:rPr>
                <w:rFonts w:ascii="Lato" w:hAnsi="Lato"/>
                <w:sz w:val="22"/>
                <w:szCs w:val="22"/>
              </w:rPr>
            </w:pPr>
          </w:p>
        </w:tc>
        <w:tc>
          <w:tcPr>
            <w:tcW w:w="5891" w:type="dxa"/>
            <w:vMerge/>
          </w:tcPr>
          <w:p w14:paraId="5C7E84D1" w14:textId="77777777" w:rsidR="004E314E" w:rsidRPr="001362A6" w:rsidRDefault="004E314E" w:rsidP="004E314E">
            <w:pPr>
              <w:rPr>
                <w:rFonts w:ascii="Lato" w:hAnsi="Lato"/>
                <w:sz w:val="22"/>
                <w:szCs w:val="22"/>
              </w:rPr>
            </w:pPr>
          </w:p>
        </w:tc>
        <w:tc>
          <w:tcPr>
            <w:tcW w:w="3188" w:type="dxa"/>
            <w:tcBorders>
              <w:top w:val="single" w:sz="4" w:space="0" w:color="auto"/>
            </w:tcBorders>
          </w:tcPr>
          <w:p w14:paraId="7CBA2216" w14:textId="77777777" w:rsidR="004E314E" w:rsidRPr="001362A6" w:rsidRDefault="004E314E" w:rsidP="004E314E">
            <w:pPr>
              <w:rPr>
                <w:rFonts w:ascii="Lato" w:hAnsi="Lato"/>
                <w:sz w:val="22"/>
                <w:szCs w:val="22"/>
              </w:rPr>
            </w:pPr>
          </w:p>
        </w:tc>
      </w:tr>
      <w:tr w:rsidR="004E314E" w:rsidRPr="001362A6" w14:paraId="27E5B7D6" w14:textId="77777777" w:rsidTr="007E3170">
        <w:trPr>
          <w:cantSplit/>
          <w:trHeight w:val="254"/>
        </w:trPr>
        <w:tc>
          <w:tcPr>
            <w:tcW w:w="1316" w:type="dxa"/>
            <w:vMerge/>
          </w:tcPr>
          <w:p w14:paraId="0F2E0474" w14:textId="77777777" w:rsidR="004E314E" w:rsidRPr="001362A6" w:rsidRDefault="004E314E" w:rsidP="004E314E">
            <w:pPr>
              <w:jc w:val="right"/>
              <w:rPr>
                <w:rFonts w:ascii="Lato" w:hAnsi="Lato"/>
                <w:sz w:val="22"/>
                <w:szCs w:val="22"/>
              </w:rPr>
            </w:pPr>
          </w:p>
        </w:tc>
        <w:tc>
          <w:tcPr>
            <w:tcW w:w="5891" w:type="dxa"/>
            <w:vMerge/>
          </w:tcPr>
          <w:p w14:paraId="736D9095" w14:textId="77777777" w:rsidR="004E314E" w:rsidRPr="001362A6" w:rsidRDefault="004E314E" w:rsidP="004E314E">
            <w:pPr>
              <w:rPr>
                <w:rFonts w:ascii="Lato" w:hAnsi="Lato"/>
                <w:sz w:val="22"/>
                <w:szCs w:val="22"/>
              </w:rPr>
            </w:pPr>
          </w:p>
        </w:tc>
        <w:tc>
          <w:tcPr>
            <w:tcW w:w="3188" w:type="dxa"/>
          </w:tcPr>
          <w:p w14:paraId="4D50980B" w14:textId="77777777" w:rsidR="004E314E" w:rsidRPr="001362A6" w:rsidRDefault="004E314E" w:rsidP="004E314E">
            <w:pPr>
              <w:rPr>
                <w:rFonts w:ascii="Lato" w:hAnsi="Lato"/>
                <w:sz w:val="22"/>
                <w:szCs w:val="22"/>
              </w:rPr>
            </w:pPr>
          </w:p>
        </w:tc>
      </w:tr>
      <w:tr w:rsidR="004E314E" w:rsidRPr="001362A6" w14:paraId="15967E69" w14:textId="77777777" w:rsidTr="007E3170">
        <w:trPr>
          <w:cantSplit/>
          <w:trHeight w:val="254"/>
        </w:trPr>
        <w:tc>
          <w:tcPr>
            <w:tcW w:w="1316" w:type="dxa"/>
          </w:tcPr>
          <w:p w14:paraId="32CA5E6A" w14:textId="77777777" w:rsidR="004E314E" w:rsidRPr="001362A6" w:rsidRDefault="004E314E" w:rsidP="004E314E">
            <w:pPr>
              <w:rPr>
                <w:rFonts w:ascii="Lato" w:hAnsi="Lato"/>
                <w:sz w:val="22"/>
                <w:szCs w:val="22"/>
              </w:rPr>
            </w:pPr>
            <w:r w:rsidRPr="001362A6">
              <w:rPr>
                <w:rFonts w:ascii="Lato" w:hAnsi="Lato"/>
                <w:sz w:val="22"/>
                <w:szCs w:val="22"/>
              </w:rPr>
              <w:lastRenderedPageBreak/>
              <w:t>2.26.2</w:t>
            </w:r>
          </w:p>
        </w:tc>
        <w:tc>
          <w:tcPr>
            <w:tcW w:w="5891" w:type="dxa"/>
          </w:tcPr>
          <w:p w14:paraId="1894E1E6" w14:textId="77777777" w:rsidR="004E314E" w:rsidRPr="001362A6" w:rsidRDefault="004E314E" w:rsidP="004E314E">
            <w:pPr>
              <w:rPr>
                <w:rFonts w:ascii="Lato" w:hAnsi="Lato"/>
                <w:sz w:val="22"/>
                <w:szCs w:val="22"/>
              </w:rPr>
            </w:pPr>
            <w:r w:rsidRPr="001362A6">
              <w:rPr>
                <w:rFonts w:ascii="Lato" w:hAnsi="Lato"/>
                <w:sz w:val="22"/>
                <w:szCs w:val="22"/>
              </w:rPr>
              <w:t>Define Qualifying Investor as follows:</w:t>
            </w:r>
          </w:p>
        </w:tc>
        <w:tc>
          <w:tcPr>
            <w:tcW w:w="3188" w:type="dxa"/>
            <w:tcBorders>
              <w:bottom w:val="single" w:sz="4" w:space="0" w:color="auto"/>
            </w:tcBorders>
          </w:tcPr>
          <w:p w14:paraId="22AB02C8" w14:textId="77777777" w:rsidR="004E314E" w:rsidRPr="001362A6" w:rsidRDefault="004E314E" w:rsidP="004E314E">
            <w:pPr>
              <w:rPr>
                <w:rFonts w:ascii="Lato" w:hAnsi="Lato"/>
                <w:sz w:val="22"/>
                <w:szCs w:val="22"/>
              </w:rPr>
            </w:pPr>
          </w:p>
        </w:tc>
      </w:tr>
      <w:tr w:rsidR="004E314E" w:rsidRPr="001362A6" w14:paraId="2C05F203" w14:textId="77777777" w:rsidTr="007E3170">
        <w:trPr>
          <w:cantSplit/>
          <w:trHeight w:val="254"/>
        </w:trPr>
        <w:tc>
          <w:tcPr>
            <w:tcW w:w="1316" w:type="dxa"/>
          </w:tcPr>
          <w:p w14:paraId="497C4E1F" w14:textId="77777777" w:rsidR="004E314E" w:rsidRPr="001362A6" w:rsidRDefault="004E314E" w:rsidP="004E314E">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40CDDC25" w14:textId="77777777" w:rsidR="004E314E" w:rsidRPr="001362A6" w:rsidRDefault="004E314E" w:rsidP="004E314E">
            <w:pPr>
              <w:rPr>
                <w:rFonts w:ascii="Lato" w:hAnsi="Lato"/>
                <w:sz w:val="22"/>
                <w:szCs w:val="22"/>
              </w:rPr>
            </w:pPr>
            <w:r w:rsidRPr="001362A6">
              <w:rPr>
                <w:rFonts w:ascii="Lato" w:hAnsi="Lato"/>
                <w:sz w:val="22"/>
                <w:szCs w:val="22"/>
              </w:rPr>
              <w:t xml:space="preserve">(i)an investor who is a professional client within the </w:t>
            </w:r>
          </w:p>
        </w:tc>
        <w:tc>
          <w:tcPr>
            <w:tcW w:w="3188" w:type="dxa"/>
            <w:tcBorders>
              <w:top w:val="single" w:sz="4" w:space="0" w:color="auto"/>
              <w:left w:val="single" w:sz="4" w:space="0" w:color="auto"/>
              <w:bottom w:val="single" w:sz="4" w:space="0" w:color="auto"/>
              <w:right w:val="single" w:sz="4" w:space="0" w:color="auto"/>
            </w:tcBorders>
          </w:tcPr>
          <w:p w14:paraId="34834BF6" w14:textId="77777777" w:rsidR="004E314E" w:rsidRPr="001362A6" w:rsidRDefault="004E314E" w:rsidP="004E314E">
            <w:pPr>
              <w:rPr>
                <w:rFonts w:ascii="Lato" w:hAnsi="Lato"/>
                <w:sz w:val="22"/>
                <w:szCs w:val="22"/>
              </w:rPr>
            </w:pPr>
          </w:p>
        </w:tc>
      </w:tr>
      <w:tr w:rsidR="004E314E" w:rsidRPr="001362A6" w14:paraId="5D35662C" w14:textId="77777777" w:rsidTr="007E3170">
        <w:trPr>
          <w:cantSplit/>
          <w:trHeight w:val="254"/>
        </w:trPr>
        <w:tc>
          <w:tcPr>
            <w:tcW w:w="1316" w:type="dxa"/>
          </w:tcPr>
          <w:p w14:paraId="7B22282A" w14:textId="77777777" w:rsidR="004E314E" w:rsidRPr="001362A6" w:rsidRDefault="004E314E" w:rsidP="004E314E">
            <w:pPr>
              <w:jc w:val="right"/>
              <w:rPr>
                <w:rFonts w:ascii="Lato" w:hAnsi="Lato"/>
                <w:sz w:val="22"/>
                <w:szCs w:val="22"/>
              </w:rPr>
            </w:pPr>
          </w:p>
        </w:tc>
        <w:tc>
          <w:tcPr>
            <w:tcW w:w="5891" w:type="dxa"/>
          </w:tcPr>
          <w:p w14:paraId="686BD39C" w14:textId="77777777" w:rsidR="004E314E" w:rsidRPr="001362A6" w:rsidRDefault="004E314E" w:rsidP="004E314E">
            <w:pPr>
              <w:rPr>
                <w:rFonts w:ascii="Lato" w:hAnsi="Lato"/>
                <w:sz w:val="22"/>
                <w:szCs w:val="22"/>
              </w:rPr>
            </w:pPr>
            <w:r w:rsidRPr="001362A6">
              <w:rPr>
                <w:rFonts w:ascii="Lato" w:hAnsi="Lato"/>
                <w:sz w:val="22"/>
                <w:szCs w:val="22"/>
              </w:rPr>
              <w:t xml:space="preserve">meaning of Annex II of Directive 2004/39/EC(Markets in </w:t>
            </w:r>
          </w:p>
        </w:tc>
        <w:tc>
          <w:tcPr>
            <w:tcW w:w="3188" w:type="dxa"/>
            <w:tcBorders>
              <w:top w:val="single" w:sz="4" w:space="0" w:color="auto"/>
            </w:tcBorders>
          </w:tcPr>
          <w:p w14:paraId="0BA1E75C" w14:textId="77777777" w:rsidR="004E314E" w:rsidRPr="001362A6" w:rsidRDefault="004E314E" w:rsidP="004E314E">
            <w:pPr>
              <w:rPr>
                <w:rFonts w:ascii="Lato" w:hAnsi="Lato"/>
                <w:sz w:val="22"/>
                <w:szCs w:val="22"/>
              </w:rPr>
            </w:pPr>
          </w:p>
        </w:tc>
      </w:tr>
      <w:tr w:rsidR="004E314E" w:rsidRPr="001362A6" w14:paraId="1D0851FD" w14:textId="77777777" w:rsidTr="007E3170">
        <w:trPr>
          <w:cantSplit/>
          <w:trHeight w:val="254"/>
        </w:trPr>
        <w:tc>
          <w:tcPr>
            <w:tcW w:w="1316" w:type="dxa"/>
          </w:tcPr>
          <w:p w14:paraId="649D9733" w14:textId="77777777" w:rsidR="004E314E" w:rsidRPr="001362A6" w:rsidRDefault="004E314E" w:rsidP="004E314E">
            <w:pPr>
              <w:jc w:val="right"/>
              <w:rPr>
                <w:rFonts w:ascii="Lato" w:hAnsi="Lato"/>
                <w:sz w:val="22"/>
                <w:szCs w:val="22"/>
              </w:rPr>
            </w:pPr>
          </w:p>
        </w:tc>
        <w:tc>
          <w:tcPr>
            <w:tcW w:w="5891" w:type="dxa"/>
          </w:tcPr>
          <w:p w14:paraId="0CBE6AFA" w14:textId="77777777" w:rsidR="004E314E" w:rsidRPr="001362A6" w:rsidRDefault="004E314E" w:rsidP="004E314E">
            <w:pPr>
              <w:rPr>
                <w:rFonts w:ascii="Lato" w:hAnsi="Lato"/>
                <w:sz w:val="22"/>
                <w:szCs w:val="22"/>
              </w:rPr>
            </w:pPr>
            <w:r w:rsidRPr="001362A6">
              <w:rPr>
                <w:rFonts w:ascii="Lato" w:hAnsi="Lato"/>
                <w:sz w:val="22"/>
                <w:szCs w:val="22"/>
              </w:rPr>
              <w:t xml:space="preserve">Financial Instruments Directive)(‘MiFID’); or </w:t>
            </w:r>
          </w:p>
        </w:tc>
        <w:tc>
          <w:tcPr>
            <w:tcW w:w="3188" w:type="dxa"/>
            <w:tcBorders>
              <w:bottom w:val="single" w:sz="4" w:space="0" w:color="auto"/>
            </w:tcBorders>
          </w:tcPr>
          <w:p w14:paraId="001ABE6F" w14:textId="77777777" w:rsidR="004E314E" w:rsidRPr="001362A6" w:rsidRDefault="004E314E" w:rsidP="004E314E">
            <w:pPr>
              <w:rPr>
                <w:rFonts w:ascii="Lato" w:hAnsi="Lato"/>
                <w:sz w:val="22"/>
                <w:szCs w:val="22"/>
              </w:rPr>
            </w:pPr>
          </w:p>
        </w:tc>
      </w:tr>
      <w:tr w:rsidR="004E314E" w:rsidRPr="001362A6" w14:paraId="19B7F1BC" w14:textId="77777777" w:rsidTr="007E3170">
        <w:trPr>
          <w:cantSplit/>
          <w:trHeight w:val="254"/>
        </w:trPr>
        <w:tc>
          <w:tcPr>
            <w:tcW w:w="1316" w:type="dxa"/>
          </w:tcPr>
          <w:p w14:paraId="633E0A16" w14:textId="77777777" w:rsidR="004E314E" w:rsidRPr="001362A6" w:rsidRDefault="004E314E" w:rsidP="004E314E">
            <w:pPr>
              <w:jc w:val="right"/>
              <w:rPr>
                <w:rFonts w:ascii="Lato" w:hAnsi="Lato"/>
                <w:sz w:val="22"/>
                <w:szCs w:val="22"/>
              </w:rPr>
            </w:pPr>
          </w:p>
        </w:tc>
        <w:tc>
          <w:tcPr>
            <w:tcW w:w="5891" w:type="dxa"/>
            <w:tcBorders>
              <w:right w:val="single" w:sz="4" w:space="0" w:color="auto"/>
            </w:tcBorders>
          </w:tcPr>
          <w:p w14:paraId="5E15D88A" w14:textId="77777777" w:rsidR="004E314E" w:rsidRPr="001362A6" w:rsidRDefault="004E314E" w:rsidP="004E314E">
            <w:pPr>
              <w:rPr>
                <w:rFonts w:ascii="Lato" w:hAnsi="Lato"/>
                <w:sz w:val="22"/>
                <w:szCs w:val="22"/>
              </w:rPr>
            </w:pPr>
            <w:r w:rsidRPr="001362A6">
              <w:rPr>
                <w:rFonts w:ascii="Lato" w:hAnsi="Lato"/>
                <w:sz w:val="22"/>
                <w:szCs w:val="22"/>
              </w:rPr>
              <w:t>(ii)an investor who receives appraisal from an EU credit</w:t>
            </w:r>
          </w:p>
        </w:tc>
        <w:tc>
          <w:tcPr>
            <w:tcW w:w="3188" w:type="dxa"/>
            <w:tcBorders>
              <w:top w:val="single" w:sz="4" w:space="0" w:color="auto"/>
              <w:left w:val="single" w:sz="4" w:space="0" w:color="auto"/>
              <w:bottom w:val="single" w:sz="4" w:space="0" w:color="auto"/>
              <w:right w:val="single" w:sz="4" w:space="0" w:color="auto"/>
            </w:tcBorders>
          </w:tcPr>
          <w:p w14:paraId="07210B37" w14:textId="77777777" w:rsidR="004E314E" w:rsidRPr="001362A6" w:rsidRDefault="004E314E" w:rsidP="004E314E">
            <w:pPr>
              <w:rPr>
                <w:rFonts w:ascii="Lato" w:hAnsi="Lato"/>
                <w:sz w:val="22"/>
                <w:szCs w:val="22"/>
              </w:rPr>
            </w:pPr>
          </w:p>
        </w:tc>
      </w:tr>
      <w:tr w:rsidR="004E314E" w:rsidRPr="001362A6" w14:paraId="530CFE7D" w14:textId="77777777" w:rsidTr="007E3170">
        <w:trPr>
          <w:cantSplit/>
          <w:trHeight w:val="254"/>
        </w:trPr>
        <w:tc>
          <w:tcPr>
            <w:tcW w:w="1316" w:type="dxa"/>
          </w:tcPr>
          <w:p w14:paraId="40C167FA" w14:textId="77777777" w:rsidR="004E314E" w:rsidRPr="001362A6" w:rsidRDefault="004E314E" w:rsidP="004E314E">
            <w:pPr>
              <w:jc w:val="right"/>
              <w:rPr>
                <w:rFonts w:ascii="Lato" w:hAnsi="Lato"/>
                <w:sz w:val="22"/>
                <w:szCs w:val="22"/>
              </w:rPr>
            </w:pPr>
          </w:p>
        </w:tc>
        <w:tc>
          <w:tcPr>
            <w:tcW w:w="5891" w:type="dxa"/>
          </w:tcPr>
          <w:p w14:paraId="56BEC1E1" w14:textId="77777777" w:rsidR="004E314E" w:rsidRPr="001362A6" w:rsidRDefault="004E314E" w:rsidP="004E314E">
            <w:pPr>
              <w:rPr>
                <w:rFonts w:ascii="Lato" w:hAnsi="Lato"/>
                <w:sz w:val="22"/>
                <w:szCs w:val="22"/>
              </w:rPr>
            </w:pPr>
            <w:r w:rsidRPr="001362A6">
              <w:rPr>
                <w:rFonts w:ascii="Lato" w:hAnsi="Lato"/>
                <w:sz w:val="22"/>
                <w:szCs w:val="22"/>
              </w:rPr>
              <w:t>institution, a MiFID firm or a UCITS management company</w:t>
            </w:r>
          </w:p>
        </w:tc>
        <w:tc>
          <w:tcPr>
            <w:tcW w:w="3188" w:type="dxa"/>
            <w:tcBorders>
              <w:top w:val="single" w:sz="4" w:space="0" w:color="auto"/>
            </w:tcBorders>
          </w:tcPr>
          <w:p w14:paraId="6F20A954" w14:textId="77777777" w:rsidR="004E314E" w:rsidRPr="001362A6" w:rsidRDefault="004E314E" w:rsidP="004E314E">
            <w:pPr>
              <w:rPr>
                <w:rFonts w:ascii="Lato" w:hAnsi="Lato"/>
                <w:sz w:val="22"/>
                <w:szCs w:val="22"/>
              </w:rPr>
            </w:pPr>
          </w:p>
        </w:tc>
      </w:tr>
      <w:tr w:rsidR="004E314E" w:rsidRPr="001362A6" w14:paraId="2F73F8A5" w14:textId="77777777" w:rsidTr="007E3170">
        <w:trPr>
          <w:cantSplit/>
          <w:trHeight w:val="254"/>
        </w:trPr>
        <w:tc>
          <w:tcPr>
            <w:tcW w:w="1316" w:type="dxa"/>
          </w:tcPr>
          <w:p w14:paraId="348BEEBB" w14:textId="77777777" w:rsidR="004E314E" w:rsidRPr="001362A6" w:rsidRDefault="004E314E" w:rsidP="004E314E">
            <w:pPr>
              <w:jc w:val="right"/>
              <w:rPr>
                <w:rFonts w:ascii="Lato" w:hAnsi="Lato"/>
                <w:sz w:val="22"/>
                <w:szCs w:val="22"/>
              </w:rPr>
            </w:pPr>
          </w:p>
        </w:tc>
        <w:tc>
          <w:tcPr>
            <w:tcW w:w="5891" w:type="dxa"/>
          </w:tcPr>
          <w:p w14:paraId="7752564B" w14:textId="77777777" w:rsidR="004E314E" w:rsidRPr="001362A6" w:rsidRDefault="004E314E" w:rsidP="004E314E">
            <w:pPr>
              <w:rPr>
                <w:rFonts w:ascii="Lato" w:hAnsi="Lato"/>
                <w:sz w:val="22"/>
                <w:szCs w:val="22"/>
              </w:rPr>
            </w:pPr>
            <w:r w:rsidRPr="001362A6">
              <w:rPr>
                <w:rFonts w:ascii="Lato" w:hAnsi="Lato"/>
                <w:sz w:val="22"/>
                <w:szCs w:val="22"/>
              </w:rPr>
              <w:t xml:space="preserve">that the investor has the appropriate expertise, experience </w:t>
            </w:r>
          </w:p>
        </w:tc>
        <w:tc>
          <w:tcPr>
            <w:tcW w:w="3188" w:type="dxa"/>
          </w:tcPr>
          <w:p w14:paraId="2CC57DB3" w14:textId="77777777" w:rsidR="004E314E" w:rsidRPr="001362A6" w:rsidRDefault="004E314E" w:rsidP="004E314E">
            <w:pPr>
              <w:rPr>
                <w:rFonts w:ascii="Lato" w:hAnsi="Lato"/>
                <w:sz w:val="22"/>
                <w:szCs w:val="22"/>
              </w:rPr>
            </w:pPr>
          </w:p>
        </w:tc>
      </w:tr>
      <w:tr w:rsidR="004E314E" w:rsidRPr="001362A6" w14:paraId="749E612E" w14:textId="77777777" w:rsidTr="007E3170">
        <w:trPr>
          <w:cantSplit/>
          <w:trHeight w:val="254"/>
        </w:trPr>
        <w:tc>
          <w:tcPr>
            <w:tcW w:w="1316" w:type="dxa"/>
          </w:tcPr>
          <w:p w14:paraId="0F16A9C3" w14:textId="77777777" w:rsidR="004E314E" w:rsidRPr="001362A6" w:rsidRDefault="004E314E" w:rsidP="004E314E">
            <w:pPr>
              <w:jc w:val="right"/>
              <w:rPr>
                <w:rFonts w:ascii="Lato" w:hAnsi="Lato"/>
                <w:sz w:val="22"/>
                <w:szCs w:val="22"/>
              </w:rPr>
            </w:pPr>
          </w:p>
        </w:tc>
        <w:tc>
          <w:tcPr>
            <w:tcW w:w="5891" w:type="dxa"/>
          </w:tcPr>
          <w:p w14:paraId="737B4CD1" w14:textId="77777777" w:rsidR="004E314E" w:rsidRPr="001362A6" w:rsidRDefault="004E314E" w:rsidP="004E314E">
            <w:pPr>
              <w:rPr>
                <w:rFonts w:ascii="Lato" w:hAnsi="Lato"/>
                <w:sz w:val="22"/>
                <w:szCs w:val="22"/>
              </w:rPr>
            </w:pPr>
            <w:r w:rsidRPr="00590C6D">
              <w:rPr>
                <w:rFonts w:ascii="Lato" w:hAnsi="Lato"/>
                <w:sz w:val="22"/>
                <w:szCs w:val="22"/>
              </w:rPr>
              <w:t xml:space="preserve">and </w:t>
            </w:r>
            <w:r w:rsidRPr="001362A6">
              <w:rPr>
                <w:rFonts w:ascii="Lato" w:hAnsi="Lato"/>
                <w:sz w:val="22"/>
                <w:szCs w:val="22"/>
              </w:rPr>
              <w:t xml:space="preserve">knowledge to adequately understand the investment in </w:t>
            </w:r>
          </w:p>
        </w:tc>
        <w:tc>
          <w:tcPr>
            <w:tcW w:w="3188" w:type="dxa"/>
          </w:tcPr>
          <w:p w14:paraId="5C3EE9DB" w14:textId="77777777" w:rsidR="004E314E" w:rsidRPr="001362A6" w:rsidRDefault="004E314E" w:rsidP="004E314E">
            <w:pPr>
              <w:rPr>
                <w:rFonts w:ascii="Lato" w:hAnsi="Lato"/>
                <w:sz w:val="22"/>
                <w:szCs w:val="22"/>
              </w:rPr>
            </w:pPr>
          </w:p>
        </w:tc>
      </w:tr>
      <w:tr w:rsidR="004E314E" w:rsidRPr="001362A6" w14:paraId="00F92248" w14:textId="77777777" w:rsidTr="007E3170">
        <w:trPr>
          <w:cantSplit/>
          <w:trHeight w:val="254"/>
        </w:trPr>
        <w:tc>
          <w:tcPr>
            <w:tcW w:w="1316" w:type="dxa"/>
          </w:tcPr>
          <w:p w14:paraId="7B030DC1" w14:textId="77777777" w:rsidR="004E314E" w:rsidRPr="001362A6" w:rsidRDefault="004E314E" w:rsidP="004E314E">
            <w:pPr>
              <w:jc w:val="right"/>
              <w:rPr>
                <w:rFonts w:ascii="Lato" w:hAnsi="Lato"/>
                <w:sz w:val="22"/>
                <w:szCs w:val="22"/>
              </w:rPr>
            </w:pPr>
          </w:p>
        </w:tc>
        <w:tc>
          <w:tcPr>
            <w:tcW w:w="5891" w:type="dxa"/>
          </w:tcPr>
          <w:p w14:paraId="3F33A29E" w14:textId="77777777" w:rsidR="004E314E" w:rsidRPr="001362A6" w:rsidRDefault="004E314E" w:rsidP="004E314E">
            <w:pPr>
              <w:rPr>
                <w:rFonts w:ascii="Lato" w:hAnsi="Lato"/>
                <w:sz w:val="22"/>
                <w:szCs w:val="22"/>
              </w:rPr>
            </w:pPr>
            <w:r w:rsidRPr="00590C6D">
              <w:rPr>
                <w:rFonts w:ascii="Lato" w:hAnsi="Lato"/>
                <w:sz w:val="22"/>
                <w:szCs w:val="22"/>
              </w:rPr>
              <w:t>the</w:t>
            </w:r>
            <w:r w:rsidRPr="001362A6">
              <w:rPr>
                <w:rFonts w:ascii="Lato" w:hAnsi="Lato"/>
                <w:sz w:val="22"/>
                <w:szCs w:val="22"/>
              </w:rPr>
              <w:t xml:space="preserve"> Qualifying Investor AIF; or</w:t>
            </w:r>
          </w:p>
        </w:tc>
        <w:tc>
          <w:tcPr>
            <w:tcW w:w="3188" w:type="dxa"/>
          </w:tcPr>
          <w:p w14:paraId="3AF26AD4" w14:textId="77777777" w:rsidR="004E314E" w:rsidRPr="001362A6" w:rsidRDefault="004E314E" w:rsidP="004E314E">
            <w:pPr>
              <w:rPr>
                <w:rFonts w:ascii="Lato" w:hAnsi="Lato"/>
                <w:sz w:val="22"/>
                <w:szCs w:val="22"/>
              </w:rPr>
            </w:pPr>
          </w:p>
        </w:tc>
      </w:tr>
      <w:tr w:rsidR="004E314E" w:rsidRPr="001362A6" w14:paraId="387AE696" w14:textId="77777777" w:rsidTr="007E3170">
        <w:trPr>
          <w:cantSplit/>
          <w:trHeight w:val="254"/>
        </w:trPr>
        <w:tc>
          <w:tcPr>
            <w:tcW w:w="1316" w:type="dxa"/>
          </w:tcPr>
          <w:p w14:paraId="70A4E0C5" w14:textId="77777777" w:rsidR="004E314E" w:rsidRPr="001362A6" w:rsidRDefault="004E314E" w:rsidP="004E314E">
            <w:pPr>
              <w:jc w:val="right"/>
              <w:rPr>
                <w:rFonts w:ascii="Lato" w:hAnsi="Lato"/>
                <w:sz w:val="22"/>
                <w:szCs w:val="22"/>
              </w:rPr>
            </w:pPr>
          </w:p>
        </w:tc>
        <w:tc>
          <w:tcPr>
            <w:tcW w:w="5891" w:type="dxa"/>
          </w:tcPr>
          <w:p w14:paraId="004FE3C0" w14:textId="77777777" w:rsidR="004E314E" w:rsidRPr="001362A6" w:rsidRDefault="004E314E" w:rsidP="004E314E">
            <w:pPr>
              <w:rPr>
                <w:rFonts w:ascii="Lato" w:hAnsi="Lato"/>
                <w:sz w:val="22"/>
                <w:szCs w:val="22"/>
              </w:rPr>
            </w:pPr>
            <w:r w:rsidRPr="001362A6">
              <w:rPr>
                <w:rFonts w:ascii="Lato" w:hAnsi="Lato"/>
                <w:sz w:val="22"/>
                <w:szCs w:val="22"/>
              </w:rPr>
              <w:t xml:space="preserve">(iii)an investor who certifies that they are an informed </w:t>
            </w:r>
          </w:p>
        </w:tc>
        <w:tc>
          <w:tcPr>
            <w:tcW w:w="3188" w:type="dxa"/>
          </w:tcPr>
          <w:p w14:paraId="13E0F746" w14:textId="77777777" w:rsidR="004E314E" w:rsidRPr="001362A6" w:rsidRDefault="004E314E" w:rsidP="004E314E">
            <w:pPr>
              <w:rPr>
                <w:rFonts w:ascii="Lato" w:hAnsi="Lato"/>
                <w:sz w:val="22"/>
                <w:szCs w:val="22"/>
              </w:rPr>
            </w:pPr>
          </w:p>
        </w:tc>
      </w:tr>
      <w:tr w:rsidR="004E314E" w:rsidRPr="001362A6" w14:paraId="7FF83141" w14:textId="77777777" w:rsidTr="007E3170">
        <w:trPr>
          <w:cantSplit/>
          <w:trHeight w:val="254"/>
        </w:trPr>
        <w:tc>
          <w:tcPr>
            <w:tcW w:w="1316" w:type="dxa"/>
          </w:tcPr>
          <w:p w14:paraId="5DECEC80" w14:textId="77777777" w:rsidR="004E314E" w:rsidRPr="001362A6" w:rsidRDefault="004E314E" w:rsidP="004E314E">
            <w:pPr>
              <w:jc w:val="right"/>
              <w:rPr>
                <w:rFonts w:ascii="Lato" w:hAnsi="Lato"/>
                <w:sz w:val="22"/>
                <w:szCs w:val="22"/>
              </w:rPr>
            </w:pPr>
          </w:p>
        </w:tc>
        <w:tc>
          <w:tcPr>
            <w:tcW w:w="5891" w:type="dxa"/>
          </w:tcPr>
          <w:p w14:paraId="6539DF03" w14:textId="77777777" w:rsidR="004E314E" w:rsidRPr="001362A6" w:rsidRDefault="004E314E" w:rsidP="004E314E">
            <w:pPr>
              <w:rPr>
                <w:rFonts w:ascii="Lato" w:hAnsi="Lato"/>
                <w:sz w:val="22"/>
                <w:szCs w:val="22"/>
              </w:rPr>
            </w:pPr>
            <w:r w:rsidRPr="00590C6D">
              <w:rPr>
                <w:rFonts w:ascii="Lato" w:hAnsi="Lato"/>
                <w:sz w:val="22"/>
                <w:szCs w:val="22"/>
              </w:rPr>
              <w:t xml:space="preserve">investor </w:t>
            </w:r>
            <w:r w:rsidRPr="001362A6">
              <w:rPr>
                <w:rFonts w:ascii="Lato" w:hAnsi="Lato"/>
                <w:sz w:val="22"/>
                <w:szCs w:val="22"/>
              </w:rPr>
              <w:t xml:space="preserve">by providing the following: </w:t>
            </w:r>
          </w:p>
        </w:tc>
        <w:tc>
          <w:tcPr>
            <w:tcW w:w="3188" w:type="dxa"/>
            <w:tcBorders>
              <w:bottom w:val="single" w:sz="4" w:space="0" w:color="auto"/>
            </w:tcBorders>
          </w:tcPr>
          <w:p w14:paraId="782D613C" w14:textId="77777777" w:rsidR="004E314E" w:rsidRPr="001362A6" w:rsidRDefault="004E314E" w:rsidP="004E314E">
            <w:pPr>
              <w:rPr>
                <w:rFonts w:ascii="Lato" w:hAnsi="Lato"/>
                <w:sz w:val="22"/>
                <w:szCs w:val="22"/>
              </w:rPr>
            </w:pPr>
          </w:p>
        </w:tc>
      </w:tr>
      <w:tr w:rsidR="004E314E" w:rsidRPr="001362A6" w14:paraId="6DA1B5B1" w14:textId="77777777" w:rsidTr="007E3170">
        <w:trPr>
          <w:cantSplit/>
          <w:trHeight w:val="254"/>
        </w:trPr>
        <w:tc>
          <w:tcPr>
            <w:tcW w:w="1316" w:type="dxa"/>
          </w:tcPr>
          <w:p w14:paraId="6F86918E" w14:textId="77777777" w:rsidR="004E314E" w:rsidRPr="001362A6" w:rsidRDefault="004E314E" w:rsidP="004E314E">
            <w:pPr>
              <w:jc w:val="right"/>
              <w:rPr>
                <w:rFonts w:ascii="Lato" w:hAnsi="Lato"/>
                <w:sz w:val="22"/>
                <w:szCs w:val="22"/>
              </w:rPr>
            </w:pPr>
          </w:p>
        </w:tc>
        <w:tc>
          <w:tcPr>
            <w:tcW w:w="5891" w:type="dxa"/>
            <w:tcBorders>
              <w:right w:val="single" w:sz="4" w:space="0" w:color="auto"/>
            </w:tcBorders>
          </w:tcPr>
          <w:p w14:paraId="188AFA09" w14:textId="77777777" w:rsidR="004E314E" w:rsidRPr="001362A6" w:rsidRDefault="004E314E" w:rsidP="004E314E">
            <w:pPr>
              <w:numPr>
                <w:ilvl w:val="0"/>
                <w:numId w:val="34"/>
              </w:numPr>
              <w:rPr>
                <w:rFonts w:ascii="Lato" w:hAnsi="Lato"/>
                <w:sz w:val="22"/>
                <w:szCs w:val="22"/>
              </w:rPr>
            </w:pPr>
            <w:r w:rsidRPr="001362A6">
              <w:rPr>
                <w:rFonts w:ascii="Lato" w:hAnsi="Lato"/>
                <w:sz w:val="22"/>
                <w:szCs w:val="22"/>
              </w:rPr>
              <w:t xml:space="preserve">confirmation (in writing) that the investor has such </w:t>
            </w:r>
          </w:p>
        </w:tc>
        <w:tc>
          <w:tcPr>
            <w:tcW w:w="3188" w:type="dxa"/>
            <w:tcBorders>
              <w:top w:val="single" w:sz="4" w:space="0" w:color="auto"/>
              <w:left w:val="single" w:sz="4" w:space="0" w:color="auto"/>
              <w:bottom w:val="single" w:sz="4" w:space="0" w:color="auto"/>
              <w:right w:val="single" w:sz="4" w:space="0" w:color="auto"/>
            </w:tcBorders>
          </w:tcPr>
          <w:p w14:paraId="26A6F214" w14:textId="77777777" w:rsidR="004E314E" w:rsidRPr="001362A6" w:rsidRDefault="004E314E" w:rsidP="004E314E">
            <w:pPr>
              <w:rPr>
                <w:rFonts w:ascii="Lato" w:hAnsi="Lato"/>
                <w:sz w:val="22"/>
                <w:szCs w:val="22"/>
              </w:rPr>
            </w:pPr>
          </w:p>
        </w:tc>
      </w:tr>
      <w:tr w:rsidR="004E314E" w:rsidRPr="001362A6" w14:paraId="7B972773" w14:textId="77777777" w:rsidTr="007E3170">
        <w:trPr>
          <w:cantSplit/>
          <w:trHeight w:val="254"/>
        </w:trPr>
        <w:tc>
          <w:tcPr>
            <w:tcW w:w="1316" w:type="dxa"/>
          </w:tcPr>
          <w:p w14:paraId="6FC42BA1" w14:textId="77777777" w:rsidR="004E314E" w:rsidRPr="001362A6" w:rsidRDefault="004E314E" w:rsidP="004E314E">
            <w:pPr>
              <w:jc w:val="right"/>
              <w:rPr>
                <w:rFonts w:ascii="Lato" w:hAnsi="Lato"/>
                <w:sz w:val="22"/>
                <w:szCs w:val="22"/>
              </w:rPr>
            </w:pPr>
          </w:p>
        </w:tc>
        <w:tc>
          <w:tcPr>
            <w:tcW w:w="5891" w:type="dxa"/>
          </w:tcPr>
          <w:p w14:paraId="53CAA1B8" w14:textId="77777777" w:rsidR="004E314E" w:rsidRPr="001362A6" w:rsidRDefault="004E314E" w:rsidP="004E314E">
            <w:pPr>
              <w:rPr>
                <w:rFonts w:ascii="Lato" w:hAnsi="Lato"/>
                <w:sz w:val="22"/>
                <w:szCs w:val="22"/>
              </w:rPr>
            </w:pPr>
            <w:r w:rsidRPr="001362A6">
              <w:rPr>
                <w:rFonts w:ascii="Lato" w:hAnsi="Lato"/>
                <w:sz w:val="22"/>
                <w:szCs w:val="22"/>
              </w:rPr>
              <w:t xml:space="preserve">knowledge of and experience in financial and business </w:t>
            </w:r>
          </w:p>
        </w:tc>
        <w:tc>
          <w:tcPr>
            <w:tcW w:w="3188" w:type="dxa"/>
            <w:tcBorders>
              <w:top w:val="single" w:sz="4" w:space="0" w:color="auto"/>
            </w:tcBorders>
          </w:tcPr>
          <w:p w14:paraId="1FAAEEC8" w14:textId="77777777" w:rsidR="004E314E" w:rsidRPr="001362A6" w:rsidRDefault="004E314E" w:rsidP="004E314E">
            <w:pPr>
              <w:rPr>
                <w:rFonts w:ascii="Lato" w:hAnsi="Lato"/>
                <w:sz w:val="22"/>
                <w:szCs w:val="22"/>
              </w:rPr>
            </w:pPr>
          </w:p>
        </w:tc>
      </w:tr>
      <w:tr w:rsidR="004E314E" w:rsidRPr="001362A6" w14:paraId="1F97DF6B" w14:textId="77777777" w:rsidTr="007E3170">
        <w:trPr>
          <w:cantSplit/>
          <w:trHeight w:val="254"/>
        </w:trPr>
        <w:tc>
          <w:tcPr>
            <w:tcW w:w="1316" w:type="dxa"/>
          </w:tcPr>
          <w:p w14:paraId="70D15AD7" w14:textId="77777777" w:rsidR="004E314E" w:rsidRPr="001362A6" w:rsidRDefault="004E314E" w:rsidP="004E314E">
            <w:pPr>
              <w:jc w:val="right"/>
              <w:rPr>
                <w:rFonts w:ascii="Lato" w:hAnsi="Lato"/>
                <w:sz w:val="22"/>
                <w:szCs w:val="22"/>
              </w:rPr>
            </w:pPr>
          </w:p>
        </w:tc>
        <w:tc>
          <w:tcPr>
            <w:tcW w:w="5891" w:type="dxa"/>
          </w:tcPr>
          <w:p w14:paraId="2A96D1E2" w14:textId="77777777" w:rsidR="004E314E" w:rsidRPr="001362A6" w:rsidRDefault="004E314E" w:rsidP="004E314E">
            <w:pPr>
              <w:rPr>
                <w:rFonts w:ascii="Lato" w:hAnsi="Lato"/>
                <w:sz w:val="22"/>
                <w:szCs w:val="22"/>
              </w:rPr>
            </w:pPr>
            <w:r w:rsidRPr="00590C6D">
              <w:rPr>
                <w:rFonts w:ascii="Lato" w:hAnsi="Lato"/>
                <w:sz w:val="22"/>
                <w:szCs w:val="22"/>
              </w:rPr>
              <w:t xml:space="preserve">matters </w:t>
            </w:r>
            <w:r w:rsidRPr="001362A6">
              <w:rPr>
                <w:rFonts w:ascii="Lato" w:hAnsi="Lato"/>
                <w:sz w:val="22"/>
                <w:szCs w:val="22"/>
              </w:rPr>
              <w:t xml:space="preserve">as would enable the investor to properly evaluate </w:t>
            </w:r>
          </w:p>
        </w:tc>
        <w:tc>
          <w:tcPr>
            <w:tcW w:w="3188" w:type="dxa"/>
          </w:tcPr>
          <w:p w14:paraId="76FE949A" w14:textId="77777777" w:rsidR="004E314E" w:rsidRPr="001362A6" w:rsidRDefault="004E314E" w:rsidP="004E314E">
            <w:pPr>
              <w:rPr>
                <w:rFonts w:ascii="Lato" w:hAnsi="Lato"/>
                <w:sz w:val="22"/>
                <w:szCs w:val="22"/>
              </w:rPr>
            </w:pPr>
          </w:p>
        </w:tc>
      </w:tr>
      <w:tr w:rsidR="004E314E" w:rsidRPr="001362A6" w14:paraId="2DF4AA84" w14:textId="77777777" w:rsidTr="007E3170">
        <w:trPr>
          <w:cantSplit/>
          <w:trHeight w:val="254"/>
        </w:trPr>
        <w:tc>
          <w:tcPr>
            <w:tcW w:w="1316" w:type="dxa"/>
          </w:tcPr>
          <w:p w14:paraId="2062CEEF" w14:textId="77777777" w:rsidR="004E314E" w:rsidRPr="001362A6" w:rsidRDefault="004E314E" w:rsidP="004E314E">
            <w:pPr>
              <w:jc w:val="right"/>
              <w:rPr>
                <w:rFonts w:ascii="Lato" w:hAnsi="Lato"/>
                <w:sz w:val="22"/>
                <w:szCs w:val="22"/>
              </w:rPr>
            </w:pPr>
          </w:p>
        </w:tc>
        <w:tc>
          <w:tcPr>
            <w:tcW w:w="5891" w:type="dxa"/>
          </w:tcPr>
          <w:p w14:paraId="09A9701C" w14:textId="77777777" w:rsidR="004E314E" w:rsidRPr="001362A6" w:rsidRDefault="004E314E" w:rsidP="004E314E">
            <w:pPr>
              <w:rPr>
                <w:rFonts w:ascii="Lato" w:hAnsi="Lato"/>
                <w:sz w:val="22"/>
                <w:szCs w:val="22"/>
              </w:rPr>
            </w:pPr>
            <w:r w:rsidRPr="00590C6D">
              <w:rPr>
                <w:rFonts w:ascii="Lato" w:hAnsi="Lato"/>
                <w:sz w:val="22"/>
                <w:szCs w:val="22"/>
              </w:rPr>
              <w:t>the merits and</w:t>
            </w:r>
            <w:r w:rsidRPr="001362A6">
              <w:rPr>
                <w:rFonts w:ascii="Lato" w:hAnsi="Lato"/>
                <w:sz w:val="22"/>
                <w:szCs w:val="22"/>
              </w:rPr>
              <w:t xml:space="preserve"> risks of the prospective investment; or</w:t>
            </w:r>
          </w:p>
        </w:tc>
        <w:tc>
          <w:tcPr>
            <w:tcW w:w="3188" w:type="dxa"/>
            <w:tcBorders>
              <w:bottom w:val="single" w:sz="4" w:space="0" w:color="auto"/>
            </w:tcBorders>
          </w:tcPr>
          <w:p w14:paraId="443E8803" w14:textId="77777777" w:rsidR="004E314E" w:rsidRPr="001362A6" w:rsidRDefault="004E314E" w:rsidP="004E314E">
            <w:pPr>
              <w:rPr>
                <w:rFonts w:ascii="Lato" w:hAnsi="Lato"/>
                <w:sz w:val="22"/>
                <w:szCs w:val="22"/>
              </w:rPr>
            </w:pPr>
          </w:p>
        </w:tc>
      </w:tr>
      <w:tr w:rsidR="004E314E" w:rsidRPr="001362A6" w14:paraId="6552D6B6" w14:textId="77777777" w:rsidTr="007E3170">
        <w:trPr>
          <w:cantSplit/>
          <w:trHeight w:val="254"/>
        </w:trPr>
        <w:tc>
          <w:tcPr>
            <w:tcW w:w="1316" w:type="dxa"/>
          </w:tcPr>
          <w:p w14:paraId="1E3E521D" w14:textId="77777777" w:rsidR="004E314E" w:rsidRPr="001362A6" w:rsidRDefault="004E314E" w:rsidP="004E314E">
            <w:pPr>
              <w:jc w:val="right"/>
              <w:rPr>
                <w:rFonts w:ascii="Lato" w:hAnsi="Lato"/>
                <w:sz w:val="22"/>
                <w:szCs w:val="22"/>
              </w:rPr>
            </w:pPr>
          </w:p>
        </w:tc>
        <w:tc>
          <w:tcPr>
            <w:tcW w:w="5891" w:type="dxa"/>
            <w:tcBorders>
              <w:right w:val="single" w:sz="4" w:space="0" w:color="auto"/>
            </w:tcBorders>
          </w:tcPr>
          <w:p w14:paraId="57E0D2F0" w14:textId="77777777" w:rsidR="004E314E" w:rsidRPr="001362A6" w:rsidRDefault="004E314E" w:rsidP="004E314E">
            <w:pPr>
              <w:numPr>
                <w:ilvl w:val="0"/>
                <w:numId w:val="34"/>
              </w:numPr>
              <w:rPr>
                <w:rFonts w:ascii="Lato" w:hAnsi="Lato"/>
                <w:sz w:val="22"/>
                <w:szCs w:val="22"/>
              </w:rPr>
            </w:pPr>
            <w:r w:rsidRPr="001362A6">
              <w:rPr>
                <w:rFonts w:ascii="Lato" w:hAnsi="Lato"/>
                <w:sz w:val="22"/>
                <w:szCs w:val="22"/>
              </w:rPr>
              <w:t>confirmation in writing that the investor’s business</w:t>
            </w:r>
          </w:p>
        </w:tc>
        <w:tc>
          <w:tcPr>
            <w:tcW w:w="3188" w:type="dxa"/>
            <w:tcBorders>
              <w:top w:val="single" w:sz="4" w:space="0" w:color="auto"/>
              <w:left w:val="single" w:sz="4" w:space="0" w:color="auto"/>
              <w:bottom w:val="single" w:sz="4" w:space="0" w:color="auto"/>
              <w:right w:val="single" w:sz="4" w:space="0" w:color="auto"/>
            </w:tcBorders>
          </w:tcPr>
          <w:p w14:paraId="67092810" w14:textId="77777777" w:rsidR="004E314E" w:rsidRPr="001362A6" w:rsidRDefault="004E314E" w:rsidP="004E314E">
            <w:pPr>
              <w:rPr>
                <w:rFonts w:ascii="Lato" w:hAnsi="Lato"/>
                <w:sz w:val="22"/>
                <w:szCs w:val="22"/>
              </w:rPr>
            </w:pPr>
          </w:p>
        </w:tc>
      </w:tr>
      <w:tr w:rsidR="004E314E" w:rsidRPr="001362A6" w14:paraId="4BE69835" w14:textId="77777777" w:rsidTr="007E3170">
        <w:trPr>
          <w:cantSplit/>
          <w:trHeight w:val="254"/>
        </w:trPr>
        <w:tc>
          <w:tcPr>
            <w:tcW w:w="1316" w:type="dxa"/>
          </w:tcPr>
          <w:p w14:paraId="3603E959" w14:textId="77777777" w:rsidR="004E314E" w:rsidRPr="001362A6" w:rsidRDefault="004E314E" w:rsidP="004E314E">
            <w:pPr>
              <w:jc w:val="right"/>
              <w:rPr>
                <w:rFonts w:ascii="Lato" w:hAnsi="Lato"/>
                <w:sz w:val="22"/>
                <w:szCs w:val="22"/>
              </w:rPr>
            </w:pPr>
          </w:p>
        </w:tc>
        <w:tc>
          <w:tcPr>
            <w:tcW w:w="5891" w:type="dxa"/>
          </w:tcPr>
          <w:p w14:paraId="4F1BBE05" w14:textId="77777777" w:rsidR="004E314E" w:rsidRPr="001362A6" w:rsidRDefault="004E314E" w:rsidP="004E314E">
            <w:pPr>
              <w:rPr>
                <w:rFonts w:ascii="Lato" w:hAnsi="Lato"/>
                <w:sz w:val="22"/>
                <w:szCs w:val="22"/>
              </w:rPr>
            </w:pPr>
            <w:r w:rsidRPr="001362A6">
              <w:rPr>
                <w:rFonts w:ascii="Lato" w:hAnsi="Lato"/>
                <w:sz w:val="22"/>
                <w:szCs w:val="22"/>
              </w:rPr>
              <w:t xml:space="preserve">involves, whether for its own account or the account of </w:t>
            </w:r>
          </w:p>
        </w:tc>
        <w:tc>
          <w:tcPr>
            <w:tcW w:w="3188" w:type="dxa"/>
            <w:tcBorders>
              <w:top w:val="single" w:sz="4" w:space="0" w:color="auto"/>
            </w:tcBorders>
          </w:tcPr>
          <w:p w14:paraId="7655929D" w14:textId="77777777" w:rsidR="004E314E" w:rsidRPr="001362A6" w:rsidRDefault="004E314E" w:rsidP="004E314E">
            <w:pPr>
              <w:rPr>
                <w:rFonts w:ascii="Lato" w:hAnsi="Lato"/>
                <w:sz w:val="22"/>
                <w:szCs w:val="22"/>
              </w:rPr>
            </w:pPr>
          </w:p>
        </w:tc>
      </w:tr>
      <w:tr w:rsidR="004E314E" w:rsidRPr="001362A6" w14:paraId="428EA9D1" w14:textId="77777777" w:rsidTr="007E3170">
        <w:trPr>
          <w:cantSplit/>
          <w:trHeight w:val="254"/>
        </w:trPr>
        <w:tc>
          <w:tcPr>
            <w:tcW w:w="1316" w:type="dxa"/>
          </w:tcPr>
          <w:p w14:paraId="6869F6CD" w14:textId="77777777" w:rsidR="004E314E" w:rsidRPr="001362A6" w:rsidRDefault="004E314E" w:rsidP="004E314E">
            <w:pPr>
              <w:jc w:val="right"/>
              <w:rPr>
                <w:rFonts w:ascii="Lato" w:hAnsi="Lato"/>
                <w:sz w:val="22"/>
                <w:szCs w:val="22"/>
              </w:rPr>
            </w:pPr>
          </w:p>
        </w:tc>
        <w:tc>
          <w:tcPr>
            <w:tcW w:w="5891" w:type="dxa"/>
          </w:tcPr>
          <w:p w14:paraId="442E169A" w14:textId="77777777" w:rsidR="004E314E" w:rsidRPr="001362A6" w:rsidRDefault="004E314E" w:rsidP="004E314E">
            <w:pPr>
              <w:rPr>
                <w:rFonts w:ascii="Lato" w:hAnsi="Lato"/>
                <w:sz w:val="22"/>
                <w:szCs w:val="22"/>
              </w:rPr>
            </w:pPr>
            <w:r w:rsidRPr="00590C6D">
              <w:rPr>
                <w:rFonts w:ascii="Lato" w:hAnsi="Lato"/>
                <w:sz w:val="22"/>
                <w:szCs w:val="22"/>
              </w:rPr>
              <w:t xml:space="preserve">others, </w:t>
            </w:r>
            <w:r w:rsidRPr="001362A6">
              <w:rPr>
                <w:rFonts w:ascii="Lato" w:hAnsi="Lato"/>
                <w:sz w:val="22"/>
                <w:szCs w:val="22"/>
              </w:rPr>
              <w:t xml:space="preserve">the management,acquisition or disposal of property </w:t>
            </w:r>
          </w:p>
        </w:tc>
        <w:tc>
          <w:tcPr>
            <w:tcW w:w="3188" w:type="dxa"/>
          </w:tcPr>
          <w:p w14:paraId="3725DCA6" w14:textId="77777777" w:rsidR="004E314E" w:rsidRPr="001362A6" w:rsidRDefault="004E314E" w:rsidP="004E314E">
            <w:pPr>
              <w:rPr>
                <w:rFonts w:ascii="Lato" w:hAnsi="Lato"/>
                <w:sz w:val="22"/>
                <w:szCs w:val="22"/>
              </w:rPr>
            </w:pPr>
          </w:p>
        </w:tc>
      </w:tr>
      <w:tr w:rsidR="004E314E" w:rsidRPr="001362A6" w14:paraId="47B49375" w14:textId="77777777" w:rsidTr="007E3170">
        <w:trPr>
          <w:cantSplit/>
          <w:trHeight w:val="254"/>
        </w:trPr>
        <w:tc>
          <w:tcPr>
            <w:tcW w:w="1316" w:type="dxa"/>
          </w:tcPr>
          <w:p w14:paraId="761584C6" w14:textId="77777777" w:rsidR="004E314E" w:rsidRPr="001362A6" w:rsidRDefault="004E314E" w:rsidP="004E314E">
            <w:pPr>
              <w:jc w:val="right"/>
              <w:rPr>
                <w:rFonts w:ascii="Lato" w:hAnsi="Lato"/>
                <w:sz w:val="22"/>
                <w:szCs w:val="22"/>
              </w:rPr>
            </w:pPr>
          </w:p>
        </w:tc>
        <w:tc>
          <w:tcPr>
            <w:tcW w:w="5891" w:type="dxa"/>
          </w:tcPr>
          <w:p w14:paraId="32939591" w14:textId="77777777" w:rsidR="004E314E" w:rsidRPr="001362A6" w:rsidRDefault="004E314E" w:rsidP="004E314E">
            <w:pPr>
              <w:rPr>
                <w:rFonts w:ascii="Lato" w:hAnsi="Lato"/>
                <w:sz w:val="22"/>
                <w:szCs w:val="22"/>
              </w:rPr>
            </w:pPr>
            <w:r w:rsidRPr="00590C6D">
              <w:rPr>
                <w:rFonts w:ascii="Lato" w:hAnsi="Lato"/>
                <w:sz w:val="22"/>
                <w:szCs w:val="22"/>
              </w:rPr>
              <w:t>of the same</w:t>
            </w:r>
            <w:r w:rsidRPr="001362A6">
              <w:rPr>
                <w:rFonts w:ascii="Lato" w:hAnsi="Lato"/>
                <w:sz w:val="22"/>
                <w:szCs w:val="22"/>
              </w:rPr>
              <w:t xml:space="preserve"> kind as the property of the Qualifying Investor AIF</w:t>
            </w:r>
          </w:p>
          <w:p w14:paraId="62DDBC68" w14:textId="77777777" w:rsidR="004E314E" w:rsidRPr="001362A6" w:rsidRDefault="004E314E" w:rsidP="004E314E">
            <w:pPr>
              <w:rPr>
                <w:rFonts w:ascii="Lato" w:hAnsi="Lato"/>
                <w:sz w:val="22"/>
                <w:szCs w:val="22"/>
              </w:rPr>
            </w:pPr>
          </w:p>
        </w:tc>
        <w:tc>
          <w:tcPr>
            <w:tcW w:w="3188" w:type="dxa"/>
          </w:tcPr>
          <w:p w14:paraId="6F91CEB9" w14:textId="77777777" w:rsidR="004E314E" w:rsidRPr="001362A6" w:rsidRDefault="004E314E" w:rsidP="004E314E">
            <w:pPr>
              <w:rPr>
                <w:rFonts w:ascii="Lato" w:hAnsi="Lato"/>
                <w:sz w:val="22"/>
                <w:szCs w:val="22"/>
              </w:rPr>
            </w:pPr>
          </w:p>
        </w:tc>
      </w:tr>
      <w:tr w:rsidR="004E314E" w:rsidRPr="001362A6" w14:paraId="334A608D" w14:textId="77777777" w:rsidTr="007E3170">
        <w:trPr>
          <w:cantSplit/>
          <w:trHeight w:val="254"/>
        </w:trPr>
        <w:tc>
          <w:tcPr>
            <w:tcW w:w="1316" w:type="dxa"/>
          </w:tcPr>
          <w:p w14:paraId="7589B9E8" w14:textId="77777777" w:rsidR="004E314E" w:rsidRPr="001362A6" w:rsidRDefault="004E314E" w:rsidP="004E314E">
            <w:pPr>
              <w:jc w:val="right"/>
              <w:rPr>
                <w:rFonts w:ascii="Lato" w:hAnsi="Lato"/>
                <w:sz w:val="22"/>
                <w:szCs w:val="22"/>
              </w:rPr>
            </w:pPr>
            <w:r w:rsidRPr="001362A6">
              <w:rPr>
                <w:rFonts w:ascii="Lato" w:hAnsi="Lato"/>
                <w:sz w:val="22"/>
                <w:szCs w:val="22"/>
              </w:rPr>
              <w:t>(b)</w:t>
            </w:r>
          </w:p>
        </w:tc>
        <w:tc>
          <w:tcPr>
            <w:tcW w:w="5891" w:type="dxa"/>
          </w:tcPr>
          <w:p w14:paraId="3FADE148" w14:textId="77777777" w:rsidR="004E314E" w:rsidRPr="001362A6" w:rsidRDefault="004E314E" w:rsidP="004E314E">
            <w:pPr>
              <w:rPr>
                <w:rFonts w:ascii="Lato" w:hAnsi="Lato"/>
                <w:sz w:val="22"/>
                <w:szCs w:val="22"/>
              </w:rPr>
            </w:pPr>
            <w:r w:rsidRPr="001362A6">
              <w:rPr>
                <w:rFonts w:ascii="Lato" w:hAnsi="Lato"/>
                <w:sz w:val="22"/>
                <w:szCs w:val="22"/>
              </w:rPr>
              <w:t>Within the EU, Qualifying Investor AIF  may only be</w:t>
            </w:r>
          </w:p>
        </w:tc>
        <w:tc>
          <w:tcPr>
            <w:tcW w:w="3188" w:type="dxa"/>
            <w:tcBorders>
              <w:bottom w:val="single" w:sz="4" w:space="0" w:color="auto"/>
            </w:tcBorders>
          </w:tcPr>
          <w:p w14:paraId="0CA8657F" w14:textId="77777777" w:rsidR="004E314E" w:rsidRPr="001362A6" w:rsidRDefault="004E314E" w:rsidP="004E314E">
            <w:pPr>
              <w:rPr>
                <w:rFonts w:ascii="Lato" w:hAnsi="Lato"/>
                <w:sz w:val="22"/>
                <w:szCs w:val="22"/>
              </w:rPr>
            </w:pPr>
          </w:p>
        </w:tc>
      </w:tr>
      <w:tr w:rsidR="004E314E" w:rsidRPr="001362A6" w14:paraId="60C2B377" w14:textId="77777777" w:rsidTr="007E3170">
        <w:trPr>
          <w:cantSplit/>
          <w:trHeight w:val="254"/>
        </w:trPr>
        <w:tc>
          <w:tcPr>
            <w:tcW w:w="1316" w:type="dxa"/>
          </w:tcPr>
          <w:p w14:paraId="4766C987" w14:textId="77777777" w:rsidR="004E314E" w:rsidRPr="001362A6" w:rsidRDefault="004E314E" w:rsidP="004E314E">
            <w:pPr>
              <w:jc w:val="right"/>
              <w:rPr>
                <w:rFonts w:ascii="Lato" w:hAnsi="Lato"/>
                <w:sz w:val="22"/>
                <w:szCs w:val="22"/>
              </w:rPr>
            </w:pPr>
          </w:p>
        </w:tc>
        <w:tc>
          <w:tcPr>
            <w:tcW w:w="5891" w:type="dxa"/>
            <w:tcBorders>
              <w:right w:val="single" w:sz="4" w:space="0" w:color="auto"/>
            </w:tcBorders>
          </w:tcPr>
          <w:p w14:paraId="4D4E24BF" w14:textId="77777777" w:rsidR="004E314E" w:rsidRPr="001362A6" w:rsidRDefault="004E314E" w:rsidP="004E314E">
            <w:pPr>
              <w:rPr>
                <w:rFonts w:ascii="Lato" w:hAnsi="Lato"/>
                <w:sz w:val="22"/>
                <w:szCs w:val="22"/>
              </w:rPr>
            </w:pPr>
            <w:r w:rsidRPr="001362A6">
              <w:rPr>
                <w:rFonts w:ascii="Lato" w:hAnsi="Lato"/>
                <w:sz w:val="22"/>
                <w:szCs w:val="22"/>
              </w:rPr>
              <w:t xml:space="preserve">marketed to professional investors as defined in the </w:t>
            </w:r>
          </w:p>
        </w:tc>
        <w:tc>
          <w:tcPr>
            <w:tcW w:w="3188" w:type="dxa"/>
            <w:tcBorders>
              <w:top w:val="single" w:sz="4" w:space="0" w:color="auto"/>
              <w:left w:val="single" w:sz="4" w:space="0" w:color="auto"/>
              <w:bottom w:val="single" w:sz="4" w:space="0" w:color="auto"/>
              <w:right w:val="single" w:sz="4" w:space="0" w:color="auto"/>
            </w:tcBorders>
          </w:tcPr>
          <w:p w14:paraId="49E49205" w14:textId="77777777" w:rsidR="004E314E" w:rsidRPr="001362A6" w:rsidRDefault="004E314E" w:rsidP="004E314E">
            <w:pPr>
              <w:rPr>
                <w:rFonts w:ascii="Lato" w:hAnsi="Lato"/>
                <w:sz w:val="22"/>
                <w:szCs w:val="22"/>
              </w:rPr>
            </w:pPr>
          </w:p>
        </w:tc>
      </w:tr>
      <w:tr w:rsidR="004E314E" w:rsidRPr="001362A6" w14:paraId="6EA605B6" w14:textId="77777777" w:rsidTr="00990D73">
        <w:trPr>
          <w:cantSplit/>
          <w:trHeight w:val="254"/>
        </w:trPr>
        <w:tc>
          <w:tcPr>
            <w:tcW w:w="1316" w:type="dxa"/>
          </w:tcPr>
          <w:p w14:paraId="286BBA6B" w14:textId="77777777" w:rsidR="004E314E" w:rsidRPr="001362A6" w:rsidRDefault="004E314E" w:rsidP="004E314E">
            <w:pPr>
              <w:jc w:val="right"/>
              <w:rPr>
                <w:rFonts w:ascii="Lato" w:hAnsi="Lato"/>
                <w:sz w:val="22"/>
                <w:szCs w:val="22"/>
              </w:rPr>
            </w:pPr>
          </w:p>
        </w:tc>
        <w:tc>
          <w:tcPr>
            <w:tcW w:w="5891" w:type="dxa"/>
          </w:tcPr>
          <w:p w14:paraId="47DB5AB6" w14:textId="77777777" w:rsidR="004E314E" w:rsidRPr="001362A6" w:rsidRDefault="004E314E" w:rsidP="004E314E">
            <w:pPr>
              <w:rPr>
                <w:rFonts w:ascii="Lato" w:hAnsi="Lato"/>
                <w:sz w:val="22"/>
                <w:szCs w:val="22"/>
              </w:rPr>
            </w:pPr>
            <w:r w:rsidRPr="00590C6D">
              <w:rPr>
                <w:rFonts w:ascii="Lato" w:hAnsi="Lato"/>
                <w:sz w:val="22"/>
                <w:szCs w:val="22"/>
              </w:rPr>
              <w:t xml:space="preserve">AIFMD </w:t>
            </w:r>
            <w:r w:rsidRPr="001362A6">
              <w:rPr>
                <w:rFonts w:ascii="Lato" w:hAnsi="Lato"/>
                <w:sz w:val="22"/>
                <w:szCs w:val="22"/>
              </w:rPr>
              <w:t xml:space="preserve">unless the Member State in question permits, </w:t>
            </w:r>
          </w:p>
        </w:tc>
        <w:tc>
          <w:tcPr>
            <w:tcW w:w="3188" w:type="dxa"/>
            <w:tcBorders>
              <w:top w:val="single" w:sz="4" w:space="0" w:color="auto"/>
            </w:tcBorders>
          </w:tcPr>
          <w:p w14:paraId="4533C8AA" w14:textId="77777777" w:rsidR="004E314E" w:rsidRPr="001362A6" w:rsidRDefault="004E314E" w:rsidP="004E314E">
            <w:pPr>
              <w:rPr>
                <w:rFonts w:ascii="Lato" w:hAnsi="Lato"/>
                <w:sz w:val="22"/>
                <w:szCs w:val="22"/>
              </w:rPr>
            </w:pPr>
          </w:p>
        </w:tc>
      </w:tr>
      <w:tr w:rsidR="004E314E" w:rsidRPr="001362A6" w14:paraId="42CC222F" w14:textId="77777777" w:rsidTr="00990D73">
        <w:trPr>
          <w:cantSplit/>
          <w:trHeight w:val="254"/>
        </w:trPr>
        <w:tc>
          <w:tcPr>
            <w:tcW w:w="1316" w:type="dxa"/>
          </w:tcPr>
          <w:p w14:paraId="7235FCCB" w14:textId="77777777" w:rsidR="004E314E" w:rsidRPr="001362A6" w:rsidRDefault="004E314E" w:rsidP="004E314E">
            <w:pPr>
              <w:jc w:val="right"/>
              <w:rPr>
                <w:rFonts w:ascii="Lato" w:hAnsi="Lato"/>
                <w:sz w:val="22"/>
                <w:szCs w:val="22"/>
              </w:rPr>
            </w:pPr>
          </w:p>
        </w:tc>
        <w:tc>
          <w:tcPr>
            <w:tcW w:w="5891" w:type="dxa"/>
          </w:tcPr>
          <w:p w14:paraId="1C2FE452" w14:textId="77777777" w:rsidR="004E314E" w:rsidRPr="001362A6" w:rsidRDefault="004E314E" w:rsidP="004E314E">
            <w:pPr>
              <w:rPr>
                <w:rFonts w:ascii="Lato" w:hAnsi="Lato"/>
                <w:sz w:val="22"/>
                <w:szCs w:val="22"/>
              </w:rPr>
            </w:pPr>
            <w:r w:rsidRPr="00590C6D">
              <w:rPr>
                <w:rFonts w:ascii="Lato" w:hAnsi="Lato"/>
                <w:sz w:val="22"/>
                <w:szCs w:val="22"/>
              </w:rPr>
              <w:t>under the laws</w:t>
            </w:r>
            <w:r w:rsidRPr="001362A6">
              <w:rPr>
                <w:rFonts w:ascii="Lato" w:hAnsi="Lato"/>
                <w:sz w:val="22"/>
                <w:szCs w:val="22"/>
              </w:rPr>
              <w:t xml:space="preserve"> of that Member State, the Qualifying </w:t>
            </w:r>
          </w:p>
        </w:tc>
        <w:tc>
          <w:tcPr>
            <w:tcW w:w="3188" w:type="dxa"/>
          </w:tcPr>
          <w:p w14:paraId="7456D8E8" w14:textId="77777777" w:rsidR="004E314E" w:rsidRPr="001362A6" w:rsidRDefault="004E314E" w:rsidP="004E314E">
            <w:pPr>
              <w:rPr>
                <w:rFonts w:ascii="Lato" w:hAnsi="Lato"/>
                <w:sz w:val="22"/>
                <w:szCs w:val="22"/>
              </w:rPr>
            </w:pPr>
          </w:p>
        </w:tc>
      </w:tr>
      <w:tr w:rsidR="004E314E" w:rsidRPr="001362A6" w14:paraId="2C60497E" w14:textId="77777777" w:rsidTr="00990D73">
        <w:trPr>
          <w:cantSplit/>
          <w:trHeight w:val="254"/>
        </w:trPr>
        <w:tc>
          <w:tcPr>
            <w:tcW w:w="1316" w:type="dxa"/>
          </w:tcPr>
          <w:p w14:paraId="2C48401D" w14:textId="77777777" w:rsidR="004E314E" w:rsidRPr="001362A6" w:rsidRDefault="004E314E" w:rsidP="004E314E">
            <w:pPr>
              <w:jc w:val="right"/>
              <w:rPr>
                <w:rFonts w:ascii="Lato" w:hAnsi="Lato"/>
                <w:sz w:val="22"/>
                <w:szCs w:val="22"/>
              </w:rPr>
            </w:pPr>
          </w:p>
        </w:tc>
        <w:tc>
          <w:tcPr>
            <w:tcW w:w="5891" w:type="dxa"/>
          </w:tcPr>
          <w:p w14:paraId="6AD0669C" w14:textId="77777777" w:rsidR="004E314E" w:rsidRPr="001362A6" w:rsidRDefault="004E314E" w:rsidP="004E314E">
            <w:pPr>
              <w:rPr>
                <w:rFonts w:ascii="Lato" w:hAnsi="Lato"/>
                <w:sz w:val="22"/>
                <w:szCs w:val="22"/>
              </w:rPr>
            </w:pPr>
            <w:r w:rsidRPr="00590C6D">
              <w:rPr>
                <w:rFonts w:ascii="Lato" w:hAnsi="Lato"/>
                <w:sz w:val="22"/>
                <w:szCs w:val="22"/>
              </w:rPr>
              <w:t xml:space="preserve">Investor AIF to be sold to </w:t>
            </w:r>
            <w:r w:rsidRPr="001362A6">
              <w:rPr>
                <w:rFonts w:ascii="Lato" w:hAnsi="Lato"/>
                <w:sz w:val="22"/>
                <w:szCs w:val="22"/>
              </w:rPr>
              <w:t>other categories of investors and this permission encompasses</w:t>
            </w:r>
          </w:p>
        </w:tc>
        <w:tc>
          <w:tcPr>
            <w:tcW w:w="3188" w:type="dxa"/>
          </w:tcPr>
          <w:p w14:paraId="57FD52DA" w14:textId="77777777" w:rsidR="004E314E" w:rsidRPr="001362A6" w:rsidRDefault="004E314E" w:rsidP="004E314E">
            <w:pPr>
              <w:rPr>
                <w:rFonts w:ascii="Lato" w:hAnsi="Lato"/>
                <w:sz w:val="22"/>
                <w:szCs w:val="22"/>
              </w:rPr>
            </w:pPr>
          </w:p>
        </w:tc>
      </w:tr>
      <w:tr w:rsidR="004E314E" w:rsidRPr="001362A6" w14:paraId="6DE332BD" w14:textId="77777777" w:rsidTr="00990D73">
        <w:trPr>
          <w:cantSplit/>
          <w:trHeight w:val="254"/>
        </w:trPr>
        <w:tc>
          <w:tcPr>
            <w:tcW w:w="1316" w:type="dxa"/>
          </w:tcPr>
          <w:p w14:paraId="04F02784" w14:textId="77777777" w:rsidR="004E314E" w:rsidRPr="001362A6" w:rsidRDefault="004E314E" w:rsidP="004E314E">
            <w:pPr>
              <w:jc w:val="right"/>
              <w:rPr>
                <w:rFonts w:ascii="Lato" w:hAnsi="Lato"/>
                <w:sz w:val="22"/>
                <w:szCs w:val="22"/>
              </w:rPr>
            </w:pPr>
          </w:p>
        </w:tc>
        <w:tc>
          <w:tcPr>
            <w:tcW w:w="5891" w:type="dxa"/>
          </w:tcPr>
          <w:p w14:paraId="0C28A409" w14:textId="77777777" w:rsidR="004E314E" w:rsidRPr="001362A6" w:rsidRDefault="004E314E" w:rsidP="004E314E">
            <w:pPr>
              <w:rPr>
                <w:rFonts w:ascii="Lato" w:hAnsi="Lato"/>
                <w:sz w:val="22"/>
                <w:szCs w:val="22"/>
              </w:rPr>
            </w:pPr>
            <w:r w:rsidRPr="001362A6">
              <w:rPr>
                <w:rFonts w:ascii="Lato" w:hAnsi="Lato"/>
                <w:sz w:val="22"/>
                <w:szCs w:val="22"/>
              </w:rPr>
              <w:t>Investors set out in categories (ii) and (iii) above</w:t>
            </w:r>
          </w:p>
        </w:tc>
        <w:tc>
          <w:tcPr>
            <w:tcW w:w="3188" w:type="dxa"/>
          </w:tcPr>
          <w:p w14:paraId="0E299FC6" w14:textId="77777777" w:rsidR="004E314E" w:rsidRPr="001362A6" w:rsidRDefault="004E314E" w:rsidP="004E314E">
            <w:pPr>
              <w:rPr>
                <w:rFonts w:ascii="Lato" w:hAnsi="Lato"/>
                <w:sz w:val="22"/>
                <w:szCs w:val="22"/>
              </w:rPr>
            </w:pPr>
          </w:p>
        </w:tc>
      </w:tr>
      <w:tr w:rsidR="004E314E" w:rsidRPr="001362A6" w14:paraId="1F92A40C" w14:textId="77777777" w:rsidTr="00990D73">
        <w:trPr>
          <w:cantSplit/>
          <w:trHeight w:val="254"/>
        </w:trPr>
        <w:tc>
          <w:tcPr>
            <w:tcW w:w="1316" w:type="dxa"/>
          </w:tcPr>
          <w:p w14:paraId="401E6543" w14:textId="77777777" w:rsidR="004E314E" w:rsidRPr="001362A6" w:rsidRDefault="004E314E" w:rsidP="004E314E">
            <w:pPr>
              <w:jc w:val="right"/>
              <w:rPr>
                <w:rFonts w:ascii="Lato" w:hAnsi="Lato"/>
                <w:sz w:val="22"/>
                <w:szCs w:val="22"/>
              </w:rPr>
            </w:pPr>
          </w:p>
        </w:tc>
        <w:tc>
          <w:tcPr>
            <w:tcW w:w="5891" w:type="dxa"/>
          </w:tcPr>
          <w:p w14:paraId="691F84B1" w14:textId="77777777" w:rsidR="004E314E" w:rsidRPr="001362A6" w:rsidRDefault="004E314E" w:rsidP="004E314E">
            <w:pPr>
              <w:rPr>
                <w:rFonts w:ascii="Lato" w:hAnsi="Lato"/>
                <w:sz w:val="22"/>
                <w:szCs w:val="22"/>
              </w:rPr>
            </w:pPr>
          </w:p>
        </w:tc>
        <w:tc>
          <w:tcPr>
            <w:tcW w:w="3188" w:type="dxa"/>
          </w:tcPr>
          <w:p w14:paraId="793273D5" w14:textId="77777777" w:rsidR="004E314E" w:rsidRPr="001362A6" w:rsidRDefault="004E314E" w:rsidP="004E314E">
            <w:pPr>
              <w:rPr>
                <w:rFonts w:ascii="Lato" w:hAnsi="Lato"/>
                <w:sz w:val="22"/>
                <w:szCs w:val="22"/>
              </w:rPr>
            </w:pPr>
          </w:p>
        </w:tc>
      </w:tr>
      <w:tr w:rsidR="004E314E" w:rsidRPr="001362A6" w14:paraId="7F7B27F5" w14:textId="77777777" w:rsidTr="00990D73">
        <w:trPr>
          <w:cantSplit/>
          <w:trHeight w:val="254"/>
        </w:trPr>
        <w:tc>
          <w:tcPr>
            <w:tcW w:w="1316" w:type="dxa"/>
          </w:tcPr>
          <w:p w14:paraId="57AC28F7" w14:textId="77777777" w:rsidR="004E314E" w:rsidRPr="001362A6" w:rsidRDefault="004E314E" w:rsidP="004E314E">
            <w:pPr>
              <w:jc w:val="right"/>
              <w:rPr>
                <w:rFonts w:ascii="Lato" w:hAnsi="Lato"/>
                <w:sz w:val="22"/>
                <w:szCs w:val="22"/>
              </w:rPr>
            </w:pPr>
            <w:r w:rsidRPr="001362A6">
              <w:rPr>
                <w:rFonts w:ascii="Lato" w:hAnsi="Lato"/>
                <w:sz w:val="22"/>
                <w:szCs w:val="22"/>
              </w:rPr>
              <w:t>(c)</w:t>
            </w:r>
          </w:p>
        </w:tc>
        <w:tc>
          <w:tcPr>
            <w:tcW w:w="5891" w:type="dxa"/>
          </w:tcPr>
          <w:p w14:paraId="02AC65F3" w14:textId="77777777" w:rsidR="004E314E" w:rsidRPr="001362A6" w:rsidRDefault="004E314E" w:rsidP="004E314E">
            <w:pPr>
              <w:rPr>
                <w:rFonts w:ascii="Lato" w:hAnsi="Lato"/>
                <w:sz w:val="22"/>
                <w:szCs w:val="22"/>
              </w:rPr>
            </w:pPr>
            <w:r w:rsidRPr="001362A6">
              <w:rPr>
                <w:rFonts w:ascii="Lato" w:hAnsi="Lato"/>
                <w:sz w:val="22"/>
                <w:szCs w:val="22"/>
              </w:rPr>
              <w:t xml:space="preserve">The Qualifying Investor AIF may grant an exemption from </w:t>
            </w:r>
          </w:p>
        </w:tc>
        <w:tc>
          <w:tcPr>
            <w:tcW w:w="3188" w:type="dxa"/>
          </w:tcPr>
          <w:p w14:paraId="2ACFC311" w14:textId="77777777" w:rsidR="004E314E" w:rsidRPr="001362A6" w:rsidRDefault="004E314E" w:rsidP="004E314E">
            <w:pPr>
              <w:rPr>
                <w:rFonts w:ascii="Lato" w:hAnsi="Lato"/>
                <w:sz w:val="22"/>
                <w:szCs w:val="22"/>
              </w:rPr>
            </w:pPr>
          </w:p>
        </w:tc>
      </w:tr>
      <w:tr w:rsidR="004E314E" w:rsidRPr="001362A6" w14:paraId="79F582AC" w14:textId="77777777" w:rsidTr="00990D73">
        <w:trPr>
          <w:cantSplit/>
          <w:trHeight w:val="254"/>
        </w:trPr>
        <w:tc>
          <w:tcPr>
            <w:tcW w:w="1316" w:type="dxa"/>
          </w:tcPr>
          <w:p w14:paraId="32B8EF78" w14:textId="77777777" w:rsidR="004E314E" w:rsidRPr="001362A6" w:rsidRDefault="004E314E" w:rsidP="004E314E">
            <w:pPr>
              <w:jc w:val="right"/>
              <w:rPr>
                <w:rFonts w:ascii="Lato" w:hAnsi="Lato"/>
                <w:sz w:val="22"/>
                <w:szCs w:val="22"/>
              </w:rPr>
            </w:pPr>
          </w:p>
        </w:tc>
        <w:tc>
          <w:tcPr>
            <w:tcW w:w="5891" w:type="dxa"/>
          </w:tcPr>
          <w:p w14:paraId="7BC7A608" w14:textId="77777777" w:rsidR="004E314E" w:rsidRPr="001362A6" w:rsidRDefault="004E314E" w:rsidP="004E314E">
            <w:pPr>
              <w:rPr>
                <w:rFonts w:ascii="Lato" w:hAnsi="Lato"/>
                <w:sz w:val="22"/>
                <w:szCs w:val="22"/>
              </w:rPr>
            </w:pPr>
            <w:r w:rsidRPr="00590C6D">
              <w:rPr>
                <w:rFonts w:ascii="Lato" w:hAnsi="Lato"/>
                <w:sz w:val="22"/>
                <w:szCs w:val="22"/>
              </w:rPr>
              <w:t xml:space="preserve">the </w:t>
            </w:r>
            <w:r w:rsidRPr="001362A6">
              <w:rPr>
                <w:rFonts w:ascii="Lato" w:hAnsi="Lato"/>
                <w:sz w:val="22"/>
                <w:szCs w:val="22"/>
              </w:rPr>
              <w:t>minimum subscription requirement subject to the following:</w:t>
            </w:r>
          </w:p>
        </w:tc>
        <w:tc>
          <w:tcPr>
            <w:tcW w:w="3188" w:type="dxa"/>
          </w:tcPr>
          <w:p w14:paraId="35398023" w14:textId="77777777" w:rsidR="004E314E" w:rsidRPr="001362A6" w:rsidRDefault="004E314E" w:rsidP="004E314E">
            <w:pPr>
              <w:rPr>
                <w:rFonts w:ascii="Lato" w:hAnsi="Lato"/>
                <w:sz w:val="22"/>
                <w:szCs w:val="22"/>
              </w:rPr>
            </w:pPr>
          </w:p>
        </w:tc>
      </w:tr>
      <w:tr w:rsidR="004E314E" w:rsidRPr="001362A6" w14:paraId="780E28A9" w14:textId="77777777" w:rsidTr="00990D73">
        <w:trPr>
          <w:cantSplit/>
          <w:trHeight w:val="254"/>
        </w:trPr>
        <w:tc>
          <w:tcPr>
            <w:tcW w:w="1316" w:type="dxa"/>
          </w:tcPr>
          <w:p w14:paraId="5AA2F705" w14:textId="77777777" w:rsidR="004E314E" w:rsidRPr="001362A6" w:rsidRDefault="004E314E" w:rsidP="004E314E">
            <w:pPr>
              <w:jc w:val="right"/>
              <w:rPr>
                <w:rFonts w:ascii="Lato" w:hAnsi="Lato"/>
                <w:sz w:val="22"/>
                <w:szCs w:val="22"/>
              </w:rPr>
            </w:pPr>
          </w:p>
        </w:tc>
        <w:tc>
          <w:tcPr>
            <w:tcW w:w="5891" w:type="dxa"/>
          </w:tcPr>
          <w:p w14:paraId="38EB6271" w14:textId="77777777" w:rsidR="004E314E" w:rsidRPr="001362A6" w:rsidRDefault="004E314E" w:rsidP="004E314E">
            <w:pPr>
              <w:rPr>
                <w:rFonts w:ascii="Lato" w:hAnsi="Lato"/>
                <w:sz w:val="22"/>
                <w:szCs w:val="22"/>
              </w:rPr>
            </w:pPr>
          </w:p>
        </w:tc>
        <w:tc>
          <w:tcPr>
            <w:tcW w:w="3188" w:type="dxa"/>
            <w:tcBorders>
              <w:bottom w:val="single" w:sz="4" w:space="0" w:color="auto"/>
            </w:tcBorders>
          </w:tcPr>
          <w:p w14:paraId="392C6AE8" w14:textId="77777777" w:rsidR="004E314E" w:rsidRPr="001362A6" w:rsidRDefault="004E314E" w:rsidP="004E314E">
            <w:pPr>
              <w:rPr>
                <w:rFonts w:ascii="Lato" w:hAnsi="Lato"/>
                <w:sz w:val="22"/>
                <w:szCs w:val="22"/>
              </w:rPr>
            </w:pPr>
          </w:p>
        </w:tc>
      </w:tr>
      <w:tr w:rsidR="004E314E" w:rsidRPr="001362A6" w14:paraId="41C8E912" w14:textId="77777777" w:rsidTr="00990D73">
        <w:trPr>
          <w:cantSplit/>
          <w:trHeight w:val="254"/>
        </w:trPr>
        <w:tc>
          <w:tcPr>
            <w:tcW w:w="1316" w:type="dxa"/>
          </w:tcPr>
          <w:p w14:paraId="523AC831" w14:textId="77777777" w:rsidR="004E314E" w:rsidRPr="001362A6" w:rsidRDefault="004E314E" w:rsidP="004E314E">
            <w:pPr>
              <w:jc w:val="right"/>
              <w:rPr>
                <w:rFonts w:ascii="Lato" w:hAnsi="Lato"/>
                <w:sz w:val="22"/>
                <w:szCs w:val="22"/>
              </w:rPr>
            </w:pPr>
            <w:r w:rsidRPr="001362A6">
              <w:rPr>
                <w:rFonts w:ascii="Lato" w:hAnsi="Lato"/>
                <w:sz w:val="22"/>
                <w:szCs w:val="22"/>
              </w:rPr>
              <w:t>(i)</w:t>
            </w:r>
          </w:p>
        </w:tc>
        <w:tc>
          <w:tcPr>
            <w:tcW w:w="5891" w:type="dxa"/>
            <w:tcBorders>
              <w:right w:val="single" w:sz="4" w:space="0" w:color="auto"/>
            </w:tcBorders>
          </w:tcPr>
          <w:p w14:paraId="341ECFC0" w14:textId="77777777" w:rsidR="004E314E" w:rsidRPr="001362A6" w:rsidRDefault="004E314E" w:rsidP="004E314E">
            <w:pPr>
              <w:rPr>
                <w:rFonts w:ascii="Lato" w:hAnsi="Lato"/>
                <w:sz w:val="22"/>
                <w:szCs w:val="22"/>
              </w:rPr>
            </w:pPr>
            <w:r w:rsidRPr="001362A6">
              <w:rPr>
                <w:rFonts w:ascii="Lato" w:hAnsi="Lato"/>
                <w:sz w:val="22"/>
                <w:szCs w:val="22"/>
              </w:rPr>
              <w:t>the management company or general partner;</w:t>
            </w:r>
          </w:p>
        </w:tc>
        <w:tc>
          <w:tcPr>
            <w:tcW w:w="3188" w:type="dxa"/>
            <w:tcBorders>
              <w:top w:val="single" w:sz="4" w:space="0" w:color="auto"/>
              <w:left w:val="single" w:sz="4" w:space="0" w:color="auto"/>
              <w:bottom w:val="single" w:sz="4" w:space="0" w:color="auto"/>
              <w:right w:val="single" w:sz="4" w:space="0" w:color="auto"/>
            </w:tcBorders>
          </w:tcPr>
          <w:p w14:paraId="1D14CB53" w14:textId="77777777" w:rsidR="004E314E" w:rsidRPr="001362A6" w:rsidRDefault="004E314E" w:rsidP="004E314E">
            <w:pPr>
              <w:rPr>
                <w:rFonts w:ascii="Lato" w:hAnsi="Lato"/>
                <w:sz w:val="22"/>
                <w:szCs w:val="22"/>
              </w:rPr>
            </w:pPr>
          </w:p>
        </w:tc>
      </w:tr>
      <w:tr w:rsidR="004E314E" w:rsidRPr="001362A6" w14:paraId="1F2C74E0" w14:textId="77777777" w:rsidTr="00990D73">
        <w:trPr>
          <w:cantSplit/>
          <w:trHeight w:val="254"/>
        </w:trPr>
        <w:tc>
          <w:tcPr>
            <w:tcW w:w="1316" w:type="dxa"/>
          </w:tcPr>
          <w:p w14:paraId="53A2410A" w14:textId="77777777" w:rsidR="004E314E" w:rsidRPr="001362A6" w:rsidRDefault="004E314E" w:rsidP="004E314E">
            <w:pPr>
              <w:jc w:val="right"/>
              <w:rPr>
                <w:rFonts w:ascii="Lato" w:hAnsi="Lato"/>
                <w:sz w:val="22"/>
                <w:szCs w:val="22"/>
              </w:rPr>
            </w:pPr>
          </w:p>
        </w:tc>
        <w:tc>
          <w:tcPr>
            <w:tcW w:w="5891" w:type="dxa"/>
          </w:tcPr>
          <w:p w14:paraId="12A5ECE2" w14:textId="77777777" w:rsidR="004E314E" w:rsidRPr="001362A6" w:rsidRDefault="004E314E" w:rsidP="004E314E">
            <w:pPr>
              <w:rPr>
                <w:rFonts w:ascii="Lato" w:hAnsi="Lato"/>
                <w:sz w:val="22"/>
                <w:szCs w:val="22"/>
              </w:rPr>
            </w:pPr>
          </w:p>
        </w:tc>
        <w:tc>
          <w:tcPr>
            <w:tcW w:w="3188" w:type="dxa"/>
            <w:tcBorders>
              <w:top w:val="single" w:sz="4" w:space="0" w:color="auto"/>
              <w:bottom w:val="single" w:sz="4" w:space="0" w:color="auto"/>
            </w:tcBorders>
          </w:tcPr>
          <w:p w14:paraId="027D6230" w14:textId="77777777" w:rsidR="004E314E" w:rsidRPr="001362A6" w:rsidRDefault="004E314E" w:rsidP="004E314E">
            <w:pPr>
              <w:rPr>
                <w:rFonts w:ascii="Lato" w:hAnsi="Lato"/>
                <w:sz w:val="22"/>
                <w:szCs w:val="22"/>
              </w:rPr>
            </w:pPr>
          </w:p>
        </w:tc>
      </w:tr>
      <w:tr w:rsidR="004E314E" w:rsidRPr="001362A6" w14:paraId="033852BB" w14:textId="77777777" w:rsidTr="00990D73">
        <w:trPr>
          <w:cantSplit/>
          <w:trHeight w:val="254"/>
        </w:trPr>
        <w:tc>
          <w:tcPr>
            <w:tcW w:w="1316" w:type="dxa"/>
          </w:tcPr>
          <w:p w14:paraId="078C7A04" w14:textId="77777777" w:rsidR="004E314E" w:rsidRPr="001362A6" w:rsidRDefault="004E314E" w:rsidP="004E314E">
            <w:pPr>
              <w:jc w:val="right"/>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33319E41" w14:textId="77777777" w:rsidR="004E314E" w:rsidRPr="001362A6" w:rsidRDefault="004E314E" w:rsidP="004E314E">
            <w:pPr>
              <w:rPr>
                <w:rFonts w:ascii="Lato" w:hAnsi="Lato"/>
                <w:sz w:val="22"/>
                <w:szCs w:val="22"/>
              </w:rPr>
            </w:pPr>
            <w:r w:rsidRPr="001362A6">
              <w:rPr>
                <w:rFonts w:ascii="Lato" w:hAnsi="Lato"/>
                <w:sz w:val="22"/>
                <w:szCs w:val="22"/>
              </w:rPr>
              <w:t xml:space="preserve">a company appointed to provide investment management </w:t>
            </w:r>
          </w:p>
        </w:tc>
        <w:tc>
          <w:tcPr>
            <w:tcW w:w="3188" w:type="dxa"/>
            <w:tcBorders>
              <w:top w:val="single" w:sz="4" w:space="0" w:color="auto"/>
              <w:left w:val="single" w:sz="4" w:space="0" w:color="auto"/>
              <w:bottom w:val="single" w:sz="4" w:space="0" w:color="auto"/>
              <w:right w:val="single" w:sz="4" w:space="0" w:color="auto"/>
            </w:tcBorders>
          </w:tcPr>
          <w:p w14:paraId="1191034D" w14:textId="77777777" w:rsidR="004E314E" w:rsidRPr="001362A6" w:rsidRDefault="004E314E" w:rsidP="004E314E">
            <w:pPr>
              <w:rPr>
                <w:rFonts w:ascii="Lato" w:hAnsi="Lato"/>
                <w:sz w:val="22"/>
                <w:szCs w:val="22"/>
              </w:rPr>
            </w:pPr>
          </w:p>
        </w:tc>
      </w:tr>
      <w:tr w:rsidR="004E314E" w:rsidRPr="001362A6" w14:paraId="662AA465" w14:textId="77777777" w:rsidTr="00990D73">
        <w:trPr>
          <w:cantSplit/>
          <w:trHeight w:val="254"/>
        </w:trPr>
        <w:tc>
          <w:tcPr>
            <w:tcW w:w="1316" w:type="dxa"/>
          </w:tcPr>
          <w:p w14:paraId="22CA746D" w14:textId="77777777" w:rsidR="004E314E" w:rsidRPr="001362A6" w:rsidRDefault="004E314E" w:rsidP="004E314E">
            <w:pPr>
              <w:jc w:val="right"/>
              <w:rPr>
                <w:rFonts w:ascii="Lato" w:hAnsi="Lato"/>
                <w:sz w:val="22"/>
                <w:szCs w:val="22"/>
              </w:rPr>
            </w:pPr>
          </w:p>
        </w:tc>
        <w:tc>
          <w:tcPr>
            <w:tcW w:w="5891" w:type="dxa"/>
          </w:tcPr>
          <w:p w14:paraId="4BE13EAF" w14:textId="77777777" w:rsidR="004E314E" w:rsidRPr="001362A6" w:rsidRDefault="004E314E" w:rsidP="004E314E">
            <w:pPr>
              <w:rPr>
                <w:rFonts w:ascii="Lato" w:hAnsi="Lato"/>
                <w:sz w:val="22"/>
                <w:szCs w:val="22"/>
              </w:rPr>
            </w:pPr>
            <w:r w:rsidRPr="00590C6D">
              <w:rPr>
                <w:rFonts w:ascii="Lato" w:hAnsi="Lato"/>
                <w:sz w:val="22"/>
                <w:szCs w:val="22"/>
              </w:rPr>
              <w:t>or</w:t>
            </w:r>
            <w:r w:rsidRPr="001362A6">
              <w:rPr>
                <w:rFonts w:ascii="Lato" w:hAnsi="Lato"/>
                <w:sz w:val="22"/>
                <w:szCs w:val="22"/>
              </w:rPr>
              <w:t xml:space="preserve"> advisory services to the Qualifying Investor AIF</w:t>
            </w:r>
          </w:p>
        </w:tc>
        <w:tc>
          <w:tcPr>
            <w:tcW w:w="3188" w:type="dxa"/>
            <w:tcBorders>
              <w:top w:val="single" w:sz="4" w:space="0" w:color="auto"/>
            </w:tcBorders>
          </w:tcPr>
          <w:p w14:paraId="1B2E9C30" w14:textId="77777777" w:rsidR="004E314E" w:rsidRPr="001362A6" w:rsidRDefault="004E314E" w:rsidP="004E314E">
            <w:pPr>
              <w:rPr>
                <w:rFonts w:ascii="Lato" w:hAnsi="Lato"/>
                <w:sz w:val="22"/>
                <w:szCs w:val="22"/>
              </w:rPr>
            </w:pPr>
          </w:p>
        </w:tc>
      </w:tr>
      <w:tr w:rsidR="004E314E" w:rsidRPr="001362A6" w14:paraId="66FD7FAC" w14:textId="77777777" w:rsidTr="00990D73">
        <w:trPr>
          <w:cantSplit/>
          <w:trHeight w:val="254"/>
        </w:trPr>
        <w:tc>
          <w:tcPr>
            <w:tcW w:w="1316" w:type="dxa"/>
          </w:tcPr>
          <w:p w14:paraId="0CF1910F" w14:textId="77777777" w:rsidR="004E314E" w:rsidRPr="001362A6" w:rsidRDefault="004E314E" w:rsidP="004E314E">
            <w:pPr>
              <w:jc w:val="right"/>
              <w:rPr>
                <w:rFonts w:ascii="Lato" w:hAnsi="Lato"/>
                <w:sz w:val="22"/>
                <w:szCs w:val="22"/>
              </w:rPr>
            </w:pPr>
          </w:p>
        </w:tc>
        <w:tc>
          <w:tcPr>
            <w:tcW w:w="5891" w:type="dxa"/>
          </w:tcPr>
          <w:p w14:paraId="2A56A22D" w14:textId="77777777" w:rsidR="004E314E" w:rsidRPr="001362A6" w:rsidRDefault="004E314E" w:rsidP="004E314E">
            <w:pPr>
              <w:rPr>
                <w:rFonts w:ascii="Lato" w:hAnsi="Lato"/>
                <w:sz w:val="22"/>
                <w:szCs w:val="22"/>
              </w:rPr>
            </w:pPr>
          </w:p>
        </w:tc>
        <w:tc>
          <w:tcPr>
            <w:tcW w:w="3188" w:type="dxa"/>
            <w:tcBorders>
              <w:bottom w:val="single" w:sz="4" w:space="0" w:color="auto"/>
            </w:tcBorders>
          </w:tcPr>
          <w:p w14:paraId="589854E3" w14:textId="77777777" w:rsidR="004E314E" w:rsidRPr="001362A6" w:rsidRDefault="004E314E" w:rsidP="004E314E">
            <w:pPr>
              <w:rPr>
                <w:rFonts w:ascii="Lato" w:hAnsi="Lato"/>
                <w:sz w:val="22"/>
                <w:szCs w:val="22"/>
              </w:rPr>
            </w:pPr>
          </w:p>
        </w:tc>
      </w:tr>
      <w:tr w:rsidR="004E314E" w:rsidRPr="001362A6" w14:paraId="0EC8BB07" w14:textId="77777777" w:rsidTr="00990D73">
        <w:trPr>
          <w:cantSplit/>
          <w:trHeight w:val="254"/>
        </w:trPr>
        <w:tc>
          <w:tcPr>
            <w:tcW w:w="1316" w:type="dxa"/>
          </w:tcPr>
          <w:p w14:paraId="2617E950" w14:textId="77777777" w:rsidR="004E314E" w:rsidRPr="001362A6" w:rsidRDefault="004E314E" w:rsidP="004E314E">
            <w:pPr>
              <w:jc w:val="right"/>
              <w:rPr>
                <w:rFonts w:ascii="Lato" w:hAnsi="Lato"/>
                <w:sz w:val="22"/>
                <w:szCs w:val="22"/>
              </w:rPr>
            </w:pPr>
            <w:r w:rsidRPr="001362A6">
              <w:rPr>
                <w:rFonts w:ascii="Lato" w:hAnsi="Lato"/>
                <w:sz w:val="22"/>
                <w:szCs w:val="22"/>
              </w:rPr>
              <w:t>(iii)</w:t>
            </w:r>
          </w:p>
        </w:tc>
        <w:tc>
          <w:tcPr>
            <w:tcW w:w="5891" w:type="dxa"/>
            <w:tcBorders>
              <w:right w:val="single" w:sz="4" w:space="0" w:color="auto"/>
            </w:tcBorders>
          </w:tcPr>
          <w:p w14:paraId="7E5E7741" w14:textId="77777777" w:rsidR="004E314E" w:rsidRPr="001362A6" w:rsidRDefault="004E314E" w:rsidP="004E314E">
            <w:pPr>
              <w:rPr>
                <w:rFonts w:ascii="Lato" w:hAnsi="Lato"/>
                <w:sz w:val="22"/>
                <w:szCs w:val="22"/>
              </w:rPr>
            </w:pPr>
            <w:r w:rsidRPr="001362A6">
              <w:rPr>
                <w:rFonts w:ascii="Lato" w:hAnsi="Lato"/>
                <w:sz w:val="22"/>
                <w:szCs w:val="22"/>
              </w:rPr>
              <w:t xml:space="preserve">a director of the management company, investment </w:t>
            </w:r>
          </w:p>
        </w:tc>
        <w:tc>
          <w:tcPr>
            <w:tcW w:w="3188" w:type="dxa"/>
            <w:tcBorders>
              <w:top w:val="single" w:sz="4" w:space="0" w:color="auto"/>
              <w:left w:val="single" w:sz="4" w:space="0" w:color="auto"/>
              <w:bottom w:val="single" w:sz="4" w:space="0" w:color="auto"/>
              <w:right w:val="single" w:sz="4" w:space="0" w:color="auto"/>
            </w:tcBorders>
          </w:tcPr>
          <w:p w14:paraId="0911E69D" w14:textId="77777777" w:rsidR="004E314E" w:rsidRPr="001362A6" w:rsidRDefault="004E314E" w:rsidP="004E314E">
            <w:pPr>
              <w:rPr>
                <w:rFonts w:ascii="Lato" w:hAnsi="Lato"/>
                <w:sz w:val="22"/>
                <w:szCs w:val="22"/>
              </w:rPr>
            </w:pPr>
          </w:p>
        </w:tc>
      </w:tr>
      <w:tr w:rsidR="004E314E" w:rsidRPr="001362A6" w14:paraId="6BB5483A" w14:textId="77777777" w:rsidTr="00990D73">
        <w:trPr>
          <w:cantSplit/>
          <w:trHeight w:val="254"/>
        </w:trPr>
        <w:tc>
          <w:tcPr>
            <w:tcW w:w="1316" w:type="dxa"/>
          </w:tcPr>
          <w:p w14:paraId="45BBB28A" w14:textId="77777777" w:rsidR="004E314E" w:rsidRPr="001362A6" w:rsidRDefault="004E314E" w:rsidP="004E314E">
            <w:pPr>
              <w:jc w:val="right"/>
              <w:rPr>
                <w:rFonts w:ascii="Lato" w:hAnsi="Lato"/>
                <w:sz w:val="22"/>
                <w:szCs w:val="22"/>
              </w:rPr>
            </w:pPr>
          </w:p>
        </w:tc>
        <w:tc>
          <w:tcPr>
            <w:tcW w:w="5891" w:type="dxa"/>
          </w:tcPr>
          <w:p w14:paraId="4CBD3E69" w14:textId="77777777" w:rsidR="004E314E" w:rsidRPr="001362A6" w:rsidRDefault="004E314E" w:rsidP="004E314E">
            <w:pPr>
              <w:rPr>
                <w:rFonts w:ascii="Lato" w:hAnsi="Lato"/>
                <w:sz w:val="22"/>
                <w:szCs w:val="22"/>
              </w:rPr>
            </w:pPr>
            <w:r w:rsidRPr="001362A6">
              <w:rPr>
                <w:rFonts w:ascii="Lato" w:hAnsi="Lato"/>
                <w:sz w:val="22"/>
                <w:szCs w:val="22"/>
              </w:rPr>
              <w:t>Company, ICAV or general partner or a director of a company appointed to provide investment management or advisory services to the Qualifying Investor AIF</w:t>
            </w:r>
          </w:p>
        </w:tc>
        <w:tc>
          <w:tcPr>
            <w:tcW w:w="3188" w:type="dxa"/>
            <w:tcBorders>
              <w:top w:val="single" w:sz="4" w:space="0" w:color="auto"/>
            </w:tcBorders>
          </w:tcPr>
          <w:p w14:paraId="131019AA" w14:textId="77777777" w:rsidR="004E314E" w:rsidRPr="001362A6" w:rsidRDefault="004E314E" w:rsidP="004E314E">
            <w:pPr>
              <w:rPr>
                <w:rFonts w:ascii="Lato" w:hAnsi="Lato"/>
                <w:sz w:val="22"/>
                <w:szCs w:val="22"/>
              </w:rPr>
            </w:pPr>
          </w:p>
        </w:tc>
      </w:tr>
      <w:tr w:rsidR="004E314E" w:rsidRPr="001362A6" w14:paraId="7145A6FB" w14:textId="77777777" w:rsidTr="00990D73">
        <w:trPr>
          <w:cantSplit/>
          <w:trHeight w:val="254"/>
        </w:trPr>
        <w:tc>
          <w:tcPr>
            <w:tcW w:w="1316" w:type="dxa"/>
          </w:tcPr>
          <w:p w14:paraId="24A0BF20" w14:textId="77777777" w:rsidR="004E314E" w:rsidRPr="001362A6" w:rsidRDefault="004E314E" w:rsidP="004E314E">
            <w:pPr>
              <w:jc w:val="right"/>
              <w:rPr>
                <w:rFonts w:ascii="Lato" w:hAnsi="Lato"/>
                <w:sz w:val="22"/>
                <w:szCs w:val="22"/>
              </w:rPr>
            </w:pPr>
          </w:p>
        </w:tc>
        <w:tc>
          <w:tcPr>
            <w:tcW w:w="5891" w:type="dxa"/>
          </w:tcPr>
          <w:p w14:paraId="45D0F163" w14:textId="77777777" w:rsidR="004E314E" w:rsidRPr="001362A6" w:rsidRDefault="004E314E" w:rsidP="004E314E">
            <w:pPr>
              <w:rPr>
                <w:rFonts w:ascii="Lato" w:hAnsi="Lato"/>
                <w:sz w:val="22"/>
                <w:szCs w:val="22"/>
              </w:rPr>
            </w:pPr>
          </w:p>
        </w:tc>
        <w:tc>
          <w:tcPr>
            <w:tcW w:w="3188" w:type="dxa"/>
            <w:tcBorders>
              <w:bottom w:val="single" w:sz="4" w:space="0" w:color="auto"/>
            </w:tcBorders>
          </w:tcPr>
          <w:p w14:paraId="7BC936BB" w14:textId="77777777" w:rsidR="004E314E" w:rsidRPr="001362A6" w:rsidRDefault="004E314E" w:rsidP="004E314E">
            <w:pPr>
              <w:rPr>
                <w:rFonts w:ascii="Lato" w:hAnsi="Lato"/>
                <w:sz w:val="22"/>
                <w:szCs w:val="22"/>
              </w:rPr>
            </w:pPr>
          </w:p>
        </w:tc>
      </w:tr>
      <w:tr w:rsidR="004E314E" w:rsidRPr="001362A6" w14:paraId="6A8C1663" w14:textId="77777777" w:rsidTr="00990D73">
        <w:trPr>
          <w:cantSplit/>
          <w:trHeight w:val="254"/>
        </w:trPr>
        <w:tc>
          <w:tcPr>
            <w:tcW w:w="1316" w:type="dxa"/>
          </w:tcPr>
          <w:p w14:paraId="1823DF8D" w14:textId="77777777" w:rsidR="004E314E" w:rsidRPr="001362A6" w:rsidRDefault="004E314E" w:rsidP="004E314E">
            <w:pPr>
              <w:jc w:val="right"/>
              <w:rPr>
                <w:rFonts w:ascii="Lato" w:hAnsi="Lato"/>
                <w:sz w:val="22"/>
                <w:szCs w:val="22"/>
              </w:rPr>
            </w:pPr>
            <w:r w:rsidRPr="001362A6">
              <w:rPr>
                <w:rFonts w:ascii="Lato" w:hAnsi="Lato"/>
                <w:sz w:val="22"/>
                <w:szCs w:val="22"/>
              </w:rPr>
              <w:t>(iv)</w:t>
            </w:r>
          </w:p>
        </w:tc>
        <w:tc>
          <w:tcPr>
            <w:tcW w:w="5891" w:type="dxa"/>
            <w:tcBorders>
              <w:right w:val="single" w:sz="4" w:space="0" w:color="auto"/>
            </w:tcBorders>
          </w:tcPr>
          <w:p w14:paraId="3343DB25" w14:textId="77777777" w:rsidR="004E314E" w:rsidRPr="001362A6" w:rsidRDefault="004E314E" w:rsidP="004E314E">
            <w:pPr>
              <w:rPr>
                <w:rFonts w:ascii="Lato" w:hAnsi="Lato"/>
                <w:sz w:val="22"/>
                <w:szCs w:val="22"/>
              </w:rPr>
            </w:pPr>
            <w:r w:rsidRPr="001362A6">
              <w:rPr>
                <w:rFonts w:ascii="Lato" w:hAnsi="Lato"/>
                <w:sz w:val="22"/>
                <w:szCs w:val="22"/>
              </w:rPr>
              <w:t xml:space="preserve">an employee of the management company, investment </w:t>
            </w:r>
          </w:p>
        </w:tc>
        <w:tc>
          <w:tcPr>
            <w:tcW w:w="3188" w:type="dxa"/>
            <w:tcBorders>
              <w:top w:val="single" w:sz="4" w:space="0" w:color="auto"/>
              <w:left w:val="single" w:sz="4" w:space="0" w:color="auto"/>
              <w:bottom w:val="single" w:sz="4" w:space="0" w:color="auto"/>
              <w:right w:val="single" w:sz="4" w:space="0" w:color="auto"/>
            </w:tcBorders>
          </w:tcPr>
          <w:p w14:paraId="4D3AF9C0" w14:textId="77777777" w:rsidR="004E314E" w:rsidRPr="001362A6" w:rsidRDefault="004E314E" w:rsidP="004E314E">
            <w:pPr>
              <w:rPr>
                <w:rFonts w:ascii="Lato" w:hAnsi="Lato"/>
                <w:sz w:val="22"/>
                <w:szCs w:val="22"/>
              </w:rPr>
            </w:pPr>
          </w:p>
        </w:tc>
      </w:tr>
      <w:tr w:rsidR="004E314E" w:rsidRPr="001362A6" w14:paraId="1E6E0FD5" w14:textId="77777777" w:rsidTr="00990D73">
        <w:trPr>
          <w:cantSplit/>
          <w:trHeight w:val="254"/>
        </w:trPr>
        <w:tc>
          <w:tcPr>
            <w:tcW w:w="1316" w:type="dxa"/>
          </w:tcPr>
          <w:p w14:paraId="1B43B36D" w14:textId="77777777" w:rsidR="004E314E" w:rsidRPr="001362A6" w:rsidRDefault="004E314E" w:rsidP="004E314E">
            <w:pPr>
              <w:jc w:val="right"/>
              <w:rPr>
                <w:rFonts w:ascii="Lato" w:hAnsi="Lato"/>
                <w:sz w:val="22"/>
                <w:szCs w:val="22"/>
              </w:rPr>
            </w:pPr>
          </w:p>
        </w:tc>
        <w:tc>
          <w:tcPr>
            <w:tcW w:w="5891" w:type="dxa"/>
          </w:tcPr>
          <w:p w14:paraId="0F471FD0" w14:textId="77777777" w:rsidR="004E314E" w:rsidRPr="001362A6" w:rsidRDefault="004E314E" w:rsidP="004E314E">
            <w:pPr>
              <w:rPr>
                <w:rFonts w:ascii="Lato" w:hAnsi="Lato"/>
                <w:sz w:val="22"/>
                <w:szCs w:val="22"/>
              </w:rPr>
            </w:pPr>
            <w:r w:rsidRPr="001362A6">
              <w:rPr>
                <w:rFonts w:ascii="Lato" w:hAnsi="Lato"/>
                <w:sz w:val="22"/>
                <w:szCs w:val="22"/>
              </w:rPr>
              <w:t>Company, ICAV or general partner, or an employee of a company appointed to provide investment management or advisory services to the Qualifying Investor AIF, where the employee;</w:t>
            </w:r>
          </w:p>
        </w:tc>
        <w:tc>
          <w:tcPr>
            <w:tcW w:w="3188" w:type="dxa"/>
            <w:tcBorders>
              <w:top w:val="single" w:sz="4" w:space="0" w:color="auto"/>
              <w:bottom w:val="single" w:sz="4" w:space="0" w:color="auto"/>
            </w:tcBorders>
          </w:tcPr>
          <w:p w14:paraId="369C1F6B" w14:textId="77777777" w:rsidR="004E314E" w:rsidRPr="001362A6" w:rsidRDefault="004E314E" w:rsidP="004E314E">
            <w:pPr>
              <w:rPr>
                <w:rFonts w:ascii="Lato" w:hAnsi="Lato"/>
                <w:sz w:val="22"/>
                <w:szCs w:val="22"/>
              </w:rPr>
            </w:pPr>
          </w:p>
        </w:tc>
      </w:tr>
      <w:tr w:rsidR="004E314E" w:rsidRPr="001362A6" w14:paraId="5BBA8A7B" w14:textId="77777777" w:rsidTr="00990D73">
        <w:trPr>
          <w:cantSplit/>
          <w:trHeight w:val="254"/>
        </w:trPr>
        <w:tc>
          <w:tcPr>
            <w:tcW w:w="1316" w:type="dxa"/>
          </w:tcPr>
          <w:p w14:paraId="7F622E8C" w14:textId="77777777" w:rsidR="004E314E" w:rsidRPr="001362A6" w:rsidRDefault="004E314E" w:rsidP="004E314E">
            <w:pPr>
              <w:jc w:val="right"/>
              <w:rPr>
                <w:rFonts w:ascii="Lato" w:hAnsi="Lato"/>
                <w:sz w:val="22"/>
                <w:szCs w:val="22"/>
              </w:rPr>
            </w:pPr>
          </w:p>
        </w:tc>
        <w:tc>
          <w:tcPr>
            <w:tcW w:w="5891" w:type="dxa"/>
            <w:tcBorders>
              <w:right w:val="single" w:sz="4" w:space="0" w:color="auto"/>
            </w:tcBorders>
          </w:tcPr>
          <w:p w14:paraId="74A0BEB2" w14:textId="77777777" w:rsidR="004E314E" w:rsidRPr="001362A6" w:rsidRDefault="004E314E" w:rsidP="004E314E">
            <w:pPr>
              <w:numPr>
                <w:ilvl w:val="0"/>
                <w:numId w:val="16"/>
              </w:numPr>
              <w:rPr>
                <w:rFonts w:ascii="Lato" w:hAnsi="Lato"/>
                <w:sz w:val="22"/>
                <w:szCs w:val="22"/>
              </w:rPr>
            </w:pPr>
            <w:r w:rsidRPr="001362A6">
              <w:rPr>
                <w:rFonts w:ascii="Lato" w:hAnsi="Lato"/>
                <w:sz w:val="22"/>
                <w:szCs w:val="22"/>
              </w:rPr>
              <w:t xml:space="preserve">is directly involved in the investment activities of </w:t>
            </w:r>
          </w:p>
        </w:tc>
        <w:tc>
          <w:tcPr>
            <w:tcW w:w="3188" w:type="dxa"/>
            <w:tcBorders>
              <w:top w:val="single" w:sz="4" w:space="0" w:color="auto"/>
              <w:left w:val="single" w:sz="4" w:space="0" w:color="auto"/>
              <w:bottom w:val="single" w:sz="4" w:space="0" w:color="auto"/>
              <w:right w:val="single" w:sz="4" w:space="0" w:color="auto"/>
            </w:tcBorders>
          </w:tcPr>
          <w:p w14:paraId="55C0AD05" w14:textId="77777777" w:rsidR="004E314E" w:rsidRPr="001362A6" w:rsidRDefault="004E314E" w:rsidP="004E314E">
            <w:pPr>
              <w:rPr>
                <w:rFonts w:ascii="Lato" w:hAnsi="Lato"/>
                <w:sz w:val="22"/>
                <w:szCs w:val="22"/>
              </w:rPr>
            </w:pPr>
          </w:p>
        </w:tc>
      </w:tr>
      <w:tr w:rsidR="004E314E" w:rsidRPr="001362A6" w14:paraId="2C790932" w14:textId="77777777" w:rsidTr="00990D73">
        <w:trPr>
          <w:cantSplit/>
          <w:trHeight w:val="254"/>
        </w:trPr>
        <w:tc>
          <w:tcPr>
            <w:tcW w:w="1316" w:type="dxa"/>
          </w:tcPr>
          <w:p w14:paraId="1E5F7F94" w14:textId="77777777" w:rsidR="004E314E" w:rsidRPr="001362A6" w:rsidRDefault="004E314E" w:rsidP="004E314E">
            <w:pPr>
              <w:jc w:val="right"/>
              <w:rPr>
                <w:rFonts w:ascii="Lato" w:hAnsi="Lato"/>
                <w:sz w:val="22"/>
                <w:szCs w:val="22"/>
              </w:rPr>
            </w:pPr>
          </w:p>
        </w:tc>
        <w:tc>
          <w:tcPr>
            <w:tcW w:w="5891" w:type="dxa"/>
          </w:tcPr>
          <w:p w14:paraId="50AE2403" w14:textId="77777777" w:rsidR="004E314E" w:rsidRPr="001362A6" w:rsidRDefault="004E314E" w:rsidP="004E314E">
            <w:pPr>
              <w:ind w:left="719"/>
              <w:rPr>
                <w:rFonts w:ascii="Lato" w:hAnsi="Lato"/>
                <w:sz w:val="22"/>
                <w:szCs w:val="22"/>
              </w:rPr>
            </w:pPr>
            <w:r w:rsidRPr="001362A6">
              <w:rPr>
                <w:rFonts w:ascii="Lato" w:hAnsi="Lato"/>
                <w:sz w:val="22"/>
                <w:szCs w:val="22"/>
              </w:rPr>
              <w:t>the Qualifying Investor AIF, or</w:t>
            </w:r>
          </w:p>
        </w:tc>
        <w:tc>
          <w:tcPr>
            <w:tcW w:w="3188" w:type="dxa"/>
            <w:tcBorders>
              <w:top w:val="single" w:sz="4" w:space="0" w:color="auto"/>
              <w:bottom w:val="single" w:sz="4" w:space="0" w:color="auto"/>
            </w:tcBorders>
          </w:tcPr>
          <w:p w14:paraId="43A8595C" w14:textId="77777777" w:rsidR="004E314E" w:rsidRPr="001362A6" w:rsidRDefault="004E314E" w:rsidP="004E314E">
            <w:pPr>
              <w:rPr>
                <w:rFonts w:ascii="Lato" w:hAnsi="Lato"/>
                <w:sz w:val="22"/>
                <w:szCs w:val="22"/>
              </w:rPr>
            </w:pPr>
          </w:p>
        </w:tc>
      </w:tr>
      <w:tr w:rsidR="004E314E" w:rsidRPr="001362A6" w14:paraId="66D813F0" w14:textId="77777777" w:rsidTr="00FB541F">
        <w:trPr>
          <w:cantSplit/>
          <w:trHeight w:val="254"/>
        </w:trPr>
        <w:tc>
          <w:tcPr>
            <w:tcW w:w="1316" w:type="dxa"/>
          </w:tcPr>
          <w:p w14:paraId="3A6296C9" w14:textId="77777777" w:rsidR="004E314E" w:rsidRPr="001362A6" w:rsidRDefault="004E314E" w:rsidP="004E314E">
            <w:pPr>
              <w:jc w:val="right"/>
              <w:rPr>
                <w:rFonts w:ascii="Lato" w:hAnsi="Lato"/>
                <w:sz w:val="22"/>
                <w:szCs w:val="22"/>
              </w:rPr>
            </w:pPr>
          </w:p>
        </w:tc>
        <w:tc>
          <w:tcPr>
            <w:tcW w:w="5891" w:type="dxa"/>
            <w:tcBorders>
              <w:right w:val="single" w:sz="4" w:space="0" w:color="auto"/>
            </w:tcBorders>
          </w:tcPr>
          <w:p w14:paraId="733F6BC4" w14:textId="77777777" w:rsidR="004E314E" w:rsidRPr="001362A6" w:rsidRDefault="004E314E" w:rsidP="004E314E">
            <w:pPr>
              <w:pStyle w:val="BodyTextIndent"/>
              <w:numPr>
                <w:ilvl w:val="0"/>
                <w:numId w:val="16"/>
              </w:numPr>
              <w:tabs>
                <w:tab w:val="left" w:pos="-2520"/>
              </w:tabs>
              <w:jc w:val="both"/>
              <w:rPr>
                <w:rFonts w:ascii="Lato" w:hAnsi="Lato"/>
                <w:szCs w:val="22"/>
              </w:rPr>
            </w:pPr>
            <w:r w:rsidRPr="001362A6">
              <w:rPr>
                <w:rFonts w:ascii="Lato" w:hAnsi="Lato"/>
                <w:szCs w:val="22"/>
              </w:rPr>
              <w:t xml:space="preserve">is a senior employee of the company and has experience </w:t>
            </w:r>
          </w:p>
        </w:tc>
        <w:tc>
          <w:tcPr>
            <w:tcW w:w="3188" w:type="dxa"/>
            <w:tcBorders>
              <w:top w:val="single" w:sz="4" w:space="0" w:color="auto"/>
              <w:left w:val="single" w:sz="4" w:space="0" w:color="auto"/>
              <w:bottom w:val="single" w:sz="4" w:space="0" w:color="auto"/>
              <w:right w:val="single" w:sz="4" w:space="0" w:color="auto"/>
            </w:tcBorders>
          </w:tcPr>
          <w:p w14:paraId="63163ABB" w14:textId="77777777" w:rsidR="004E314E" w:rsidRPr="001362A6" w:rsidRDefault="004E314E" w:rsidP="004E314E">
            <w:pPr>
              <w:rPr>
                <w:rFonts w:ascii="Lato" w:hAnsi="Lato"/>
                <w:sz w:val="22"/>
                <w:szCs w:val="22"/>
              </w:rPr>
            </w:pPr>
          </w:p>
        </w:tc>
      </w:tr>
      <w:tr w:rsidR="004E314E" w:rsidRPr="001362A6" w14:paraId="7326FB9B" w14:textId="77777777" w:rsidTr="00FB541F">
        <w:trPr>
          <w:cantSplit/>
          <w:trHeight w:val="254"/>
        </w:trPr>
        <w:tc>
          <w:tcPr>
            <w:tcW w:w="1316" w:type="dxa"/>
          </w:tcPr>
          <w:p w14:paraId="0A81CFA2" w14:textId="77777777" w:rsidR="004E314E" w:rsidRPr="001362A6" w:rsidRDefault="004E314E" w:rsidP="004E314E">
            <w:pPr>
              <w:jc w:val="right"/>
              <w:rPr>
                <w:rFonts w:ascii="Lato" w:hAnsi="Lato"/>
                <w:sz w:val="22"/>
                <w:szCs w:val="22"/>
              </w:rPr>
            </w:pPr>
          </w:p>
        </w:tc>
        <w:tc>
          <w:tcPr>
            <w:tcW w:w="5891" w:type="dxa"/>
          </w:tcPr>
          <w:p w14:paraId="31072D7A" w14:textId="77777777" w:rsidR="004E314E" w:rsidRPr="001362A6" w:rsidRDefault="004E314E" w:rsidP="004E314E">
            <w:pPr>
              <w:pStyle w:val="BodyTextIndent"/>
              <w:tabs>
                <w:tab w:val="left" w:pos="-2520"/>
              </w:tabs>
              <w:ind w:left="719"/>
              <w:jc w:val="both"/>
              <w:rPr>
                <w:rFonts w:ascii="Lato" w:hAnsi="Lato"/>
                <w:szCs w:val="22"/>
              </w:rPr>
            </w:pPr>
            <w:r w:rsidRPr="001362A6">
              <w:rPr>
                <w:rFonts w:ascii="Lato" w:hAnsi="Lato"/>
                <w:szCs w:val="22"/>
              </w:rPr>
              <w:t>in the provision of investment management services.</w:t>
            </w:r>
          </w:p>
        </w:tc>
        <w:tc>
          <w:tcPr>
            <w:tcW w:w="3188" w:type="dxa"/>
            <w:tcBorders>
              <w:top w:val="single" w:sz="4" w:space="0" w:color="auto"/>
            </w:tcBorders>
          </w:tcPr>
          <w:p w14:paraId="7B6880ED" w14:textId="77777777" w:rsidR="004E314E" w:rsidRPr="001362A6" w:rsidRDefault="004E314E" w:rsidP="004E314E">
            <w:pPr>
              <w:rPr>
                <w:rFonts w:ascii="Lato" w:hAnsi="Lato"/>
                <w:sz w:val="22"/>
                <w:szCs w:val="22"/>
              </w:rPr>
            </w:pPr>
          </w:p>
        </w:tc>
      </w:tr>
      <w:tr w:rsidR="004E314E" w:rsidRPr="001362A6" w14:paraId="2EBAEFDA" w14:textId="77777777" w:rsidTr="00FB541F">
        <w:trPr>
          <w:cantSplit/>
          <w:trHeight w:val="254"/>
        </w:trPr>
        <w:tc>
          <w:tcPr>
            <w:tcW w:w="1316" w:type="dxa"/>
          </w:tcPr>
          <w:p w14:paraId="398F5EB9" w14:textId="77777777" w:rsidR="004E314E" w:rsidRPr="001362A6" w:rsidRDefault="004E314E" w:rsidP="004E314E">
            <w:pPr>
              <w:jc w:val="right"/>
              <w:rPr>
                <w:rFonts w:ascii="Lato" w:hAnsi="Lato"/>
                <w:sz w:val="22"/>
                <w:szCs w:val="22"/>
              </w:rPr>
            </w:pPr>
          </w:p>
        </w:tc>
        <w:tc>
          <w:tcPr>
            <w:tcW w:w="5891" w:type="dxa"/>
          </w:tcPr>
          <w:p w14:paraId="4C31AAF6" w14:textId="77777777" w:rsidR="004E314E" w:rsidRPr="001362A6" w:rsidRDefault="004E314E" w:rsidP="004E314E">
            <w:pPr>
              <w:pStyle w:val="BodyTextIndent"/>
              <w:tabs>
                <w:tab w:val="left" w:pos="-2520"/>
              </w:tabs>
              <w:ind w:left="719"/>
              <w:jc w:val="both"/>
              <w:rPr>
                <w:rFonts w:ascii="Lato" w:hAnsi="Lato"/>
                <w:szCs w:val="22"/>
              </w:rPr>
            </w:pPr>
          </w:p>
        </w:tc>
        <w:tc>
          <w:tcPr>
            <w:tcW w:w="3188" w:type="dxa"/>
          </w:tcPr>
          <w:p w14:paraId="28786B59" w14:textId="77777777" w:rsidR="004E314E" w:rsidRPr="001362A6" w:rsidRDefault="004E314E" w:rsidP="004E314E">
            <w:pPr>
              <w:rPr>
                <w:rFonts w:ascii="Lato" w:hAnsi="Lato"/>
                <w:sz w:val="22"/>
                <w:szCs w:val="22"/>
              </w:rPr>
            </w:pPr>
          </w:p>
        </w:tc>
      </w:tr>
      <w:tr w:rsidR="004E314E" w:rsidRPr="001362A6" w14:paraId="5306BD61" w14:textId="77777777" w:rsidTr="00990D73">
        <w:trPr>
          <w:cantSplit/>
          <w:trHeight w:val="254"/>
        </w:trPr>
        <w:tc>
          <w:tcPr>
            <w:tcW w:w="1316" w:type="dxa"/>
          </w:tcPr>
          <w:p w14:paraId="549052B7" w14:textId="77777777" w:rsidR="004E314E" w:rsidRPr="001362A6" w:rsidRDefault="004E314E" w:rsidP="004E314E">
            <w:pPr>
              <w:jc w:val="right"/>
              <w:rPr>
                <w:rFonts w:ascii="Lato" w:hAnsi="Lato"/>
                <w:sz w:val="22"/>
                <w:szCs w:val="22"/>
              </w:rPr>
            </w:pPr>
          </w:p>
        </w:tc>
        <w:tc>
          <w:tcPr>
            <w:tcW w:w="5891" w:type="dxa"/>
          </w:tcPr>
          <w:p w14:paraId="3FC20C20" w14:textId="77777777" w:rsidR="004E314E" w:rsidRPr="001362A6" w:rsidRDefault="004E314E" w:rsidP="004E314E">
            <w:pPr>
              <w:rPr>
                <w:rFonts w:ascii="Lato" w:hAnsi="Lato"/>
                <w:sz w:val="22"/>
                <w:szCs w:val="22"/>
              </w:rPr>
            </w:pPr>
            <w:r w:rsidRPr="001362A6">
              <w:rPr>
                <w:rFonts w:ascii="Lato" w:hAnsi="Lato"/>
                <w:sz w:val="22"/>
                <w:szCs w:val="22"/>
              </w:rPr>
              <w:t>Provide that:</w:t>
            </w:r>
          </w:p>
        </w:tc>
        <w:tc>
          <w:tcPr>
            <w:tcW w:w="3188" w:type="dxa"/>
            <w:tcBorders>
              <w:bottom w:val="single" w:sz="4" w:space="0" w:color="auto"/>
            </w:tcBorders>
          </w:tcPr>
          <w:p w14:paraId="1257F2B5" w14:textId="77777777" w:rsidR="004E314E" w:rsidRPr="001362A6" w:rsidRDefault="004E314E" w:rsidP="004E314E">
            <w:pPr>
              <w:rPr>
                <w:rFonts w:ascii="Lato" w:hAnsi="Lato"/>
                <w:sz w:val="22"/>
                <w:szCs w:val="22"/>
              </w:rPr>
            </w:pPr>
          </w:p>
        </w:tc>
      </w:tr>
      <w:tr w:rsidR="004E314E" w:rsidRPr="001362A6" w14:paraId="7919379A" w14:textId="77777777" w:rsidTr="00990D73">
        <w:trPr>
          <w:cantSplit/>
          <w:trHeight w:val="254"/>
        </w:trPr>
        <w:tc>
          <w:tcPr>
            <w:tcW w:w="1316" w:type="dxa"/>
          </w:tcPr>
          <w:p w14:paraId="449C11D9" w14:textId="77777777" w:rsidR="004E314E" w:rsidRPr="001362A6" w:rsidRDefault="004E314E" w:rsidP="004E314E">
            <w:pPr>
              <w:jc w:val="right"/>
              <w:rPr>
                <w:rFonts w:ascii="Lato" w:hAnsi="Lato"/>
                <w:sz w:val="22"/>
                <w:szCs w:val="22"/>
              </w:rPr>
            </w:pPr>
            <w:r w:rsidRPr="001362A6">
              <w:rPr>
                <w:rFonts w:ascii="Lato" w:hAnsi="Lato"/>
                <w:sz w:val="22"/>
                <w:szCs w:val="22"/>
              </w:rPr>
              <w:t>d)</w:t>
            </w:r>
          </w:p>
        </w:tc>
        <w:tc>
          <w:tcPr>
            <w:tcW w:w="5891" w:type="dxa"/>
            <w:tcBorders>
              <w:right w:val="single" w:sz="4" w:space="0" w:color="auto"/>
            </w:tcBorders>
          </w:tcPr>
          <w:p w14:paraId="326582FB" w14:textId="77777777" w:rsidR="004E314E" w:rsidRPr="001362A6" w:rsidRDefault="004E314E" w:rsidP="004E314E">
            <w:pPr>
              <w:rPr>
                <w:rFonts w:ascii="Lato" w:hAnsi="Lato"/>
                <w:sz w:val="22"/>
                <w:szCs w:val="22"/>
              </w:rPr>
            </w:pPr>
            <w:r w:rsidRPr="001362A6">
              <w:rPr>
                <w:rFonts w:ascii="Lato" w:hAnsi="Lato"/>
                <w:sz w:val="22"/>
                <w:szCs w:val="22"/>
              </w:rPr>
              <w:t xml:space="preserve">In the case of investment by employees, the Qualifying </w:t>
            </w:r>
          </w:p>
        </w:tc>
        <w:tc>
          <w:tcPr>
            <w:tcW w:w="3188" w:type="dxa"/>
            <w:tcBorders>
              <w:top w:val="single" w:sz="4" w:space="0" w:color="auto"/>
              <w:left w:val="single" w:sz="4" w:space="0" w:color="auto"/>
              <w:bottom w:val="single" w:sz="4" w:space="0" w:color="auto"/>
              <w:right w:val="single" w:sz="4" w:space="0" w:color="auto"/>
            </w:tcBorders>
          </w:tcPr>
          <w:p w14:paraId="7B5EA628" w14:textId="77777777" w:rsidR="004E314E" w:rsidRPr="001362A6" w:rsidRDefault="004E314E" w:rsidP="004E314E">
            <w:pPr>
              <w:rPr>
                <w:rFonts w:ascii="Lato" w:hAnsi="Lato"/>
                <w:sz w:val="22"/>
                <w:szCs w:val="22"/>
              </w:rPr>
            </w:pPr>
          </w:p>
        </w:tc>
      </w:tr>
      <w:tr w:rsidR="004E314E" w:rsidRPr="001362A6" w14:paraId="65C11438" w14:textId="77777777" w:rsidTr="00990D73">
        <w:trPr>
          <w:cantSplit/>
          <w:trHeight w:val="254"/>
        </w:trPr>
        <w:tc>
          <w:tcPr>
            <w:tcW w:w="1316" w:type="dxa"/>
          </w:tcPr>
          <w:p w14:paraId="5776FE83" w14:textId="77777777" w:rsidR="004E314E" w:rsidRPr="001362A6" w:rsidRDefault="004E314E" w:rsidP="004E314E">
            <w:pPr>
              <w:jc w:val="right"/>
              <w:rPr>
                <w:rFonts w:ascii="Lato" w:hAnsi="Lato"/>
                <w:sz w:val="22"/>
                <w:szCs w:val="22"/>
              </w:rPr>
            </w:pPr>
          </w:p>
        </w:tc>
        <w:tc>
          <w:tcPr>
            <w:tcW w:w="5891" w:type="dxa"/>
          </w:tcPr>
          <w:p w14:paraId="0B0ED344" w14:textId="77777777" w:rsidR="004E314E" w:rsidRPr="001362A6" w:rsidRDefault="004E314E" w:rsidP="004E314E">
            <w:pPr>
              <w:rPr>
                <w:rFonts w:ascii="Lato" w:hAnsi="Lato"/>
                <w:sz w:val="22"/>
                <w:szCs w:val="22"/>
              </w:rPr>
            </w:pPr>
            <w:r w:rsidRPr="00590C6D">
              <w:rPr>
                <w:rFonts w:ascii="Lato" w:hAnsi="Lato"/>
                <w:sz w:val="22"/>
                <w:szCs w:val="22"/>
              </w:rPr>
              <w:t xml:space="preserve">Investor </w:t>
            </w:r>
            <w:r w:rsidRPr="001362A6">
              <w:rPr>
                <w:rFonts w:ascii="Lato" w:hAnsi="Lato"/>
                <w:sz w:val="22"/>
                <w:szCs w:val="22"/>
              </w:rPr>
              <w:t>AIF must ensure that the management company, ICAV, investment company or general partner, as appropriate, is satisfied that prospective investors fall within the criteria outlined at (c)(iv) above.</w:t>
            </w:r>
          </w:p>
        </w:tc>
        <w:tc>
          <w:tcPr>
            <w:tcW w:w="3188" w:type="dxa"/>
            <w:tcBorders>
              <w:top w:val="single" w:sz="4" w:space="0" w:color="auto"/>
            </w:tcBorders>
          </w:tcPr>
          <w:p w14:paraId="52CB8BDA" w14:textId="77777777" w:rsidR="004E314E" w:rsidRPr="001362A6" w:rsidRDefault="004E314E" w:rsidP="004E314E">
            <w:pPr>
              <w:rPr>
                <w:rFonts w:ascii="Lato" w:hAnsi="Lato"/>
                <w:sz w:val="22"/>
                <w:szCs w:val="22"/>
              </w:rPr>
            </w:pPr>
          </w:p>
        </w:tc>
      </w:tr>
      <w:tr w:rsidR="004E314E" w:rsidRPr="001362A6" w14:paraId="50DDF0BF" w14:textId="77777777" w:rsidTr="00990D73">
        <w:trPr>
          <w:cantSplit/>
          <w:trHeight w:val="254"/>
        </w:trPr>
        <w:tc>
          <w:tcPr>
            <w:tcW w:w="1316" w:type="dxa"/>
          </w:tcPr>
          <w:p w14:paraId="3B318302" w14:textId="77777777" w:rsidR="004E314E" w:rsidRPr="001362A6" w:rsidRDefault="004E314E" w:rsidP="004E314E">
            <w:pPr>
              <w:jc w:val="right"/>
              <w:rPr>
                <w:rFonts w:ascii="Lato" w:hAnsi="Lato"/>
                <w:sz w:val="22"/>
                <w:szCs w:val="22"/>
              </w:rPr>
            </w:pPr>
          </w:p>
        </w:tc>
        <w:tc>
          <w:tcPr>
            <w:tcW w:w="5891" w:type="dxa"/>
          </w:tcPr>
          <w:p w14:paraId="757BB552" w14:textId="77777777" w:rsidR="004E314E" w:rsidRPr="001362A6" w:rsidRDefault="004E314E" w:rsidP="004E314E">
            <w:pPr>
              <w:rPr>
                <w:rFonts w:ascii="Lato" w:hAnsi="Lato"/>
                <w:sz w:val="22"/>
                <w:szCs w:val="22"/>
              </w:rPr>
            </w:pPr>
          </w:p>
        </w:tc>
        <w:tc>
          <w:tcPr>
            <w:tcW w:w="3188" w:type="dxa"/>
            <w:tcBorders>
              <w:bottom w:val="single" w:sz="4" w:space="0" w:color="auto"/>
            </w:tcBorders>
          </w:tcPr>
          <w:p w14:paraId="25E80393" w14:textId="77777777" w:rsidR="004E314E" w:rsidRPr="001362A6" w:rsidRDefault="004E314E" w:rsidP="004E314E">
            <w:pPr>
              <w:rPr>
                <w:rFonts w:ascii="Lato" w:hAnsi="Lato"/>
                <w:sz w:val="22"/>
                <w:szCs w:val="22"/>
              </w:rPr>
            </w:pPr>
          </w:p>
        </w:tc>
      </w:tr>
      <w:tr w:rsidR="004E314E" w:rsidRPr="001362A6" w14:paraId="545BAA49" w14:textId="77777777" w:rsidTr="00990D73">
        <w:trPr>
          <w:cantSplit/>
          <w:trHeight w:val="254"/>
        </w:trPr>
        <w:tc>
          <w:tcPr>
            <w:tcW w:w="1316" w:type="dxa"/>
          </w:tcPr>
          <w:p w14:paraId="6D69C120" w14:textId="77777777" w:rsidR="004E314E" w:rsidRPr="001362A6" w:rsidRDefault="004E314E" w:rsidP="004E314E">
            <w:pPr>
              <w:jc w:val="right"/>
              <w:rPr>
                <w:rFonts w:ascii="Lato" w:hAnsi="Lato"/>
                <w:sz w:val="22"/>
                <w:szCs w:val="22"/>
              </w:rPr>
            </w:pPr>
            <w:r w:rsidRPr="001362A6">
              <w:rPr>
                <w:rFonts w:ascii="Lato" w:hAnsi="Lato"/>
                <w:sz w:val="22"/>
                <w:szCs w:val="22"/>
              </w:rPr>
              <w:t>e)</w:t>
            </w:r>
          </w:p>
        </w:tc>
        <w:tc>
          <w:tcPr>
            <w:tcW w:w="5891" w:type="dxa"/>
            <w:tcBorders>
              <w:right w:val="single" w:sz="4" w:space="0" w:color="auto"/>
            </w:tcBorders>
          </w:tcPr>
          <w:p w14:paraId="0D22DE7E" w14:textId="77777777" w:rsidR="004E314E" w:rsidRPr="001362A6" w:rsidRDefault="004E314E" w:rsidP="004E314E">
            <w:pPr>
              <w:rPr>
                <w:rFonts w:ascii="Lato" w:hAnsi="Lato"/>
                <w:sz w:val="22"/>
                <w:szCs w:val="22"/>
              </w:rPr>
            </w:pPr>
            <w:r w:rsidRPr="001362A6">
              <w:rPr>
                <w:rFonts w:ascii="Lato" w:hAnsi="Lato"/>
                <w:sz w:val="22"/>
                <w:szCs w:val="22"/>
              </w:rPr>
              <w:t xml:space="preserve">The Qualifying Investor AIF must ensure that  investing </w:t>
            </w:r>
          </w:p>
        </w:tc>
        <w:tc>
          <w:tcPr>
            <w:tcW w:w="3188" w:type="dxa"/>
            <w:tcBorders>
              <w:top w:val="single" w:sz="4" w:space="0" w:color="auto"/>
              <w:left w:val="single" w:sz="4" w:space="0" w:color="auto"/>
              <w:bottom w:val="single" w:sz="4" w:space="0" w:color="auto"/>
              <w:right w:val="single" w:sz="4" w:space="0" w:color="auto"/>
            </w:tcBorders>
          </w:tcPr>
          <w:p w14:paraId="0DBE309D" w14:textId="77777777" w:rsidR="004E314E" w:rsidRPr="001362A6" w:rsidRDefault="004E314E" w:rsidP="004E314E">
            <w:pPr>
              <w:rPr>
                <w:rFonts w:ascii="Lato" w:hAnsi="Lato"/>
                <w:sz w:val="22"/>
                <w:szCs w:val="22"/>
              </w:rPr>
            </w:pPr>
          </w:p>
        </w:tc>
      </w:tr>
      <w:tr w:rsidR="004E314E" w:rsidRPr="001362A6" w14:paraId="26C2B28B" w14:textId="77777777" w:rsidTr="007E3170">
        <w:trPr>
          <w:cantSplit/>
          <w:trHeight w:val="254"/>
        </w:trPr>
        <w:tc>
          <w:tcPr>
            <w:tcW w:w="1316" w:type="dxa"/>
          </w:tcPr>
          <w:p w14:paraId="5BA095A6" w14:textId="77777777" w:rsidR="004E314E" w:rsidRPr="001362A6" w:rsidRDefault="004E314E" w:rsidP="004E314E">
            <w:pPr>
              <w:jc w:val="right"/>
              <w:rPr>
                <w:rFonts w:ascii="Lato" w:hAnsi="Lato"/>
                <w:sz w:val="22"/>
                <w:szCs w:val="22"/>
              </w:rPr>
            </w:pPr>
          </w:p>
        </w:tc>
        <w:tc>
          <w:tcPr>
            <w:tcW w:w="5891" w:type="dxa"/>
          </w:tcPr>
          <w:p w14:paraId="3A99E70F" w14:textId="77777777" w:rsidR="004E314E" w:rsidRPr="001362A6" w:rsidRDefault="004E314E" w:rsidP="004E314E">
            <w:pPr>
              <w:rPr>
                <w:rFonts w:ascii="Lato" w:hAnsi="Lato"/>
                <w:sz w:val="22"/>
                <w:szCs w:val="22"/>
              </w:rPr>
            </w:pPr>
            <w:r w:rsidRPr="001362A6">
              <w:rPr>
                <w:rFonts w:ascii="Lato" w:hAnsi="Lato"/>
                <w:sz w:val="22"/>
                <w:szCs w:val="22"/>
              </w:rPr>
              <w:t>employees must certify to it that they are availing of the exemption provided for in this paragraph and that they are aware that the Qualifying Investor AIF is normally marketed solely to qualifying investors who are subject to a minimum subscription of €100,000.</w:t>
            </w:r>
          </w:p>
        </w:tc>
        <w:tc>
          <w:tcPr>
            <w:tcW w:w="3188" w:type="dxa"/>
            <w:tcBorders>
              <w:top w:val="single" w:sz="4" w:space="0" w:color="auto"/>
            </w:tcBorders>
          </w:tcPr>
          <w:p w14:paraId="3D41F78D" w14:textId="77777777" w:rsidR="004E314E" w:rsidRPr="001362A6" w:rsidRDefault="004E314E" w:rsidP="004E314E">
            <w:pPr>
              <w:rPr>
                <w:rFonts w:ascii="Lato" w:hAnsi="Lato"/>
                <w:sz w:val="22"/>
                <w:szCs w:val="22"/>
              </w:rPr>
            </w:pPr>
          </w:p>
        </w:tc>
      </w:tr>
      <w:tr w:rsidR="004E314E" w:rsidRPr="001362A6" w14:paraId="2F03D77E" w14:textId="77777777" w:rsidTr="007E3170">
        <w:trPr>
          <w:cantSplit/>
          <w:trHeight w:val="254"/>
        </w:trPr>
        <w:tc>
          <w:tcPr>
            <w:tcW w:w="1316" w:type="dxa"/>
          </w:tcPr>
          <w:p w14:paraId="16483B91" w14:textId="77777777" w:rsidR="004E314E" w:rsidRPr="001362A6" w:rsidRDefault="004E314E" w:rsidP="004E314E">
            <w:pPr>
              <w:jc w:val="right"/>
              <w:rPr>
                <w:rFonts w:ascii="Lato" w:hAnsi="Lato"/>
                <w:sz w:val="22"/>
                <w:szCs w:val="22"/>
              </w:rPr>
            </w:pPr>
          </w:p>
        </w:tc>
        <w:tc>
          <w:tcPr>
            <w:tcW w:w="5891" w:type="dxa"/>
          </w:tcPr>
          <w:p w14:paraId="6C21DE93" w14:textId="77777777" w:rsidR="004E314E" w:rsidRPr="001362A6" w:rsidDel="00B47449" w:rsidRDefault="004E314E" w:rsidP="004E314E">
            <w:pPr>
              <w:rPr>
                <w:rFonts w:ascii="Lato" w:hAnsi="Lato"/>
                <w:sz w:val="22"/>
                <w:szCs w:val="22"/>
              </w:rPr>
            </w:pPr>
          </w:p>
        </w:tc>
        <w:tc>
          <w:tcPr>
            <w:tcW w:w="3188" w:type="dxa"/>
            <w:tcBorders>
              <w:bottom w:val="single" w:sz="4" w:space="0" w:color="auto"/>
            </w:tcBorders>
          </w:tcPr>
          <w:p w14:paraId="6A649061" w14:textId="77777777" w:rsidR="004E314E" w:rsidRPr="001362A6" w:rsidRDefault="004E314E" w:rsidP="004E314E">
            <w:pPr>
              <w:rPr>
                <w:rFonts w:ascii="Lato" w:hAnsi="Lato"/>
                <w:sz w:val="22"/>
                <w:szCs w:val="22"/>
              </w:rPr>
            </w:pPr>
          </w:p>
        </w:tc>
      </w:tr>
      <w:tr w:rsidR="004E314E" w:rsidRPr="001362A6" w14:paraId="613F6B5B" w14:textId="77777777" w:rsidTr="007E3170">
        <w:trPr>
          <w:cantSplit/>
          <w:trHeight w:val="254"/>
        </w:trPr>
        <w:tc>
          <w:tcPr>
            <w:tcW w:w="1316" w:type="dxa"/>
          </w:tcPr>
          <w:p w14:paraId="416ED916" w14:textId="77777777" w:rsidR="004E314E" w:rsidRPr="001362A6" w:rsidRDefault="004E314E" w:rsidP="004E314E">
            <w:pPr>
              <w:jc w:val="right"/>
              <w:rPr>
                <w:rFonts w:ascii="Lato" w:hAnsi="Lato"/>
                <w:sz w:val="22"/>
                <w:szCs w:val="22"/>
              </w:rPr>
            </w:pPr>
            <w:r w:rsidRPr="001362A6">
              <w:rPr>
                <w:rFonts w:ascii="Lato" w:hAnsi="Lato"/>
                <w:sz w:val="22"/>
                <w:szCs w:val="22"/>
              </w:rPr>
              <w:t>f)</w:t>
            </w:r>
          </w:p>
        </w:tc>
        <w:tc>
          <w:tcPr>
            <w:tcW w:w="5891" w:type="dxa"/>
            <w:tcBorders>
              <w:right w:val="single" w:sz="4" w:space="0" w:color="auto"/>
            </w:tcBorders>
          </w:tcPr>
          <w:p w14:paraId="548AF270" w14:textId="77777777" w:rsidR="004E314E" w:rsidRPr="001362A6" w:rsidDel="00B47449" w:rsidRDefault="004E314E" w:rsidP="004E314E">
            <w:pPr>
              <w:rPr>
                <w:rFonts w:ascii="Lato" w:hAnsi="Lato"/>
                <w:sz w:val="22"/>
                <w:szCs w:val="22"/>
              </w:rPr>
            </w:pPr>
            <w:r w:rsidRPr="001362A6">
              <w:rPr>
                <w:rFonts w:ascii="Lato" w:hAnsi="Lato"/>
                <w:sz w:val="22"/>
                <w:szCs w:val="22"/>
              </w:rPr>
              <w:t>The Qualifying Investor AIF must ensure that prospective,</w:t>
            </w:r>
          </w:p>
        </w:tc>
        <w:tc>
          <w:tcPr>
            <w:tcW w:w="3188" w:type="dxa"/>
            <w:tcBorders>
              <w:top w:val="single" w:sz="4" w:space="0" w:color="auto"/>
              <w:left w:val="single" w:sz="4" w:space="0" w:color="auto"/>
              <w:bottom w:val="single" w:sz="4" w:space="0" w:color="auto"/>
              <w:right w:val="single" w:sz="4" w:space="0" w:color="auto"/>
            </w:tcBorders>
          </w:tcPr>
          <w:p w14:paraId="71839D88" w14:textId="77777777" w:rsidR="004E314E" w:rsidRPr="001362A6" w:rsidRDefault="004E314E" w:rsidP="004E314E">
            <w:pPr>
              <w:rPr>
                <w:rFonts w:ascii="Lato" w:hAnsi="Lato"/>
                <w:sz w:val="22"/>
                <w:szCs w:val="22"/>
              </w:rPr>
            </w:pPr>
          </w:p>
        </w:tc>
      </w:tr>
      <w:tr w:rsidR="004E314E" w:rsidRPr="001362A6" w14:paraId="1013D5F4" w14:textId="77777777" w:rsidTr="007E3170">
        <w:trPr>
          <w:cantSplit/>
          <w:trHeight w:val="254"/>
        </w:trPr>
        <w:tc>
          <w:tcPr>
            <w:tcW w:w="1316" w:type="dxa"/>
          </w:tcPr>
          <w:p w14:paraId="59067320" w14:textId="77777777" w:rsidR="004E314E" w:rsidRPr="001362A6" w:rsidRDefault="004E314E" w:rsidP="004E314E">
            <w:pPr>
              <w:jc w:val="right"/>
              <w:rPr>
                <w:rFonts w:ascii="Lato" w:hAnsi="Lato"/>
                <w:sz w:val="22"/>
                <w:szCs w:val="22"/>
              </w:rPr>
            </w:pPr>
          </w:p>
        </w:tc>
        <w:tc>
          <w:tcPr>
            <w:tcW w:w="5891" w:type="dxa"/>
          </w:tcPr>
          <w:p w14:paraId="677B7022" w14:textId="77777777" w:rsidR="004E314E" w:rsidRPr="001362A6" w:rsidDel="00B47449" w:rsidRDefault="004E314E" w:rsidP="004E314E">
            <w:pPr>
              <w:rPr>
                <w:rFonts w:ascii="Lato" w:hAnsi="Lato"/>
                <w:sz w:val="22"/>
                <w:szCs w:val="22"/>
              </w:rPr>
            </w:pPr>
            <w:r w:rsidRPr="001362A6">
              <w:rPr>
                <w:rFonts w:ascii="Lato" w:hAnsi="Lato"/>
                <w:sz w:val="22"/>
                <w:szCs w:val="22"/>
              </w:rPr>
              <w:t xml:space="preserve">unitholders certify in writing to it that they meet the </w:t>
            </w:r>
          </w:p>
        </w:tc>
        <w:tc>
          <w:tcPr>
            <w:tcW w:w="3188" w:type="dxa"/>
            <w:tcBorders>
              <w:top w:val="single" w:sz="4" w:space="0" w:color="auto"/>
            </w:tcBorders>
          </w:tcPr>
          <w:p w14:paraId="0589BC92" w14:textId="77777777" w:rsidR="004E314E" w:rsidRPr="001362A6" w:rsidRDefault="004E314E" w:rsidP="004E314E">
            <w:pPr>
              <w:rPr>
                <w:rFonts w:ascii="Lato" w:hAnsi="Lato"/>
                <w:sz w:val="22"/>
                <w:szCs w:val="22"/>
              </w:rPr>
            </w:pPr>
          </w:p>
        </w:tc>
      </w:tr>
      <w:tr w:rsidR="004E314E" w:rsidRPr="001362A6" w14:paraId="4BCD1782" w14:textId="77777777" w:rsidTr="007E3170">
        <w:trPr>
          <w:cantSplit/>
          <w:trHeight w:val="254"/>
        </w:trPr>
        <w:tc>
          <w:tcPr>
            <w:tcW w:w="1316" w:type="dxa"/>
          </w:tcPr>
          <w:p w14:paraId="6403ABDC" w14:textId="77777777" w:rsidR="004E314E" w:rsidRPr="001362A6" w:rsidRDefault="004E314E" w:rsidP="004E314E">
            <w:pPr>
              <w:jc w:val="right"/>
              <w:rPr>
                <w:rFonts w:ascii="Lato" w:hAnsi="Lato"/>
                <w:sz w:val="22"/>
                <w:szCs w:val="22"/>
              </w:rPr>
            </w:pPr>
          </w:p>
        </w:tc>
        <w:tc>
          <w:tcPr>
            <w:tcW w:w="5891" w:type="dxa"/>
          </w:tcPr>
          <w:p w14:paraId="7BE4F5ED" w14:textId="77777777" w:rsidR="004E314E" w:rsidRPr="001362A6" w:rsidDel="00B47449" w:rsidRDefault="004E314E" w:rsidP="004E314E">
            <w:pPr>
              <w:rPr>
                <w:rFonts w:ascii="Lato" w:hAnsi="Lato"/>
                <w:sz w:val="22"/>
                <w:szCs w:val="22"/>
              </w:rPr>
            </w:pPr>
            <w:r w:rsidRPr="00590C6D">
              <w:rPr>
                <w:rFonts w:ascii="Lato" w:hAnsi="Lato"/>
                <w:sz w:val="22"/>
                <w:szCs w:val="22"/>
              </w:rPr>
              <w:t>minimum</w:t>
            </w:r>
            <w:r w:rsidRPr="001362A6">
              <w:rPr>
                <w:rFonts w:ascii="Lato" w:hAnsi="Lato"/>
                <w:sz w:val="22"/>
                <w:szCs w:val="22"/>
              </w:rPr>
              <w:t xml:space="preserve"> criteria listed in section 2.25.2(a) and that they </w:t>
            </w:r>
          </w:p>
        </w:tc>
        <w:tc>
          <w:tcPr>
            <w:tcW w:w="3188" w:type="dxa"/>
          </w:tcPr>
          <w:p w14:paraId="19BB9197" w14:textId="77777777" w:rsidR="004E314E" w:rsidRPr="001362A6" w:rsidRDefault="004E314E" w:rsidP="004E314E">
            <w:pPr>
              <w:rPr>
                <w:rFonts w:ascii="Lato" w:hAnsi="Lato"/>
                <w:sz w:val="22"/>
                <w:szCs w:val="22"/>
              </w:rPr>
            </w:pPr>
          </w:p>
        </w:tc>
      </w:tr>
      <w:tr w:rsidR="004E314E" w:rsidRPr="001362A6" w14:paraId="75549D50" w14:textId="77777777" w:rsidTr="007E3170">
        <w:trPr>
          <w:cantSplit/>
          <w:trHeight w:val="254"/>
        </w:trPr>
        <w:tc>
          <w:tcPr>
            <w:tcW w:w="1316" w:type="dxa"/>
          </w:tcPr>
          <w:p w14:paraId="160BC546" w14:textId="77777777" w:rsidR="004E314E" w:rsidRPr="001362A6" w:rsidRDefault="004E314E" w:rsidP="004E314E">
            <w:pPr>
              <w:jc w:val="right"/>
              <w:rPr>
                <w:rFonts w:ascii="Lato" w:hAnsi="Lato"/>
                <w:sz w:val="22"/>
                <w:szCs w:val="22"/>
              </w:rPr>
            </w:pPr>
          </w:p>
        </w:tc>
        <w:tc>
          <w:tcPr>
            <w:tcW w:w="5891" w:type="dxa"/>
          </w:tcPr>
          <w:p w14:paraId="5C9BC93F" w14:textId="77777777" w:rsidR="004E314E" w:rsidRPr="001362A6" w:rsidDel="00B47449" w:rsidRDefault="004E314E" w:rsidP="004E314E">
            <w:pPr>
              <w:rPr>
                <w:rFonts w:ascii="Lato" w:hAnsi="Lato"/>
                <w:sz w:val="22"/>
                <w:szCs w:val="22"/>
              </w:rPr>
            </w:pPr>
            <w:r w:rsidRPr="00590C6D">
              <w:rPr>
                <w:rFonts w:ascii="Lato" w:hAnsi="Lato"/>
                <w:sz w:val="22"/>
                <w:szCs w:val="22"/>
              </w:rPr>
              <w:t>are aware of the</w:t>
            </w:r>
            <w:r w:rsidRPr="001362A6">
              <w:rPr>
                <w:rFonts w:ascii="Lato" w:hAnsi="Lato"/>
                <w:sz w:val="22"/>
                <w:szCs w:val="22"/>
              </w:rPr>
              <w:t xml:space="preserve"> risk involved in the proposed investment </w:t>
            </w:r>
          </w:p>
        </w:tc>
        <w:tc>
          <w:tcPr>
            <w:tcW w:w="3188" w:type="dxa"/>
          </w:tcPr>
          <w:p w14:paraId="5F846647" w14:textId="77777777" w:rsidR="004E314E" w:rsidRPr="001362A6" w:rsidRDefault="004E314E" w:rsidP="004E314E">
            <w:pPr>
              <w:rPr>
                <w:rFonts w:ascii="Lato" w:hAnsi="Lato"/>
                <w:sz w:val="22"/>
                <w:szCs w:val="22"/>
              </w:rPr>
            </w:pPr>
          </w:p>
        </w:tc>
      </w:tr>
      <w:tr w:rsidR="004E314E" w:rsidRPr="001362A6" w14:paraId="5C9BDAD2" w14:textId="77777777" w:rsidTr="007E3170">
        <w:trPr>
          <w:cantSplit/>
          <w:trHeight w:val="254"/>
        </w:trPr>
        <w:tc>
          <w:tcPr>
            <w:tcW w:w="1316" w:type="dxa"/>
          </w:tcPr>
          <w:p w14:paraId="4A23F901" w14:textId="77777777" w:rsidR="004E314E" w:rsidRPr="001362A6" w:rsidRDefault="004E314E" w:rsidP="004E314E">
            <w:pPr>
              <w:jc w:val="right"/>
              <w:rPr>
                <w:rFonts w:ascii="Lato" w:hAnsi="Lato"/>
                <w:sz w:val="22"/>
                <w:szCs w:val="22"/>
              </w:rPr>
            </w:pPr>
          </w:p>
        </w:tc>
        <w:tc>
          <w:tcPr>
            <w:tcW w:w="5891" w:type="dxa"/>
          </w:tcPr>
          <w:p w14:paraId="6114676A" w14:textId="77777777" w:rsidR="004E314E" w:rsidRPr="001362A6" w:rsidDel="00B47449" w:rsidRDefault="004E314E" w:rsidP="004E314E">
            <w:pPr>
              <w:rPr>
                <w:rFonts w:ascii="Lato" w:hAnsi="Lato"/>
                <w:sz w:val="22"/>
                <w:szCs w:val="22"/>
              </w:rPr>
            </w:pPr>
            <w:r w:rsidRPr="00590C6D">
              <w:rPr>
                <w:rFonts w:ascii="Lato" w:hAnsi="Lato"/>
                <w:sz w:val="22"/>
                <w:szCs w:val="22"/>
              </w:rPr>
              <w:t>and of the fact that</w:t>
            </w:r>
            <w:r w:rsidRPr="001362A6">
              <w:rPr>
                <w:rFonts w:ascii="Lato" w:hAnsi="Lato"/>
                <w:sz w:val="22"/>
                <w:szCs w:val="22"/>
              </w:rPr>
              <w:t xml:space="preserve"> inherent in such investments is the </w:t>
            </w:r>
          </w:p>
        </w:tc>
        <w:tc>
          <w:tcPr>
            <w:tcW w:w="3188" w:type="dxa"/>
          </w:tcPr>
          <w:p w14:paraId="66D0355B" w14:textId="77777777" w:rsidR="004E314E" w:rsidRPr="001362A6" w:rsidRDefault="004E314E" w:rsidP="004E314E">
            <w:pPr>
              <w:rPr>
                <w:rFonts w:ascii="Lato" w:hAnsi="Lato"/>
                <w:sz w:val="22"/>
                <w:szCs w:val="22"/>
              </w:rPr>
            </w:pPr>
          </w:p>
        </w:tc>
      </w:tr>
      <w:tr w:rsidR="004E314E" w:rsidRPr="001362A6" w14:paraId="23269E0E" w14:textId="77777777" w:rsidTr="007E3170">
        <w:trPr>
          <w:cantSplit/>
          <w:trHeight w:val="254"/>
        </w:trPr>
        <w:tc>
          <w:tcPr>
            <w:tcW w:w="1316" w:type="dxa"/>
          </w:tcPr>
          <w:p w14:paraId="6226804E" w14:textId="77777777" w:rsidR="004E314E" w:rsidRPr="001362A6" w:rsidRDefault="004E314E" w:rsidP="004E314E">
            <w:pPr>
              <w:jc w:val="right"/>
              <w:rPr>
                <w:rFonts w:ascii="Lato" w:hAnsi="Lato"/>
                <w:sz w:val="22"/>
                <w:szCs w:val="22"/>
              </w:rPr>
            </w:pPr>
          </w:p>
        </w:tc>
        <w:tc>
          <w:tcPr>
            <w:tcW w:w="5891" w:type="dxa"/>
          </w:tcPr>
          <w:p w14:paraId="7A151E41" w14:textId="77777777" w:rsidR="004E314E" w:rsidRPr="001362A6" w:rsidDel="00B47449" w:rsidRDefault="004E314E" w:rsidP="004E314E">
            <w:pPr>
              <w:rPr>
                <w:rFonts w:ascii="Lato" w:hAnsi="Lato"/>
                <w:sz w:val="22"/>
                <w:szCs w:val="22"/>
              </w:rPr>
            </w:pPr>
            <w:r w:rsidRPr="00590C6D">
              <w:rPr>
                <w:rFonts w:ascii="Lato" w:hAnsi="Lato"/>
                <w:sz w:val="22"/>
                <w:szCs w:val="22"/>
              </w:rPr>
              <w:t xml:space="preserve">potential to lose all of the </w:t>
            </w:r>
            <w:r w:rsidRPr="001362A6">
              <w:rPr>
                <w:rFonts w:ascii="Lato" w:hAnsi="Lato"/>
                <w:sz w:val="22"/>
                <w:szCs w:val="22"/>
              </w:rPr>
              <w:t>sum invested</w:t>
            </w:r>
          </w:p>
        </w:tc>
        <w:tc>
          <w:tcPr>
            <w:tcW w:w="3188" w:type="dxa"/>
          </w:tcPr>
          <w:p w14:paraId="17368F5D" w14:textId="77777777" w:rsidR="004E314E" w:rsidRPr="001362A6" w:rsidRDefault="004E314E" w:rsidP="004E314E">
            <w:pPr>
              <w:rPr>
                <w:rFonts w:ascii="Lato" w:hAnsi="Lato"/>
                <w:sz w:val="22"/>
                <w:szCs w:val="22"/>
              </w:rPr>
            </w:pPr>
          </w:p>
        </w:tc>
      </w:tr>
      <w:tr w:rsidR="004E314E" w:rsidRPr="001362A6" w14:paraId="3C816EC6" w14:textId="77777777" w:rsidTr="007E3170">
        <w:trPr>
          <w:cantSplit/>
          <w:trHeight w:val="254"/>
        </w:trPr>
        <w:tc>
          <w:tcPr>
            <w:tcW w:w="1316" w:type="dxa"/>
          </w:tcPr>
          <w:p w14:paraId="1B8A4C90" w14:textId="77777777" w:rsidR="004E314E" w:rsidRPr="001362A6" w:rsidRDefault="004E314E" w:rsidP="004E314E">
            <w:pPr>
              <w:jc w:val="right"/>
              <w:rPr>
                <w:rFonts w:ascii="Lato" w:hAnsi="Lato"/>
                <w:sz w:val="22"/>
                <w:szCs w:val="22"/>
              </w:rPr>
            </w:pPr>
          </w:p>
        </w:tc>
        <w:tc>
          <w:tcPr>
            <w:tcW w:w="5891" w:type="dxa"/>
          </w:tcPr>
          <w:p w14:paraId="23A8031C" w14:textId="77777777" w:rsidR="004E314E" w:rsidRPr="001362A6" w:rsidDel="00B47449" w:rsidRDefault="004E314E" w:rsidP="004E314E">
            <w:pPr>
              <w:rPr>
                <w:rFonts w:ascii="Lato" w:hAnsi="Lato"/>
                <w:sz w:val="22"/>
                <w:szCs w:val="22"/>
              </w:rPr>
            </w:pPr>
          </w:p>
        </w:tc>
        <w:tc>
          <w:tcPr>
            <w:tcW w:w="3188" w:type="dxa"/>
          </w:tcPr>
          <w:p w14:paraId="7F8C17FE" w14:textId="77777777" w:rsidR="004E314E" w:rsidRPr="001362A6" w:rsidRDefault="004E314E" w:rsidP="004E314E">
            <w:pPr>
              <w:rPr>
                <w:rFonts w:ascii="Lato" w:hAnsi="Lato"/>
                <w:sz w:val="22"/>
                <w:szCs w:val="22"/>
              </w:rPr>
            </w:pPr>
          </w:p>
        </w:tc>
      </w:tr>
      <w:tr w:rsidR="004E314E" w:rsidRPr="001362A6" w14:paraId="5B6C77BD" w14:textId="77777777" w:rsidTr="00990D73">
        <w:tc>
          <w:tcPr>
            <w:tcW w:w="1316" w:type="dxa"/>
          </w:tcPr>
          <w:p w14:paraId="4C837360" w14:textId="77777777" w:rsidR="004E314E" w:rsidRPr="001362A6" w:rsidRDefault="004E314E" w:rsidP="004E314E">
            <w:pPr>
              <w:rPr>
                <w:rFonts w:ascii="Lato" w:hAnsi="Lato"/>
                <w:b/>
                <w:sz w:val="22"/>
                <w:szCs w:val="22"/>
              </w:rPr>
            </w:pPr>
            <w:r w:rsidRPr="001362A6">
              <w:rPr>
                <w:rFonts w:ascii="Lato" w:hAnsi="Lato"/>
                <w:b/>
                <w:sz w:val="22"/>
                <w:szCs w:val="22"/>
              </w:rPr>
              <w:t>2.27</w:t>
            </w:r>
          </w:p>
        </w:tc>
        <w:tc>
          <w:tcPr>
            <w:tcW w:w="5891" w:type="dxa"/>
          </w:tcPr>
          <w:p w14:paraId="69EE14B8" w14:textId="77777777" w:rsidR="004E314E" w:rsidRPr="001362A6" w:rsidRDefault="004E314E" w:rsidP="004E314E">
            <w:pPr>
              <w:rPr>
                <w:rFonts w:ascii="Lato" w:hAnsi="Lato"/>
                <w:b/>
                <w:sz w:val="22"/>
                <w:szCs w:val="22"/>
              </w:rPr>
            </w:pPr>
            <w:r w:rsidRPr="001362A6">
              <w:rPr>
                <w:rFonts w:ascii="Lato" w:hAnsi="Lato"/>
                <w:b/>
                <w:sz w:val="22"/>
                <w:szCs w:val="22"/>
              </w:rPr>
              <w:t>Prime broker</w:t>
            </w:r>
          </w:p>
        </w:tc>
        <w:tc>
          <w:tcPr>
            <w:tcW w:w="3188" w:type="dxa"/>
          </w:tcPr>
          <w:p w14:paraId="6D9DD7CB" w14:textId="77777777" w:rsidR="004E314E" w:rsidRPr="001362A6" w:rsidRDefault="004E314E" w:rsidP="004E314E">
            <w:pPr>
              <w:rPr>
                <w:rFonts w:ascii="Lato" w:hAnsi="Lato"/>
                <w:b/>
                <w:sz w:val="22"/>
                <w:szCs w:val="22"/>
              </w:rPr>
            </w:pPr>
          </w:p>
        </w:tc>
      </w:tr>
      <w:tr w:rsidR="004E314E" w:rsidRPr="001362A6" w14:paraId="4C9537EB" w14:textId="77777777" w:rsidTr="00990D73">
        <w:tc>
          <w:tcPr>
            <w:tcW w:w="1316" w:type="dxa"/>
          </w:tcPr>
          <w:p w14:paraId="6B3A6433" w14:textId="77777777" w:rsidR="004E314E" w:rsidRPr="001362A6" w:rsidRDefault="004E314E" w:rsidP="004E314E">
            <w:pPr>
              <w:rPr>
                <w:rFonts w:ascii="Lato" w:hAnsi="Lato"/>
                <w:sz w:val="22"/>
                <w:szCs w:val="22"/>
              </w:rPr>
            </w:pPr>
            <w:r w:rsidRPr="001362A6">
              <w:rPr>
                <w:rFonts w:ascii="Lato" w:hAnsi="Lato"/>
                <w:sz w:val="22"/>
                <w:szCs w:val="22"/>
              </w:rPr>
              <w:t>2.27.1</w:t>
            </w:r>
          </w:p>
        </w:tc>
        <w:tc>
          <w:tcPr>
            <w:tcW w:w="5891" w:type="dxa"/>
          </w:tcPr>
          <w:p w14:paraId="3A22F0DD" w14:textId="77777777" w:rsidR="004E314E" w:rsidRPr="001362A6" w:rsidRDefault="004E314E" w:rsidP="004E314E">
            <w:pPr>
              <w:rPr>
                <w:rFonts w:ascii="Lato" w:hAnsi="Lato"/>
                <w:sz w:val="22"/>
                <w:szCs w:val="22"/>
              </w:rPr>
            </w:pPr>
            <w:r w:rsidRPr="001362A6">
              <w:rPr>
                <w:rFonts w:ascii="Lato" w:hAnsi="Lato"/>
                <w:sz w:val="22"/>
                <w:szCs w:val="22"/>
              </w:rPr>
              <w:t>Disclose:</w:t>
            </w:r>
          </w:p>
        </w:tc>
        <w:tc>
          <w:tcPr>
            <w:tcW w:w="3188" w:type="dxa"/>
            <w:tcBorders>
              <w:bottom w:val="single" w:sz="4" w:space="0" w:color="auto"/>
            </w:tcBorders>
          </w:tcPr>
          <w:p w14:paraId="697F1D55" w14:textId="77777777" w:rsidR="004E314E" w:rsidRPr="001362A6" w:rsidRDefault="004E314E" w:rsidP="004E314E">
            <w:pPr>
              <w:rPr>
                <w:rFonts w:ascii="Lato" w:hAnsi="Lato"/>
                <w:sz w:val="22"/>
                <w:szCs w:val="22"/>
              </w:rPr>
            </w:pPr>
          </w:p>
        </w:tc>
      </w:tr>
      <w:tr w:rsidR="004E314E" w:rsidRPr="001362A6" w14:paraId="15C5F82E" w14:textId="77777777" w:rsidTr="00990D73">
        <w:tc>
          <w:tcPr>
            <w:tcW w:w="1316" w:type="dxa"/>
          </w:tcPr>
          <w:p w14:paraId="138F1DBF" w14:textId="77777777" w:rsidR="004E314E" w:rsidRPr="001362A6" w:rsidRDefault="004E314E" w:rsidP="004E314E">
            <w:pPr>
              <w:rPr>
                <w:rFonts w:ascii="Lato" w:hAnsi="Lato"/>
                <w:sz w:val="22"/>
                <w:szCs w:val="22"/>
              </w:rPr>
            </w:pPr>
            <w:r w:rsidRPr="001362A6">
              <w:rPr>
                <w:rFonts w:ascii="Lato" w:hAnsi="Lato"/>
                <w:sz w:val="22"/>
                <w:szCs w:val="22"/>
              </w:rPr>
              <w:t>(i)</w:t>
            </w:r>
          </w:p>
        </w:tc>
        <w:tc>
          <w:tcPr>
            <w:tcW w:w="5891" w:type="dxa"/>
            <w:tcBorders>
              <w:right w:val="single" w:sz="4" w:space="0" w:color="auto"/>
            </w:tcBorders>
          </w:tcPr>
          <w:p w14:paraId="7474E706" w14:textId="77777777" w:rsidR="004E314E" w:rsidRPr="001362A6" w:rsidRDefault="004E314E" w:rsidP="004E314E">
            <w:pPr>
              <w:rPr>
                <w:rFonts w:ascii="Lato" w:hAnsi="Lato"/>
                <w:sz w:val="22"/>
                <w:szCs w:val="22"/>
              </w:rPr>
            </w:pPr>
            <w:r w:rsidRPr="001362A6">
              <w:rPr>
                <w:rFonts w:ascii="Lato" w:hAnsi="Lato"/>
                <w:sz w:val="22"/>
                <w:szCs w:val="22"/>
              </w:rPr>
              <w:t>The identity of the prime broker;</w:t>
            </w:r>
          </w:p>
        </w:tc>
        <w:tc>
          <w:tcPr>
            <w:tcW w:w="3188" w:type="dxa"/>
            <w:tcBorders>
              <w:top w:val="single" w:sz="4" w:space="0" w:color="auto"/>
              <w:left w:val="single" w:sz="4" w:space="0" w:color="auto"/>
              <w:bottom w:val="single" w:sz="4" w:space="0" w:color="auto"/>
              <w:right w:val="single" w:sz="4" w:space="0" w:color="auto"/>
            </w:tcBorders>
          </w:tcPr>
          <w:p w14:paraId="43CFCBB0" w14:textId="77777777" w:rsidR="004E314E" w:rsidRPr="001362A6" w:rsidRDefault="004E314E" w:rsidP="004E314E">
            <w:pPr>
              <w:rPr>
                <w:rFonts w:ascii="Lato" w:hAnsi="Lato"/>
                <w:sz w:val="22"/>
                <w:szCs w:val="22"/>
              </w:rPr>
            </w:pPr>
          </w:p>
        </w:tc>
      </w:tr>
      <w:tr w:rsidR="004E314E" w:rsidRPr="001362A6" w14:paraId="7D65BF35" w14:textId="77777777" w:rsidTr="00990D73">
        <w:tc>
          <w:tcPr>
            <w:tcW w:w="1316" w:type="dxa"/>
          </w:tcPr>
          <w:p w14:paraId="66CEBCFF" w14:textId="77777777" w:rsidR="004E314E" w:rsidRPr="001362A6" w:rsidRDefault="004E314E" w:rsidP="004E314E">
            <w:pPr>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24357CFF" w14:textId="77777777" w:rsidR="004E314E" w:rsidRPr="001362A6" w:rsidRDefault="004E314E" w:rsidP="004E314E">
            <w:pPr>
              <w:rPr>
                <w:rFonts w:ascii="Lato" w:hAnsi="Lato"/>
                <w:sz w:val="22"/>
                <w:szCs w:val="22"/>
              </w:rPr>
            </w:pPr>
            <w:r w:rsidRPr="001362A6">
              <w:rPr>
                <w:rFonts w:ascii="Lato" w:hAnsi="Lato"/>
                <w:sz w:val="22"/>
                <w:szCs w:val="22"/>
              </w:rPr>
              <w:t xml:space="preserve">A description of any material arrangements of the </w:t>
            </w:r>
          </w:p>
        </w:tc>
        <w:tc>
          <w:tcPr>
            <w:tcW w:w="3188" w:type="dxa"/>
            <w:tcBorders>
              <w:top w:val="single" w:sz="4" w:space="0" w:color="auto"/>
              <w:left w:val="single" w:sz="4" w:space="0" w:color="auto"/>
              <w:bottom w:val="single" w:sz="4" w:space="0" w:color="auto"/>
              <w:right w:val="single" w:sz="4" w:space="0" w:color="auto"/>
            </w:tcBorders>
          </w:tcPr>
          <w:p w14:paraId="33090DDE" w14:textId="77777777" w:rsidR="004E314E" w:rsidRPr="001362A6" w:rsidRDefault="004E314E" w:rsidP="004E314E">
            <w:pPr>
              <w:rPr>
                <w:rFonts w:ascii="Lato" w:hAnsi="Lato"/>
                <w:sz w:val="22"/>
                <w:szCs w:val="22"/>
              </w:rPr>
            </w:pPr>
          </w:p>
        </w:tc>
      </w:tr>
      <w:tr w:rsidR="004E314E" w:rsidRPr="001362A6" w14:paraId="5948C6F9" w14:textId="77777777" w:rsidTr="00BD6C62">
        <w:tc>
          <w:tcPr>
            <w:tcW w:w="1316" w:type="dxa"/>
          </w:tcPr>
          <w:p w14:paraId="436551FC" w14:textId="77777777" w:rsidR="004E314E" w:rsidRPr="001362A6" w:rsidRDefault="004E314E" w:rsidP="004E314E">
            <w:pPr>
              <w:rPr>
                <w:rFonts w:ascii="Lato" w:hAnsi="Lato"/>
                <w:sz w:val="22"/>
                <w:szCs w:val="22"/>
              </w:rPr>
            </w:pPr>
          </w:p>
        </w:tc>
        <w:tc>
          <w:tcPr>
            <w:tcW w:w="5891" w:type="dxa"/>
          </w:tcPr>
          <w:p w14:paraId="21070298" w14:textId="77777777" w:rsidR="004E314E" w:rsidRPr="001362A6" w:rsidRDefault="004E314E" w:rsidP="004E314E">
            <w:pPr>
              <w:rPr>
                <w:rFonts w:ascii="Lato" w:hAnsi="Lato"/>
                <w:sz w:val="22"/>
                <w:szCs w:val="22"/>
              </w:rPr>
            </w:pPr>
            <w:r w:rsidRPr="00590C6D">
              <w:rPr>
                <w:rFonts w:ascii="Lato" w:hAnsi="Lato"/>
                <w:sz w:val="22"/>
                <w:szCs w:val="22"/>
              </w:rPr>
              <w:t xml:space="preserve">Qualifying </w:t>
            </w:r>
            <w:r w:rsidRPr="001362A6">
              <w:rPr>
                <w:rFonts w:ascii="Lato" w:hAnsi="Lato"/>
                <w:sz w:val="22"/>
                <w:szCs w:val="22"/>
              </w:rPr>
              <w:t>Investor AIF with its prime brokers;</w:t>
            </w:r>
          </w:p>
        </w:tc>
        <w:tc>
          <w:tcPr>
            <w:tcW w:w="3188" w:type="dxa"/>
            <w:tcBorders>
              <w:top w:val="single" w:sz="4" w:space="0" w:color="auto"/>
              <w:bottom w:val="single" w:sz="4" w:space="0" w:color="auto"/>
            </w:tcBorders>
          </w:tcPr>
          <w:p w14:paraId="24FB5717" w14:textId="77777777" w:rsidR="004E314E" w:rsidRPr="001362A6" w:rsidRDefault="004E314E" w:rsidP="004E314E">
            <w:pPr>
              <w:rPr>
                <w:rFonts w:ascii="Lato" w:hAnsi="Lato"/>
                <w:sz w:val="22"/>
                <w:szCs w:val="22"/>
              </w:rPr>
            </w:pPr>
          </w:p>
        </w:tc>
      </w:tr>
      <w:tr w:rsidR="004E314E" w:rsidRPr="001362A6" w14:paraId="66F46BD9" w14:textId="77777777" w:rsidTr="00BD6C62">
        <w:tc>
          <w:tcPr>
            <w:tcW w:w="1316" w:type="dxa"/>
          </w:tcPr>
          <w:p w14:paraId="58063272" w14:textId="77777777" w:rsidR="004E314E" w:rsidRPr="001362A6" w:rsidRDefault="004E314E" w:rsidP="004E314E">
            <w:pPr>
              <w:rPr>
                <w:rFonts w:ascii="Lato" w:hAnsi="Lato"/>
                <w:sz w:val="22"/>
                <w:szCs w:val="22"/>
              </w:rPr>
            </w:pPr>
            <w:r w:rsidRPr="001362A6">
              <w:rPr>
                <w:rFonts w:ascii="Lato" w:hAnsi="Lato"/>
                <w:sz w:val="22"/>
                <w:szCs w:val="22"/>
              </w:rPr>
              <w:t>(iii)</w:t>
            </w:r>
          </w:p>
        </w:tc>
        <w:tc>
          <w:tcPr>
            <w:tcW w:w="5891" w:type="dxa"/>
            <w:tcBorders>
              <w:right w:val="single" w:sz="4" w:space="0" w:color="auto"/>
            </w:tcBorders>
          </w:tcPr>
          <w:p w14:paraId="00CA2027" w14:textId="77777777" w:rsidR="004E314E" w:rsidRPr="001362A6" w:rsidRDefault="004E314E" w:rsidP="004E314E">
            <w:pPr>
              <w:rPr>
                <w:rFonts w:ascii="Lato" w:hAnsi="Lato"/>
                <w:sz w:val="22"/>
                <w:szCs w:val="22"/>
              </w:rPr>
            </w:pPr>
            <w:r w:rsidRPr="001362A6">
              <w:rPr>
                <w:rFonts w:ascii="Lato" w:hAnsi="Lato"/>
                <w:sz w:val="22"/>
                <w:szCs w:val="22"/>
              </w:rPr>
              <w:t>The way the conflicts of interest are managed;</w:t>
            </w:r>
          </w:p>
        </w:tc>
        <w:tc>
          <w:tcPr>
            <w:tcW w:w="3188" w:type="dxa"/>
            <w:tcBorders>
              <w:top w:val="single" w:sz="4" w:space="0" w:color="auto"/>
              <w:left w:val="single" w:sz="4" w:space="0" w:color="auto"/>
              <w:bottom w:val="single" w:sz="4" w:space="0" w:color="auto"/>
              <w:right w:val="single" w:sz="4" w:space="0" w:color="auto"/>
            </w:tcBorders>
          </w:tcPr>
          <w:p w14:paraId="65401863" w14:textId="77777777" w:rsidR="004E314E" w:rsidRPr="001362A6" w:rsidRDefault="004E314E" w:rsidP="004E314E">
            <w:pPr>
              <w:rPr>
                <w:rFonts w:ascii="Lato" w:hAnsi="Lato"/>
                <w:sz w:val="22"/>
                <w:szCs w:val="22"/>
              </w:rPr>
            </w:pPr>
          </w:p>
        </w:tc>
      </w:tr>
      <w:tr w:rsidR="004E314E" w:rsidRPr="001362A6" w14:paraId="12EA4CD4" w14:textId="77777777" w:rsidTr="00BD6C62">
        <w:tc>
          <w:tcPr>
            <w:tcW w:w="1316" w:type="dxa"/>
          </w:tcPr>
          <w:p w14:paraId="49DA5FFD" w14:textId="77777777" w:rsidR="004E314E" w:rsidRPr="001362A6" w:rsidRDefault="004E314E" w:rsidP="004E314E">
            <w:pPr>
              <w:rPr>
                <w:rFonts w:ascii="Lato" w:hAnsi="Lato"/>
                <w:sz w:val="22"/>
                <w:szCs w:val="22"/>
              </w:rPr>
            </w:pPr>
            <w:r w:rsidRPr="001362A6">
              <w:rPr>
                <w:rFonts w:ascii="Lato" w:hAnsi="Lato"/>
                <w:sz w:val="22"/>
                <w:szCs w:val="22"/>
              </w:rPr>
              <w:t>(iv)</w:t>
            </w:r>
          </w:p>
        </w:tc>
        <w:tc>
          <w:tcPr>
            <w:tcW w:w="5891" w:type="dxa"/>
            <w:tcBorders>
              <w:right w:val="single" w:sz="4" w:space="0" w:color="auto"/>
            </w:tcBorders>
          </w:tcPr>
          <w:p w14:paraId="59A145EC" w14:textId="77777777" w:rsidR="004E314E" w:rsidRPr="001362A6" w:rsidRDefault="004E314E" w:rsidP="004E314E">
            <w:pPr>
              <w:rPr>
                <w:rFonts w:ascii="Lato" w:hAnsi="Lato"/>
                <w:sz w:val="22"/>
                <w:szCs w:val="22"/>
              </w:rPr>
            </w:pPr>
            <w:r w:rsidRPr="001362A6">
              <w:rPr>
                <w:rFonts w:ascii="Lato" w:hAnsi="Lato"/>
                <w:sz w:val="22"/>
                <w:szCs w:val="22"/>
              </w:rPr>
              <w:t xml:space="preserve">Any provision in the contract with the depositary on the </w:t>
            </w:r>
          </w:p>
        </w:tc>
        <w:tc>
          <w:tcPr>
            <w:tcW w:w="3188" w:type="dxa"/>
            <w:tcBorders>
              <w:top w:val="single" w:sz="4" w:space="0" w:color="auto"/>
              <w:left w:val="single" w:sz="4" w:space="0" w:color="auto"/>
              <w:bottom w:val="single" w:sz="4" w:space="0" w:color="auto"/>
              <w:right w:val="single" w:sz="4" w:space="0" w:color="auto"/>
            </w:tcBorders>
          </w:tcPr>
          <w:p w14:paraId="1B0466D9" w14:textId="77777777" w:rsidR="004E314E" w:rsidRPr="001362A6" w:rsidRDefault="004E314E" w:rsidP="004E314E">
            <w:pPr>
              <w:rPr>
                <w:rFonts w:ascii="Lato" w:hAnsi="Lato"/>
                <w:sz w:val="22"/>
                <w:szCs w:val="22"/>
              </w:rPr>
            </w:pPr>
          </w:p>
        </w:tc>
      </w:tr>
      <w:tr w:rsidR="004E314E" w:rsidRPr="001362A6" w14:paraId="6DEAAF4B" w14:textId="77777777" w:rsidTr="00BD6C62">
        <w:tc>
          <w:tcPr>
            <w:tcW w:w="1316" w:type="dxa"/>
          </w:tcPr>
          <w:p w14:paraId="41922B1F" w14:textId="77777777" w:rsidR="004E314E" w:rsidRPr="001362A6" w:rsidRDefault="004E314E" w:rsidP="004E314E">
            <w:pPr>
              <w:rPr>
                <w:rFonts w:ascii="Lato" w:hAnsi="Lato"/>
                <w:sz w:val="22"/>
                <w:szCs w:val="22"/>
              </w:rPr>
            </w:pPr>
          </w:p>
        </w:tc>
        <w:tc>
          <w:tcPr>
            <w:tcW w:w="5891" w:type="dxa"/>
          </w:tcPr>
          <w:p w14:paraId="1F8D1064" w14:textId="77777777" w:rsidR="004E314E" w:rsidRPr="001362A6" w:rsidRDefault="004E314E" w:rsidP="004E314E">
            <w:pPr>
              <w:rPr>
                <w:rFonts w:ascii="Lato" w:hAnsi="Lato"/>
                <w:sz w:val="22"/>
                <w:szCs w:val="22"/>
              </w:rPr>
            </w:pPr>
            <w:r w:rsidRPr="001362A6">
              <w:rPr>
                <w:rFonts w:ascii="Lato" w:hAnsi="Lato"/>
                <w:sz w:val="22"/>
                <w:szCs w:val="22"/>
              </w:rPr>
              <w:t xml:space="preserve">possibility of transfer and reuse of Qualifying Investor AIF </w:t>
            </w:r>
          </w:p>
        </w:tc>
        <w:tc>
          <w:tcPr>
            <w:tcW w:w="3188" w:type="dxa"/>
            <w:tcBorders>
              <w:top w:val="single" w:sz="4" w:space="0" w:color="auto"/>
            </w:tcBorders>
          </w:tcPr>
          <w:p w14:paraId="01BA94CA" w14:textId="77777777" w:rsidR="004E314E" w:rsidRPr="001362A6" w:rsidRDefault="004E314E" w:rsidP="004E314E">
            <w:pPr>
              <w:rPr>
                <w:rFonts w:ascii="Lato" w:hAnsi="Lato"/>
                <w:sz w:val="22"/>
                <w:szCs w:val="22"/>
              </w:rPr>
            </w:pPr>
          </w:p>
        </w:tc>
      </w:tr>
      <w:tr w:rsidR="004E314E" w:rsidRPr="001362A6" w14:paraId="072DB8F5" w14:textId="77777777" w:rsidTr="00BD6C62">
        <w:tc>
          <w:tcPr>
            <w:tcW w:w="1316" w:type="dxa"/>
          </w:tcPr>
          <w:p w14:paraId="5F53CD01" w14:textId="77777777" w:rsidR="004E314E" w:rsidRPr="001362A6" w:rsidRDefault="004E314E" w:rsidP="004E314E">
            <w:pPr>
              <w:rPr>
                <w:rFonts w:ascii="Lato" w:hAnsi="Lato"/>
                <w:sz w:val="22"/>
                <w:szCs w:val="22"/>
              </w:rPr>
            </w:pPr>
          </w:p>
        </w:tc>
        <w:tc>
          <w:tcPr>
            <w:tcW w:w="5891" w:type="dxa"/>
          </w:tcPr>
          <w:p w14:paraId="2CEC7A67" w14:textId="77777777" w:rsidR="004E314E" w:rsidRPr="001362A6" w:rsidRDefault="004E314E" w:rsidP="004E314E">
            <w:pPr>
              <w:rPr>
                <w:rFonts w:ascii="Lato" w:hAnsi="Lato"/>
                <w:sz w:val="22"/>
                <w:szCs w:val="22"/>
              </w:rPr>
            </w:pPr>
            <w:r w:rsidRPr="001362A6">
              <w:rPr>
                <w:rFonts w:ascii="Lato" w:hAnsi="Lato"/>
                <w:sz w:val="22"/>
                <w:szCs w:val="22"/>
              </w:rPr>
              <w:t>assets; and</w:t>
            </w:r>
          </w:p>
        </w:tc>
        <w:tc>
          <w:tcPr>
            <w:tcW w:w="3188" w:type="dxa"/>
            <w:tcBorders>
              <w:bottom w:val="single" w:sz="4" w:space="0" w:color="auto"/>
            </w:tcBorders>
          </w:tcPr>
          <w:p w14:paraId="07208F7F" w14:textId="77777777" w:rsidR="004E314E" w:rsidRPr="001362A6" w:rsidRDefault="004E314E" w:rsidP="004E314E">
            <w:pPr>
              <w:rPr>
                <w:rFonts w:ascii="Lato" w:hAnsi="Lato"/>
                <w:sz w:val="22"/>
                <w:szCs w:val="22"/>
              </w:rPr>
            </w:pPr>
          </w:p>
        </w:tc>
      </w:tr>
      <w:tr w:rsidR="004E314E" w:rsidRPr="001362A6" w14:paraId="4AB52F2E" w14:textId="77777777" w:rsidTr="00BD6C62">
        <w:tc>
          <w:tcPr>
            <w:tcW w:w="1316" w:type="dxa"/>
          </w:tcPr>
          <w:p w14:paraId="001D3CDD" w14:textId="77777777" w:rsidR="004E314E" w:rsidRPr="001362A6" w:rsidRDefault="004E314E" w:rsidP="004E314E">
            <w:pPr>
              <w:rPr>
                <w:rFonts w:ascii="Lato" w:hAnsi="Lato"/>
                <w:sz w:val="22"/>
                <w:szCs w:val="22"/>
              </w:rPr>
            </w:pPr>
            <w:r w:rsidRPr="001362A6">
              <w:rPr>
                <w:rFonts w:ascii="Lato" w:hAnsi="Lato"/>
                <w:sz w:val="22"/>
                <w:szCs w:val="22"/>
              </w:rPr>
              <w:t>(v)</w:t>
            </w:r>
          </w:p>
        </w:tc>
        <w:tc>
          <w:tcPr>
            <w:tcW w:w="5891" w:type="dxa"/>
            <w:tcBorders>
              <w:right w:val="single" w:sz="4" w:space="0" w:color="auto"/>
            </w:tcBorders>
          </w:tcPr>
          <w:p w14:paraId="7CB4A40D" w14:textId="77777777" w:rsidR="004E314E" w:rsidRPr="001362A6" w:rsidRDefault="004E314E" w:rsidP="004E314E">
            <w:pPr>
              <w:rPr>
                <w:rFonts w:ascii="Lato" w:hAnsi="Lato"/>
                <w:sz w:val="22"/>
                <w:szCs w:val="22"/>
              </w:rPr>
            </w:pPr>
            <w:r w:rsidRPr="001362A6">
              <w:rPr>
                <w:rFonts w:ascii="Lato" w:hAnsi="Lato"/>
                <w:sz w:val="22"/>
                <w:szCs w:val="22"/>
              </w:rPr>
              <w:t xml:space="preserve">Information about any transfer of liability to the prime </w:t>
            </w:r>
          </w:p>
        </w:tc>
        <w:tc>
          <w:tcPr>
            <w:tcW w:w="3188" w:type="dxa"/>
            <w:tcBorders>
              <w:top w:val="single" w:sz="4" w:space="0" w:color="auto"/>
              <w:left w:val="single" w:sz="4" w:space="0" w:color="auto"/>
              <w:bottom w:val="single" w:sz="4" w:space="0" w:color="auto"/>
              <w:right w:val="single" w:sz="4" w:space="0" w:color="auto"/>
            </w:tcBorders>
          </w:tcPr>
          <w:p w14:paraId="390688A7" w14:textId="77777777" w:rsidR="004E314E" w:rsidRPr="001362A6" w:rsidRDefault="004E314E" w:rsidP="004E314E">
            <w:pPr>
              <w:rPr>
                <w:rFonts w:ascii="Lato" w:hAnsi="Lato"/>
                <w:sz w:val="22"/>
                <w:szCs w:val="22"/>
              </w:rPr>
            </w:pPr>
          </w:p>
        </w:tc>
      </w:tr>
      <w:tr w:rsidR="004E314E" w:rsidRPr="001362A6" w14:paraId="0497E89C" w14:textId="77777777" w:rsidTr="00EA668D">
        <w:tc>
          <w:tcPr>
            <w:tcW w:w="1316" w:type="dxa"/>
          </w:tcPr>
          <w:p w14:paraId="23DFE09D" w14:textId="77777777" w:rsidR="004E314E" w:rsidRPr="001362A6" w:rsidRDefault="004E314E" w:rsidP="004E314E">
            <w:pPr>
              <w:rPr>
                <w:rFonts w:ascii="Lato" w:hAnsi="Lato"/>
                <w:sz w:val="22"/>
                <w:szCs w:val="22"/>
              </w:rPr>
            </w:pPr>
          </w:p>
        </w:tc>
        <w:tc>
          <w:tcPr>
            <w:tcW w:w="5891" w:type="dxa"/>
          </w:tcPr>
          <w:p w14:paraId="5EB8A5E6" w14:textId="77777777" w:rsidR="004E314E" w:rsidRDefault="004E314E" w:rsidP="004E314E">
            <w:pPr>
              <w:rPr>
                <w:rFonts w:ascii="Lato" w:hAnsi="Lato"/>
                <w:sz w:val="22"/>
                <w:szCs w:val="22"/>
              </w:rPr>
            </w:pPr>
            <w:r w:rsidRPr="00590C6D">
              <w:rPr>
                <w:rFonts w:ascii="Lato" w:hAnsi="Lato"/>
                <w:sz w:val="22"/>
                <w:szCs w:val="22"/>
              </w:rPr>
              <w:t xml:space="preserve">broker </w:t>
            </w:r>
            <w:r w:rsidRPr="001362A6">
              <w:rPr>
                <w:rFonts w:ascii="Lato" w:hAnsi="Lato"/>
                <w:sz w:val="22"/>
                <w:szCs w:val="22"/>
              </w:rPr>
              <w:t>that may exist</w:t>
            </w:r>
          </w:p>
          <w:p w14:paraId="6CC1519A" w14:textId="77777777" w:rsidR="004E314E" w:rsidRPr="00EA668D" w:rsidRDefault="004E314E" w:rsidP="004E314E">
            <w:pPr>
              <w:rPr>
                <w:rFonts w:ascii="Lato" w:hAnsi="Lato"/>
                <w:sz w:val="22"/>
                <w:szCs w:val="22"/>
                <w:lang w:val="en-IE"/>
              </w:rPr>
            </w:pPr>
          </w:p>
          <w:p w14:paraId="4F64741C" w14:textId="77777777" w:rsidR="004E314E" w:rsidRPr="001362A6" w:rsidRDefault="004E314E" w:rsidP="004E314E">
            <w:pPr>
              <w:rPr>
                <w:rFonts w:ascii="Lato" w:hAnsi="Lato"/>
                <w:sz w:val="22"/>
                <w:szCs w:val="22"/>
              </w:rPr>
            </w:pPr>
          </w:p>
        </w:tc>
        <w:tc>
          <w:tcPr>
            <w:tcW w:w="3188" w:type="dxa"/>
            <w:tcBorders>
              <w:top w:val="single" w:sz="4" w:space="0" w:color="auto"/>
            </w:tcBorders>
          </w:tcPr>
          <w:p w14:paraId="5BC7370E" w14:textId="77777777" w:rsidR="004E314E" w:rsidRPr="001362A6" w:rsidRDefault="004E314E" w:rsidP="004E314E">
            <w:pPr>
              <w:rPr>
                <w:rFonts w:ascii="Lato" w:hAnsi="Lato"/>
                <w:sz w:val="22"/>
                <w:szCs w:val="22"/>
              </w:rPr>
            </w:pPr>
          </w:p>
        </w:tc>
      </w:tr>
      <w:tr w:rsidR="004E314E" w:rsidRPr="001362A6" w14:paraId="6B32CAD5" w14:textId="77777777" w:rsidTr="00CB30C8">
        <w:tc>
          <w:tcPr>
            <w:tcW w:w="10395" w:type="dxa"/>
            <w:gridSpan w:val="3"/>
          </w:tcPr>
          <w:p w14:paraId="52C357F3" w14:textId="77777777" w:rsidR="004E314E" w:rsidRPr="00EA668D" w:rsidRDefault="004E314E" w:rsidP="004E314E">
            <w:pPr>
              <w:spacing w:line="276" w:lineRule="auto"/>
              <w:jc w:val="both"/>
              <w:rPr>
                <w:rFonts w:ascii="Lato" w:hAnsi="Lato"/>
                <w:sz w:val="20"/>
                <w:szCs w:val="20"/>
                <w:lang w:val="en-US"/>
              </w:rPr>
            </w:pPr>
            <w:r w:rsidRPr="00EA668D">
              <w:rPr>
                <w:rFonts w:ascii="Lato" w:hAnsi="Lato"/>
                <w:sz w:val="20"/>
                <w:szCs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7" w:history="1">
              <w:r w:rsidRPr="00EA668D">
                <w:rPr>
                  <w:rStyle w:val="Hyperlink"/>
                  <w:rFonts w:ascii="Lato" w:hAnsi="Lato"/>
                  <w:sz w:val="20"/>
                  <w:szCs w:val="20"/>
                  <w:lang w:val="en-US"/>
                </w:rPr>
                <w:t>dataprotection@centralbank.ie</w:t>
              </w:r>
            </w:hyperlink>
            <w:r w:rsidRPr="00EA668D">
              <w:rPr>
                <w:rFonts w:ascii="Lato" w:hAnsi="Lato"/>
                <w:sz w:val="20"/>
                <w:szCs w:val="20"/>
                <w:lang w:val="en-US"/>
              </w:rPr>
              <w:t xml:space="preserve">. A copy of the Central Bank’s Data Protection Notice is available at </w:t>
            </w:r>
            <w:hyperlink r:id="rId18" w:history="1">
              <w:r w:rsidRPr="00EA668D">
                <w:rPr>
                  <w:rStyle w:val="Hyperlink"/>
                  <w:rFonts w:ascii="Lato" w:hAnsi="Lato"/>
                  <w:sz w:val="20"/>
                  <w:szCs w:val="20"/>
                  <w:lang w:val="en-US"/>
                </w:rPr>
                <w:t>www.centralbank.ie/fns/privacy-statement</w:t>
              </w:r>
            </w:hyperlink>
            <w:r w:rsidRPr="00EA668D">
              <w:rPr>
                <w:rFonts w:ascii="Lato" w:hAnsi="Lato"/>
                <w:sz w:val="20"/>
                <w:szCs w:val="20"/>
                <w:lang w:val="en-US"/>
              </w:rPr>
              <w:t>.</w:t>
            </w:r>
          </w:p>
          <w:p w14:paraId="2B11F6B8" w14:textId="77777777" w:rsidR="004E314E" w:rsidRPr="001362A6" w:rsidRDefault="004E314E" w:rsidP="004E314E">
            <w:pPr>
              <w:rPr>
                <w:rFonts w:ascii="Lato" w:hAnsi="Lato"/>
                <w:sz w:val="22"/>
                <w:szCs w:val="22"/>
              </w:rPr>
            </w:pPr>
          </w:p>
        </w:tc>
      </w:tr>
    </w:tbl>
    <w:p w14:paraId="169C2CFE" w14:textId="77777777" w:rsidR="00E0074D" w:rsidRPr="001362A6" w:rsidRDefault="00E0074D">
      <w:pPr>
        <w:pStyle w:val="Heading2"/>
        <w:spacing w:before="0" w:after="0" w:line="240" w:lineRule="auto"/>
        <w:jc w:val="center"/>
        <w:rPr>
          <w:rFonts w:ascii="Lato" w:hAnsi="Lato"/>
          <w:color w:val="auto"/>
          <w:sz w:val="22"/>
          <w:szCs w:val="22"/>
        </w:rPr>
        <w:sectPr w:rsidR="00E0074D" w:rsidRPr="001362A6">
          <w:pgSz w:w="11904" w:h="16834"/>
          <w:pgMar w:top="851" w:right="1131" w:bottom="1440" w:left="1800" w:header="142" w:footer="266" w:gutter="0"/>
          <w:cols w:space="708"/>
        </w:sectPr>
      </w:pPr>
    </w:p>
    <w:p w14:paraId="0076B710" w14:textId="77777777" w:rsidR="00D21223" w:rsidRPr="00590C6D" w:rsidRDefault="00946E34" w:rsidP="00D21223">
      <w:pPr>
        <w:pStyle w:val="Noparagraphstyle"/>
        <w:suppressAutoHyphens/>
        <w:spacing w:after="227"/>
        <w:jc w:val="center"/>
        <w:rPr>
          <w:rFonts w:ascii="Lato" w:hAnsi="Lato" w:cs="Times New Roman"/>
          <w:color w:val="auto"/>
          <w:sz w:val="22"/>
          <w:szCs w:val="22"/>
        </w:rPr>
      </w:pPr>
      <w:r w:rsidRPr="00590C6D">
        <w:rPr>
          <w:rFonts w:ascii="Lato" w:hAnsi="Lato"/>
          <w:noProof/>
          <w:lang w:val="en-IE" w:eastAsia="en-IE"/>
        </w:rPr>
        <w:lastRenderedPageBreak/>
        <w:drawing>
          <wp:anchor distT="0" distB="0" distL="114300" distR="114300" simplePos="0" relativeHeight="251660288" behindDoc="1" locked="0" layoutInCell="1" allowOverlap="1" wp14:anchorId="070225EA" wp14:editId="7875351B">
            <wp:simplePos x="0" y="0"/>
            <wp:positionH relativeFrom="column">
              <wp:posOffset>-1143000</wp:posOffset>
            </wp:positionH>
            <wp:positionV relativeFrom="paragraph">
              <wp:posOffset>-914400</wp:posOffset>
            </wp:positionV>
            <wp:extent cx="7562215" cy="11031855"/>
            <wp:effectExtent l="0" t="0" r="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62215" cy="11031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1223" w:rsidRPr="00B14ED5">
        <w:rPr>
          <w:rStyle w:val="HelvBold"/>
          <w:rFonts w:ascii="Lato" w:hAnsi="Lato" w:cs="HelveticaNeueLTStd-Bd"/>
          <w:bCs/>
          <w:color w:val="FFFFFF"/>
          <w:sz w:val="20"/>
        </w:rPr>
        <w:t xml:space="preserve">T </w:t>
      </w:r>
      <w:r w:rsidR="00D21223" w:rsidRPr="00B14ED5">
        <w:rPr>
          <w:rFonts w:ascii="Lato" w:hAnsi="Lato" w:cs="HelveticaNeueLTStd-Lt"/>
          <w:color w:val="FFFFFF"/>
          <w:sz w:val="20"/>
        </w:rPr>
        <w:t xml:space="preserve">+353 1 224 6000    </w:t>
      </w:r>
      <w:r w:rsidR="00D21223" w:rsidRPr="00590C6D">
        <w:rPr>
          <w:rFonts w:ascii="Lato" w:hAnsi="Lato" w:cs="HelveticaNeueLTStd-Lt"/>
          <w:color w:val="FFFFFF"/>
          <w:sz w:val="20"/>
          <w:u w:val="single"/>
        </w:rPr>
        <w:t>www.centralbank.ie</w:t>
      </w:r>
      <w:r w:rsidR="00D21223" w:rsidRPr="00B14ED5">
        <w:rPr>
          <w:rFonts w:ascii="Lato" w:hAnsi="Lato" w:cs="HelveticaNeueLTStd-Lt"/>
          <w:color w:val="FFFFFF"/>
          <w:sz w:val="20"/>
        </w:rPr>
        <w:t xml:space="preserve">      aifauthorisations@centralbank.ie</w:t>
      </w:r>
    </w:p>
    <w:p w14:paraId="6559896C" w14:textId="77777777" w:rsidR="00544DFF" w:rsidRPr="001362A6" w:rsidRDefault="00946E34" w:rsidP="00544DFF">
      <w:pPr>
        <w:pStyle w:val="Noparagraphstyle"/>
        <w:suppressAutoHyphens/>
        <w:spacing w:after="227"/>
        <w:jc w:val="center"/>
        <w:rPr>
          <w:rFonts w:ascii="Lato" w:hAnsi="Lato" w:cs="Times New Roman"/>
          <w:color w:val="auto"/>
          <w:sz w:val="22"/>
          <w:szCs w:val="22"/>
        </w:rPr>
      </w:pPr>
      <w:r>
        <w:rPr>
          <w:rFonts w:ascii="Lato" w:hAnsi="Lato" w:cs="Times New Roman"/>
          <w:noProof/>
          <w:color w:val="auto"/>
          <w:sz w:val="22"/>
          <w:szCs w:val="22"/>
          <w:lang w:val="en-IE" w:eastAsia="en-IE"/>
        </w:rPr>
        <w:drawing>
          <wp:anchor distT="0" distB="0" distL="114300" distR="114300" simplePos="0" relativeHeight="251659264" behindDoc="1" locked="0" layoutInCell="1" allowOverlap="1" wp14:anchorId="4383485E" wp14:editId="1E7C05DB">
            <wp:simplePos x="0" y="0"/>
            <wp:positionH relativeFrom="column">
              <wp:posOffset>-1143000</wp:posOffset>
            </wp:positionH>
            <wp:positionV relativeFrom="paragraph">
              <wp:posOffset>-914400</wp:posOffset>
            </wp:positionV>
            <wp:extent cx="7562215" cy="10696575"/>
            <wp:effectExtent l="0" t="0" r="0"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62215" cy="1069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F9DF4F" w14:textId="77777777" w:rsidR="00544DFF" w:rsidRPr="001362A6" w:rsidRDefault="00544DFF" w:rsidP="00544DFF">
      <w:pPr>
        <w:rPr>
          <w:rFonts w:ascii="Lato" w:hAnsi="Lato"/>
          <w:sz w:val="22"/>
          <w:szCs w:val="22"/>
        </w:rPr>
      </w:pPr>
    </w:p>
    <w:p w14:paraId="2AF8AE4B" w14:textId="77777777" w:rsidR="00E0074D" w:rsidRPr="001362A6" w:rsidRDefault="00E0074D">
      <w:pPr>
        <w:rPr>
          <w:rFonts w:ascii="Lato" w:hAnsi="Lato"/>
          <w:sz w:val="22"/>
          <w:szCs w:val="22"/>
        </w:rPr>
      </w:pPr>
    </w:p>
    <w:p w14:paraId="21434FDC" w14:textId="77777777" w:rsidR="00E0074D" w:rsidRPr="001362A6" w:rsidRDefault="00946E34">
      <w:pPr>
        <w:rPr>
          <w:rFonts w:ascii="Lato" w:hAnsi="Lato"/>
        </w:rPr>
      </w:pPr>
      <w:r w:rsidRPr="001362A6">
        <w:rPr>
          <w:rFonts w:ascii="Lato" w:hAnsi="Lato"/>
          <w:noProof/>
          <w:sz w:val="22"/>
          <w:szCs w:val="22"/>
          <w:lang w:val="en-IE" w:eastAsia="en-IE"/>
        </w:rPr>
        <mc:AlternateContent>
          <mc:Choice Requires="wps">
            <w:drawing>
              <wp:anchor distT="0" distB="0" distL="114300" distR="114300" simplePos="0" relativeHeight="251658240" behindDoc="0" locked="0" layoutInCell="1" allowOverlap="1" wp14:anchorId="16F975E2" wp14:editId="7B2C11F9">
                <wp:simplePos x="0" y="0"/>
                <wp:positionH relativeFrom="column">
                  <wp:posOffset>-910590</wp:posOffset>
                </wp:positionH>
                <wp:positionV relativeFrom="paragraph">
                  <wp:posOffset>8015605</wp:posOffset>
                </wp:positionV>
                <wp:extent cx="6191250" cy="914400"/>
                <wp:effectExtent l="3810" t="3175"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7B761" w14:textId="77777777" w:rsidR="00634B2B" w:rsidRPr="001362A6" w:rsidRDefault="00634B2B" w:rsidP="004601B3">
                            <w:pPr>
                              <w:pStyle w:val="Noparagraphstyle"/>
                              <w:suppressAutoHyphens/>
                              <w:ind w:left="113"/>
                              <w:rPr>
                                <w:rStyle w:val="HelvBold"/>
                                <w:rFonts w:ascii="Lato" w:hAnsi="Lato" w:cs="HelveticaNeueLTStd-Bd"/>
                                <w:bCs/>
                                <w:color w:val="FFFFFF"/>
                                <w:sz w:val="20"/>
                                <w:szCs w:val="20"/>
                              </w:rPr>
                            </w:pPr>
                            <w:r w:rsidRPr="001362A6">
                              <w:rPr>
                                <w:rStyle w:val="HelvBold"/>
                                <w:rFonts w:ascii="Lato" w:hAnsi="Lato" w:cs="HelveticaNeueLTStd-Bd"/>
                                <w:bCs/>
                                <w:color w:val="FFFFFF"/>
                                <w:sz w:val="20"/>
                                <w:szCs w:val="20"/>
                              </w:rPr>
                              <w:t>Bosca PO 559, Baile Átha Cliath 1, Éire</w:t>
                            </w:r>
                          </w:p>
                          <w:p w14:paraId="6D12CEDD" w14:textId="77777777" w:rsidR="00634B2B" w:rsidRPr="001362A6" w:rsidRDefault="00634B2B" w:rsidP="004601B3">
                            <w:pPr>
                              <w:pStyle w:val="Noparagraphstyle"/>
                              <w:suppressAutoHyphens/>
                              <w:ind w:left="113"/>
                              <w:rPr>
                                <w:rFonts w:ascii="Lato" w:hAnsi="Lato"/>
                                <w:sz w:val="20"/>
                                <w:szCs w:val="20"/>
                              </w:rPr>
                            </w:pPr>
                            <w:r w:rsidRPr="001362A6">
                              <w:rPr>
                                <w:rStyle w:val="HelvBold"/>
                                <w:rFonts w:ascii="Lato" w:hAnsi="Lato" w:cs="HelveticaNeueLTStd-Bd"/>
                                <w:bCs/>
                                <w:color w:val="FFFFFF"/>
                                <w:sz w:val="20"/>
                                <w:szCs w:val="20"/>
                              </w:rPr>
                              <w:t>PO Box 559, Dublin 1, Ireland</w:t>
                            </w:r>
                          </w:p>
                          <w:p w14:paraId="0596F132" w14:textId="77777777" w:rsidR="00634B2B" w:rsidRPr="00811D87" w:rsidRDefault="00634B2B" w:rsidP="00544DFF">
                            <w:pPr>
                              <w:pStyle w:val="Noparagraphstyle"/>
                              <w:suppressAutoHyphens/>
                              <w:ind w:left="1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71.7pt;margin-top:631.15pt;width:48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SkuQIAAME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" filled="f" stroked="f">
                <v:textbox>
                  <w:txbxContent>
                    <w:p w:rsidR="00634B2B" w:rsidRPr="001362A6" w:rsidRDefault="00634B2B" w:rsidP="004601B3">
                      <w:pPr>
                        <w:pStyle w:val="Noparagraphstyle"/>
                        <w:suppressAutoHyphens/>
                        <w:ind w:left="113"/>
                        <w:rPr>
                          <w:rStyle w:val="HelvBold"/>
                          <w:rFonts w:ascii="Lato" w:hAnsi="Lato" w:cs="HelveticaNeueLTStd-Bd"/>
                          <w:bCs/>
                          <w:color w:val="FFFFFF"/>
                          <w:sz w:val="20"/>
                          <w:szCs w:val="20"/>
                        </w:rPr>
                      </w:pPr>
                      <w:r w:rsidRPr="001362A6">
                        <w:rPr>
                          <w:rStyle w:val="HelvBold"/>
                          <w:rFonts w:ascii="Lato" w:hAnsi="Lato" w:cs="HelveticaNeueLTStd-Bd"/>
                          <w:bCs/>
                          <w:color w:val="FFFFFF"/>
                          <w:sz w:val="20"/>
                          <w:szCs w:val="20"/>
                        </w:rPr>
                        <w:t>Bosca PO 559, Baile Átha Cliath 1, Éire</w:t>
                      </w:r>
                    </w:p>
                    <w:p w:rsidR="00634B2B" w:rsidRPr="001362A6" w:rsidRDefault="00634B2B" w:rsidP="004601B3">
                      <w:pPr>
                        <w:pStyle w:val="Noparagraphstyle"/>
                        <w:suppressAutoHyphens/>
                        <w:ind w:left="113"/>
                        <w:rPr>
                          <w:rFonts w:ascii="Lato" w:hAnsi="Lato"/>
                          <w:sz w:val="20"/>
                          <w:szCs w:val="20"/>
                        </w:rPr>
                      </w:pPr>
                      <w:r w:rsidRPr="001362A6">
                        <w:rPr>
                          <w:rStyle w:val="HelvBold"/>
                          <w:rFonts w:ascii="Lato" w:hAnsi="Lato" w:cs="HelveticaNeueLTStd-Bd"/>
                          <w:bCs/>
                          <w:color w:val="FFFFFF"/>
                          <w:sz w:val="20"/>
                          <w:szCs w:val="20"/>
                        </w:rPr>
                        <w:t>PO Box 559, Dublin 1, Ireland</w:t>
                      </w:r>
                    </w:p>
                    <w:p w:rsidR="00634B2B" w:rsidRPr="00811D87" w:rsidRDefault="00634B2B" w:rsidP="00544DFF">
                      <w:pPr>
                        <w:pStyle w:val="Noparagraphstyle"/>
                        <w:suppressAutoHyphens/>
                        <w:ind w:left="113"/>
                      </w:pPr>
                    </w:p>
                  </w:txbxContent>
                </v:textbox>
              </v:shape>
            </w:pict>
          </mc:Fallback>
        </mc:AlternateContent>
      </w:r>
      <w:r w:rsidRPr="001362A6">
        <w:rPr>
          <w:rFonts w:ascii="Lato" w:hAnsi="Lato"/>
          <w:noProof/>
          <w:lang w:val="en-IE" w:eastAsia="en-IE"/>
        </w:rPr>
        <mc:AlternateContent>
          <mc:Choice Requires="wps">
            <w:drawing>
              <wp:anchor distT="0" distB="0" distL="114300" distR="114300" simplePos="0" relativeHeight="251655168" behindDoc="0" locked="0" layoutInCell="1" allowOverlap="1" wp14:anchorId="64BA8A78" wp14:editId="635F181A">
                <wp:simplePos x="0" y="0"/>
                <wp:positionH relativeFrom="column">
                  <wp:posOffset>-114300</wp:posOffset>
                </wp:positionH>
                <wp:positionV relativeFrom="paragraph">
                  <wp:posOffset>6568440</wp:posOffset>
                </wp:positionV>
                <wp:extent cx="1600200" cy="1257300"/>
                <wp:effectExtent l="0" t="381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678B4" w14:textId="77777777" w:rsidR="00634B2B" w:rsidRPr="008F37E1" w:rsidRDefault="00634B2B" w:rsidP="008F37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pt;margin-top:517.2pt;width:126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6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" filled="f" stroked="f">
                <v:textbox>
                  <w:txbxContent>
                    <w:p w:rsidR="00634B2B" w:rsidRPr="008F37E1" w:rsidRDefault="00634B2B" w:rsidP="008F37E1"/>
                  </w:txbxContent>
                </v:textbox>
              </v:shape>
            </w:pict>
          </mc:Fallback>
        </mc:AlternateContent>
      </w:r>
    </w:p>
    <w:sectPr w:rsidR="00E0074D" w:rsidRPr="001362A6">
      <w:headerReference w:type="default" r:id="rId20"/>
      <w:footerReference w:type="default" r:id="rId21"/>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89865" w14:textId="77777777" w:rsidR="00043503" w:rsidRDefault="00043503">
      <w:r>
        <w:separator/>
      </w:r>
    </w:p>
  </w:endnote>
  <w:endnote w:type="continuationSeparator" w:id="0">
    <w:p w14:paraId="1F8AD6C4" w14:textId="77777777" w:rsidR="00043503" w:rsidRDefault="0004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A6FD1" w14:textId="77777777" w:rsidR="00634B2B" w:rsidRDefault="00634B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7083CA" w14:textId="77777777" w:rsidR="00634B2B" w:rsidRDefault="0063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61320" w14:textId="77777777" w:rsidR="0086124E" w:rsidRDefault="008612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D798C" w14:textId="77777777" w:rsidR="00634B2B" w:rsidRDefault="00634B2B">
    <w:pPr>
      <w:pStyle w:val="Footer"/>
      <w:tabs>
        <w:tab w:val="clear" w:pos="4320"/>
        <w:tab w:val="clear" w:pos="8640"/>
        <w:tab w:val="left" w:pos="1560"/>
        <w:tab w:val="center" w:pos="4152"/>
      </w:tabs>
    </w:pPr>
    <w:r>
      <w:rPr>
        <w:rStyle w:val="PageNumber"/>
      </w:rPr>
      <w:t>Qualifying Investor AIF</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r>
      <w:rPr>
        <w:rStyle w:val="PageNumber"/>
      </w:rPr>
      <w:tab/>
    </w:r>
    <w:r>
      <w:rPr>
        <w:rStyle w:val="PageNumber"/>
      </w:rPr>
      <w:tab/>
    </w:r>
    <w:r>
      <w:rPr>
        <w:rStyle w:val="PageNumber"/>
      </w:rPr>
      <w:tab/>
      <w:t>April 2013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FA945" w14:textId="77777777" w:rsidR="00634B2B" w:rsidRDefault="00634B2B">
    <w:pPr>
      <w:pStyle w:val="Footer"/>
      <w:tabs>
        <w:tab w:val="clear" w:pos="8640"/>
        <w:tab w:val="center" w:pos="4152"/>
        <w:tab w:val="left" w:pos="516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37B6" w14:textId="77777777" w:rsidR="00634B2B" w:rsidRDefault="00634B2B">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AE5EB" w14:textId="77777777" w:rsidR="00043503" w:rsidRDefault="00043503">
      <w:r>
        <w:separator/>
      </w:r>
    </w:p>
  </w:footnote>
  <w:footnote w:type="continuationSeparator" w:id="0">
    <w:p w14:paraId="7006706D" w14:textId="77777777" w:rsidR="00043503" w:rsidRDefault="00043503">
      <w:r>
        <w:continuationSeparator/>
      </w:r>
    </w:p>
  </w:footnote>
  <w:footnote w:id="1">
    <w:p w14:paraId="1B5F82D3" w14:textId="77777777" w:rsidR="00634B2B" w:rsidRDefault="00634B2B">
      <w:pPr>
        <w:pStyle w:val="FootnoteText"/>
        <w:rPr>
          <w:sz w:val="16"/>
        </w:rPr>
      </w:pPr>
      <w:r w:rsidRPr="003041F0">
        <w:rPr>
          <w:rStyle w:val="FootnoteReference"/>
          <w:sz w:val="16"/>
        </w:rPr>
        <w:footnoteRef/>
      </w:r>
      <w:r w:rsidRPr="003041F0">
        <w:rPr>
          <w:sz w:val="16"/>
        </w:rPr>
        <w:t xml:space="preserve"> If specifically appointed to the Q</w:t>
      </w:r>
      <w:r w:rsidRPr="007E3170">
        <w:rPr>
          <w:sz w:val="16"/>
        </w:rPr>
        <w:t xml:space="preserve">ualifying </w:t>
      </w:r>
      <w:r w:rsidRPr="003041F0">
        <w:rPr>
          <w:sz w:val="16"/>
        </w:rPr>
        <w:t>I</w:t>
      </w:r>
      <w:r w:rsidRPr="007E3170">
        <w:rPr>
          <w:sz w:val="16"/>
        </w:rPr>
        <w:t xml:space="preserve">nvestor </w:t>
      </w:r>
      <w:r w:rsidRPr="003041F0">
        <w:rPr>
          <w:sz w:val="16"/>
        </w:rPr>
        <w:t>AIF, i.e., not part of the global custody network.</w:t>
      </w:r>
    </w:p>
  </w:footnote>
  <w:footnote w:id="2">
    <w:p w14:paraId="3A2A8F80" w14:textId="77777777" w:rsidR="00634B2B" w:rsidRDefault="00634B2B">
      <w:pPr>
        <w:pStyle w:val="FootnoteText"/>
      </w:pPr>
      <w:r>
        <w:rPr>
          <w:rStyle w:val="FootnoteReference"/>
        </w:rPr>
        <w:footnoteRef/>
      </w:r>
      <w:r>
        <w:t xml:space="preserve"> </w:t>
      </w:r>
      <w:r>
        <w:rPr>
          <w:sz w:val="16"/>
        </w:rPr>
        <w:t>If Transfer Agent appointed in addition to Administrator/AIFM/Management Company/General Partner</w:t>
      </w:r>
    </w:p>
  </w:footnote>
  <w:footnote w:id="3">
    <w:p w14:paraId="0DCFF9D8" w14:textId="77777777" w:rsidR="00634B2B" w:rsidRDefault="00634B2B">
      <w:pPr>
        <w:pStyle w:val="FootnoteText"/>
        <w:rPr>
          <w:sz w:val="16"/>
        </w:rPr>
      </w:pPr>
      <w:r>
        <w:rPr>
          <w:rStyle w:val="FootnoteReference"/>
        </w:rPr>
        <w:footnoteRef/>
      </w:r>
      <w:r>
        <w:t xml:space="preserve"> </w:t>
      </w:r>
      <w:r>
        <w:rPr>
          <w:sz w:val="16"/>
        </w:rPr>
        <w:t xml:space="preserve">i.e. entities with discretionary investment powers </w:t>
      </w:r>
      <w:r w:rsidRPr="00923002">
        <w:rPr>
          <w:sz w:val="16"/>
        </w:rPr>
        <w:t>over any assets of the Q</w:t>
      </w:r>
      <w:r>
        <w:rPr>
          <w:sz w:val="16"/>
        </w:rPr>
        <w:t xml:space="preserve">ualifying </w:t>
      </w:r>
      <w:r w:rsidRPr="00923002">
        <w:rPr>
          <w:sz w:val="16"/>
        </w:rPr>
        <w:t>I</w:t>
      </w:r>
      <w:r>
        <w:rPr>
          <w:sz w:val="16"/>
        </w:rPr>
        <w:t xml:space="preserve">nvestor </w:t>
      </w:r>
      <w:r w:rsidRPr="00923002">
        <w:rPr>
          <w:sz w:val="16"/>
        </w:rPr>
        <w:t>AIF</w:t>
      </w:r>
    </w:p>
  </w:footnote>
  <w:footnote w:id="4">
    <w:p w14:paraId="7EB08CDC" w14:textId="77777777" w:rsidR="00634B2B" w:rsidRDefault="00634B2B">
      <w:pPr>
        <w:pStyle w:val="FootnoteText"/>
        <w:rPr>
          <w:sz w:val="16"/>
        </w:rPr>
      </w:pPr>
      <w:r>
        <w:rPr>
          <w:rStyle w:val="FootnoteReference"/>
        </w:rPr>
        <w:footnoteRef/>
      </w:r>
      <w:r>
        <w:t xml:space="preserve"> </w:t>
      </w:r>
      <w:r>
        <w:rPr>
          <w:sz w:val="16"/>
        </w:rPr>
        <w:t xml:space="preserve">i.e. entities with no discretionary investment powers over any assets of the Qualifying Investor AIF.  </w:t>
      </w:r>
      <w:r w:rsidRPr="00923002">
        <w:rPr>
          <w:sz w:val="16"/>
        </w:rPr>
        <w:t xml:space="preserve">If the investment advisor </w:t>
      </w:r>
      <w:r>
        <w:rPr>
          <w:sz w:val="16"/>
        </w:rPr>
        <w:t>has</w:t>
      </w:r>
      <w:r w:rsidRPr="00923002">
        <w:rPr>
          <w:sz w:val="16"/>
        </w:rPr>
        <w:t xml:space="preserve"> discretionary powers investment manager approval</w:t>
      </w:r>
      <w:r>
        <w:rPr>
          <w:sz w:val="16"/>
        </w:rPr>
        <w:t xml:space="preserve"> is required</w:t>
      </w:r>
    </w:p>
  </w:footnote>
  <w:footnote w:id="5">
    <w:p w14:paraId="5618D95E" w14:textId="77777777" w:rsidR="00634B2B" w:rsidRPr="00A34B20" w:rsidRDefault="00634B2B" w:rsidP="001F3550">
      <w:pPr>
        <w:pStyle w:val="FootnoteText"/>
        <w:rPr>
          <w:i/>
          <w:iCs/>
          <w:sz w:val="16"/>
          <w:szCs w:val="16"/>
        </w:rPr>
      </w:pPr>
      <w:r>
        <w:rPr>
          <w:rStyle w:val="FootnoteReference"/>
        </w:rPr>
        <w:footnoteRef/>
      </w:r>
      <w:r>
        <w:t xml:space="preserve"> </w:t>
      </w:r>
      <w:r w:rsidRPr="00A34B20">
        <w:rPr>
          <w:sz w:val="16"/>
          <w:szCs w:val="16"/>
        </w:rPr>
        <w:t xml:space="preserve">The Criminal Justice (Money Laundering and Terrorist Financing) Act 2010 (“the Act”) </w:t>
      </w:r>
    </w:p>
  </w:footnote>
  <w:footnote w:id="6">
    <w:p w14:paraId="1257D852" w14:textId="77777777" w:rsidR="00634B2B" w:rsidRDefault="00634B2B">
      <w:pPr>
        <w:pStyle w:val="FootnoteText"/>
      </w:pPr>
      <w:r>
        <w:rPr>
          <w:rStyle w:val="FootnoteReference"/>
        </w:rPr>
        <w:footnoteRef/>
      </w:r>
      <w:r>
        <w:t xml:space="preserve"> A Qualifying Investor AIF may issue a separate prospectus for a share class within the Qualifying Investor AIF or within a sub-fund of an umbrella Qualifying Imvestor AIF. </w:t>
      </w:r>
    </w:p>
  </w:footnote>
  <w:footnote w:id="7">
    <w:p w14:paraId="4F128E37" w14:textId="77777777" w:rsidR="00634B2B" w:rsidRDefault="00634B2B">
      <w:r w:rsidRPr="001362A6">
        <w:rPr>
          <w:rStyle w:val="FootnoteReference"/>
          <w:rFonts w:ascii="Lato" w:hAnsi="Lato"/>
          <w:sz w:val="20"/>
          <w:szCs w:val="20"/>
        </w:rPr>
        <w:footnoteRef/>
      </w:r>
      <w:r w:rsidRPr="001362A6">
        <w:rPr>
          <w:rFonts w:ascii="Lato" w:hAnsi="Lato"/>
          <w:sz w:val="20"/>
          <w:szCs w:val="20"/>
        </w:rPr>
        <w:t xml:space="preserve"> Investment Companies, ICAVs and Investment Limited Partnerships are not required to prepare semi-annual accounts but are required to provide financial statements (either audited accounts or interim report) within 12 months of launch.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434EF" w14:textId="160896C2" w:rsidR="00634B2B" w:rsidRPr="002E4427" w:rsidRDefault="0086124E" w:rsidP="0086124E">
    <w:pPr>
      <w:pStyle w:val="Header"/>
    </w:pPr>
    <w:fldSimple w:instr=" DOCPROPERTY bjHeaderEvenPageDocProperty \* MERGEFORMAT " w:fldLock="1">
      <w:r w:rsidRPr="0086124E">
        <w:rPr>
          <w:rFonts w:ascii="Times New Roman" w:hAnsi="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93A93" w14:textId="2C70D8AA" w:rsidR="00634B2B" w:rsidRPr="002E4427" w:rsidRDefault="0086124E" w:rsidP="0086124E">
    <w:pPr>
      <w:pStyle w:val="Header"/>
    </w:pPr>
    <w:fldSimple w:instr=" DOCPROPERTY bjHeaderBothDocProperty \* MERGEFORMAT " w:fldLock="1">
      <w:r w:rsidRPr="0086124E">
        <w:rPr>
          <w:rFonts w:ascii="Times New Roman" w:hAnsi="Times New Roman"/>
          <w:color w:val="000000"/>
          <w:sz w:val="24"/>
        </w:rPr>
        <w:t xml:space="preserve"> </w:t>
      </w:r>
    </w:fldSimple>
    <w:r w:rsidR="00634B2B">
      <w:rPr>
        <w:noProof/>
        <w:lang w:val="en-IE" w:eastAsia="en-IE"/>
      </w:rPr>
      <w:drawing>
        <wp:anchor distT="0" distB="0" distL="114300" distR="114300" simplePos="0" relativeHeight="251657728" behindDoc="1" locked="0" layoutInCell="1" allowOverlap="1" wp14:anchorId="7C99EAD1" wp14:editId="37D256FA">
          <wp:simplePos x="0" y="0"/>
          <wp:positionH relativeFrom="column">
            <wp:posOffset>-1143000</wp:posOffset>
          </wp:positionH>
          <wp:positionV relativeFrom="paragraph">
            <wp:posOffset>-449580</wp:posOffset>
          </wp:positionV>
          <wp:extent cx="7576185" cy="1071562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DA6D7" w14:textId="146F4287" w:rsidR="00634B2B" w:rsidRPr="002E4427" w:rsidRDefault="0086124E" w:rsidP="0086124E">
    <w:pPr>
      <w:pStyle w:val="Header"/>
    </w:pPr>
    <w:fldSimple w:instr=" DOCPROPERTY bjHeaderFirstPageDocProperty \* MERGEFORMAT " w:fldLock="1">
      <w:r w:rsidRPr="0086124E">
        <w:rPr>
          <w:rFonts w:ascii="Times New Roman" w:hAnsi="Times New Roman"/>
          <w:color w:val="000000"/>
          <w:sz w:val="24"/>
        </w:rPr>
        <w:t xml:space="preserve"> </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35C11" w14:textId="5CCE8C50" w:rsidR="00634B2B" w:rsidRDefault="0086124E" w:rsidP="0086124E">
    <w:fldSimple w:instr=" DOCPROPERTY bjHeaderBothDocProperty \* MERGEFORMAT " w:fldLock="1">
      <w:r w:rsidRPr="0086124E">
        <w:rPr>
          <w:color w:val="000000"/>
        </w:rPr>
        <w:t xml:space="preserve"> </w:t>
      </w:r>
    </w:fldSimple>
  </w:p>
  <w:tbl>
    <w:tblPr>
      <w:tblW w:w="9803" w:type="dxa"/>
      <w:tblLayout w:type="fixed"/>
      <w:tblLook w:val="04A0" w:firstRow="1" w:lastRow="0" w:firstColumn="1" w:lastColumn="0" w:noHBand="0" w:noVBand="1"/>
    </w:tblPr>
    <w:tblGrid>
      <w:gridCol w:w="1668"/>
      <w:gridCol w:w="7229"/>
      <w:gridCol w:w="906"/>
    </w:tblGrid>
    <w:tr w:rsidR="00634B2B" w:rsidRPr="00C46589" w14:paraId="1874AF2D" w14:textId="77777777" w:rsidTr="00B06F5C">
      <w:tc>
        <w:tcPr>
          <w:tcW w:w="1668" w:type="dxa"/>
          <w:tcBorders>
            <w:right w:val="single" w:sz="4" w:space="0" w:color="5B9BD5"/>
          </w:tcBorders>
          <w:shd w:val="clear" w:color="auto" w:fill="auto"/>
        </w:tcPr>
        <w:p w14:paraId="4EFFC9B2" w14:textId="77777777" w:rsidR="00634B2B" w:rsidRPr="00C46589" w:rsidRDefault="00634B2B" w:rsidP="007F3E95">
          <w:pPr>
            <w:pStyle w:val="Header"/>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45E9A37B" w14:textId="5E237F8E" w:rsidR="00634B2B" w:rsidRPr="00C46589" w:rsidRDefault="00634B2B" w:rsidP="00C40D17">
          <w:pPr>
            <w:pStyle w:val="Header"/>
            <w:rPr>
              <w:rFonts w:ascii="Lato" w:eastAsia="Lato" w:hAnsi="Lato"/>
              <w:sz w:val="14"/>
              <w:szCs w:val="14"/>
            </w:rPr>
          </w:pPr>
          <w:r>
            <w:rPr>
              <w:rFonts w:ascii="Lato" w:eastAsia="Lato" w:hAnsi="Lato"/>
              <w:sz w:val="14"/>
              <w:szCs w:val="14"/>
            </w:rPr>
            <w:t xml:space="preserve">                                                 Qualifying AIF Application Form Sections 1 &amp; 2 </w:t>
          </w:r>
          <w:r w:rsidR="00C40D17">
            <w:rPr>
              <w:rFonts w:ascii="Lato" w:eastAsia="Lato" w:hAnsi="Lato"/>
              <w:sz w:val="14"/>
              <w:szCs w:val="14"/>
            </w:rPr>
            <w:t xml:space="preserve">November </w:t>
          </w:r>
          <w:r>
            <w:rPr>
              <w:rFonts w:ascii="Lato" w:eastAsia="Lato" w:hAnsi="Lato"/>
              <w:sz w:val="14"/>
              <w:szCs w:val="14"/>
            </w:rPr>
            <w:t>2021</w:t>
          </w:r>
        </w:p>
      </w:tc>
      <w:tc>
        <w:tcPr>
          <w:tcW w:w="906" w:type="dxa"/>
          <w:tcBorders>
            <w:left w:val="single" w:sz="4" w:space="0" w:color="5B9BD5"/>
          </w:tcBorders>
          <w:shd w:val="clear" w:color="auto" w:fill="auto"/>
        </w:tcPr>
        <w:p w14:paraId="2F317C27" w14:textId="46D49E0D" w:rsidR="00634B2B" w:rsidRPr="00C46589" w:rsidRDefault="00634B2B" w:rsidP="007F3E95">
          <w:pPr>
            <w:pStyle w:val="Header"/>
            <w:jc w:val="right"/>
            <w:rPr>
              <w:rFonts w:ascii="Lato" w:eastAsia="Lato" w:hAnsi="Lato"/>
              <w:sz w:val="14"/>
              <w:szCs w:val="14"/>
            </w:rPr>
          </w:pPr>
          <w:r w:rsidRPr="00C46589">
            <w:rPr>
              <w:rFonts w:ascii="Lato" w:eastAsia="Lato" w:hAnsi="Lato"/>
              <w:sz w:val="14"/>
              <w:szCs w:val="14"/>
            </w:rPr>
            <w:t xml:space="preserve">Page </w:t>
          </w:r>
          <w:r w:rsidRPr="00260FA8">
            <w:rPr>
              <w:rFonts w:ascii="Lato" w:eastAsia="Lato" w:hAnsi="Lato"/>
              <w:sz w:val="14"/>
              <w:szCs w:val="14"/>
            </w:rPr>
            <w:fldChar w:fldCharType="begin"/>
          </w:r>
          <w:r w:rsidRPr="00260FA8">
            <w:rPr>
              <w:rFonts w:ascii="Lato" w:eastAsia="Lato" w:hAnsi="Lato"/>
              <w:sz w:val="14"/>
              <w:szCs w:val="14"/>
            </w:rPr>
            <w:instrText xml:space="preserve"> PAGE   \* MERGEFORMAT </w:instrText>
          </w:r>
          <w:r w:rsidRPr="00260FA8">
            <w:rPr>
              <w:rFonts w:ascii="Lato" w:eastAsia="Lato" w:hAnsi="Lato"/>
              <w:sz w:val="14"/>
              <w:szCs w:val="14"/>
            </w:rPr>
            <w:fldChar w:fldCharType="separate"/>
          </w:r>
          <w:r w:rsidR="0086124E">
            <w:rPr>
              <w:rFonts w:ascii="Lato" w:eastAsia="Lato" w:hAnsi="Lato"/>
              <w:noProof/>
              <w:sz w:val="14"/>
              <w:szCs w:val="14"/>
            </w:rPr>
            <w:t>20</w:t>
          </w:r>
          <w:r w:rsidRPr="00260FA8">
            <w:rPr>
              <w:rFonts w:ascii="Lato" w:eastAsia="Lato" w:hAnsi="Lato"/>
              <w:noProof/>
              <w:sz w:val="14"/>
              <w:szCs w:val="14"/>
            </w:rPr>
            <w:fldChar w:fldCharType="end"/>
          </w:r>
        </w:p>
      </w:tc>
    </w:tr>
  </w:tbl>
  <w:p w14:paraId="4F70FE01" w14:textId="77777777" w:rsidR="00634B2B" w:rsidRPr="00B93836" w:rsidRDefault="00634B2B" w:rsidP="007F3E95">
    <w:pPr>
      <w:pStyle w:val="Header"/>
    </w:pPr>
  </w:p>
  <w:p w14:paraId="3CCD5018" w14:textId="77777777" w:rsidR="00634B2B" w:rsidRPr="00BA75BC" w:rsidRDefault="00634B2B" w:rsidP="001362A6">
    <w:pPr>
      <w:pStyle w:val="Header"/>
      <w:pBdr>
        <w:top w:val="single" w:sz="2" w:space="3" w:color="FFFFFF"/>
        <w:left w:val="single" w:sz="2" w:space="3" w:color="FFFFFF"/>
        <w:bottom w:val="single" w:sz="2" w:space="4" w:color="FFFFFF"/>
        <w:right w:val="single" w:sz="2" w:space="3" w:color="FFFFFF"/>
      </w:pBdr>
      <w:tabs>
        <w:tab w:val="clear" w:pos="4320"/>
        <w:tab w:val="clear" w:pos="8640"/>
        <w:tab w:val="left" w:pos="5808"/>
      </w:tabs>
      <w:rPr>
        <w:rFonts w:ascii="Helvetica" w:hAnsi="Helvetica"/>
        <w:b/>
        <w:color w:val="FFFFFF"/>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897DD" w14:textId="63BC703B" w:rsidR="00634B2B" w:rsidRPr="002E4427" w:rsidRDefault="0086124E" w:rsidP="0086124E">
    <w:pPr>
      <w:pStyle w:val="Header"/>
    </w:pPr>
    <w:fldSimple w:instr=" DOCPROPERTY bjHeaderBothDocProperty \* MERGEFORMAT " w:fldLock="1">
      <w:r w:rsidRPr="0086124E">
        <w:rPr>
          <w:rFonts w:ascii="Times New Roman" w:hAnsi="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C401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90943"/>
    <w:multiLevelType w:val="hybridMultilevel"/>
    <w:tmpl w:val="F51863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A419CD"/>
    <w:multiLevelType w:val="hybridMultilevel"/>
    <w:tmpl w:val="EBBAEF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7F13E3"/>
    <w:multiLevelType w:val="hybridMultilevel"/>
    <w:tmpl w:val="50261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9B4F2D"/>
    <w:multiLevelType w:val="hybridMultilevel"/>
    <w:tmpl w:val="869A5E52"/>
    <w:lvl w:ilvl="0" w:tplc="C2D2AA3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CBA5B9A"/>
    <w:multiLevelType w:val="hybridMultilevel"/>
    <w:tmpl w:val="E2F4392A"/>
    <w:lvl w:ilvl="0" w:tplc="0CC06598">
      <w:start w:val="5"/>
      <w:numFmt w:val="bullet"/>
      <w:lvlText w:val=""/>
      <w:lvlJc w:val="left"/>
      <w:pPr>
        <w:tabs>
          <w:tab w:val="num" w:pos="1133"/>
        </w:tabs>
        <w:ind w:left="770" w:firstLine="3"/>
      </w:pPr>
      <w:rPr>
        <w:rFonts w:ascii="Symbol" w:hAnsi="Symbol" w:cs="Times New Roman" w:hint="default"/>
        <w:sz w:val="16"/>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6" w15:restartNumberingAfterBreak="0">
    <w:nsid w:val="0EF9164A"/>
    <w:multiLevelType w:val="hybridMultilevel"/>
    <w:tmpl w:val="26CCC440"/>
    <w:lvl w:ilvl="0" w:tplc="5180043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242D63"/>
    <w:multiLevelType w:val="hybridMultilevel"/>
    <w:tmpl w:val="9432B2F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978443F"/>
    <w:multiLevelType w:val="hybridMultilevel"/>
    <w:tmpl w:val="CCC08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F62C84"/>
    <w:multiLevelType w:val="hybridMultilevel"/>
    <w:tmpl w:val="A80A205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A043B7D"/>
    <w:multiLevelType w:val="hybridMultilevel"/>
    <w:tmpl w:val="50D2D6BE"/>
    <w:lvl w:ilvl="0" w:tplc="FF68C586">
      <w:start w:val="1"/>
      <w:numFmt w:val="low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BC5808"/>
    <w:multiLevelType w:val="hybridMultilevel"/>
    <w:tmpl w:val="D5327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5D6283"/>
    <w:multiLevelType w:val="hybridMultilevel"/>
    <w:tmpl w:val="07E898BC"/>
    <w:lvl w:ilvl="0" w:tplc="7A1AB220">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203727FA"/>
    <w:multiLevelType w:val="hybridMultilevel"/>
    <w:tmpl w:val="DE482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32A4906"/>
    <w:multiLevelType w:val="hybridMultilevel"/>
    <w:tmpl w:val="302459C6"/>
    <w:lvl w:ilvl="0" w:tplc="1292B88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3E543C0"/>
    <w:multiLevelType w:val="hybridMultilevel"/>
    <w:tmpl w:val="31CA6B6E"/>
    <w:lvl w:ilvl="0" w:tplc="CDA48436">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CCA08B6"/>
    <w:multiLevelType w:val="hybridMultilevel"/>
    <w:tmpl w:val="9CE0D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549765F"/>
    <w:multiLevelType w:val="hybridMultilevel"/>
    <w:tmpl w:val="41C805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E426E5"/>
    <w:multiLevelType w:val="hybridMultilevel"/>
    <w:tmpl w:val="D5629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186518"/>
    <w:multiLevelType w:val="hybridMultilevel"/>
    <w:tmpl w:val="12C20FAC"/>
    <w:lvl w:ilvl="0" w:tplc="807A2FE0">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BF2D73"/>
    <w:multiLevelType w:val="hybridMultilevel"/>
    <w:tmpl w:val="57D89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39E4F90"/>
    <w:multiLevelType w:val="hybridMultilevel"/>
    <w:tmpl w:val="5852B9C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2" w15:restartNumberingAfterBreak="0">
    <w:nsid w:val="45BA2370"/>
    <w:multiLevelType w:val="hybridMultilevel"/>
    <w:tmpl w:val="7198566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6E78B1"/>
    <w:multiLevelType w:val="hybridMultilevel"/>
    <w:tmpl w:val="7C3099CE"/>
    <w:lvl w:ilvl="0" w:tplc="16889CA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63858A6"/>
    <w:multiLevelType w:val="hybridMultilevel"/>
    <w:tmpl w:val="DEB0C278"/>
    <w:lvl w:ilvl="0" w:tplc="3F40D786">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D27440"/>
    <w:multiLevelType w:val="hybridMultilevel"/>
    <w:tmpl w:val="945C00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A1518EF"/>
    <w:multiLevelType w:val="hybridMultilevel"/>
    <w:tmpl w:val="AA76F4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BE4C45"/>
    <w:multiLevelType w:val="hybridMultilevel"/>
    <w:tmpl w:val="66983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C66AC0"/>
    <w:multiLevelType w:val="hybridMultilevel"/>
    <w:tmpl w:val="9EE40D7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F2839B8"/>
    <w:multiLevelType w:val="hybridMultilevel"/>
    <w:tmpl w:val="12B6127A"/>
    <w:lvl w:ilvl="0" w:tplc="63508C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C21770"/>
    <w:multiLevelType w:val="hybridMultilevel"/>
    <w:tmpl w:val="A636E2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72707D3"/>
    <w:multiLevelType w:val="hybridMultilevel"/>
    <w:tmpl w:val="74509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90D5DC9"/>
    <w:multiLevelType w:val="hybridMultilevel"/>
    <w:tmpl w:val="739C9612"/>
    <w:lvl w:ilvl="0" w:tplc="DD189E3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B5E4C04"/>
    <w:multiLevelType w:val="hybridMultilevel"/>
    <w:tmpl w:val="D99A8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1029ED"/>
    <w:multiLevelType w:val="hybridMultilevel"/>
    <w:tmpl w:val="2CCC0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545B2"/>
    <w:multiLevelType w:val="hybridMultilevel"/>
    <w:tmpl w:val="60E0CC2C"/>
    <w:lvl w:ilvl="0" w:tplc="9D649D2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6794E6E"/>
    <w:multiLevelType w:val="hybridMultilevel"/>
    <w:tmpl w:val="A80A205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6A13F34"/>
    <w:multiLevelType w:val="hybridMultilevel"/>
    <w:tmpl w:val="FC8639F2"/>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38" w15:restartNumberingAfterBreak="0">
    <w:nsid w:val="7AD520A1"/>
    <w:multiLevelType w:val="hybridMultilevel"/>
    <w:tmpl w:val="FBBAC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5"/>
  </w:num>
  <w:num w:numId="6">
    <w:abstractNumId w:val="29"/>
  </w:num>
  <w:num w:numId="7">
    <w:abstractNumId w:val="10"/>
  </w:num>
  <w:num w:numId="8">
    <w:abstractNumId w:val="19"/>
  </w:num>
  <w:num w:numId="9">
    <w:abstractNumId w:val="24"/>
  </w:num>
  <w:num w:numId="10">
    <w:abstractNumId w:val="27"/>
  </w:num>
  <w:num w:numId="11">
    <w:abstractNumId w:val="34"/>
  </w:num>
  <w:num w:numId="12">
    <w:abstractNumId w:val="18"/>
  </w:num>
  <w:num w:numId="13">
    <w:abstractNumId w:val="11"/>
  </w:num>
  <w:num w:numId="14">
    <w:abstractNumId w:val="20"/>
  </w:num>
  <w:num w:numId="15">
    <w:abstractNumId w:val="15"/>
  </w:num>
  <w:num w:numId="16">
    <w:abstractNumId w:val="25"/>
  </w:num>
  <w:num w:numId="17">
    <w:abstractNumId w:val="2"/>
  </w:num>
  <w:num w:numId="18">
    <w:abstractNumId w:val="1"/>
  </w:num>
  <w:num w:numId="19">
    <w:abstractNumId w:val="31"/>
  </w:num>
  <w:num w:numId="20">
    <w:abstractNumId w:val="30"/>
  </w:num>
  <w:num w:numId="21">
    <w:abstractNumId w:val="8"/>
  </w:num>
  <w:num w:numId="22">
    <w:abstractNumId w:val="17"/>
  </w:num>
  <w:num w:numId="23">
    <w:abstractNumId w:val="16"/>
  </w:num>
  <w:num w:numId="24">
    <w:abstractNumId w:val="21"/>
  </w:num>
  <w:num w:numId="25">
    <w:abstractNumId w:val="4"/>
  </w:num>
  <w:num w:numId="26">
    <w:abstractNumId w:val="28"/>
  </w:num>
  <w:num w:numId="27">
    <w:abstractNumId w:val="38"/>
  </w:num>
  <w:num w:numId="28">
    <w:abstractNumId w:val="36"/>
  </w:num>
  <w:num w:numId="29">
    <w:abstractNumId w:val="6"/>
  </w:num>
  <w:num w:numId="30">
    <w:abstractNumId w:val="14"/>
  </w:num>
  <w:num w:numId="31">
    <w:abstractNumId w:val="9"/>
  </w:num>
  <w:num w:numId="32">
    <w:abstractNumId w:val="12"/>
  </w:num>
  <w:num w:numId="33">
    <w:abstractNumId w:val="23"/>
  </w:num>
  <w:num w:numId="34">
    <w:abstractNumId w:val="13"/>
  </w:num>
  <w:num w:numId="35">
    <w:abstractNumId w:val="32"/>
  </w:num>
  <w:num w:numId="36">
    <w:abstractNumId w:val="7"/>
  </w:num>
  <w:num w:numId="37">
    <w:abstractNumId w:val="35"/>
  </w:num>
  <w:num w:numId="38">
    <w:abstractNumId w:val="3"/>
  </w:num>
  <w:num w:numId="39">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39"/>
    <w:rsid w:val="00005BC9"/>
    <w:rsid w:val="00007AFA"/>
    <w:rsid w:val="0001121F"/>
    <w:rsid w:val="00014B78"/>
    <w:rsid w:val="000160BF"/>
    <w:rsid w:val="000176CB"/>
    <w:rsid w:val="000233C4"/>
    <w:rsid w:val="000269DC"/>
    <w:rsid w:val="00032641"/>
    <w:rsid w:val="000369B0"/>
    <w:rsid w:val="00036CA0"/>
    <w:rsid w:val="000377EC"/>
    <w:rsid w:val="00037ABD"/>
    <w:rsid w:val="00042FFD"/>
    <w:rsid w:val="00043503"/>
    <w:rsid w:val="00043A75"/>
    <w:rsid w:val="0004464F"/>
    <w:rsid w:val="00044B9D"/>
    <w:rsid w:val="0004571D"/>
    <w:rsid w:val="00046B82"/>
    <w:rsid w:val="00050F27"/>
    <w:rsid w:val="00051D4B"/>
    <w:rsid w:val="000544B8"/>
    <w:rsid w:val="00067CA6"/>
    <w:rsid w:val="000709D1"/>
    <w:rsid w:val="0007231A"/>
    <w:rsid w:val="000751A8"/>
    <w:rsid w:val="00077CBE"/>
    <w:rsid w:val="00080E80"/>
    <w:rsid w:val="00081FF2"/>
    <w:rsid w:val="00085FD6"/>
    <w:rsid w:val="000870F1"/>
    <w:rsid w:val="00087AF9"/>
    <w:rsid w:val="00091801"/>
    <w:rsid w:val="00094C21"/>
    <w:rsid w:val="00095E6E"/>
    <w:rsid w:val="000978E2"/>
    <w:rsid w:val="000A1491"/>
    <w:rsid w:val="000A1961"/>
    <w:rsid w:val="000A1CD0"/>
    <w:rsid w:val="000A2109"/>
    <w:rsid w:val="000A2C1E"/>
    <w:rsid w:val="000A369F"/>
    <w:rsid w:val="000B0206"/>
    <w:rsid w:val="000B42C2"/>
    <w:rsid w:val="000B5148"/>
    <w:rsid w:val="000B6E77"/>
    <w:rsid w:val="000B72D7"/>
    <w:rsid w:val="000B741D"/>
    <w:rsid w:val="000C4B56"/>
    <w:rsid w:val="000C6C20"/>
    <w:rsid w:val="000C6DCF"/>
    <w:rsid w:val="000D0B16"/>
    <w:rsid w:val="000D1249"/>
    <w:rsid w:val="000D21F7"/>
    <w:rsid w:val="000D3CCF"/>
    <w:rsid w:val="000D58B0"/>
    <w:rsid w:val="000D5A1A"/>
    <w:rsid w:val="000D72D6"/>
    <w:rsid w:val="000D78D1"/>
    <w:rsid w:val="000E0791"/>
    <w:rsid w:val="000E52D1"/>
    <w:rsid w:val="000E60A2"/>
    <w:rsid w:val="000F09CA"/>
    <w:rsid w:val="000F1C41"/>
    <w:rsid w:val="000F1CA7"/>
    <w:rsid w:val="000F6AF9"/>
    <w:rsid w:val="0010178F"/>
    <w:rsid w:val="00104BCB"/>
    <w:rsid w:val="00106A06"/>
    <w:rsid w:val="00111AF6"/>
    <w:rsid w:val="00111CC3"/>
    <w:rsid w:val="001124EE"/>
    <w:rsid w:val="00120DB3"/>
    <w:rsid w:val="00122649"/>
    <w:rsid w:val="00124961"/>
    <w:rsid w:val="0013056B"/>
    <w:rsid w:val="00132457"/>
    <w:rsid w:val="001362A6"/>
    <w:rsid w:val="0014028E"/>
    <w:rsid w:val="001411C0"/>
    <w:rsid w:val="00141434"/>
    <w:rsid w:val="00146342"/>
    <w:rsid w:val="001469C9"/>
    <w:rsid w:val="001504C8"/>
    <w:rsid w:val="0015171C"/>
    <w:rsid w:val="00151A28"/>
    <w:rsid w:val="001579E3"/>
    <w:rsid w:val="00162057"/>
    <w:rsid w:val="00166F8B"/>
    <w:rsid w:val="00166FEB"/>
    <w:rsid w:val="00167D2B"/>
    <w:rsid w:val="00170979"/>
    <w:rsid w:val="00170D8B"/>
    <w:rsid w:val="001723DC"/>
    <w:rsid w:val="00173E16"/>
    <w:rsid w:val="00174DDF"/>
    <w:rsid w:val="001764BA"/>
    <w:rsid w:val="0017699E"/>
    <w:rsid w:val="00177A10"/>
    <w:rsid w:val="00183678"/>
    <w:rsid w:val="00184D3B"/>
    <w:rsid w:val="001858A6"/>
    <w:rsid w:val="00187F1D"/>
    <w:rsid w:val="0019027C"/>
    <w:rsid w:val="00192502"/>
    <w:rsid w:val="001938CA"/>
    <w:rsid w:val="001970B6"/>
    <w:rsid w:val="001A511F"/>
    <w:rsid w:val="001A5ED7"/>
    <w:rsid w:val="001B50AD"/>
    <w:rsid w:val="001B6DC7"/>
    <w:rsid w:val="001B6F8C"/>
    <w:rsid w:val="001B79B1"/>
    <w:rsid w:val="001C0651"/>
    <w:rsid w:val="001C225D"/>
    <w:rsid w:val="001C3D66"/>
    <w:rsid w:val="001C5426"/>
    <w:rsid w:val="001C572D"/>
    <w:rsid w:val="001C6DB1"/>
    <w:rsid w:val="001D1D60"/>
    <w:rsid w:val="001D226B"/>
    <w:rsid w:val="001D7C23"/>
    <w:rsid w:val="001E0B20"/>
    <w:rsid w:val="001E0B79"/>
    <w:rsid w:val="001E0BA6"/>
    <w:rsid w:val="001E3B58"/>
    <w:rsid w:val="001F1889"/>
    <w:rsid w:val="001F254D"/>
    <w:rsid w:val="001F3550"/>
    <w:rsid w:val="001F4329"/>
    <w:rsid w:val="00200A17"/>
    <w:rsid w:val="00203A47"/>
    <w:rsid w:val="002055EC"/>
    <w:rsid w:val="00206F79"/>
    <w:rsid w:val="00207527"/>
    <w:rsid w:val="00210953"/>
    <w:rsid w:val="00211F0F"/>
    <w:rsid w:val="00212055"/>
    <w:rsid w:val="002129D3"/>
    <w:rsid w:val="00214ABC"/>
    <w:rsid w:val="00215033"/>
    <w:rsid w:val="00215589"/>
    <w:rsid w:val="002155BB"/>
    <w:rsid w:val="00217759"/>
    <w:rsid w:val="002205A9"/>
    <w:rsid w:val="00220647"/>
    <w:rsid w:val="00221C67"/>
    <w:rsid w:val="00221DD0"/>
    <w:rsid w:val="0022212E"/>
    <w:rsid w:val="00225EC6"/>
    <w:rsid w:val="0022774C"/>
    <w:rsid w:val="00231EC7"/>
    <w:rsid w:val="002335A7"/>
    <w:rsid w:val="002348E4"/>
    <w:rsid w:val="00237378"/>
    <w:rsid w:val="00237DCC"/>
    <w:rsid w:val="00237E9C"/>
    <w:rsid w:val="00237F09"/>
    <w:rsid w:val="00240E39"/>
    <w:rsid w:val="002411D6"/>
    <w:rsid w:val="002433DF"/>
    <w:rsid w:val="00243D95"/>
    <w:rsid w:val="00246424"/>
    <w:rsid w:val="00247099"/>
    <w:rsid w:val="0025098E"/>
    <w:rsid w:val="00254622"/>
    <w:rsid w:val="00255019"/>
    <w:rsid w:val="0025689D"/>
    <w:rsid w:val="00260FA8"/>
    <w:rsid w:val="00262444"/>
    <w:rsid w:val="002667F0"/>
    <w:rsid w:val="00270466"/>
    <w:rsid w:val="002725AF"/>
    <w:rsid w:val="00273D37"/>
    <w:rsid w:val="00275E92"/>
    <w:rsid w:val="002767E0"/>
    <w:rsid w:val="00277418"/>
    <w:rsid w:val="00283A66"/>
    <w:rsid w:val="002847FB"/>
    <w:rsid w:val="0028633A"/>
    <w:rsid w:val="002879FB"/>
    <w:rsid w:val="00287AFB"/>
    <w:rsid w:val="002932CE"/>
    <w:rsid w:val="00293E5C"/>
    <w:rsid w:val="00293FB3"/>
    <w:rsid w:val="002955EE"/>
    <w:rsid w:val="00296575"/>
    <w:rsid w:val="002A244F"/>
    <w:rsid w:val="002A5A06"/>
    <w:rsid w:val="002A622B"/>
    <w:rsid w:val="002A62FE"/>
    <w:rsid w:val="002A7C2A"/>
    <w:rsid w:val="002B0170"/>
    <w:rsid w:val="002B1685"/>
    <w:rsid w:val="002B638F"/>
    <w:rsid w:val="002B7055"/>
    <w:rsid w:val="002B782B"/>
    <w:rsid w:val="002B7FC1"/>
    <w:rsid w:val="002C15FF"/>
    <w:rsid w:val="002C24A9"/>
    <w:rsid w:val="002C34FC"/>
    <w:rsid w:val="002D2BB2"/>
    <w:rsid w:val="002D3DA7"/>
    <w:rsid w:val="002D594C"/>
    <w:rsid w:val="002D60CC"/>
    <w:rsid w:val="002D62F2"/>
    <w:rsid w:val="002D7545"/>
    <w:rsid w:val="002E1BFF"/>
    <w:rsid w:val="002E4427"/>
    <w:rsid w:val="002E4FFA"/>
    <w:rsid w:val="002F2F63"/>
    <w:rsid w:val="002F3BE8"/>
    <w:rsid w:val="002F5BF2"/>
    <w:rsid w:val="003028F3"/>
    <w:rsid w:val="003041F0"/>
    <w:rsid w:val="00305D6C"/>
    <w:rsid w:val="00310EB2"/>
    <w:rsid w:val="003117E6"/>
    <w:rsid w:val="00313D61"/>
    <w:rsid w:val="00315B4E"/>
    <w:rsid w:val="00320728"/>
    <w:rsid w:val="00323BF3"/>
    <w:rsid w:val="00342E9F"/>
    <w:rsid w:val="00342F03"/>
    <w:rsid w:val="003449F3"/>
    <w:rsid w:val="003459D4"/>
    <w:rsid w:val="00347881"/>
    <w:rsid w:val="00347D8A"/>
    <w:rsid w:val="003519B5"/>
    <w:rsid w:val="00352350"/>
    <w:rsid w:val="003569AA"/>
    <w:rsid w:val="00360E05"/>
    <w:rsid w:val="003659F2"/>
    <w:rsid w:val="0036700B"/>
    <w:rsid w:val="00370257"/>
    <w:rsid w:val="00370BE1"/>
    <w:rsid w:val="00372772"/>
    <w:rsid w:val="00373FB0"/>
    <w:rsid w:val="00375553"/>
    <w:rsid w:val="003778F1"/>
    <w:rsid w:val="00377BCD"/>
    <w:rsid w:val="003818A7"/>
    <w:rsid w:val="00382713"/>
    <w:rsid w:val="00382C40"/>
    <w:rsid w:val="003846B5"/>
    <w:rsid w:val="003856B3"/>
    <w:rsid w:val="00385CDE"/>
    <w:rsid w:val="00385EE6"/>
    <w:rsid w:val="00387B2C"/>
    <w:rsid w:val="0039148C"/>
    <w:rsid w:val="00393771"/>
    <w:rsid w:val="00393F2B"/>
    <w:rsid w:val="003956E9"/>
    <w:rsid w:val="00396332"/>
    <w:rsid w:val="003A0053"/>
    <w:rsid w:val="003A1253"/>
    <w:rsid w:val="003A157D"/>
    <w:rsid w:val="003A2252"/>
    <w:rsid w:val="003A3E43"/>
    <w:rsid w:val="003A5682"/>
    <w:rsid w:val="003A771A"/>
    <w:rsid w:val="003B39E0"/>
    <w:rsid w:val="003B4978"/>
    <w:rsid w:val="003C1C89"/>
    <w:rsid w:val="003C1D6E"/>
    <w:rsid w:val="003C2D6C"/>
    <w:rsid w:val="003C3938"/>
    <w:rsid w:val="003C444F"/>
    <w:rsid w:val="003C5325"/>
    <w:rsid w:val="003D328D"/>
    <w:rsid w:val="003D4596"/>
    <w:rsid w:val="003D67BF"/>
    <w:rsid w:val="003E03CB"/>
    <w:rsid w:val="003E0D48"/>
    <w:rsid w:val="003E1792"/>
    <w:rsid w:val="003E1FE7"/>
    <w:rsid w:val="003E2E02"/>
    <w:rsid w:val="003E6530"/>
    <w:rsid w:val="003F133D"/>
    <w:rsid w:val="003F2184"/>
    <w:rsid w:val="003F3C09"/>
    <w:rsid w:val="003F5789"/>
    <w:rsid w:val="003F57C4"/>
    <w:rsid w:val="003F6E90"/>
    <w:rsid w:val="004013D1"/>
    <w:rsid w:val="00403760"/>
    <w:rsid w:val="004051FC"/>
    <w:rsid w:val="00407482"/>
    <w:rsid w:val="00411D0D"/>
    <w:rsid w:val="004144C0"/>
    <w:rsid w:val="0041483F"/>
    <w:rsid w:val="00414CCF"/>
    <w:rsid w:val="00415870"/>
    <w:rsid w:val="004166B6"/>
    <w:rsid w:val="004173F4"/>
    <w:rsid w:val="004211DF"/>
    <w:rsid w:val="0042571B"/>
    <w:rsid w:val="00426ADA"/>
    <w:rsid w:val="0042706E"/>
    <w:rsid w:val="00427E15"/>
    <w:rsid w:val="00430377"/>
    <w:rsid w:val="00430598"/>
    <w:rsid w:val="004311D9"/>
    <w:rsid w:val="00433C10"/>
    <w:rsid w:val="0043474F"/>
    <w:rsid w:val="00434A91"/>
    <w:rsid w:val="004351C8"/>
    <w:rsid w:val="0043533F"/>
    <w:rsid w:val="00435671"/>
    <w:rsid w:val="00436B37"/>
    <w:rsid w:val="00440858"/>
    <w:rsid w:val="00441529"/>
    <w:rsid w:val="00441CAE"/>
    <w:rsid w:val="004437CB"/>
    <w:rsid w:val="00443AF0"/>
    <w:rsid w:val="004450AF"/>
    <w:rsid w:val="004509AC"/>
    <w:rsid w:val="00454A42"/>
    <w:rsid w:val="00454DA9"/>
    <w:rsid w:val="00456F9E"/>
    <w:rsid w:val="004601B3"/>
    <w:rsid w:val="00463B39"/>
    <w:rsid w:val="00466964"/>
    <w:rsid w:val="00471A3E"/>
    <w:rsid w:val="00471AD7"/>
    <w:rsid w:val="00473147"/>
    <w:rsid w:val="00476676"/>
    <w:rsid w:val="00480154"/>
    <w:rsid w:val="0048241B"/>
    <w:rsid w:val="00482F6C"/>
    <w:rsid w:val="004866B1"/>
    <w:rsid w:val="00487BAE"/>
    <w:rsid w:val="00487C95"/>
    <w:rsid w:val="00492B82"/>
    <w:rsid w:val="00492C04"/>
    <w:rsid w:val="00494908"/>
    <w:rsid w:val="004A029E"/>
    <w:rsid w:val="004A06CC"/>
    <w:rsid w:val="004A2668"/>
    <w:rsid w:val="004A3905"/>
    <w:rsid w:val="004A3EEC"/>
    <w:rsid w:val="004A43E5"/>
    <w:rsid w:val="004A499C"/>
    <w:rsid w:val="004A6B68"/>
    <w:rsid w:val="004A7549"/>
    <w:rsid w:val="004B10E1"/>
    <w:rsid w:val="004B2276"/>
    <w:rsid w:val="004B38BE"/>
    <w:rsid w:val="004B3AF1"/>
    <w:rsid w:val="004B3CCC"/>
    <w:rsid w:val="004B4E17"/>
    <w:rsid w:val="004B59EB"/>
    <w:rsid w:val="004B77E1"/>
    <w:rsid w:val="004C0D4A"/>
    <w:rsid w:val="004C1333"/>
    <w:rsid w:val="004C4248"/>
    <w:rsid w:val="004C67EC"/>
    <w:rsid w:val="004C77B1"/>
    <w:rsid w:val="004D0905"/>
    <w:rsid w:val="004D142D"/>
    <w:rsid w:val="004D6C78"/>
    <w:rsid w:val="004D6C85"/>
    <w:rsid w:val="004D7119"/>
    <w:rsid w:val="004D7FB1"/>
    <w:rsid w:val="004E0507"/>
    <w:rsid w:val="004E24CF"/>
    <w:rsid w:val="004E314E"/>
    <w:rsid w:val="004E33EC"/>
    <w:rsid w:val="004E47D8"/>
    <w:rsid w:val="004E610C"/>
    <w:rsid w:val="004E72E3"/>
    <w:rsid w:val="004F3AC5"/>
    <w:rsid w:val="004F45B3"/>
    <w:rsid w:val="00500602"/>
    <w:rsid w:val="00500898"/>
    <w:rsid w:val="00502917"/>
    <w:rsid w:val="00503E9D"/>
    <w:rsid w:val="005066F7"/>
    <w:rsid w:val="005100D2"/>
    <w:rsid w:val="00511AD5"/>
    <w:rsid w:val="005167E5"/>
    <w:rsid w:val="00521989"/>
    <w:rsid w:val="00524F9A"/>
    <w:rsid w:val="00526391"/>
    <w:rsid w:val="00527D9D"/>
    <w:rsid w:val="00530C31"/>
    <w:rsid w:val="0054152F"/>
    <w:rsid w:val="0054309F"/>
    <w:rsid w:val="00544DFF"/>
    <w:rsid w:val="00546162"/>
    <w:rsid w:val="00552687"/>
    <w:rsid w:val="00555456"/>
    <w:rsid w:val="00555E43"/>
    <w:rsid w:val="0056190A"/>
    <w:rsid w:val="005630B2"/>
    <w:rsid w:val="00564C30"/>
    <w:rsid w:val="00564F71"/>
    <w:rsid w:val="005669B8"/>
    <w:rsid w:val="005708DA"/>
    <w:rsid w:val="00570E26"/>
    <w:rsid w:val="00572154"/>
    <w:rsid w:val="00572934"/>
    <w:rsid w:val="005743FE"/>
    <w:rsid w:val="005765F5"/>
    <w:rsid w:val="00577351"/>
    <w:rsid w:val="00577C81"/>
    <w:rsid w:val="00581FE6"/>
    <w:rsid w:val="0058205F"/>
    <w:rsid w:val="00583914"/>
    <w:rsid w:val="00584B8E"/>
    <w:rsid w:val="00595C36"/>
    <w:rsid w:val="005A582D"/>
    <w:rsid w:val="005B08D2"/>
    <w:rsid w:val="005B1F98"/>
    <w:rsid w:val="005B3754"/>
    <w:rsid w:val="005B3769"/>
    <w:rsid w:val="005B47C0"/>
    <w:rsid w:val="005B507F"/>
    <w:rsid w:val="005B79B8"/>
    <w:rsid w:val="005C1098"/>
    <w:rsid w:val="005C1BD7"/>
    <w:rsid w:val="005C2020"/>
    <w:rsid w:val="005C2356"/>
    <w:rsid w:val="005C2825"/>
    <w:rsid w:val="005C3EE4"/>
    <w:rsid w:val="005C4081"/>
    <w:rsid w:val="005C7BB7"/>
    <w:rsid w:val="005C7BD1"/>
    <w:rsid w:val="005D44A3"/>
    <w:rsid w:val="005D5E23"/>
    <w:rsid w:val="005D646A"/>
    <w:rsid w:val="005E2A17"/>
    <w:rsid w:val="005E370A"/>
    <w:rsid w:val="005E4369"/>
    <w:rsid w:val="005E49F6"/>
    <w:rsid w:val="005E4E1E"/>
    <w:rsid w:val="005E5BC0"/>
    <w:rsid w:val="005F0C1C"/>
    <w:rsid w:val="005F1ECA"/>
    <w:rsid w:val="005F49C5"/>
    <w:rsid w:val="005F62DE"/>
    <w:rsid w:val="005F6B01"/>
    <w:rsid w:val="0060032D"/>
    <w:rsid w:val="0060223C"/>
    <w:rsid w:val="006068D7"/>
    <w:rsid w:val="00607123"/>
    <w:rsid w:val="006076D8"/>
    <w:rsid w:val="00607B0D"/>
    <w:rsid w:val="00610DEA"/>
    <w:rsid w:val="00612627"/>
    <w:rsid w:val="00616452"/>
    <w:rsid w:val="00616565"/>
    <w:rsid w:val="00617EFB"/>
    <w:rsid w:val="006202FD"/>
    <w:rsid w:val="00623B58"/>
    <w:rsid w:val="00624C41"/>
    <w:rsid w:val="0062522F"/>
    <w:rsid w:val="00627D0E"/>
    <w:rsid w:val="00634B2B"/>
    <w:rsid w:val="00635FD7"/>
    <w:rsid w:val="006403AB"/>
    <w:rsid w:val="006430AC"/>
    <w:rsid w:val="00647149"/>
    <w:rsid w:val="00650A88"/>
    <w:rsid w:val="00650F5D"/>
    <w:rsid w:val="00652095"/>
    <w:rsid w:val="00655286"/>
    <w:rsid w:val="00655586"/>
    <w:rsid w:val="00656A0E"/>
    <w:rsid w:val="006634DD"/>
    <w:rsid w:val="00663E8A"/>
    <w:rsid w:val="00665D92"/>
    <w:rsid w:val="006672F3"/>
    <w:rsid w:val="0066777A"/>
    <w:rsid w:val="00673B17"/>
    <w:rsid w:val="00675772"/>
    <w:rsid w:val="00677B3D"/>
    <w:rsid w:val="00680561"/>
    <w:rsid w:val="00682794"/>
    <w:rsid w:val="00682835"/>
    <w:rsid w:val="00683557"/>
    <w:rsid w:val="006914E9"/>
    <w:rsid w:val="00696638"/>
    <w:rsid w:val="006A0793"/>
    <w:rsid w:val="006A1A8B"/>
    <w:rsid w:val="006A1CDA"/>
    <w:rsid w:val="006A3222"/>
    <w:rsid w:val="006A32E6"/>
    <w:rsid w:val="006A3ABF"/>
    <w:rsid w:val="006A3D2B"/>
    <w:rsid w:val="006A79BF"/>
    <w:rsid w:val="006A7F4F"/>
    <w:rsid w:val="006B3E59"/>
    <w:rsid w:val="006B4214"/>
    <w:rsid w:val="006C3BDA"/>
    <w:rsid w:val="006C530D"/>
    <w:rsid w:val="006C67E1"/>
    <w:rsid w:val="006D15FB"/>
    <w:rsid w:val="006D23F5"/>
    <w:rsid w:val="006D7774"/>
    <w:rsid w:val="006D7C05"/>
    <w:rsid w:val="006D7CBB"/>
    <w:rsid w:val="006E0255"/>
    <w:rsid w:val="006E2C63"/>
    <w:rsid w:val="006E3290"/>
    <w:rsid w:val="006E330D"/>
    <w:rsid w:val="006E6C33"/>
    <w:rsid w:val="006E7DB5"/>
    <w:rsid w:val="006F05C0"/>
    <w:rsid w:val="006F1EE1"/>
    <w:rsid w:val="006F2519"/>
    <w:rsid w:val="006F2B3E"/>
    <w:rsid w:val="006F55A3"/>
    <w:rsid w:val="0070277A"/>
    <w:rsid w:val="00705736"/>
    <w:rsid w:val="00706D3B"/>
    <w:rsid w:val="00711DB5"/>
    <w:rsid w:val="00712840"/>
    <w:rsid w:val="00712C40"/>
    <w:rsid w:val="00713816"/>
    <w:rsid w:val="007164F7"/>
    <w:rsid w:val="00717E8F"/>
    <w:rsid w:val="007217E5"/>
    <w:rsid w:val="00723B76"/>
    <w:rsid w:val="00725E17"/>
    <w:rsid w:val="0072680B"/>
    <w:rsid w:val="007276A3"/>
    <w:rsid w:val="00730689"/>
    <w:rsid w:val="00734065"/>
    <w:rsid w:val="00734A0A"/>
    <w:rsid w:val="00734D7C"/>
    <w:rsid w:val="00735612"/>
    <w:rsid w:val="00735EB0"/>
    <w:rsid w:val="007369E3"/>
    <w:rsid w:val="00736CCF"/>
    <w:rsid w:val="00742941"/>
    <w:rsid w:val="00743E19"/>
    <w:rsid w:val="007445A6"/>
    <w:rsid w:val="0074564C"/>
    <w:rsid w:val="00746087"/>
    <w:rsid w:val="00746D69"/>
    <w:rsid w:val="00747D6B"/>
    <w:rsid w:val="00752323"/>
    <w:rsid w:val="00752618"/>
    <w:rsid w:val="007606BD"/>
    <w:rsid w:val="00763102"/>
    <w:rsid w:val="0076316F"/>
    <w:rsid w:val="00763351"/>
    <w:rsid w:val="00764798"/>
    <w:rsid w:val="0076616D"/>
    <w:rsid w:val="007709AF"/>
    <w:rsid w:val="00772E56"/>
    <w:rsid w:val="0077358B"/>
    <w:rsid w:val="00781051"/>
    <w:rsid w:val="00787299"/>
    <w:rsid w:val="007953B6"/>
    <w:rsid w:val="007A239A"/>
    <w:rsid w:val="007A6D9D"/>
    <w:rsid w:val="007B1A4E"/>
    <w:rsid w:val="007B2AF1"/>
    <w:rsid w:val="007B3607"/>
    <w:rsid w:val="007B37D4"/>
    <w:rsid w:val="007B74E3"/>
    <w:rsid w:val="007C2345"/>
    <w:rsid w:val="007C52C5"/>
    <w:rsid w:val="007C5BCA"/>
    <w:rsid w:val="007C5E4A"/>
    <w:rsid w:val="007C61F3"/>
    <w:rsid w:val="007C68A1"/>
    <w:rsid w:val="007D5277"/>
    <w:rsid w:val="007E010E"/>
    <w:rsid w:val="007E0BE1"/>
    <w:rsid w:val="007E2834"/>
    <w:rsid w:val="007E3170"/>
    <w:rsid w:val="007E6685"/>
    <w:rsid w:val="007E6B2D"/>
    <w:rsid w:val="007F094D"/>
    <w:rsid w:val="007F1242"/>
    <w:rsid w:val="007F1DB1"/>
    <w:rsid w:val="007F3E95"/>
    <w:rsid w:val="007F4093"/>
    <w:rsid w:val="00801FC1"/>
    <w:rsid w:val="00803708"/>
    <w:rsid w:val="008042A0"/>
    <w:rsid w:val="008078CC"/>
    <w:rsid w:val="00810709"/>
    <w:rsid w:val="00813126"/>
    <w:rsid w:val="00813997"/>
    <w:rsid w:val="00814F94"/>
    <w:rsid w:val="0081534C"/>
    <w:rsid w:val="00815384"/>
    <w:rsid w:val="008223BA"/>
    <w:rsid w:val="00823687"/>
    <w:rsid w:val="00825022"/>
    <w:rsid w:val="00825284"/>
    <w:rsid w:val="0083115D"/>
    <w:rsid w:val="00835831"/>
    <w:rsid w:val="00837C18"/>
    <w:rsid w:val="0084175D"/>
    <w:rsid w:val="00842C97"/>
    <w:rsid w:val="00843AC9"/>
    <w:rsid w:val="008448A4"/>
    <w:rsid w:val="00844978"/>
    <w:rsid w:val="00844AE5"/>
    <w:rsid w:val="00846B34"/>
    <w:rsid w:val="00847430"/>
    <w:rsid w:val="008506DF"/>
    <w:rsid w:val="00850999"/>
    <w:rsid w:val="008511CE"/>
    <w:rsid w:val="00852360"/>
    <w:rsid w:val="008523E5"/>
    <w:rsid w:val="008527A8"/>
    <w:rsid w:val="00853477"/>
    <w:rsid w:val="0085452D"/>
    <w:rsid w:val="00854A51"/>
    <w:rsid w:val="00854B06"/>
    <w:rsid w:val="00856BC3"/>
    <w:rsid w:val="008574D9"/>
    <w:rsid w:val="00857E56"/>
    <w:rsid w:val="00860963"/>
    <w:rsid w:val="0086124E"/>
    <w:rsid w:val="008636D3"/>
    <w:rsid w:val="00863C7F"/>
    <w:rsid w:val="008649E3"/>
    <w:rsid w:val="00865C76"/>
    <w:rsid w:val="0086642B"/>
    <w:rsid w:val="008676F2"/>
    <w:rsid w:val="00871403"/>
    <w:rsid w:val="00871445"/>
    <w:rsid w:val="00871B97"/>
    <w:rsid w:val="00872098"/>
    <w:rsid w:val="00872BDA"/>
    <w:rsid w:val="00880048"/>
    <w:rsid w:val="00886346"/>
    <w:rsid w:val="00891C7A"/>
    <w:rsid w:val="008964E1"/>
    <w:rsid w:val="00896587"/>
    <w:rsid w:val="00896DC0"/>
    <w:rsid w:val="008A07DC"/>
    <w:rsid w:val="008A1815"/>
    <w:rsid w:val="008A3BBB"/>
    <w:rsid w:val="008A5F67"/>
    <w:rsid w:val="008A75B0"/>
    <w:rsid w:val="008B0F72"/>
    <w:rsid w:val="008C0D7C"/>
    <w:rsid w:val="008C1A4B"/>
    <w:rsid w:val="008C29A0"/>
    <w:rsid w:val="008C2FEE"/>
    <w:rsid w:val="008D1D01"/>
    <w:rsid w:val="008D5379"/>
    <w:rsid w:val="008D6EB2"/>
    <w:rsid w:val="008E0CC3"/>
    <w:rsid w:val="008E4609"/>
    <w:rsid w:val="008E6811"/>
    <w:rsid w:val="008E7A3E"/>
    <w:rsid w:val="008F37E1"/>
    <w:rsid w:val="008F3B4B"/>
    <w:rsid w:val="008F3BFA"/>
    <w:rsid w:val="008F4401"/>
    <w:rsid w:val="008F6C64"/>
    <w:rsid w:val="008F6DB0"/>
    <w:rsid w:val="00900E7D"/>
    <w:rsid w:val="00901854"/>
    <w:rsid w:val="00901D81"/>
    <w:rsid w:val="00902894"/>
    <w:rsid w:val="00902FA9"/>
    <w:rsid w:val="00911F9F"/>
    <w:rsid w:val="00912CB8"/>
    <w:rsid w:val="00912D32"/>
    <w:rsid w:val="00914F6A"/>
    <w:rsid w:val="00917221"/>
    <w:rsid w:val="009172B3"/>
    <w:rsid w:val="009179F8"/>
    <w:rsid w:val="009219F3"/>
    <w:rsid w:val="00922802"/>
    <w:rsid w:val="00922FA5"/>
    <w:rsid w:val="00923002"/>
    <w:rsid w:val="00927D43"/>
    <w:rsid w:val="009302F0"/>
    <w:rsid w:val="0093206C"/>
    <w:rsid w:val="00932080"/>
    <w:rsid w:val="00932FC6"/>
    <w:rsid w:val="009368F5"/>
    <w:rsid w:val="00936C30"/>
    <w:rsid w:val="00941160"/>
    <w:rsid w:val="00944E3E"/>
    <w:rsid w:val="00946E34"/>
    <w:rsid w:val="0095080D"/>
    <w:rsid w:val="009519C6"/>
    <w:rsid w:val="00954DE0"/>
    <w:rsid w:val="00960AE2"/>
    <w:rsid w:val="00962F5B"/>
    <w:rsid w:val="00966017"/>
    <w:rsid w:val="009676BE"/>
    <w:rsid w:val="00971795"/>
    <w:rsid w:val="00974723"/>
    <w:rsid w:val="00974B39"/>
    <w:rsid w:val="00981126"/>
    <w:rsid w:val="009844E8"/>
    <w:rsid w:val="00985E17"/>
    <w:rsid w:val="00985E40"/>
    <w:rsid w:val="00986C9F"/>
    <w:rsid w:val="00990D73"/>
    <w:rsid w:val="00991560"/>
    <w:rsid w:val="00991ACC"/>
    <w:rsid w:val="00993ADA"/>
    <w:rsid w:val="00996002"/>
    <w:rsid w:val="009A0F01"/>
    <w:rsid w:val="009A1231"/>
    <w:rsid w:val="009A13F3"/>
    <w:rsid w:val="009A20C5"/>
    <w:rsid w:val="009A2F49"/>
    <w:rsid w:val="009A3A9C"/>
    <w:rsid w:val="009A3D72"/>
    <w:rsid w:val="009A5712"/>
    <w:rsid w:val="009A75C1"/>
    <w:rsid w:val="009B46B5"/>
    <w:rsid w:val="009B74AB"/>
    <w:rsid w:val="009B75D9"/>
    <w:rsid w:val="009C27DB"/>
    <w:rsid w:val="009C4FEF"/>
    <w:rsid w:val="009D0D96"/>
    <w:rsid w:val="009D11C6"/>
    <w:rsid w:val="009D13CD"/>
    <w:rsid w:val="009D18E6"/>
    <w:rsid w:val="009D550C"/>
    <w:rsid w:val="009D5D8D"/>
    <w:rsid w:val="009E09DA"/>
    <w:rsid w:val="009E4190"/>
    <w:rsid w:val="009E42AD"/>
    <w:rsid w:val="009E52DE"/>
    <w:rsid w:val="009E6446"/>
    <w:rsid w:val="009F09FE"/>
    <w:rsid w:val="009F3AF9"/>
    <w:rsid w:val="009F5405"/>
    <w:rsid w:val="009F72B3"/>
    <w:rsid w:val="009F742B"/>
    <w:rsid w:val="00A0371E"/>
    <w:rsid w:val="00A04F14"/>
    <w:rsid w:val="00A07C4A"/>
    <w:rsid w:val="00A1103F"/>
    <w:rsid w:val="00A123A7"/>
    <w:rsid w:val="00A12C03"/>
    <w:rsid w:val="00A13DB5"/>
    <w:rsid w:val="00A153DD"/>
    <w:rsid w:val="00A155CE"/>
    <w:rsid w:val="00A16DE4"/>
    <w:rsid w:val="00A1710F"/>
    <w:rsid w:val="00A203A0"/>
    <w:rsid w:val="00A21C6F"/>
    <w:rsid w:val="00A21DB1"/>
    <w:rsid w:val="00A22E33"/>
    <w:rsid w:val="00A23373"/>
    <w:rsid w:val="00A24C3E"/>
    <w:rsid w:val="00A26EAE"/>
    <w:rsid w:val="00A27B81"/>
    <w:rsid w:val="00A322BF"/>
    <w:rsid w:val="00A34B20"/>
    <w:rsid w:val="00A35FED"/>
    <w:rsid w:val="00A378DA"/>
    <w:rsid w:val="00A411D9"/>
    <w:rsid w:val="00A437D4"/>
    <w:rsid w:val="00A459EE"/>
    <w:rsid w:val="00A4638A"/>
    <w:rsid w:val="00A47421"/>
    <w:rsid w:val="00A502F0"/>
    <w:rsid w:val="00A503FA"/>
    <w:rsid w:val="00A523B2"/>
    <w:rsid w:val="00A571CE"/>
    <w:rsid w:val="00A61502"/>
    <w:rsid w:val="00A623C0"/>
    <w:rsid w:val="00A62FE1"/>
    <w:rsid w:val="00A66131"/>
    <w:rsid w:val="00A677FC"/>
    <w:rsid w:val="00A70AEC"/>
    <w:rsid w:val="00A75241"/>
    <w:rsid w:val="00A76398"/>
    <w:rsid w:val="00A763E2"/>
    <w:rsid w:val="00A8165E"/>
    <w:rsid w:val="00A82999"/>
    <w:rsid w:val="00A83AD4"/>
    <w:rsid w:val="00A84D80"/>
    <w:rsid w:val="00A96E6F"/>
    <w:rsid w:val="00A9713C"/>
    <w:rsid w:val="00A97EAD"/>
    <w:rsid w:val="00AA0270"/>
    <w:rsid w:val="00AA0C69"/>
    <w:rsid w:val="00AA0EF3"/>
    <w:rsid w:val="00AA1C53"/>
    <w:rsid w:val="00AA2649"/>
    <w:rsid w:val="00AA2F16"/>
    <w:rsid w:val="00AA4160"/>
    <w:rsid w:val="00AA5DB1"/>
    <w:rsid w:val="00AA7917"/>
    <w:rsid w:val="00AA7E7F"/>
    <w:rsid w:val="00AB0E5B"/>
    <w:rsid w:val="00AB50F6"/>
    <w:rsid w:val="00AB716D"/>
    <w:rsid w:val="00AC0B7A"/>
    <w:rsid w:val="00AC1E92"/>
    <w:rsid w:val="00AC2C13"/>
    <w:rsid w:val="00AC4296"/>
    <w:rsid w:val="00AC48D2"/>
    <w:rsid w:val="00AC6CB6"/>
    <w:rsid w:val="00AD0550"/>
    <w:rsid w:val="00AD0F7D"/>
    <w:rsid w:val="00AD4CF8"/>
    <w:rsid w:val="00AE0370"/>
    <w:rsid w:val="00AE2DF8"/>
    <w:rsid w:val="00AE5616"/>
    <w:rsid w:val="00AF05D4"/>
    <w:rsid w:val="00AF064C"/>
    <w:rsid w:val="00AF1A0A"/>
    <w:rsid w:val="00AF34A6"/>
    <w:rsid w:val="00AF504A"/>
    <w:rsid w:val="00B030D3"/>
    <w:rsid w:val="00B04906"/>
    <w:rsid w:val="00B04DFC"/>
    <w:rsid w:val="00B06F5C"/>
    <w:rsid w:val="00B109B4"/>
    <w:rsid w:val="00B115E9"/>
    <w:rsid w:val="00B149DF"/>
    <w:rsid w:val="00B16A68"/>
    <w:rsid w:val="00B20CEF"/>
    <w:rsid w:val="00B20F51"/>
    <w:rsid w:val="00B2260D"/>
    <w:rsid w:val="00B22DA0"/>
    <w:rsid w:val="00B238D6"/>
    <w:rsid w:val="00B31D38"/>
    <w:rsid w:val="00B37AFB"/>
    <w:rsid w:val="00B37E58"/>
    <w:rsid w:val="00B41317"/>
    <w:rsid w:val="00B42ADC"/>
    <w:rsid w:val="00B42BEF"/>
    <w:rsid w:val="00B47449"/>
    <w:rsid w:val="00B554ED"/>
    <w:rsid w:val="00B55C5D"/>
    <w:rsid w:val="00B56791"/>
    <w:rsid w:val="00B5697D"/>
    <w:rsid w:val="00B57111"/>
    <w:rsid w:val="00B60177"/>
    <w:rsid w:val="00B61F2A"/>
    <w:rsid w:val="00B6415D"/>
    <w:rsid w:val="00B6546C"/>
    <w:rsid w:val="00B674BF"/>
    <w:rsid w:val="00B70595"/>
    <w:rsid w:val="00B7096A"/>
    <w:rsid w:val="00B754B2"/>
    <w:rsid w:val="00B76209"/>
    <w:rsid w:val="00B77E95"/>
    <w:rsid w:val="00B81A68"/>
    <w:rsid w:val="00B825A8"/>
    <w:rsid w:val="00B82D40"/>
    <w:rsid w:val="00B833EF"/>
    <w:rsid w:val="00B91E6C"/>
    <w:rsid w:val="00B92952"/>
    <w:rsid w:val="00B94636"/>
    <w:rsid w:val="00B94784"/>
    <w:rsid w:val="00B95E5E"/>
    <w:rsid w:val="00BA2AF4"/>
    <w:rsid w:val="00BA46DC"/>
    <w:rsid w:val="00BA5256"/>
    <w:rsid w:val="00BA6BB2"/>
    <w:rsid w:val="00BB028B"/>
    <w:rsid w:val="00BB0A58"/>
    <w:rsid w:val="00BB0CF5"/>
    <w:rsid w:val="00BB185E"/>
    <w:rsid w:val="00BB56CA"/>
    <w:rsid w:val="00BB5D81"/>
    <w:rsid w:val="00BB6857"/>
    <w:rsid w:val="00BB6B2F"/>
    <w:rsid w:val="00BB6C8F"/>
    <w:rsid w:val="00BB6E71"/>
    <w:rsid w:val="00BC0C6B"/>
    <w:rsid w:val="00BC23BD"/>
    <w:rsid w:val="00BC3BE1"/>
    <w:rsid w:val="00BC3FE0"/>
    <w:rsid w:val="00BC5326"/>
    <w:rsid w:val="00BC60E7"/>
    <w:rsid w:val="00BC6B8B"/>
    <w:rsid w:val="00BC753B"/>
    <w:rsid w:val="00BD0559"/>
    <w:rsid w:val="00BD2AB4"/>
    <w:rsid w:val="00BD6C62"/>
    <w:rsid w:val="00BE216A"/>
    <w:rsid w:val="00BE34C6"/>
    <w:rsid w:val="00BE4A7B"/>
    <w:rsid w:val="00BF3803"/>
    <w:rsid w:val="00BF60C2"/>
    <w:rsid w:val="00BF6509"/>
    <w:rsid w:val="00BF6ACB"/>
    <w:rsid w:val="00BF6BD0"/>
    <w:rsid w:val="00BF6D25"/>
    <w:rsid w:val="00C034F2"/>
    <w:rsid w:val="00C039BD"/>
    <w:rsid w:val="00C07DC5"/>
    <w:rsid w:val="00C100F4"/>
    <w:rsid w:val="00C12662"/>
    <w:rsid w:val="00C13532"/>
    <w:rsid w:val="00C14A8A"/>
    <w:rsid w:val="00C20636"/>
    <w:rsid w:val="00C21B44"/>
    <w:rsid w:val="00C2255C"/>
    <w:rsid w:val="00C22A8B"/>
    <w:rsid w:val="00C247E4"/>
    <w:rsid w:val="00C25E1D"/>
    <w:rsid w:val="00C276C1"/>
    <w:rsid w:val="00C334F8"/>
    <w:rsid w:val="00C341BD"/>
    <w:rsid w:val="00C3450B"/>
    <w:rsid w:val="00C3596E"/>
    <w:rsid w:val="00C40D17"/>
    <w:rsid w:val="00C40F16"/>
    <w:rsid w:val="00C41DD8"/>
    <w:rsid w:val="00C41F2D"/>
    <w:rsid w:val="00C51E96"/>
    <w:rsid w:val="00C520CB"/>
    <w:rsid w:val="00C5325E"/>
    <w:rsid w:val="00C54B3C"/>
    <w:rsid w:val="00C5561B"/>
    <w:rsid w:val="00C571F9"/>
    <w:rsid w:val="00C5722E"/>
    <w:rsid w:val="00C632C5"/>
    <w:rsid w:val="00C65337"/>
    <w:rsid w:val="00C672F3"/>
    <w:rsid w:val="00C67C1E"/>
    <w:rsid w:val="00C76EED"/>
    <w:rsid w:val="00C7735C"/>
    <w:rsid w:val="00C77D08"/>
    <w:rsid w:val="00C817CB"/>
    <w:rsid w:val="00C82703"/>
    <w:rsid w:val="00C85DF2"/>
    <w:rsid w:val="00C87E19"/>
    <w:rsid w:val="00C90346"/>
    <w:rsid w:val="00C9131C"/>
    <w:rsid w:val="00C9190D"/>
    <w:rsid w:val="00C96CEC"/>
    <w:rsid w:val="00C975E7"/>
    <w:rsid w:val="00CA3C8A"/>
    <w:rsid w:val="00CA52F7"/>
    <w:rsid w:val="00CB1DC7"/>
    <w:rsid w:val="00CB30C8"/>
    <w:rsid w:val="00CB5EF9"/>
    <w:rsid w:val="00CB6861"/>
    <w:rsid w:val="00CC16BF"/>
    <w:rsid w:val="00CC1B7C"/>
    <w:rsid w:val="00CC6317"/>
    <w:rsid w:val="00CC737A"/>
    <w:rsid w:val="00CD030A"/>
    <w:rsid w:val="00CD43F3"/>
    <w:rsid w:val="00CD4A58"/>
    <w:rsid w:val="00CD5739"/>
    <w:rsid w:val="00CD69D4"/>
    <w:rsid w:val="00CE24CF"/>
    <w:rsid w:val="00CE2699"/>
    <w:rsid w:val="00CE2B7D"/>
    <w:rsid w:val="00CE4EF4"/>
    <w:rsid w:val="00CE59EB"/>
    <w:rsid w:val="00CE64F8"/>
    <w:rsid w:val="00CE66D0"/>
    <w:rsid w:val="00CF0008"/>
    <w:rsid w:val="00CF03D2"/>
    <w:rsid w:val="00CF0EA8"/>
    <w:rsid w:val="00D010A4"/>
    <w:rsid w:val="00D01127"/>
    <w:rsid w:val="00D0336E"/>
    <w:rsid w:val="00D03F2F"/>
    <w:rsid w:val="00D043EB"/>
    <w:rsid w:val="00D05FC8"/>
    <w:rsid w:val="00D07A62"/>
    <w:rsid w:val="00D1245A"/>
    <w:rsid w:val="00D144C7"/>
    <w:rsid w:val="00D2054A"/>
    <w:rsid w:val="00D20B4D"/>
    <w:rsid w:val="00D21223"/>
    <w:rsid w:val="00D2369B"/>
    <w:rsid w:val="00D311B3"/>
    <w:rsid w:val="00D319CF"/>
    <w:rsid w:val="00D33CE4"/>
    <w:rsid w:val="00D34AA9"/>
    <w:rsid w:val="00D35826"/>
    <w:rsid w:val="00D35ECE"/>
    <w:rsid w:val="00D36EC8"/>
    <w:rsid w:val="00D40B24"/>
    <w:rsid w:val="00D41F9C"/>
    <w:rsid w:val="00D4200E"/>
    <w:rsid w:val="00D445C4"/>
    <w:rsid w:val="00D461A2"/>
    <w:rsid w:val="00D47A86"/>
    <w:rsid w:val="00D54A7B"/>
    <w:rsid w:val="00D572CD"/>
    <w:rsid w:val="00D57319"/>
    <w:rsid w:val="00D605C6"/>
    <w:rsid w:val="00D60DB6"/>
    <w:rsid w:val="00D62A7B"/>
    <w:rsid w:val="00D62C66"/>
    <w:rsid w:val="00D6477D"/>
    <w:rsid w:val="00D678B7"/>
    <w:rsid w:val="00D67BC7"/>
    <w:rsid w:val="00D71CC2"/>
    <w:rsid w:val="00D760E3"/>
    <w:rsid w:val="00D76A02"/>
    <w:rsid w:val="00D814AE"/>
    <w:rsid w:val="00D820A7"/>
    <w:rsid w:val="00D82E20"/>
    <w:rsid w:val="00D90048"/>
    <w:rsid w:val="00D91C74"/>
    <w:rsid w:val="00D93DB7"/>
    <w:rsid w:val="00D95E9D"/>
    <w:rsid w:val="00DA0B07"/>
    <w:rsid w:val="00DA2727"/>
    <w:rsid w:val="00DA287F"/>
    <w:rsid w:val="00DA56ED"/>
    <w:rsid w:val="00DA7E47"/>
    <w:rsid w:val="00DB25DF"/>
    <w:rsid w:val="00DB65D4"/>
    <w:rsid w:val="00DC1C71"/>
    <w:rsid w:val="00DC2968"/>
    <w:rsid w:val="00DC3BF3"/>
    <w:rsid w:val="00DC40DD"/>
    <w:rsid w:val="00DC4241"/>
    <w:rsid w:val="00DC457F"/>
    <w:rsid w:val="00DC515A"/>
    <w:rsid w:val="00DC7E5A"/>
    <w:rsid w:val="00DD0DC8"/>
    <w:rsid w:val="00DE07FC"/>
    <w:rsid w:val="00DE1ABC"/>
    <w:rsid w:val="00DE2187"/>
    <w:rsid w:val="00DE6F23"/>
    <w:rsid w:val="00DE7833"/>
    <w:rsid w:val="00DF0449"/>
    <w:rsid w:val="00DF07B3"/>
    <w:rsid w:val="00DF099E"/>
    <w:rsid w:val="00DF4241"/>
    <w:rsid w:val="00DF5C37"/>
    <w:rsid w:val="00DF6B41"/>
    <w:rsid w:val="00DF6E41"/>
    <w:rsid w:val="00E004FF"/>
    <w:rsid w:val="00E0074D"/>
    <w:rsid w:val="00E02447"/>
    <w:rsid w:val="00E0264B"/>
    <w:rsid w:val="00E03B2D"/>
    <w:rsid w:val="00E04D7C"/>
    <w:rsid w:val="00E0546B"/>
    <w:rsid w:val="00E066C0"/>
    <w:rsid w:val="00E113B3"/>
    <w:rsid w:val="00E116EB"/>
    <w:rsid w:val="00E131DC"/>
    <w:rsid w:val="00E1664F"/>
    <w:rsid w:val="00E17419"/>
    <w:rsid w:val="00E17B8A"/>
    <w:rsid w:val="00E204BE"/>
    <w:rsid w:val="00E20E56"/>
    <w:rsid w:val="00E221D6"/>
    <w:rsid w:val="00E24B91"/>
    <w:rsid w:val="00E25851"/>
    <w:rsid w:val="00E300EA"/>
    <w:rsid w:val="00E30CB0"/>
    <w:rsid w:val="00E31C3B"/>
    <w:rsid w:val="00E31F20"/>
    <w:rsid w:val="00E32D32"/>
    <w:rsid w:val="00E3311E"/>
    <w:rsid w:val="00E36A4E"/>
    <w:rsid w:val="00E37361"/>
    <w:rsid w:val="00E37B82"/>
    <w:rsid w:val="00E411F4"/>
    <w:rsid w:val="00E42F5E"/>
    <w:rsid w:val="00E4323F"/>
    <w:rsid w:val="00E44680"/>
    <w:rsid w:val="00E4589B"/>
    <w:rsid w:val="00E50A75"/>
    <w:rsid w:val="00E50B9B"/>
    <w:rsid w:val="00E52504"/>
    <w:rsid w:val="00E54414"/>
    <w:rsid w:val="00E57E1F"/>
    <w:rsid w:val="00E64D1E"/>
    <w:rsid w:val="00E67866"/>
    <w:rsid w:val="00E67B81"/>
    <w:rsid w:val="00E733CE"/>
    <w:rsid w:val="00E76CF6"/>
    <w:rsid w:val="00E810FA"/>
    <w:rsid w:val="00E81A3D"/>
    <w:rsid w:val="00E81A77"/>
    <w:rsid w:val="00E84505"/>
    <w:rsid w:val="00E85065"/>
    <w:rsid w:val="00E86C9A"/>
    <w:rsid w:val="00E876DF"/>
    <w:rsid w:val="00E907EE"/>
    <w:rsid w:val="00E91705"/>
    <w:rsid w:val="00E93F31"/>
    <w:rsid w:val="00E93FC7"/>
    <w:rsid w:val="00EA0905"/>
    <w:rsid w:val="00EA51B8"/>
    <w:rsid w:val="00EA6211"/>
    <w:rsid w:val="00EA668D"/>
    <w:rsid w:val="00EA6989"/>
    <w:rsid w:val="00EB285E"/>
    <w:rsid w:val="00EB593B"/>
    <w:rsid w:val="00EB6B7D"/>
    <w:rsid w:val="00EB7296"/>
    <w:rsid w:val="00EB7503"/>
    <w:rsid w:val="00EB7940"/>
    <w:rsid w:val="00EB7A66"/>
    <w:rsid w:val="00EC7CDC"/>
    <w:rsid w:val="00ED0E2B"/>
    <w:rsid w:val="00ED3D49"/>
    <w:rsid w:val="00ED5672"/>
    <w:rsid w:val="00ED5E22"/>
    <w:rsid w:val="00ED6830"/>
    <w:rsid w:val="00EE54B5"/>
    <w:rsid w:val="00EE60A2"/>
    <w:rsid w:val="00EE7F72"/>
    <w:rsid w:val="00EF12D7"/>
    <w:rsid w:val="00EF1E55"/>
    <w:rsid w:val="00F02990"/>
    <w:rsid w:val="00F03DD8"/>
    <w:rsid w:val="00F04944"/>
    <w:rsid w:val="00F05B51"/>
    <w:rsid w:val="00F07F07"/>
    <w:rsid w:val="00F20456"/>
    <w:rsid w:val="00F20460"/>
    <w:rsid w:val="00F209DE"/>
    <w:rsid w:val="00F210B8"/>
    <w:rsid w:val="00F24645"/>
    <w:rsid w:val="00F252B0"/>
    <w:rsid w:val="00F25936"/>
    <w:rsid w:val="00F259B5"/>
    <w:rsid w:val="00F259D0"/>
    <w:rsid w:val="00F261EB"/>
    <w:rsid w:val="00F26B2A"/>
    <w:rsid w:val="00F3057C"/>
    <w:rsid w:val="00F30683"/>
    <w:rsid w:val="00F316B1"/>
    <w:rsid w:val="00F31B21"/>
    <w:rsid w:val="00F455DD"/>
    <w:rsid w:val="00F457EB"/>
    <w:rsid w:val="00F50A78"/>
    <w:rsid w:val="00F56549"/>
    <w:rsid w:val="00F56891"/>
    <w:rsid w:val="00F60809"/>
    <w:rsid w:val="00F62F42"/>
    <w:rsid w:val="00F70E17"/>
    <w:rsid w:val="00F7283B"/>
    <w:rsid w:val="00F7300D"/>
    <w:rsid w:val="00F75986"/>
    <w:rsid w:val="00F76666"/>
    <w:rsid w:val="00F77073"/>
    <w:rsid w:val="00F802F7"/>
    <w:rsid w:val="00F80CFB"/>
    <w:rsid w:val="00F80F3B"/>
    <w:rsid w:val="00F81A27"/>
    <w:rsid w:val="00F85FB1"/>
    <w:rsid w:val="00F8778A"/>
    <w:rsid w:val="00F90A18"/>
    <w:rsid w:val="00F9744D"/>
    <w:rsid w:val="00FA09DC"/>
    <w:rsid w:val="00FA1715"/>
    <w:rsid w:val="00FA463D"/>
    <w:rsid w:val="00FA5D19"/>
    <w:rsid w:val="00FB3201"/>
    <w:rsid w:val="00FB541F"/>
    <w:rsid w:val="00FB54DA"/>
    <w:rsid w:val="00FB75B4"/>
    <w:rsid w:val="00FC18E6"/>
    <w:rsid w:val="00FC509D"/>
    <w:rsid w:val="00FC6A6D"/>
    <w:rsid w:val="00FC7B12"/>
    <w:rsid w:val="00FD039B"/>
    <w:rsid w:val="00FD0620"/>
    <w:rsid w:val="00FD5024"/>
    <w:rsid w:val="00FD5AD2"/>
    <w:rsid w:val="00FD5B5B"/>
    <w:rsid w:val="00FD764E"/>
    <w:rsid w:val="00FE0E0F"/>
    <w:rsid w:val="00FE2567"/>
    <w:rsid w:val="00FE28EC"/>
    <w:rsid w:val="00FE39C0"/>
    <w:rsid w:val="00FE3FEB"/>
    <w:rsid w:val="00FE4486"/>
    <w:rsid w:val="00FE5BAF"/>
    <w:rsid w:val="00FF0999"/>
    <w:rsid w:val="00FF1AD6"/>
    <w:rsid w:val="00FF62DE"/>
    <w:rsid w:val="00FF6EA3"/>
    <w:rsid w:val="00FF76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FCB4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line="360" w:lineRule="auto"/>
      <w:outlineLvl w:val="0"/>
    </w:pPr>
    <w:rPr>
      <w:rFonts w:ascii="Verdana" w:hAnsi="Verdana"/>
      <w:color w:val="275D81"/>
      <w:kern w:val="32"/>
      <w:sz w:val="56"/>
      <w:szCs w:val="32"/>
    </w:rPr>
  </w:style>
  <w:style w:type="paragraph" w:styleId="Heading2">
    <w:name w:val="heading 2"/>
    <w:aliases w:val="Heading 1.1"/>
    <w:basedOn w:val="Normal"/>
    <w:next w:val="Normal"/>
    <w:qFormat/>
    <w:pPr>
      <w:keepNext/>
      <w:spacing w:before="240" w:after="60" w:line="360" w:lineRule="auto"/>
      <w:outlineLvl w:val="1"/>
    </w:pPr>
    <w:rPr>
      <w:rFonts w:ascii="Verdana" w:hAnsi="Verdana"/>
      <w:b/>
      <w:color w:val="631013"/>
      <w:sz w:val="36"/>
      <w:szCs w:val="28"/>
    </w:rPr>
  </w:style>
  <w:style w:type="paragraph" w:styleId="Heading3">
    <w:name w:val="heading 3"/>
    <w:basedOn w:val="Normal"/>
    <w:next w:val="Normal"/>
    <w:qFormat/>
    <w:pPr>
      <w:keepNext/>
      <w:spacing w:before="240" w:after="60" w:line="360" w:lineRule="auto"/>
      <w:outlineLvl w:val="2"/>
    </w:pPr>
    <w:rPr>
      <w:rFonts w:ascii="Verdana" w:hAnsi="Verdana"/>
      <w:b/>
      <w:color w:val="0F1277"/>
      <w:sz w:val="26"/>
      <w:szCs w:val="26"/>
    </w:rPr>
  </w:style>
  <w:style w:type="paragraph" w:styleId="Heading4">
    <w:name w:val="heading 4"/>
    <w:basedOn w:val="Normal"/>
    <w:next w:val="Normal"/>
    <w:qFormat/>
    <w:pPr>
      <w:keepNext/>
      <w:outlineLvl w:val="3"/>
    </w:pPr>
    <w:rPr>
      <w:b/>
      <w:bCs/>
      <w:lang w:val="en-IE"/>
    </w:rPr>
  </w:style>
  <w:style w:type="paragraph" w:styleId="Heading5">
    <w:name w:val="heading 5"/>
    <w:basedOn w:val="Normal"/>
    <w:next w:val="Normal"/>
    <w:qFormat/>
    <w:pPr>
      <w:keepNext/>
      <w:outlineLvl w:val="4"/>
    </w:pPr>
    <w:rPr>
      <w:b/>
      <w:bCs/>
      <w:i/>
      <w:iCs/>
      <w:sz w:val="22"/>
      <w:lang w:val="en-IE"/>
    </w:rPr>
  </w:style>
  <w:style w:type="paragraph" w:styleId="Heading6">
    <w:name w:val="heading 6"/>
    <w:basedOn w:val="Normal"/>
    <w:next w:val="Normal"/>
    <w:qFormat/>
    <w:pPr>
      <w:keepNext/>
      <w:outlineLvl w:val="5"/>
    </w:pPr>
    <w:rPr>
      <w:color w:val="FF0000"/>
      <w:sz w:val="22"/>
      <w:szCs w:val="20"/>
      <w:u w:val="single"/>
    </w:rPr>
  </w:style>
  <w:style w:type="paragraph" w:styleId="Heading7">
    <w:name w:val="heading 7"/>
    <w:basedOn w:val="Normal"/>
    <w:next w:val="Normal"/>
    <w:qFormat/>
    <w:pPr>
      <w:keepNext/>
      <w:jc w:val="center"/>
      <w:outlineLvl w:val="6"/>
    </w:pPr>
    <w:rPr>
      <w:b/>
      <w:bCs/>
      <w:sz w:val="22"/>
      <w:szCs w:val="20"/>
      <w:lang w:val="en-IE"/>
    </w:rPr>
  </w:style>
  <w:style w:type="paragraph" w:styleId="Heading8">
    <w:name w:val="heading 8"/>
    <w:basedOn w:val="Normal"/>
    <w:next w:val="Normal"/>
    <w:qFormat/>
    <w:pPr>
      <w:keepNext/>
      <w:outlineLvl w:val="7"/>
    </w:pPr>
    <w:rPr>
      <w:b/>
      <w:bCs/>
      <w:sz w:val="22"/>
      <w:u w:val="single"/>
    </w:rPr>
  </w:style>
  <w:style w:type="paragraph" w:styleId="Heading9">
    <w:name w:val="heading 9"/>
    <w:basedOn w:val="Normal"/>
    <w:next w:val="Normal"/>
    <w:qFormat/>
    <w:pPr>
      <w:keepNext/>
      <w:spacing w:line="360" w:lineRule="auto"/>
      <w:outlineLvl w:val="8"/>
    </w:pPr>
    <w:rPr>
      <w:rFonts w:ascii="Verdana" w:hAnsi="Verdana"/>
      <w:color w:val="FFFFFF"/>
      <w:sz w:val="40"/>
      <w:szCs w:val="20"/>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1"/>
      </w:numPr>
    </w:pPr>
    <w:rPr>
      <w:szCs w:val="20"/>
    </w:rPr>
  </w:style>
  <w:style w:type="paragraph" w:styleId="Header">
    <w:name w:val="header"/>
    <w:basedOn w:val="Normal"/>
    <w:link w:val="HeaderChar"/>
    <w:uiPriority w:val="99"/>
    <w:pPr>
      <w:tabs>
        <w:tab w:val="center" w:pos="4320"/>
        <w:tab w:val="right" w:pos="8640"/>
      </w:tabs>
      <w:spacing w:line="360" w:lineRule="auto"/>
    </w:pPr>
    <w:rPr>
      <w:rFonts w:ascii="Verdana" w:hAnsi="Verdana"/>
      <w:sz w:val="22"/>
      <w:szCs w:val="20"/>
    </w:rPr>
  </w:style>
  <w:style w:type="paragraph" w:styleId="Title">
    <w:name w:val="Title"/>
    <w:basedOn w:val="Normal"/>
    <w:qFormat/>
    <w:pPr>
      <w:jc w:val="center"/>
    </w:pPr>
    <w:rPr>
      <w:b/>
      <w:bCs/>
      <w:sz w:val="36"/>
      <w:lang w:val="en-IE"/>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BodyTextIndent">
    <w:name w:val="Body Text Indent"/>
    <w:basedOn w:val="Normal"/>
    <w:semiHidden/>
    <w:pPr>
      <w:ind w:left="-798"/>
    </w:pPr>
    <w:rPr>
      <w:sz w:val="22"/>
      <w:szCs w:val="20"/>
      <w:lang w:val="en-IE"/>
    </w:rPr>
  </w:style>
  <w:style w:type="paragraph" w:customStyle="1" w:styleId="Body">
    <w:name w:val="Body"/>
    <w:basedOn w:val="Normal"/>
    <w:pPr>
      <w:overflowPunct w:val="0"/>
      <w:autoSpaceDE w:val="0"/>
      <w:autoSpaceDN w:val="0"/>
      <w:adjustRightInd w:val="0"/>
      <w:spacing w:after="360" w:line="360" w:lineRule="auto"/>
      <w:jc w:val="both"/>
      <w:textAlignment w:val="baseline"/>
    </w:pPr>
    <w:rPr>
      <w:szCs w:val="20"/>
    </w:rPr>
  </w:style>
  <w:style w:type="paragraph" w:styleId="BodyTextIndent2">
    <w:name w:val="Body Text Indent 2"/>
    <w:basedOn w:val="Normal"/>
    <w:semiHidden/>
    <w:pPr>
      <w:ind w:left="369"/>
    </w:pPr>
    <w:rPr>
      <w:rFonts w:ascii="Arial" w:hAnsi="Arial" w:cs="Arial"/>
      <w:szCs w:val="20"/>
    </w:rPr>
  </w:style>
  <w:style w:type="paragraph" w:styleId="BodyTextIndent3">
    <w:name w:val="Body Text Indent 3"/>
    <w:basedOn w:val="Normal"/>
    <w:semiHidden/>
    <w:pPr>
      <w:ind w:left="-567"/>
      <w:jc w:val="both"/>
    </w:pPr>
    <w:rPr>
      <w:sz w:val="22"/>
      <w:szCs w:val="20"/>
    </w:rPr>
  </w:style>
  <w:style w:type="paragraph" w:styleId="BodyText2">
    <w:name w:val="Body Text 2"/>
    <w:basedOn w:val="Normal"/>
    <w:semiHidden/>
    <w:pPr>
      <w:jc w:val="both"/>
    </w:pPr>
    <w:rPr>
      <w:sz w:val="22"/>
      <w:szCs w:val="20"/>
    </w:rPr>
  </w:style>
  <w:style w:type="paragraph" w:styleId="BodyText">
    <w:name w:val="Body Text"/>
    <w:basedOn w:val="Normal"/>
    <w:semiHidden/>
    <w:rPr>
      <w:sz w:val="22"/>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spacing w:line="360" w:lineRule="auto"/>
    </w:pPr>
    <w:rPr>
      <w:rFonts w:ascii="Verdana" w:hAnsi="Verdana"/>
      <w:sz w:val="22"/>
      <w:szCs w:val="20"/>
    </w:rPr>
  </w:style>
  <w:style w:type="character" w:customStyle="1" w:styleId="HeaderChar">
    <w:name w:val="Header Char"/>
    <w:link w:val="Header"/>
    <w:uiPriority w:val="99"/>
    <w:rsid w:val="008F37E1"/>
    <w:rPr>
      <w:rFonts w:ascii="Verdana" w:hAnsi="Verdana"/>
      <w:sz w:val="22"/>
      <w:lang w:val="en-GB" w:eastAsia="en-US"/>
    </w:rPr>
  </w:style>
  <w:style w:type="paragraph" w:customStyle="1" w:styleId="Noparagraphstyle">
    <w:name w:val="[No paragraph style]"/>
    <w:uiPriority w:val="99"/>
    <w:rsid w:val="00544DFF"/>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character" w:customStyle="1" w:styleId="HelvBold">
    <w:name w:val="Helv Bold"/>
    <w:uiPriority w:val="99"/>
    <w:rsid w:val="00544DFF"/>
    <w:rPr>
      <w:rFonts w:ascii="HelveticaNeueLTStd-Bd" w:hAnsi="HelveticaNeueLTStd-Bd"/>
      <w:b/>
    </w:rPr>
  </w:style>
  <w:style w:type="paragraph" w:styleId="BalloonText">
    <w:name w:val="Balloon Text"/>
    <w:basedOn w:val="Normal"/>
    <w:link w:val="BalloonTextChar"/>
    <w:uiPriority w:val="99"/>
    <w:semiHidden/>
    <w:unhideWhenUsed/>
    <w:rsid w:val="005F6B01"/>
    <w:rPr>
      <w:rFonts w:ascii="Tahoma" w:hAnsi="Tahoma"/>
      <w:sz w:val="16"/>
      <w:szCs w:val="16"/>
    </w:rPr>
  </w:style>
  <w:style w:type="character" w:customStyle="1" w:styleId="BalloonTextChar">
    <w:name w:val="Balloon Text Char"/>
    <w:link w:val="BalloonText"/>
    <w:uiPriority w:val="99"/>
    <w:semiHidden/>
    <w:rsid w:val="005F6B01"/>
    <w:rPr>
      <w:rFonts w:ascii="Tahoma" w:hAnsi="Tahoma" w:cs="Tahoma"/>
      <w:sz w:val="16"/>
      <w:szCs w:val="16"/>
      <w:lang w:val="en-GB" w:eastAsia="en-US"/>
    </w:rPr>
  </w:style>
  <w:style w:type="paragraph" w:styleId="EndnoteText">
    <w:name w:val="endnote text"/>
    <w:basedOn w:val="Normal"/>
    <w:link w:val="EndnoteTextChar"/>
    <w:uiPriority w:val="99"/>
    <w:semiHidden/>
    <w:unhideWhenUsed/>
    <w:rsid w:val="00A4638A"/>
    <w:rPr>
      <w:sz w:val="20"/>
      <w:szCs w:val="20"/>
    </w:rPr>
  </w:style>
  <w:style w:type="character" w:customStyle="1" w:styleId="EndnoteTextChar">
    <w:name w:val="Endnote Text Char"/>
    <w:link w:val="EndnoteText"/>
    <w:uiPriority w:val="99"/>
    <w:semiHidden/>
    <w:rsid w:val="00A4638A"/>
    <w:rPr>
      <w:lang w:val="en-GB" w:eastAsia="en-US"/>
    </w:rPr>
  </w:style>
  <w:style w:type="character" w:styleId="EndnoteReference">
    <w:name w:val="endnote reference"/>
    <w:uiPriority w:val="99"/>
    <w:semiHidden/>
    <w:unhideWhenUsed/>
    <w:rsid w:val="00A4638A"/>
    <w:rPr>
      <w:vertAlign w:val="superscript"/>
    </w:rPr>
  </w:style>
  <w:style w:type="character" w:styleId="CommentReference">
    <w:name w:val="annotation reference"/>
    <w:uiPriority w:val="99"/>
    <w:semiHidden/>
    <w:unhideWhenUsed/>
    <w:rsid w:val="00BB028B"/>
    <w:rPr>
      <w:sz w:val="16"/>
      <w:szCs w:val="16"/>
    </w:rPr>
  </w:style>
  <w:style w:type="paragraph" w:styleId="CommentText">
    <w:name w:val="annotation text"/>
    <w:basedOn w:val="Normal"/>
    <w:link w:val="CommentTextChar"/>
    <w:uiPriority w:val="99"/>
    <w:semiHidden/>
    <w:unhideWhenUsed/>
    <w:rsid w:val="00BB028B"/>
    <w:rPr>
      <w:sz w:val="20"/>
      <w:szCs w:val="20"/>
    </w:rPr>
  </w:style>
  <w:style w:type="character" w:customStyle="1" w:styleId="CommentTextChar">
    <w:name w:val="Comment Text Char"/>
    <w:link w:val="CommentText"/>
    <w:uiPriority w:val="99"/>
    <w:semiHidden/>
    <w:rsid w:val="00BB028B"/>
    <w:rPr>
      <w:lang w:val="en-GB" w:eastAsia="en-US"/>
    </w:rPr>
  </w:style>
  <w:style w:type="paragraph" w:styleId="CommentSubject">
    <w:name w:val="annotation subject"/>
    <w:basedOn w:val="CommentText"/>
    <w:next w:val="CommentText"/>
    <w:link w:val="CommentSubjectChar"/>
    <w:uiPriority w:val="99"/>
    <w:semiHidden/>
    <w:unhideWhenUsed/>
    <w:rsid w:val="00BB028B"/>
    <w:rPr>
      <w:b/>
      <w:bCs/>
    </w:rPr>
  </w:style>
  <w:style w:type="character" w:customStyle="1" w:styleId="CommentSubjectChar">
    <w:name w:val="Comment Subject Char"/>
    <w:link w:val="CommentSubject"/>
    <w:uiPriority w:val="99"/>
    <w:semiHidden/>
    <w:rsid w:val="00BB028B"/>
    <w:rPr>
      <w:b/>
      <w:bCs/>
      <w:lang w:val="en-GB" w:eastAsia="en-US"/>
    </w:rPr>
  </w:style>
  <w:style w:type="paragraph" w:customStyle="1" w:styleId="CBCoverTitleWhite">
    <w:name w:val="CB_Cover Title_White"/>
    <w:basedOn w:val="Normal"/>
    <w:qFormat/>
    <w:rsid w:val="00373FB0"/>
    <w:pPr>
      <w:spacing w:after="160" w:line="580" w:lineRule="exact"/>
    </w:pPr>
    <w:rPr>
      <w:rFonts w:ascii="Lato" w:eastAsia="Lato" w:hAnsi="Lato"/>
      <w:b/>
      <w:noProof/>
      <w:color w:val="FFFFFF"/>
      <w:sz w:val="54"/>
      <w:szCs w:val="54"/>
      <w:lang w:val="en-IE" w:eastAsia="en-IE"/>
    </w:rPr>
  </w:style>
  <w:style w:type="paragraph" w:customStyle="1" w:styleId="CBCoverSubtitleLightWhite">
    <w:name w:val="CB_Cover Subtitle_Light_White"/>
    <w:basedOn w:val="Normal"/>
    <w:qFormat/>
    <w:rsid w:val="00373FB0"/>
    <w:pPr>
      <w:spacing w:after="160" w:line="580" w:lineRule="exact"/>
    </w:pPr>
    <w:rPr>
      <w:rFonts w:ascii="Lato Light" w:eastAsia="Lato" w:hAnsi="Lato Light"/>
      <w:color w:val="FFFFFF"/>
      <w:sz w:val="54"/>
      <w:szCs w:val="54"/>
      <w:lang w:val="en-IE"/>
    </w:rPr>
  </w:style>
  <w:style w:type="character" w:styleId="Hyperlink">
    <w:name w:val="Hyperlink"/>
    <w:uiPriority w:val="99"/>
    <w:semiHidden/>
    <w:unhideWhenUsed/>
    <w:rsid w:val="00A459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723311">
      <w:bodyDiv w:val="1"/>
      <w:marLeft w:val="0"/>
      <w:marRight w:val="0"/>
      <w:marTop w:val="0"/>
      <w:marBottom w:val="0"/>
      <w:divBdr>
        <w:top w:val="none" w:sz="0" w:space="0" w:color="auto"/>
        <w:left w:val="none" w:sz="0" w:space="0" w:color="auto"/>
        <w:bottom w:val="none" w:sz="0" w:space="0" w:color="auto"/>
        <w:right w:val="none" w:sz="0" w:space="0" w:color="auto"/>
      </w:divBdr>
    </w:div>
    <w:div w:id="159724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entralbank.ie/fns/privacy-statement" TargetMode="Externa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dataprotection@centralbank.ie"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8D948-D5F4-43A5-AF72-089FBC1D798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FED6ACC-15D9-4A22-98E4-9B273B66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11058</Words>
  <Characters>63035</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Qualifying Investor Aif Application Form Section 1 and 2 </vt:lpstr>
    </vt:vector>
  </TitlesOfParts>
  <Company/>
  <LinksUpToDate>false</LinksUpToDate>
  <CharactersWithSpaces>73946</CharactersWithSpaces>
  <SharedDoc>false</SharedDoc>
  <HLinks>
    <vt:vector size="12" baseType="variant">
      <vt:variant>
        <vt:i4>8126561</vt:i4>
      </vt:variant>
      <vt:variant>
        <vt:i4>3</vt:i4>
      </vt:variant>
      <vt:variant>
        <vt:i4>0</vt:i4>
      </vt:variant>
      <vt:variant>
        <vt:i4>5</vt:i4>
      </vt:variant>
      <vt:variant>
        <vt:lpwstr>http://www.centralbank.ie/fns/privacy-statement</vt:lpwstr>
      </vt:variant>
      <vt:variant>
        <vt:lpwstr/>
      </vt:variant>
      <vt:variant>
        <vt:i4>6553688</vt:i4>
      </vt:variant>
      <vt:variant>
        <vt:i4>0</vt:i4>
      </vt:variant>
      <vt:variant>
        <vt:i4>0</vt:i4>
      </vt:variant>
      <vt:variant>
        <vt:i4>5</vt:i4>
      </vt:variant>
      <vt:variant>
        <vt:lpwstr>mailto:dataprotection@centralbank.ie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Qualifying Investor Aif Application Form Section 1 and 2</dc:title>
  <dc:subject/>
  <dc:creator/>
  <cp:keywords>Public</cp:keywords>
  <cp:lastModifiedBy/>
  <cp:revision>1</cp:revision>
  <dcterms:created xsi:type="dcterms:W3CDTF">2021-11-18T16:48:00Z</dcterms:created>
  <dcterms:modified xsi:type="dcterms:W3CDTF">2021-11-18T16:48:00Z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2e750715-f60b-4681-b1b3-978b28db6864</vt:lpwstr>
  </property>
  <property fmtid="{D5CDD505-2E9C-101B-9397-08002B2CF9AE}" pid="3" name="bjSaver">
    <vt:lpwstr>nvGX0E4X6scdTxTFXGHNS7cIwW6+9niL</vt:lpwstr>
  </property>
  <property fmtid="{D5CDD505-2E9C-101B-9397-08002B2CF9AE}" pid="4" name="_AdHocReviewCycleID">
    <vt:i4>-1593975501</vt:i4>
  </property>
  <property fmtid="{D5CDD505-2E9C-101B-9397-08002B2CF9AE}" pid="5" name="_NewReviewCycle">
    <vt:lpwstr/>
  </property>
  <property fmtid="{D5CDD505-2E9C-101B-9397-08002B2CF9AE}" pid="6" name="_PreviousAdHocReviewCycleID">
    <vt:i4>1879298904</vt:i4>
  </property>
  <property fmtid="{D5CDD505-2E9C-101B-9397-08002B2CF9AE}" pid="7" name="_ReviewingToolsShownOnce">
    <vt:lpwstr/>
  </property>
  <property fmtid="{D5CDD505-2E9C-101B-9397-08002B2CF9AE}" pid="8" name="bjDocumentSecurityLabel">
    <vt:lpwstr>Public</vt:lpwstr>
  </property>
  <property fmtid="{D5CDD505-2E9C-101B-9397-08002B2CF9AE}" pid="9"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0" name="bjDocumentLabelXML-0">
    <vt:lpwstr>ames.com/2008/01/sie/internal/label"&gt;&lt;element uid="33ed6465-8d2f-4fab-bbbc-787e2c148707" value="" /&gt;&lt;element uid="28c775dd-3fa7-40f2-8368-0e7fa48abc25" value="" /&gt;&lt;/sisl&gt;</vt:lpwstr>
  </property>
  <property fmtid="{D5CDD505-2E9C-101B-9397-08002B2CF9AE}" pid="11" name="bjHeaderBothDocProperty">
    <vt:lpwstr> </vt:lpwstr>
  </property>
  <property fmtid="{D5CDD505-2E9C-101B-9397-08002B2CF9AE}" pid="12" name="bjHeaderFirstPageDocProperty">
    <vt:lpwstr> </vt:lpwstr>
  </property>
  <property fmtid="{D5CDD505-2E9C-101B-9397-08002B2CF9AE}" pid="13" name="bjHeaderEvenPageDocProperty">
    <vt:lpwstr> </vt:lpwstr>
  </property>
</Properties>
</file>