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92" w:rsidRPr="00F627B2" w:rsidRDefault="00F8255B">
      <w:pPr>
        <w:spacing w:line="240" w:lineRule="auto"/>
        <w:rPr>
          <w:rFonts w:ascii="Lato" w:hAnsi="Lato"/>
          <w:szCs w:val="22"/>
        </w:rPr>
      </w:pPr>
      <w:bookmarkStart w:id="0" w:name="_GoBack"/>
      <w:bookmarkEnd w:id="0"/>
      <w:r w:rsidRPr="00F627B2">
        <w:rPr>
          <w:rFonts w:ascii="Lato" w:hAnsi="Lato"/>
          <w:szCs w:val="22"/>
        </w:rPr>
        <w:t xml:space="preserve"> </w:t>
      </w: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556CC9" w:rsidRPr="004F01CA" w:rsidRDefault="00556CC9" w:rsidP="00556CC9">
      <w:pPr>
        <w:pStyle w:val="CBCoverSubtitleLightWhite"/>
        <w:rPr>
          <w:rFonts w:ascii="Lato" w:hAnsi="Lato"/>
          <w:b/>
          <w:noProof/>
          <w:lang w:eastAsia="en-IE"/>
        </w:rPr>
      </w:pPr>
      <w:r w:rsidRPr="004F01CA">
        <w:rPr>
          <w:rFonts w:ascii="Lato" w:hAnsi="Lato"/>
          <w:b/>
          <w:noProof/>
          <w:lang w:eastAsia="en-IE"/>
        </w:rPr>
        <w:t xml:space="preserve">Retail Investor AIF Application Form Section 2 </w:t>
      </w:r>
    </w:p>
    <w:p w:rsidR="00556CC9" w:rsidRPr="00A3401E" w:rsidRDefault="00457EA3" w:rsidP="00556CC9">
      <w:pPr>
        <w:pStyle w:val="CBCoverSubtitleLightWhite"/>
        <w:rPr>
          <w:rFonts w:ascii="Lato" w:hAnsi="Lato"/>
        </w:rPr>
      </w:pPr>
      <w:r>
        <w:rPr>
          <w:rFonts w:ascii="Lato" w:hAnsi="Lato"/>
        </w:rPr>
        <w:t xml:space="preserve">December </w:t>
      </w:r>
      <w:r w:rsidR="007B70F5">
        <w:rPr>
          <w:rFonts w:ascii="Lato" w:hAnsi="Lato"/>
        </w:rPr>
        <w:t>2021</w:t>
      </w: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pPr>
    </w:p>
    <w:p w:rsidR="00877692" w:rsidRPr="00F627B2" w:rsidRDefault="00877692">
      <w:pPr>
        <w:spacing w:line="240" w:lineRule="auto"/>
        <w:rPr>
          <w:rFonts w:ascii="Lato" w:hAnsi="Lato"/>
          <w:szCs w:val="22"/>
        </w:rPr>
        <w:sectPr w:rsidR="00877692" w:rsidRPr="00F627B2">
          <w:headerReference w:type="even" r:id="rId10"/>
          <w:headerReference w:type="default" r:id="rId11"/>
          <w:footerReference w:type="even" r:id="rId12"/>
          <w:footerReference w:type="default" r:id="rId13"/>
          <w:headerReference w:type="first" r:id="rId14"/>
          <w:footerReference w:type="first" r:id="rId15"/>
          <w:pgSz w:w="11904" w:h="16834"/>
          <w:pgMar w:top="1440" w:right="1800" w:bottom="1440" w:left="1800" w:header="708" w:footer="708" w:gutter="0"/>
          <w:cols w:space="708"/>
        </w:sectPr>
      </w:pPr>
    </w:p>
    <w:p w:rsidR="00877692" w:rsidRPr="00F627B2" w:rsidRDefault="00877692">
      <w:pPr>
        <w:spacing w:line="240" w:lineRule="auto"/>
        <w:jc w:val="center"/>
        <w:rPr>
          <w:rFonts w:ascii="Lato" w:hAnsi="Lato"/>
          <w:szCs w:val="22"/>
        </w:rPr>
      </w:pPr>
      <w:r w:rsidRPr="00F627B2">
        <w:rPr>
          <w:rFonts w:ascii="Lato" w:hAnsi="Lato"/>
          <w:b/>
          <w:bCs/>
          <w:szCs w:val="22"/>
        </w:rPr>
        <w:lastRenderedPageBreak/>
        <w:t>SECTION 2 –PROSPECTUS</w:t>
      </w:r>
    </w:p>
    <w:p w:rsidR="00877692" w:rsidRPr="00F627B2" w:rsidRDefault="00877692">
      <w:pPr>
        <w:spacing w:line="240" w:lineRule="auto"/>
        <w:jc w:val="center"/>
        <w:rPr>
          <w:rFonts w:ascii="Lato" w:hAnsi="Lato"/>
          <w:b/>
          <w:bCs/>
          <w:szCs w:val="22"/>
        </w:rPr>
      </w:pPr>
      <w:r w:rsidRPr="00F627B2">
        <w:rPr>
          <w:rFonts w:ascii="Lato" w:hAnsi="Lato"/>
          <w:b/>
          <w:bCs/>
          <w:szCs w:val="22"/>
        </w:rPr>
        <w:t>Retail</w:t>
      </w:r>
      <w:r w:rsidR="00B1565D" w:rsidRPr="00F627B2">
        <w:rPr>
          <w:rFonts w:ascii="Lato" w:hAnsi="Lato"/>
          <w:b/>
          <w:bCs/>
          <w:szCs w:val="22"/>
        </w:rPr>
        <w:t xml:space="preserve"> Investor AIF</w:t>
      </w:r>
    </w:p>
    <w:p w:rsidR="00877692" w:rsidRPr="00F627B2" w:rsidRDefault="00877692">
      <w:pPr>
        <w:spacing w:line="240" w:lineRule="auto"/>
        <w:jc w:val="center"/>
        <w:rPr>
          <w:rFonts w:ascii="Lato" w:hAnsi="Lato"/>
          <w:szCs w:val="22"/>
        </w:rPr>
      </w:pPr>
    </w:p>
    <w:p w:rsidR="00877692" w:rsidRPr="00F627B2" w:rsidRDefault="00877692">
      <w:pPr>
        <w:spacing w:line="240" w:lineRule="auto"/>
        <w:ind w:left="-426"/>
        <w:jc w:val="both"/>
        <w:rPr>
          <w:rFonts w:ascii="Lato" w:hAnsi="Lato"/>
          <w:szCs w:val="22"/>
        </w:rPr>
      </w:pPr>
      <w:r w:rsidRPr="00F627B2">
        <w:rPr>
          <w:rFonts w:ascii="Lato" w:hAnsi="Lato"/>
          <w:szCs w:val="22"/>
        </w:rPr>
        <w:t>Where information specified below is not included in the prospectus, this must be clearly explained in the accompanying documentation.</w:t>
      </w:r>
    </w:p>
    <w:p w:rsidR="00877692" w:rsidRPr="00F627B2" w:rsidRDefault="00877692">
      <w:pPr>
        <w:spacing w:line="240" w:lineRule="auto"/>
        <w:ind w:left="-426"/>
        <w:jc w:val="both"/>
        <w:rPr>
          <w:rFonts w:ascii="Lato" w:hAnsi="Lato"/>
          <w:szCs w:val="22"/>
        </w:rPr>
      </w:pPr>
    </w:p>
    <w:p w:rsidR="00877692" w:rsidRPr="00F627B2" w:rsidRDefault="00877692">
      <w:pPr>
        <w:spacing w:line="240" w:lineRule="auto"/>
        <w:ind w:left="-426"/>
        <w:jc w:val="both"/>
        <w:rPr>
          <w:rFonts w:ascii="Lato" w:hAnsi="Lato"/>
          <w:szCs w:val="22"/>
        </w:rPr>
      </w:pPr>
      <w:r w:rsidRPr="00F627B2">
        <w:rPr>
          <w:rFonts w:ascii="Lato" w:hAnsi="Lato"/>
          <w:szCs w:val="22"/>
        </w:rPr>
        <w:t>Please complete the following by inserting the information requested and ticking the applicant column of boxes (to confirm compliance), unless otherwise indicated</w:t>
      </w:r>
    </w:p>
    <w:tbl>
      <w:tblPr>
        <w:tblW w:w="1149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5493"/>
        <w:gridCol w:w="1056"/>
        <w:gridCol w:w="7"/>
        <w:gridCol w:w="57"/>
        <w:gridCol w:w="11"/>
        <w:gridCol w:w="170"/>
        <w:gridCol w:w="373"/>
        <w:gridCol w:w="327"/>
        <w:gridCol w:w="514"/>
        <w:gridCol w:w="430"/>
        <w:gridCol w:w="10"/>
        <w:gridCol w:w="12"/>
        <w:gridCol w:w="12"/>
        <w:gridCol w:w="16"/>
        <w:gridCol w:w="47"/>
        <w:gridCol w:w="153"/>
        <w:gridCol w:w="17"/>
        <w:gridCol w:w="20"/>
        <w:gridCol w:w="20"/>
        <w:gridCol w:w="30"/>
        <w:gridCol w:w="390"/>
        <w:gridCol w:w="144"/>
        <w:gridCol w:w="96"/>
        <w:gridCol w:w="87"/>
        <w:gridCol w:w="9"/>
        <w:gridCol w:w="9"/>
        <w:gridCol w:w="211"/>
        <w:gridCol w:w="11"/>
        <w:gridCol w:w="6"/>
        <w:gridCol w:w="50"/>
        <w:gridCol w:w="11"/>
        <w:gridCol w:w="271"/>
        <w:gridCol w:w="30"/>
        <w:gridCol w:w="71"/>
        <w:gridCol w:w="197"/>
        <w:gridCol w:w="6"/>
        <w:gridCol w:w="9"/>
      </w:tblGrid>
      <w:tr w:rsidR="00AC467B" w:rsidRPr="00F627B2" w:rsidTr="00F627B2">
        <w:trPr>
          <w:gridAfter w:val="5"/>
          <w:wAfter w:w="313" w:type="dxa"/>
          <w:cantSplit/>
          <w:trHeight w:val="1286"/>
        </w:trPr>
        <w:tc>
          <w:tcPr>
            <w:tcW w:w="1107" w:type="dxa"/>
            <w:tcBorders>
              <w:top w:val="nil"/>
              <w:left w:val="nil"/>
              <w:bottom w:val="nil"/>
              <w:right w:val="nil"/>
            </w:tcBorders>
          </w:tcPr>
          <w:p w:rsidR="00877692" w:rsidRPr="00F627B2" w:rsidRDefault="00877692">
            <w:pPr>
              <w:spacing w:line="240" w:lineRule="auto"/>
              <w:rPr>
                <w:rFonts w:ascii="Lato" w:hAnsi="Lato"/>
                <w:szCs w:val="22"/>
              </w:rPr>
            </w:pPr>
          </w:p>
        </w:tc>
        <w:tc>
          <w:tcPr>
            <w:tcW w:w="5493" w:type="dxa"/>
            <w:tcBorders>
              <w:top w:val="nil"/>
              <w:left w:val="nil"/>
              <w:bottom w:val="nil"/>
              <w:right w:val="nil"/>
            </w:tcBorders>
          </w:tcPr>
          <w:p w:rsidR="00877692" w:rsidRPr="00F627B2" w:rsidRDefault="00877692">
            <w:pPr>
              <w:spacing w:line="240" w:lineRule="auto"/>
              <w:rPr>
                <w:rFonts w:ascii="Lato" w:hAnsi="Lato"/>
                <w:szCs w:val="22"/>
              </w:rPr>
            </w:pPr>
          </w:p>
        </w:tc>
        <w:tc>
          <w:tcPr>
            <w:tcW w:w="1063" w:type="dxa"/>
            <w:gridSpan w:val="2"/>
            <w:tcBorders>
              <w:top w:val="nil"/>
              <w:left w:val="nil"/>
              <w:bottom w:val="nil"/>
              <w:right w:val="nil"/>
            </w:tcBorders>
            <w:textDirection w:val="btLr"/>
          </w:tcPr>
          <w:p w:rsidR="00877692" w:rsidRPr="00F627B2" w:rsidRDefault="00877692">
            <w:pPr>
              <w:pStyle w:val="BlockText"/>
              <w:rPr>
                <w:rFonts w:ascii="Lato" w:hAnsi="Lato"/>
                <w:szCs w:val="22"/>
              </w:rPr>
            </w:pPr>
            <w:r w:rsidRPr="00F627B2">
              <w:rPr>
                <w:rFonts w:ascii="Lato" w:hAnsi="Lato"/>
                <w:szCs w:val="22"/>
              </w:rPr>
              <w:t>Applicant</w:t>
            </w:r>
          </w:p>
          <w:p w:rsidR="00877692" w:rsidRPr="00F627B2" w:rsidRDefault="00877692">
            <w:pPr>
              <w:spacing w:line="240" w:lineRule="auto"/>
              <w:ind w:left="113" w:right="113"/>
              <w:rPr>
                <w:rFonts w:ascii="Lato" w:hAnsi="Lato"/>
                <w:szCs w:val="22"/>
              </w:rPr>
            </w:pPr>
          </w:p>
        </w:tc>
        <w:tc>
          <w:tcPr>
            <w:tcW w:w="238" w:type="dxa"/>
            <w:gridSpan w:val="3"/>
            <w:tcBorders>
              <w:top w:val="nil"/>
              <w:left w:val="nil"/>
              <w:bottom w:val="nil"/>
              <w:right w:val="nil"/>
            </w:tcBorders>
            <w:textDirection w:val="btLr"/>
          </w:tcPr>
          <w:p w:rsidR="00877692" w:rsidRPr="00F627B2" w:rsidRDefault="00877692">
            <w:pPr>
              <w:spacing w:line="240" w:lineRule="auto"/>
              <w:ind w:left="113" w:right="113"/>
              <w:rPr>
                <w:rFonts w:ascii="Lato" w:hAnsi="Lato"/>
                <w:szCs w:val="22"/>
              </w:rPr>
            </w:pPr>
          </w:p>
        </w:tc>
        <w:tc>
          <w:tcPr>
            <w:tcW w:w="1644" w:type="dxa"/>
            <w:gridSpan w:val="4"/>
            <w:tcBorders>
              <w:top w:val="nil"/>
              <w:left w:val="nil"/>
              <w:bottom w:val="nil"/>
              <w:right w:val="nil"/>
            </w:tcBorders>
            <w:textDirection w:val="btLr"/>
          </w:tcPr>
          <w:p w:rsidR="00877692" w:rsidRPr="00F627B2" w:rsidRDefault="00877692">
            <w:pPr>
              <w:spacing w:line="240" w:lineRule="auto"/>
              <w:ind w:left="113" w:right="113"/>
              <w:rPr>
                <w:rFonts w:ascii="Lato" w:hAnsi="Lato"/>
                <w:b/>
                <w:bCs/>
                <w:szCs w:val="22"/>
              </w:rPr>
            </w:pPr>
            <w:r w:rsidRPr="00F627B2">
              <w:rPr>
                <w:rFonts w:ascii="Lato" w:hAnsi="Lato"/>
                <w:b/>
                <w:bCs/>
                <w:szCs w:val="22"/>
              </w:rPr>
              <w:t>Applicant</w:t>
            </w:r>
          </w:p>
        </w:tc>
        <w:tc>
          <w:tcPr>
            <w:tcW w:w="250" w:type="dxa"/>
            <w:gridSpan w:val="6"/>
            <w:tcBorders>
              <w:top w:val="nil"/>
              <w:left w:val="nil"/>
              <w:bottom w:val="nil"/>
              <w:right w:val="nil"/>
            </w:tcBorders>
            <w:textDirection w:val="btLr"/>
          </w:tcPr>
          <w:p w:rsidR="00877692" w:rsidRPr="00F627B2" w:rsidRDefault="00877692">
            <w:pPr>
              <w:spacing w:line="240" w:lineRule="auto"/>
              <w:ind w:left="113" w:right="113"/>
              <w:rPr>
                <w:rFonts w:ascii="Lato" w:hAnsi="Lato"/>
                <w:szCs w:val="22"/>
              </w:rPr>
            </w:pPr>
          </w:p>
        </w:tc>
        <w:tc>
          <w:tcPr>
            <w:tcW w:w="477" w:type="dxa"/>
            <w:gridSpan w:val="5"/>
            <w:tcBorders>
              <w:top w:val="nil"/>
              <w:left w:val="nil"/>
              <w:bottom w:val="nil"/>
              <w:right w:val="nil"/>
            </w:tcBorders>
            <w:textDirection w:val="btLr"/>
          </w:tcPr>
          <w:p w:rsidR="00877692" w:rsidRPr="00F627B2" w:rsidRDefault="00877692">
            <w:pPr>
              <w:spacing w:line="240" w:lineRule="auto"/>
              <w:ind w:left="113" w:right="113"/>
              <w:rPr>
                <w:rFonts w:ascii="Lato" w:hAnsi="Lato"/>
                <w:b/>
                <w:bCs/>
                <w:szCs w:val="22"/>
              </w:rPr>
            </w:pPr>
            <w:r w:rsidRPr="00F627B2">
              <w:rPr>
                <w:rFonts w:ascii="Lato" w:hAnsi="Lato"/>
                <w:b/>
                <w:bCs/>
                <w:szCs w:val="22"/>
              </w:rPr>
              <w:t>Applicant</w:t>
            </w:r>
          </w:p>
        </w:tc>
        <w:tc>
          <w:tcPr>
            <w:tcW w:w="240" w:type="dxa"/>
            <w:gridSpan w:val="2"/>
            <w:tcBorders>
              <w:top w:val="nil"/>
              <w:left w:val="nil"/>
              <w:bottom w:val="nil"/>
              <w:right w:val="nil"/>
            </w:tcBorders>
            <w:textDirection w:val="btLr"/>
          </w:tcPr>
          <w:p w:rsidR="00877692" w:rsidRPr="00F627B2" w:rsidRDefault="00877692">
            <w:pPr>
              <w:spacing w:line="240" w:lineRule="auto"/>
              <w:ind w:left="113" w:right="113"/>
              <w:rPr>
                <w:rFonts w:ascii="Lato" w:hAnsi="Lato"/>
                <w:szCs w:val="22"/>
              </w:rPr>
            </w:pPr>
          </w:p>
        </w:tc>
        <w:tc>
          <w:tcPr>
            <w:tcW w:w="665" w:type="dxa"/>
            <w:gridSpan w:val="9"/>
            <w:tcBorders>
              <w:top w:val="nil"/>
              <w:left w:val="nil"/>
              <w:bottom w:val="nil"/>
              <w:right w:val="nil"/>
            </w:tcBorders>
            <w:textDirection w:val="btLr"/>
          </w:tcPr>
          <w:p w:rsidR="00877692" w:rsidRPr="00F627B2" w:rsidRDefault="00877692" w:rsidP="00147897">
            <w:pPr>
              <w:pStyle w:val="Heading7"/>
              <w:jc w:val="center"/>
              <w:rPr>
                <w:rFonts w:ascii="Lato" w:hAnsi="Lato"/>
                <w:szCs w:val="22"/>
              </w:rPr>
            </w:pPr>
          </w:p>
        </w:tc>
      </w:tr>
      <w:tr w:rsidR="00AC467B" w:rsidRPr="00F627B2" w:rsidTr="00F627B2">
        <w:trPr>
          <w:gridAfter w:val="5"/>
          <w:wAfter w:w="313" w:type="dxa"/>
        </w:trPr>
        <w:tc>
          <w:tcPr>
            <w:tcW w:w="1107" w:type="dxa"/>
            <w:tcBorders>
              <w:top w:val="nil"/>
              <w:left w:val="nil"/>
              <w:bottom w:val="single" w:sz="4" w:space="0" w:color="auto"/>
              <w:right w:val="nil"/>
            </w:tcBorders>
          </w:tcPr>
          <w:p w:rsidR="00877692" w:rsidRPr="00F627B2" w:rsidRDefault="00877692">
            <w:pPr>
              <w:spacing w:line="240" w:lineRule="auto"/>
              <w:rPr>
                <w:rFonts w:ascii="Lato" w:hAnsi="Lato"/>
                <w:b/>
                <w:bCs/>
                <w:szCs w:val="22"/>
              </w:rPr>
            </w:pPr>
          </w:p>
        </w:tc>
        <w:tc>
          <w:tcPr>
            <w:tcW w:w="5493" w:type="dxa"/>
            <w:tcBorders>
              <w:top w:val="nil"/>
              <w:left w:val="nil"/>
              <w:bottom w:val="single" w:sz="4" w:space="0" w:color="auto"/>
              <w:right w:val="nil"/>
            </w:tcBorders>
          </w:tcPr>
          <w:p w:rsidR="00877692" w:rsidRPr="00F627B2" w:rsidRDefault="00877692">
            <w:pPr>
              <w:spacing w:line="240" w:lineRule="auto"/>
              <w:rPr>
                <w:rFonts w:ascii="Lato" w:hAnsi="Lato"/>
                <w:b/>
                <w:bCs/>
                <w:szCs w:val="22"/>
              </w:rPr>
            </w:pPr>
          </w:p>
        </w:tc>
        <w:tc>
          <w:tcPr>
            <w:tcW w:w="1063" w:type="dxa"/>
            <w:gridSpan w:val="2"/>
            <w:tcBorders>
              <w:top w:val="nil"/>
              <w:left w:val="nil"/>
              <w:bottom w:val="nil"/>
              <w:right w:val="nil"/>
            </w:tcBorders>
          </w:tcPr>
          <w:p w:rsidR="00877692" w:rsidRPr="00F627B2" w:rsidRDefault="00877692">
            <w:pPr>
              <w:pStyle w:val="Heading8"/>
              <w:rPr>
                <w:rFonts w:ascii="Lato" w:hAnsi="Lato"/>
                <w:sz w:val="22"/>
                <w:szCs w:val="22"/>
              </w:rPr>
            </w:pPr>
            <w:r w:rsidRPr="00F627B2">
              <w:rPr>
                <w:rFonts w:ascii="Lato" w:hAnsi="Lato"/>
                <w:sz w:val="22"/>
                <w:szCs w:val="22"/>
              </w:rPr>
              <w:t>Page</w:t>
            </w:r>
          </w:p>
        </w:tc>
        <w:tc>
          <w:tcPr>
            <w:tcW w:w="238" w:type="dxa"/>
            <w:gridSpan w:val="3"/>
            <w:tcBorders>
              <w:top w:val="nil"/>
              <w:left w:val="nil"/>
              <w:bottom w:val="nil"/>
              <w:right w:val="nil"/>
            </w:tcBorders>
          </w:tcPr>
          <w:p w:rsidR="00877692" w:rsidRPr="00F627B2" w:rsidRDefault="00877692">
            <w:pPr>
              <w:spacing w:line="240" w:lineRule="auto"/>
              <w:rPr>
                <w:rFonts w:ascii="Lato" w:hAnsi="Lato"/>
                <w:b/>
                <w:bCs/>
                <w:szCs w:val="22"/>
              </w:rPr>
            </w:pPr>
          </w:p>
        </w:tc>
        <w:tc>
          <w:tcPr>
            <w:tcW w:w="1644" w:type="dxa"/>
            <w:gridSpan w:val="4"/>
            <w:tcBorders>
              <w:top w:val="nil"/>
              <w:left w:val="nil"/>
              <w:bottom w:val="nil"/>
              <w:right w:val="nil"/>
            </w:tcBorders>
          </w:tcPr>
          <w:p w:rsidR="00877692" w:rsidRPr="00F627B2" w:rsidRDefault="00877692">
            <w:pPr>
              <w:spacing w:line="240" w:lineRule="auto"/>
              <w:rPr>
                <w:rFonts w:ascii="Lato" w:hAnsi="Lato"/>
                <w:b/>
                <w:bCs/>
                <w:szCs w:val="22"/>
              </w:rPr>
            </w:pPr>
            <w:r w:rsidRPr="00F627B2">
              <w:rPr>
                <w:rFonts w:ascii="Lato" w:hAnsi="Lato"/>
                <w:b/>
                <w:bCs/>
                <w:szCs w:val="22"/>
              </w:rPr>
              <w:t>Paragraph</w:t>
            </w:r>
          </w:p>
        </w:tc>
        <w:tc>
          <w:tcPr>
            <w:tcW w:w="250" w:type="dxa"/>
            <w:gridSpan w:val="6"/>
            <w:tcBorders>
              <w:top w:val="nil"/>
              <w:left w:val="nil"/>
              <w:bottom w:val="nil"/>
              <w:right w:val="nil"/>
            </w:tcBorders>
          </w:tcPr>
          <w:p w:rsidR="00877692" w:rsidRPr="00F627B2" w:rsidRDefault="00877692">
            <w:pPr>
              <w:spacing w:line="240" w:lineRule="auto"/>
              <w:rPr>
                <w:rFonts w:ascii="Lato" w:hAnsi="Lato"/>
                <w:b/>
                <w:bCs/>
                <w:szCs w:val="22"/>
              </w:rPr>
            </w:pPr>
          </w:p>
        </w:tc>
        <w:tc>
          <w:tcPr>
            <w:tcW w:w="477" w:type="dxa"/>
            <w:gridSpan w:val="5"/>
            <w:tcBorders>
              <w:top w:val="nil"/>
              <w:left w:val="nil"/>
              <w:bottom w:val="nil"/>
              <w:right w:val="nil"/>
            </w:tcBorders>
          </w:tcPr>
          <w:p w:rsidR="00877692" w:rsidRPr="00F627B2" w:rsidRDefault="00877692">
            <w:pPr>
              <w:spacing w:line="240" w:lineRule="auto"/>
              <w:rPr>
                <w:rFonts w:ascii="Lato" w:hAnsi="Lato"/>
                <w:b/>
                <w:bCs/>
                <w:szCs w:val="22"/>
              </w:rPr>
            </w:pPr>
          </w:p>
        </w:tc>
        <w:tc>
          <w:tcPr>
            <w:tcW w:w="240" w:type="dxa"/>
            <w:gridSpan w:val="2"/>
            <w:tcBorders>
              <w:top w:val="nil"/>
              <w:left w:val="nil"/>
              <w:bottom w:val="nil"/>
              <w:right w:val="nil"/>
            </w:tcBorders>
          </w:tcPr>
          <w:p w:rsidR="00877692" w:rsidRPr="00F627B2" w:rsidRDefault="00877692">
            <w:pPr>
              <w:spacing w:line="240" w:lineRule="auto"/>
              <w:rPr>
                <w:rFonts w:ascii="Lato" w:hAnsi="Lato"/>
                <w:b/>
                <w:bCs/>
                <w:szCs w:val="22"/>
              </w:rPr>
            </w:pPr>
          </w:p>
        </w:tc>
        <w:tc>
          <w:tcPr>
            <w:tcW w:w="665" w:type="dxa"/>
            <w:gridSpan w:val="9"/>
            <w:tcBorders>
              <w:top w:val="nil"/>
              <w:left w:val="nil"/>
              <w:bottom w:val="nil"/>
              <w:right w:val="nil"/>
            </w:tcBorders>
          </w:tcPr>
          <w:p w:rsidR="00877692" w:rsidRPr="00F627B2" w:rsidRDefault="00877692">
            <w:pPr>
              <w:spacing w:line="240" w:lineRule="auto"/>
              <w:rPr>
                <w:rFonts w:ascii="Lato" w:hAnsi="Lato"/>
                <w:b/>
                <w:bCs/>
                <w:szCs w:val="22"/>
              </w:rPr>
            </w:pPr>
          </w:p>
        </w:tc>
      </w:tr>
      <w:tr w:rsidR="00AC467B" w:rsidRPr="00F627B2" w:rsidTr="00F627B2">
        <w:trPr>
          <w:gridAfter w:val="5"/>
          <w:wAfter w:w="313" w:type="dxa"/>
        </w:trPr>
        <w:tc>
          <w:tcPr>
            <w:tcW w:w="1107" w:type="dxa"/>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r w:rsidRPr="00F627B2">
              <w:rPr>
                <w:rFonts w:ascii="Lato" w:hAnsi="Lato"/>
                <w:szCs w:val="22"/>
              </w:rPr>
              <w:t>2.1</w:t>
            </w:r>
          </w:p>
        </w:tc>
        <w:tc>
          <w:tcPr>
            <w:tcW w:w="5493" w:type="dxa"/>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r w:rsidRPr="00F627B2">
              <w:rPr>
                <w:rFonts w:ascii="Lato" w:hAnsi="Lato"/>
                <w:szCs w:val="22"/>
              </w:rPr>
              <w:t xml:space="preserve">Information concerning the </w:t>
            </w:r>
            <w:r w:rsidR="00B42709" w:rsidRPr="00F627B2">
              <w:rPr>
                <w:rFonts w:ascii="Lato" w:hAnsi="Lato"/>
                <w:szCs w:val="22"/>
              </w:rPr>
              <w:t>R</w:t>
            </w:r>
            <w:r w:rsidR="007D05C6" w:rsidRPr="00F627B2">
              <w:rPr>
                <w:rFonts w:ascii="Lato" w:hAnsi="Lato"/>
                <w:szCs w:val="22"/>
              </w:rPr>
              <w:t xml:space="preserve">etail </w:t>
            </w:r>
            <w:r w:rsidR="00B42709" w:rsidRPr="00F627B2">
              <w:rPr>
                <w:rFonts w:ascii="Lato" w:hAnsi="Lato"/>
                <w:szCs w:val="22"/>
              </w:rPr>
              <w:t>I</w:t>
            </w:r>
            <w:r w:rsidR="007D05C6" w:rsidRPr="00F627B2">
              <w:rPr>
                <w:rFonts w:ascii="Lato" w:hAnsi="Lato"/>
                <w:szCs w:val="22"/>
              </w:rPr>
              <w:t xml:space="preserve">nvestor </w:t>
            </w:r>
            <w:r w:rsidR="00B42709" w:rsidRPr="00F627B2">
              <w:rPr>
                <w:rFonts w:ascii="Lato" w:hAnsi="Lato"/>
                <w:szCs w:val="22"/>
              </w:rPr>
              <w:t>AIF</w:t>
            </w:r>
          </w:p>
        </w:tc>
        <w:tc>
          <w:tcPr>
            <w:tcW w:w="1063" w:type="dxa"/>
            <w:gridSpan w:val="2"/>
            <w:tcBorders>
              <w:top w:val="nil"/>
              <w:left w:val="single" w:sz="4" w:space="0" w:color="auto"/>
              <w:bottom w:val="nil"/>
              <w:right w:val="nil"/>
            </w:tcBorders>
          </w:tcPr>
          <w:p w:rsidR="00877692" w:rsidRPr="00F627B2" w:rsidRDefault="00877692">
            <w:pPr>
              <w:spacing w:line="240" w:lineRule="auto"/>
              <w:rPr>
                <w:rFonts w:ascii="Lato" w:hAnsi="Lato"/>
                <w:szCs w:val="22"/>
              </w:rPr>
            </w:pPr>
          </w:p>
        </w:tc>
        <w:tc>
          <w:tcPr>
            <w:tcW w:w="238"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1644" w:type="dxa"/>
            <w:gridSpan w:val="4"/>
            <w:tcBorders>
              <w:top w:val="nil"/>
              <w:left w:val="nil"/>
              <w:bottom w:val="nil"/>
              <w:right w:val="nil"/>
            </w:tcBorders>
          </w:tcPr>
          <w:p w:rsidR="00877692" w:rsidRPr="00F627B2" w:rsidRDefault="00877692">
            <w:pPr>
              <w:spacing w:line="240" w:lineRule="auto"/>
              <w:rPr>
                <w:rFonts w:ascii="Lato" w:hAnsi="Lato"/>
                <w:szCs w:val="22"/>
              </w:rPr>
            </w:pPr>
          </w:p>
        </w:tc>
        <w:tc>
          <w:tcPr>
            <w:tcW w:w="250" w:type="dxa"/>
            <w:gridSpan w:val="6"/>
            <w:tcBorders>
              <w:top w:val="nil"/>
              <w:left w:val="nil"/>
              <w:bottom w:val="nil"/>
              <w:right w:val="nil"/>
            </w:tcBorders>
          </w:tcPr>
          <w:p w:rsidR="00877692" w:rsidRPr="00F627B2" w:rsidRDefault="00877692">
            <w:pPr>
              <w:spacing w:line="240" w:lineRule="auto"/>
              <w:rPr>
                <w:rFonts w:ascii="Lato" w:hAnsi="Lato"/>
                <w:szCs w:val="22"/>
              </w:rPr>
            </w:pPr>
          </w:p>
        </w:tc>
        <w:tc>
          <w:tcPr>
            <w:tcW w:w="477" w:type="dxa"/>
            <w:gridSpan w:val="5"/>
            <w:tcBorders>
              <w:top w:val="nil"/>
              <w:left w:val="nil"/>
              <w:bottom w:val="nil"/>
              <w:right w:val="nil"/>
            </w:tcBorders>
          </w:tcPr>
          <w:p w:rsidR="00877692" w:rsidRPr="00F627B2" w:rsidRDefault="00877692">
            <w:pPr>
              <w:spacing w:line="240" w:lineRule="auto"/>
              <w:rPr>
                <w:rFonts w:ascii="Lato" w:hAnsi="Lato"/>
                <w:szCs w:val="22"/>
              </w:rPr>
            </w:pPr>
          </w:p>
        </w:tc>
        <w:tc>
          <w:tcPr>
            <w:tcW w:w="240"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665" w:type="dxa"/>
            <w:gridSpan w:val="9"/>
            <w:tcBorders>
              <w:top w:val="nil"/>
              <w:left w:val="nil"/>
              <w:bottom w:val="nil"/>
              <w:right w:val="nil"/>
            </w:tcBorders>
          </w:tcPr>
          <w:p w:rsidR="00877692" w:rsidRPr="00F627B2" w:rsidRDefault="00877692">
            <w:pPr>
              <w:spacing w:line="240" w:lineRule="auto"/>
              <w:rPr>
                <w:rFonts w:ascii="Lato" w:hAnsi="Lato"/>
                <w:szCs w:val="22"/>
              </w:rPr>
            </w:pPr>
          </w:p>
        </w:tc>
      </w:tr>
      <w:tr w:rsidR="00AC467B" w:rsidRPr="00F627B2" w:rsidTr="00F627B2">
        <w:trPr>
          <w:gridAfter w:val="5"/>
          <w:wAfter w:w="313" w:type="dxa"/>
        </w:trPr>
        <w:tc>
          <w:tcPr>
            <w:tcW w:w="1107" w:type="dxa"/>
            <w:tcBorders>
              <w:top w:val="single" w:sz="4" w:space="0" w:color="auto"/>
              <w:left w:val="nil"/>
              <w:bottom w:val="nil"/>
              <w:right w:val="nil"/>
            </w:tcBorders>
          </w:tcPr>
          <w:p w:rsidR="00877692" w:rsidRPr="00F627B2" w:rsidRDefault="00877692">
            <w:pPr>
              <w:spacing w:line="240" w:lineRule="auto"/>
              <w:rPr>
                <w:rFonts w:ascii="Lato" w:hAnsi="Lato"/>
                <w:szCs w:val="22"/>
              </w:rPr>
            </w:pPr>
          </w:p>
        </w:tc>
        <w:tc>
          <w:tcPr>
            <w:tcW w:w="5493" w:type="dxa"/>
            <w:tcBorders>
              <w:top w:val="single" w:sz="4" w:space="0" w:color="auto"/>
              <w:left w:val="nil"/>
              <w:bottom w:val="nil"/>
              <w:right w:val="nil"/>
            </w:tcBorders>
          </w:tcPr>
          <w:p w:rsidR="00877692" w:rsidRPr="00F627B2" w:rsidRDefault="00877692">
            <w:pPr>
              <w:spacing w:line="240" w:lineRule="auto"/>
              <w:rPr>
                <w:rFonts w:ascii="Lato" w:hAnsi="Lato"/>
                <w:b/>
                <w:bCs/>
                <w:szCs w:val="22"/>
              </w:rPr>
            </w:pPr>
          </w:p>
        </w:tc>
        <w:tc>
          <w:tcPr>
            <w:tcW w:w="1063"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238"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1644" w:type="dxa"/>
            <w:gridSpan w:val="4"/>
            <w:tcBorders>
              <w:top w:val="nil"/>
              <w:left w:val="nil"/>
              <w:bottom w:val="nil"/>
              <w:right w:val="nil"/>
            </w:tcBorders>
          </w:tcPr>
          <w:p w:rsidR="00877692" w:rsidRPr="00F627B2" w:rsidRDefault="00877692">
            <w:pPr>
              <w:spacing w:line="240" w:lineRule="auto"/>
              <w:rPr>
                <w:rFonts w:ascii="Lato" w:hAnsi="Lato"/>
                <w:szCs w:val="22"/>
              </w:rPr>
            </w:pPr>
          </w:p>
        </w:tc>
        <w:tc>
          <w:tcPr>
            <w:tcW w:w="250" w:type="dxa"/>
            <w:gridSpan w:val="6"/>
            <w:tcBorders>
              <w:top w:val="nil"/>
              <w:left w:val="nil"/>
              <w:bottom w:val="nil"/>
              <w:right w:val="nil"/>
            </w:tcBorders>
          </w:tcPr>
          <w:p w:rsidR="00877692" w:rsidRPr="00F627B2" w:rsidRDefault="00877692">
            <w:pPr>
              <w:spacing w:line="240" w:lineRule="auto"/>
              <w:rPr>
                <w:rFonts w:ascii="Lato" w:hAnsi="Lato"/>
                <w:szCs w:val="22"/>
              </w:rPr>
            </w:pPr>
          </w:p>
        </w:tc>
        <w:tc>
          <w:tcPr>
            <w:tcW w:w="477" w:type="dxa"/>
            <w:gridSpan w:val="5"/>
            <w:tcBorders>
              <w:top w:val="nil"/>
              <w:left w:val="nil"/>
              <w:bottom w:val="nil"/>
              <w:right w:val="nil"/>
            </w:tcBorders>
          </w:tcPr>
          <w:p w:rsidR="00877692" w:rsidRPr="00F627B2" w:rsidRDefault="00877692">
            <w:pPr>
              <w:spacing w:line="240" w:lineRule="auto"/>
              <w:rPr>
                <w:rFonts w:ascii="Lato" w:hAnsi="Lato"/>
                <w:szCs w:val="22"/>
              </w:rPr>
            </w:pPr>
          </w:p>
        </w:tc>
        <w:tc>
          <w:tcPr>
            <w:tcW w:w="240"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665" w:type="dxa"/>
            <w:gridSpan w:val="9"/>
            <w:tcBorders>
              <w:top w:val="nil"/>
              <w:left w:val="nil"/>
              <w:bottom w:val="nil"/>
              <w:right w:val="nil"/>
            </w:tcBorders>
          </w:tcPr>
          <w:p w:rsidR="00877692" w:rsidRPr="00F627B2" w:rsidRDefault="00877692">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p>
        </w:tc>
        <w:tc>
          <w:tcPr>
            <w:tcW w:w="5493" w:type="dxa"/>
            <w:tcBorders>
              <w:top w:val="nil"/>
              <w:left w:val="nil"/>
              <w:bottom w:val="nil"/>
              <w:right w:val="nil"/>
            </w:tcBorders>
          </w:tcPr>
          <w:p w:rsidR="00877692" w:rsidRPr="00F627B2" w:rsidRDefault="00877692">
            <w:pPr>
              <w:spacing w:line="240" w:lineRule="auto"/>
              <w:rPr>
                <w:rFonts w:ascii="Lato" w:hAnsi="Lato"/>
                <w:szCs w:val="22"/>
              </w:rPr>
            </w:pPr>
            <w:r w:rsidRPr="00F627B2">
              <w:rPr>
                <w:rFonts w:ascii="Lato" w:hAnsi="Lato"/>
                <w:szCs w:val="22"/>
              </w:rPr>
              <w:t>Disclose:</w:t>
            </w:r>
          </w:p>
        </w:tc>
        <w:tc>
          <w:tcPr>
            <w:tcW w:w="1063" w:type="dxa"/>
            <w:gridSpan w:val="2"/>
            <w:tcBorders>
              <w:top w:val="nil"/>
              <w:left w:val="nil"/>
              <w:bottom w:val="single" w:sz="4" w:space="0" w:color="auto"/>
              <w:right w:val="nil"/>
            </w:tcBorders>
          </w:tcPr>
          <w:p w:rsidR="00877692" w:rsidRPr="00F627B2" w:rsidRDefault="00877692">
            <w:pPr>
              <w:spacing w:line="240" w:lineRule="auto"/>
              <w:rPr>
                <w:rFonts w:ascii="Lato" w:hAnsi="Lato"/>
                <w:szCs w:val="22"/>
              </w:rPr>
            </w:pPr>
          </w:p>
        </w:tc>
        <w:tc>
          <w:tcPr>
            <w:tcW w:w="238"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1644" w:type="dxa"/>
            <w:gridSpan w:val="4"/>
            <w:tcBorders>
              <w:top w:val="nil"/>
              <w:left w:val="nil"/>
              <w:bottom w:val="single" w:sz="4" w:space="0" w:color="auto"/>
              <w:right w:val="nil"/>
            </w:tcBorders>
          </w:tcPr>
          <w:p w:rsidR="00877692" w:rsidRPr="00F627B2" w:rsidRDefault="00877692">
            <w:pPr>
              <w:spacing w:line="240" w:lineRule="auto"/>
              <w:rPr>
                <w:rFonts w:ascii="Lato" w:hAnsi="Lato"/>
                <w:szCs w:val="22"/>
              </w:rPr>
            </w:pPr>
          </w:p>
        </w:tc>
        <w:tc>
          <w:tcPr>
            <w:tcW w:w="250" w:type="dxa"/>
            <w:gridSpan w:val="6"/>
            <w:tcBorders>
              <w:top w:val="nil"/>
              <w:left w:val="nil"/>
              <w:bottom w:val="nil"/>
              <w:right w:val="nil"/>
            </w:tcBorders>
          </w:tcPr>
          <w:p w:rsidR="00877692" w:rsidRPr="00F627B2" w:rsidRDefault="00877692">
            <w:pPr>
              <w:spacing w:line="240" w:lineRule="auto"/>
              <w:rPr>
                <w:rFonts w:ascii="Lato" w:hAnsi="Lato"/>
                <w:szCs w:val="22"/>
              </w:rPr>
            </w:pPr>
          </w:p>
        </w:tc>
        <w:tc>
          <w:tcPr>
            <w:tcW w:w="477" w:type="dxa"/>
            <w:gridSpan w:val="5"/>
            <w:tcBorders>
              <w:top w:val="nil"/>
              <w:left w:val="nil"/>
              <w:bottom w:val="single" w:sz="4" w:space="0" w:color="auto"/>
              <w:right w:val="nil"/>
            </w:tcBorders>
          </w:tcPr>
          <w:p w:rsidR="00877692" w:rsidRPr="00F627B2" w:rsidRDefault="00877692">
            <w:pPr>
              <w:spacing w:line="240" w:lineRule="auto"/>
              <w:rPr>
                <w:rFonts w:ascii="Lato" w:hAnsi="Lato"/>
                <w:szCs w:val="22"/>
              </w:rPr>
            </w:pPr>
          </w:p>
        </w:tc>
        <w:tc>
          <w:tcPr>
            <w:tcW w:w="240"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665" w:type="dxa"/>
            <w:gridSpan w:val="9"/>
            <w:tcBorders>
              <w:top w:val="nil"/>
              <w:left w:val="nil"/>
              <w:bottom w:val="nil"/>
              <w:right w:val="nil"/>
            </w:tcBorders>
          </w:tcPr>
          <w:p w:rsidR="00877692" w:rsidRPr="00F627B2" w:rsidRDefault="00877692">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r w:rsidRPr="00F627B2">
              <w:rPr>
                <w:rFonts w:ascii="Lato" w:hAnsi="Lato"/>
                <w:szCs w:val="22"/>
              </w:rPr>
              <w:t>2.1.1</w:t>
            </w:r>
          </w:p>
        </w:tc>
        <w:tc>
          <w:tcPr>
            <w:tcW w:w="5493" w:type="dxa"/>
            <w:tcBorders>
              <w:top w:val="nil"/>
              <w:left w:val="nil"/>
              <w:bottom w:val="nil"/>
              <w:right w:val="single" w:sz="4" w:space="0" w:color="auto"/>
            </w:tcBorders>
          </w:tcPr>
          <w:p w:rsidR="00877692" w:rsidRPr="00F627B2" w:rsidRDefault="00877692" w:rsidP="007D05C6">
            <w:pPr>
              <w:spacing w:line="240" w:lineRule="auto"/>
              <w:rPr>
                <w:rFonts w:ascii="Lato" w:hAnsi="Lato"/>
                <w:szCs w:val="22"/>
              </w:rPr>
            </w:pPr>
            <w:r w:rsidRPr="00F627B2">
              <w:rPr>
                <w:rFonts w:ascii="Lato" w:hAnsi="Lato"/>
                <w:szCs w:val="22"/>
              </w:rPr>
              <w:t xml:space="preserve">Name of </w:t>
            </w:r>
            <w:r w:rsidR="00221423" w:rsidRPr="00F627B2">
              <w:rPr>
                <w:rFonts w:ascii="Lato" w:hAnsi="Lato"/>
                <w:szCs w:val="22"/>
              </w:rPr>
              <w:t>R</w:t>
            </w:r>
            <w:r w:rsidR="007D05C6" w:rsidRPr="00F627B2">
              <w:rPr>
                <w:rFonts w:ascii="Lato" w:hAnsi="Lato"/>
                <w:szCs w:val="22"/>
              </w:rPr>
              <w:t xml:space="preserve">etail Investor </w:t>
            </w:r>
            <w:r w:rsidR="00221423" w:rsidRPr="00F627B2">
              <w:rPr>
                <w:rFonts w:ascii="Lato" w:hAnsi="Lato"/>
                <w:szCs w:val="22"/>
              </w:rPr>
              <w:t>AIF</w:t>
            </w:r>
          </w:p>
        </w:tc>
        <w:tc>
          <w:tcPr>
            <w:tcW w:w="1063"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8" w:type="dxa"/>
            <w:gridSpan w:val="3"/>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1644" w:type="dxa"/>
            <w:gridSpan w:val="4"/>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40" w:type="dxa"/>
            <w:gridSpan w:val="2"/>
            <w:tcBorders>
              <w:top w:val="nil"/>
              <w:left w:val="single" w:sz="4" w:space="0" w:color="auto"/>
              <w:bottom w:val="nil"/>
              <w:right w:val="nil"/>
            </w:tcBorders>
          </w:tcPr>
          <w:p w:rsidR="00877692" w:rsidRPr="00F627B2" w:rsidRDefault="00877692">
            <w:pPr>
              <w:spacing w:line="240" w:lineRule="auto"/>
              <w:rPr>
                <w:rFonts w:ascii="Lato" w:hAnsi="Lato"/>
                <w:szCs w:val="22"/>
              </w:rPr>
            </w:pPr>
          </w:p>
        </w:tc>
        <w:tc>
          <w:tcPr>
            <w:tcW w:w="665" w:type="dxa"/>
            <w:gridSpan w:val="9"/>
            <w:tcBorders>
              <w:top w:val="nil"/>
              <w:left w:val="nil"/>
              <w:bottom w:val="nil"/>
              <w:right w:val="nil"/>
            </w:tcBorders>
          </w:tcPr>
          <w:p w:rsidR="00877692" w:rsidRPr="00F627B2" w:rsidRDefault="00877692">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p>
        </w:tc>
        <w:tc>
          <w:tcPr>
            <w:tcW w:w="5493" w:type="dxa"/>
            <w:tcBorders>
              <w:top w:val="nil"/>
              <w:left w:val="nil"/>
              <w:bottom w:val="nil"/>
              <w:right w:val="nil"/>
            </w:tcBorders>
          </w:tcPr>
          <w:p w:rsidR="00877692" w:rsidRPr="00F627B2" w:rsidRDefault="00877692">
            <w:pPr>
              <w:spacing w:line="240" w:lineRule="auto"/>
              <w:rPr>
                <w:rFonts w:ascii="Lato" w:hAnsi="Lato"/>
                <w:szCs w:val="22"/>
              </w:rPr>
            </w:pPr>
          </w:p>
        </w:tc>
        <w:tc>
          <w:tcPr>
            <w:tcW w:w="1063" w:type="dxa"/>
            <w:gridSpan w:val="2"/>
            <w:tcBorders>
              <w:top w:val="single" w:sz="4" w:space="0" w:color="auto"/>
              <w:left w:val="nil"/>
              <w:bottom w:val="single" w:sz="4" w:space="0" w:color="auto"/>
              <w:right w:val="nil"/>
            </w:tcBorders>
          </w:tcPr>
          <w:p w:rsidR="00877692" w:rsidRPr="00F627B2" w:rsidRDefault="00877692">
            <w:pPr>
              <w:spacing w:line="240" w:lineRule="auto"/>
              <w:rPr>
                <w:rFonts w:ascii="Lato" w:hAnsi="Lato"/>
                <w:szCs w:val="22"/>
              </w:rPr>
            </w:pPr>
          </w:p>
        </w:tc>
        <w:tc>
          <w:tcPr>
            <w:tcW w:w="238"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1644" w:type="dxa"/>
            <w:gridSpan w:val="4"/>
            <w:tcBorders>
              <w:top w:val="single" w:sz="4" w:space="0" w:color="auto"/>
              <w:left w:val="nil"/>
              <w:bottom w:val="single" w:sz="4" w:space="0" w:color="auto"/>
              <w:right w:val="nil"/>
            </w:tcBorders>
          </w:tcPr>
          <w:p w:rsidR="00877692" w:rsidRPr="00F627B2" w:rsidRDefault="00877692">
            <w:pPr>
              <w:spacing w:line="240" w:lineRule="auto"/>
              <w:rPr>
                <w:rFonts w:ascii="Lato" w:hAnsi="Lato"/>
                <w:szCs w:val="22"/>
              </w:rPr>
            </w:pPr>
          </w:p>
        </w:tc>
        <w:tc>
          <w:tcPr>
            <w:tcW w:w="250" w:type="dxa"/>
            <w:gridSpan w:val="6"/>
            <w:tcBorders>
              <w:top w:val="nil"/>
              <w:left w:val="nil"/>
              <w:bottom w:val="nil"/>
              <w:right w:val="nil"/>
            </w:tcBorders>
          </w:tcPr>
          <w:p w:rsidR="00877692" w:rsidRPr="00F627B2" w:rsidRDefault="00877692">
            <w:pPr>
              <w:spacing w:line="240" w:lineRule="auto"/>
              <w:rPr>
                <w:rFonts w:ascii="Lato" w:hAnsi="Lato"/>
                <w:szCs w:val="22"/>
              </w:rPr>
            </w:pPr>
          </w:p>
        </w:tc>
        <w:tc>
          <w:tcPr>
            <w:tcW w:w="477" w:type="dxa"/>
            <w:gridSpan w:val="5"/>
            <w:tcBorders>
              <w:top w:val="single" w:sz="4" w:space="0" w:color="auto"/>
              <w:left w:val="nil"/>
              <w:bottom w:val="single" w:sz="4" w:space="0" w:color="auto"/>
              <w:right w:val="nil"/>
            </w:tcBorders>
          </w:tcPr>
          <w:p w:rsidR="00877692" w:rsidRPr="00F627B2" w:rsidRDefault="00877692">
            <w:pPr>
              <w:spacing w:line="240" w:lineRule="auto"/>
              <w:rPr>
                <w:rFonts w:ascii="Lato" w:hAnsi="Lato"/>
                <w:szCs w:val="22"/>
              </w:rPr>
            </w:pPr>
          </w:p>
        </w:tc>
        <w:tc>
          <w:tcPr>
            <w:tcW w:w="240"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665" w:type="dxa"/>
            <w:gridSpan w:val="9"/>
            <w:tcBorders>
              <w:top w:val="nil"/>
              <w:left w:val="nil"/>
              <w:bottom w:val="nil"/>
              <w:right w:val="nil"/>
            </w:tcBorders>
          </w:tcPr>
          <w:p w:rsidR="00877692" w:rsidRPr="00F627B2" w:rsidRDefault="00877692">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r w:rsidRPr="00F627B2">
              <w:rPr>
                <w:rFonts w:ascii="Lato" w:hAnsi="Lato"/>
                <w:szCs w:val="22"/>
              </w:rPr>
              <w:t>2.1.2</w:t>
            </w:r>
          </w:p>
        </w:tc>
        <w:tc>
          <w:tcPr>
            <w:tcW w:w="5493" w:type="dxa"/>
            <w:tcBorders>
              <w:top w:val="nil"/>
              <w:left w:val="nil"/>
              <w:bottom w:val="nil"/>
              <w:right w:val="single" w:sz="4" w:space="0" w:color="auto"/>
            </w:tcBorders>
          </w:tcPr>
          <w:p w:rsidR="00877692" w:rsidRPr="00F627B2" w:rsidRDefault="00877692" w:rsidP="0068485A">
            <w:pPr>
              <w:spacing w:line="240" w:lineRule="auto"/>
              <w:rPr>
                <w:rFonts w:ascii="Lato" w:hAnsi="Lato"/>
                <w:szCs w:val="22"/>
              </w:rPr>
            </w:pPr>
            <w:r w:rsidRPr="00F627B2">
              <w:rPr>
                <w:rFonts w:ascii="Lato" w:hAnsi="Lato"/>
                <w:szCs w:val="22"/>
              </w:rPr>
              <w:t xml:space="preserve">Form in Law on cover page (tick as </w:t>
            </w:r>
          </w:p>
        </w:tc>
        <w:tc>
          <w:tcPr>
            <w:tcW w:w="1063"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8" w:type="dxa"/>
            <w:gridSpan w:val="3"/>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1644" w:type="dxa"/>
            <w:gridSpan w:val="4"/>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40" w:type="dxa"/>
            <w:gridSpan w:val="2"/>
            <w:tcBorders>
              <w:top w:val="nil"/>
              <w:left w:val="single" w:sz="4" w:space="0" w:color="auto"/>
              <w:bottom w:val="nil"/>
              <w:right w:val="nil"/>
            </w:tcBorders>
          </w:tcPr>
          <w:p w:rsidR="00877692" w:rsidRPr="00F627B2" w:rsidRDefault="00877692">
            <w:pPr>
              <w:spacing w:line="240" w:lineRule="auto"/>
              <w:rPr>
                <w:rFonts w:ascii="Lato" w:hAnsi="Lato"/>
                <w:szCs w:val="22"/>
              </w:rPr>
            </w:pPr>
          </w:p>
        </w:tc>
        <w:tc>
          <w:tcPr>
            <w:tcW w:w="665" w:type="dxa"/>
            <w:gridSpan w:val="9"/>
            <w:tcBorders>
              <w:top w:val="nil"/>
              <w:left w:val="nil"/>
              <w:bottom w:val="nil"/>
              <w:right w:val="nil"/>
            </w:tcBorders>
          </w:tcPr>
          <w:p w:rsidR="00877692" w:rsidRPr="00F627B2" w:rsidRDefault="00877692">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68485A" w:rsidRPr="00F627B2" w:rsidRDefault="0068485A">
            <w:pPr>
              <w:spacing w:line="240" w:lineRule="auto"/>
              <w:rPr>
                <w:rFonts w:ascii="Lato" w:hAnsi="Lato"/>
                <w:szCs w:val="22"/>
              </w:rPr>
            </w:pPr>
          </w:p>
        </w:tc>
        <w:tc>
          <w:tcPr>
            <w:tcW w:w="5493" w:type="dxa"/>
            <w:tcBorders>
              <w:top w:val="nil"/>
              <w:left w:val="nil"/>
              <w:bottom w:val="nil"/>
              <w:right w:val="nil"/>
            </w:tcBorders>
          </w:tcPr>
          <w:p w:rsidR="0068485A" w:rsidRPr="00F627B2" w:rsidRDefault="0068485A">
            <w:pPr>
              <w:spacing w:line="240" w:lineRule="auto"/>
              <w:rPr>
                <w:rFonts w:ascii="Lato" w:hAnsi="Lato"/>
                <w:szCs w:val="22"/>
              </w:rPr>
            </w:pPr>
            <w:r w:rsidRPr="00F627B2">
              <w:rPr>
                <w:rFonts w:ascii="Lato" w:hAnsi="Lato"/>
                <w:szCs w:val="22"/>
              </w:rPr>
              <w:t>appropriate)</w:t>
            </w:r>
          </w:p>
        </w:tc>
        <w:tc>
          <w:tcPr>
            <w:tcW w:w="1063" w:type="dxa"/>
            <w:gridSpan w:val="2"/>
            <w:tcBorders>
              <w:top w:val="single" w:sz="4" w:space="0" w:color="auto"/>
              <w:left w:val="nil"/>
              <w:bottom w:val="nil"/>
              <w:right w:val="nil"/>
            </w:tcBorders>
          </w:tcPr>
          <w:p w:rsidR="0068485A" w:rsidRPr="00F627B2" w:rsidRDefault="0068485A">
            <w:pPr>
              <w:spacing w:line="240" w:lineRule="auto"/>
              <w:rPr>
                <w:rFonts w:ascii="Lato" w:hAnsi="Lato"/>
                <w:szCs w:val="22"/>
              </w:rPr>
            </w:pPr>
          </w:p>
        </w:tc>
        <w:tc>
          <w:tcPr>
            <w:tcW w:w="238" w:type="dxa"/>
            <w:gridSpan w:val="3"/>
            <w:tcBorders>
              <w:top w:val="nil"/>
              <w:left w:val="nil"/>
              <w:bottom w:val="nil"/>
              <w:right w:val="nil"/>
            </w:tcBorders>
          </w:tcPr>
          <w:p w:rsidR="0068485A" w:rsidRPr="00F627B2" w:rsidRDefault="0068485A">
            <w:pPr>
              <w:spacing w:line="240" w:lineRule="auto"/>
              <w:rPr>
                <w:rFonts w:ascii="Lato" w:hAnsi="Lato"/>
                <w:szCs w:val="22"/>
              </w:rPr>
            </w:pPr>
          </w:p>
        </w:tc>
        <w:tc>
          <w:tcPr>
            <w:tcW w:w="1644" w:type="dxa"/>
            <w:gridSpan w:val="4"/>
            <w:tcBorders>
              <w:top w:val="single" w:sz="4" w:space="0" w:color="auto"/>
              <w:left w:val="nil"/>
              <w:bottom w:val="nil"/>
              <w:right w:val="nil"/>
            </w:tcBorders>
          </w:tcPr>
          <w:p w:rsidR="0068485A" w:rsidRPr="00F627B2" w:rsidRDefault="0068485A">
            <w:pPr>
              <w:spacing w:line="240" w:lineRule="auto"/>
              <w:rPr>
                <w:rFonts w:ascii="Lato" w:hAnsi="Lato"/>
                <w:szCs w:val="22"/>
              </w:rPr>
            </w:pPr>
          </w:p>
        </w:tc>
        <w:tc>
          <w:tcPr>
            <w:tcW w:w="250" w:type="dxa"/>
            <w:gridSpan w:val="6"/>
            <w:tcBorders>
              <w:top w:val="nil"/>
              <w:left w:val="nil"/>
              <w:bottom w:val="nil"/>
              <w:right w:val="nil"/>
            </w:tcBorders>
          </w:tcPr>
          <w:p w:rsidR="0068485A" w:rsidRPr="00F627B2" w:rsidRDefault="0068485A">
            <w:pPr>
              <w:spacing w:line="240" w:lineRule="auto"/>
              <w:rPr>
                <w:rFonts w:ascii="Lato" w:hAnsi="Lato"/>
                <w:szCs w:val="22"/>
              </w:rPr>
            </w:pPr>
          </w:p>
        </w:tc>
        <w:tc>
          <w:tcPr>
            <w:tcW w:w="477" w:type="dxa"/>
            <w:gridSpan w:val="5"/>
            <w:tcBorders>
              <w:top w:val="single" w:sz="4" w:space="0" w:color="auto"/>
              <w:left w:val="nil"/>
              <w:bottom w:val="single" w:sz="4" w:space="0" w:color="auto"/>
              <w:right w:val="nil"/>
            </w:tcBorders>
          </w:tcPr>
          <w:p w:rsidR="0068485A" w:rsidRPr="00F627B2" w:rsidRDefault="0068485A">
            <w:pPr>
              <w:spacing w:line="240" w:lineRule="auto"/>
              <w:rPr>
                <w:rFonts w:ascii="Lato" w:hAnsi="Lato"/>
                <w:szCs w:val="22"/>
              </w:rPr>
            </w:pPr>
          </w:p>
        </w:tc>
        <w:tc>
          <w:tcPr>
            <w:tcW w:w="240" w:type="dxa"/>
            <w:gridSpan w:val="2"/>
            <w:tcBorders>
              <w:top w:val="nil"/>
              <w:left w:val="nil"/>
              <w:bottom w:val="nil"/>
              <w:right w:val="nil"/>
            </w:tcBorders>
          </w:tcPr>
          <w:p w:rsidR="0068485A" w:rsidRPr="00F627B2" w:rsidRDefault="0068485A">
            <w:pPr>
              <w:spacing w:line="240" w:lineRule="auto"/>
              <w:rPr>
                <w:rFonts w:ascii="Lato" w:hAnsi="Lato"/>
                <w:szCs w:val="22"/>
              </w:rPr>
            </w:pPr>
          </w:p>
        </w:tc>
        <w:tc>
          <w:tcPr>
            <w:tcW w:w="665" w:type="dxa"/>
            <w:gridSpan w:val="9"/>
            <w:tcBorders>
              <w:top w:val="nil"/>
              <w:left w:val="nil"/>
              <w:bottom w:val="nil"/>
              <w:right w:val="nil"/>
            </w:tcBorders>
          </w:tcPr>
          <w:p w:rsidR="0068485A" w:rsidRPr="00F627B2" w:rsidRDefault="0068485A">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r w:rsidRPr="00F627B2">
              <w:rPr>
                <w:rFonts w:ascii="Lato" w:hAnsi="Lato"/>
                <w:szCs w:val="22"/>
              </w:rPr>
              <w:t>a)</w:t>
            </w:r>
          </w:p>
        </w:tc>
        <w:tc>
          <w:tcPr>
            <w:tcW w:w="5493" w:type="dxa"/>
            <w:tcBorders>
              <w:top w:val="nil"/>
              <w:left w:val="nil"/>
              <w:bottom w:val="nil"/>
              <w:right w:val="nil"/>
            </w:tcBorders>
          </w:tcPr>
          <w:p w:rsidR="00877692" w:rsidRPr="00F627B2" w:rsidRDefault="00877692">
            <w:pPr>
              <w:spacing w:line="240" w:lineRule="auto"/>
              <w:rPr>
                <w:rFonts w:ascii="Lato" w:hAnsi="Lato"/>
                <w:szCs w:val="22"/>
              </w:rPr>
            </w:pPr>
            <w:r w:rsidRPr="00F627B2">
              <w:rPr>
                <w:rFonts w:ascii="Lato" w:hAnsi="Lato"/>
                <w:szCs w:val="22"/>
              </w:rPr>
              <w:t>Investment Company with Variable Capital</w:t>
            </w:r>
          </w:p>
        </w:tc>
        <w:tc>
          <w:tcPr>
            <w:tcW w:w="1063"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238"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1644" w:type="dxa"/>
            <w:gridSpan w:val="4"/>
            <w:tcBorders>
              <w:top w:val="nil"/>
              <w:left w:val="nil"/>
              <w:bottom w:val="nil"/>
              <w:right w:val="nil"/>
            </w:tcBorders>
          </w:tcPr>
          <w:p w:rsidR="00877692" w:rsidRPr="00F627B2" w:rsidRDefault="00877692">
            <w:pPr>
              <w:spacing w:line="240" w:lineRule="auto"/>
              <w:rPr>
                <w:rFonts w:ascii="Lato" w:hAnsi="Lato"/>
                <w:szCs w:val="22"/>
              </w:rPr>
            </w:pPr>
          </w:p>
        </w:tc>
        <w:tc>
          <w:tcPr>
            <w:tcW w:w="250" w:type="dxa"/>
            <w:gridSpan w:val="6"/>
            <w:tcBorders>
              <w:top w:val="nil"/>
              <w:left w:val="nil"/>
              <w:bottom w:val="nil"/>
              <w:right w:val="single" w:sz="4" w:space="0" w:color="auto"/>
            </w:tcBorders>
          </w:tcPr>
          <w:p w:rsidR="00877692" w:rsidRPr="00F627B2" w:rsidRDefault="00877692">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40" w:type="dxa"/>
            <w:gridSpan w:val="2"/>
            <w:tcBorders>
              <w:top w:val="nil"/>
              <w:left w:val="single" w:sz="4" w:space="0" w:color="auto"/>
              <w:bottom w:val="nil"/>
              <w:right w:val="nil"/>
            </w:tcBorders>
          </w:tcPr>
          <w:p w:rsidR="00877692" w:rsidRPr="00F627B2" w:rsidRDefault="00877692">
            <w:pPr>
              <w:spacing w:line="240" w:lineRule="auto"/>
              <w:rPr>
                <w:rFonts w:ascii="Lato" w:hAnsi="Lato"/>
                <w:szCs w:val="22"/>
              </w:rPr>
            </w:pPr>
          </w:p>
        </w:tc>
        <w:tc>
          <w:tcPr>
            <w:tcW w:w="665" w:type="dxa"/>
            <w:gridSpan w:val="9"/>
            <w:tcBorders>
              <w:top w:val="nil"/>
              <w:left w:val="nil"/>
              <w:bottom w:val="nil"/>
              <w:right w:val="nil"/>
            </w:tcBorders>
          </w:tcPr>
          <w:p w:rsidR="00877692" w:rsidRPr="00F627B2" w:rsidRDefault="00877692">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r w:rsidRPr="00F627B2">
              <w:rPr>
                <w:rFonts w:ascii="Lato" w:hAnsi="Lato"/>
                <w:szCs w:val="22"/>
              </w:rPr>
              <w:t>b)</w:t>
            </w:r>
          </w:p>
        </w:tc>
        <w:tc>
          <w:tcPr>
            <w:tcW w:w="5493" w:type="dxa"/>
            <w:tcBorders>
              <w:top w:val="nil"/>
              <w:left w:val="nil"/>
              <w:bottom w:val="nil"/>
              <w:right w:val="nil"/>
            </w:tcBorders>
          </w:tcPr>
          <w:p w:rsidR="00877692" w:rsidRPr="00F627B2" w:rsidRDefault="00877692">
            <w:pPr>
              <w:spacing w:line="240" w:lineRule="auto"/>
              <w:rPr>
                <w:rFonts w:ascii="Lato" w:hAnsi="Lato"/>
                <w:szCs w:val="22"/>
              </w:rPr>
            </w:pPr>
            <w:r w:rsidRPr="00F627B2">
              <w:rPr>
                <w:rFonts w:ascii="Lato" w:hAnsi="Lato"/>
                <w:szCs w:val="22"/>
              </w:rPr>
              <w:t>Unit Trust</w:t>
            </w:r>
          </w:p>
        </w:tc>
        <w:tc>
          <w:tcPr>
            <w:tcW w:w="1063"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238"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1644" w:type="dxa"/>
            <w:gridSpan w:val="4"/>
            <w:tcBorders>
              <w:top w:val="nil"/>
              <w:left w:val="nil"/>
              <w:bottom w:val="nil"/>
              <w:right w:val="nil"/>
            </w:tcBorders>
          </w:tcPr>
          <w:p w:rsidR="00877692" w:rsidRPr="00F627B2" w:rsidRDefault="00877692">
            <w:pPr>
              <w:spacing w:line="240" w:lineRule="auto"/>
              <w:rPr>
                <w:rFonts w:ascii="Lato" w:hAnsi="Lato"/>
                <w:szCs w:val="22"/>
              </w:rPr>
            </w:pPr>
          </w:p>
        </w:tc>
        <w:tc>
          <w:tcPr>
            <w:tcW w:w="250" w:type="dxa"/>
            <w:gridSpan w:val="6"/>
            <w:tcBorders>
              <w:top w:val="nil"/>
              <w:left w:val="nil"/>
              <w:bottom w:val="nil"/>
              <w:right w:val="single" w:sz="4" w:space="0" w:color="auto"/>
            </w:tcBorders>
          </w:tcPr>
          <w:p w:rsidR="00877692" w:rsidRPr="00F627B2" w:rsidRDefault="00877692">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40" w:type="dxa"/>
            <w:gridSpan w:val="2"/>
            <w:tcBorders>
              <w:top w:val="nil"/>
              <w:left w:val="single" w:sz="4" w:space="0" w:color="auto"/>
              <w:bottom w:val="nil"/>
              <w:right w:val="nil"/>
            </w:tcBorders>
          </w:tcPr>
          <w:p w:rsidR="00877692" w:rsidRPr="00F627B2" w:rsidRDefault="00877692">
            <w:pPr>
              <w:spacing w:line="240" w:lineRule="auto"/>
              <w:rPr>
                <w:rFonts w:ascii="Lato" w:hAnsi="Lato"/>
                <w:szCs w:val="22"/>
              </w:rPr>
            </w:pPr>
          </w:p>
        </w:tc>
        <w:tc>
          <w:tcPr>
            <w:tcW w:w="665" w:type="dxa"/>
            <w:gridSpan w:val="9"/>
            <w:tcBorders>
              <w:top w:val="nil"/>
              <w:left w:val="nil"/>
              <w:bottom w:val="nil"/>
              <w:right w:val="nil"/>
            </w:tcBorders>
          </w:tcPr>
          <w:p w:rsidR="00877692" w:rsidRPr="00F627B2" w:rsidRDefault="00877692">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r w:rsidRPr="00F627B2">
              <w:rPr>
                <w:rFonts w:ascii="Lato" w:hAnsi="Lato"/>
                <w:szCs w:val="22"/>
              </w:rPr>
              <w:t>c)</w:t>
            </w:r>
          </w:p>
        </w:tc>
        <w:tc>
          <w:tcPr>
            <w:tcW w:w="5493" w:type="dxa"/>
            <w:tcBorders>
              <w:top w:val="nil"/>
              <w:left w:val="nil"/>
              <w:bottom w:val="nil"/>
              <w:right w:val="nil"/>
            </w:tcBorders>
          </w:tcPr>
          <w:p w:rsidR="00877692" w:rsidRPr="00F627B2" w:rsidRDefault="00877692">
            <w:pPr>
              <w:spacing w:line="240" w:lineRule="auto"/>
              <w:rPr>
                <w:rFonts w:ascii="Lato" w:hAnsi="Lato"/>
                <w:szCs w:val="22"/>
              </w:rPr>
            </w:pPr>
            <w:r w:rsidRPr="00F627B2">
              <w:rPr>
                <w:rFonts w:ascii="Lato" w:hAnsi="Lato"/>
                <w:szCs w:val="22"/>
              </w:rPr>
              <w:t>ILP</w:t>
            </w:r>
          </w:p>
        </w:tc>
        <w:tc>
          <w:tcPr>
            <w:tcW w:w="1063"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238"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1644" w:type="dxa"/>
            <w:gridSpan w:val="4"/>
            <w:tcBorders>
              <w:top w:val="nil"/>
              <w:left w:val="nil"/>
              <w:bottom w:val="nil"/>
              <w:right w:val="nil"/>
            </w:tcBorders>
          </w:tcPr>
          <w:p w:rsidR="00877692" w:rsidRPr="00F627B2" w:rsidRDefault="00877692">
            <w:pPr>
              <w:spacing w:line="240" w:lineRule="auto"/>
              <w:rPr>
                <w:rFonts w:ascii="Lato" w:hAnsi="Lato"/>
                <w:szCs w:val="22"/>
              </w:rPr>
            </w:pPr>
          </w:p>
        </w:tc>
        <w:tc>
          <w:tcPr>
            <w:tcW w:w="250" w:type="dxa"/>
            <w:gridSpan w:val="6"/>
            <w:tcBorders>
              <w:top w:val="nil"/>
              <w:left w:val="nil"/>
              <w:bottom w:val="nil"/>
              <w:right w:val="single" w:sz="4" w:space="0" w:color="auto"/>
            </w:tcBorders>
          </w:tcPr>
          <w:p w:rsidR="00877692" w:rsidRPr="00F627B2" w:rsidRDefault="00877692">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40" w:type="dxa"/>
            <w:gridSpan w:val="2"/>
            <w:tcBorders>
              <w:top w:val="nil"/>
              <w:left w:val="single" w:sz="4" w:space="0" w:color="auto"/>
              <w:bottom w:val="nil"/>
              <w:right w:val="nil"/>
            </w:tcBorders>
          </w:tcPr>
          <w:p w:rsidR="00877692" w:rsidRPr="00F627B2" w:rsidRDefault="00877692">
            <w:pPr>
              <w:spacing w:line="240" w:lineRule="auto"/>
              <w:rPr>
                <w:rFonts w:ascii="Lato" w:hAnsi="Lato"/>
                <w:szCs w:val="22"/>
              </w:rPr>
            </w:pPr>
          </w:p>
        </w:tc>
        <w:tc>
          <w:tcPr>
            <w:tcW w:w="665" w:type="dxa"/>
            <w:gridSpan w:val="9"/>
            <w:tcBorders>
              <w:top w:val="nil"/>
              <w:left w:val="nil"/>
              <w:bottom w:val="nil"/>
              <w:right w:val="nil"/>
            </w:tcBorders>
          </w:tcPr>
          <w:p w:rsidR="00877692" w:rsidRPr="00F627B2" w:rsidRDefault="00877692">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r w:rsidRPr="00F627B2">
              <w:rPr>
                <w:rFonts w:ascii="Lato" w:hAnsi="Lato"/>
                <w:szCs w:val="22"/>
              </w:rPr>
              <w:t>d)</w:t>
            </w:r>
          </w:p>
        </w:tc>
        <w:tc>
          <w:tcPr>
            <w:tcW w:w="5493" w:type="dxa"/>
            <w:tcBorders>
              <w:top w:val="nil"/>
              <w:left w:val="nil"/>
              <w:bottom w:val="nil"/>
              <w:right w:val="nil"/>
            </w:tcBorders>
          </w:tcPr>
          <w:p w:rsidR="00877692" w:rsidRPr="00F627B2" w:rsidRDefault="00877692">
            <w:pPr>
              <w:spacing w:line="240" w:lineRule="auto"/>
              <w:rPr>
                <w:rFonts w:ascii="Lato" w:hAnsi="Lato"/>
                <w:szCs w:val="22"/>
              </w:rPr>
            </w:pPr>
            <w:r w:rsidRPr="00F627B2">
              <w:rPr>
                <w:rFonts w:ascii="Lato" w:hAnsi="Lato"/>
                <w:szCs w:val="22"/>
              </w:rPr>
              <w:t>CCF</w:t>
            </w:r>
          </w:p>
        </w:tc>
        <w:tc>
          <w:tcPr>
            <w:tcW w:w="1063"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238"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1644" w:type="dxa"/>
            <w:gridSpan w:val="4"/>
            <w:tcBorders>
              <w:top w:val="nil"/>
              <w:left w:val="nil"/>
              <w:bottom w:val="nil"/>
              <w:right w:val="nil"/>
            </w:tcBorders>
          </w:tcPr>
          <w:p w:rsidR="00877692" w:rsidRPr="00F627B2" w:rsidRDefault="00877692">
            <w:pPr>
              <w:spacing w:line="240" w:lineRule="auto"/>
              <w:rPr>
                <w:rFonts w:ascii="Lato" w:hAnsi="Lato"/>
                <w:szCs w:val="22"/>
              </w:rPr>
            </w:pPr>
          </w:p>
        </w:tc>
        <w:tc>
          <w:tcPr>
            <w:tcW w:w="250" w:type="dxa"/>
            <w:gridSpan w:val="6"/>
            <w:tcBorders>
              <w:top w:val="nil"/>
              <w:left w:val="nil"/>
              <w:bottom w:val="nil"/>
              <w:right w:val="single" w:sz="4" w:space="0" w:color="auto"/>
            </w:tcBorders>
          </w:tcPr>
          <w:p w:rsidR="00877692" w:rsidRPr="00F627B2" w:rsidRDefault="00877692">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40" w:type="dxa"/>
            <w:gridSpan w:val="2"/>
            <w:tcBorders>
              <w:top w:val="nil"/>
              <w:left w:val="single" w:sz="4" w:space="0" w:color="auto"/>
              <w:bottom w:val="nil"/>
              <w:right w:val="nil"/>
            </w:tcBorders>
          </w:tcPr>
          <w:p w:rsidR="00877692" w:rsidRPr="00F627B2" w:rsidRDefault="00877692">
            <w:pPr>
              <w:spacing w:line="240" w:lineRule="auto"/>
              <w:rPr>
                <w:rFonts w:ascii="Lato" w:hAnsi="Lato"/>
                <w:szCs w:val="22"/>
              </w:rPr>
            </w:pPr>
          </w:p>
        </w:tc>
        <w:tc>
          <w:tcPr>
            <w:tcW w:w="665" w:type="dxa"/>
            <w:gridSpan w:val="9"/>
            <w:tcBorders>
              <w:top w:val="nil"/>
              <w:left w:val="nil"/>
              <w:bottom w:val="nil"/>
              <w:right w:val="nil"/>
            </w:tcBorders>
          </w:tcPr>
          <w:p w:rsidR="00877692" w:rsidRPr="00F627B2" w:rsidRDefault="00877692">
            <w:pPr>
              <w:spacing w:line="240" w:lineRule="auto"/>
              <w:rPr>
                <w:rFonts w:ascii="Lato" w:hAnsi="Lato"/>
                <w:szCs w:val="22"/>
              </w:rPr>
            </w:pPr>
          </w:p>
        </w:tc>
      </w:tr>
      <w:tr w:rsidR="00A96BA0" w:rsidRPr="00F627B2" w:rsidTr="00F627B2">
        <w:trPr>
          <w:gridAfter w:val="5"/>
          <w:wAfter w:w="313" w:type="dxa"/>
        </w:trPr>
        <w:tc>
          <w:tcPr>
            <w:tcW w:w="1107" w:type="dxa"/>
            <w:tcBorders>
              <w:top w:val="nil"/>
              <w:left w:val="nil"/>
              <w:bottom w:val="nil"/>
              <w:right w:val="nil"/>
            </w:tcBorders>
          </w:tcPr>
          <w:p w:rsidR="00A96BA0" w:rsidRPr="00F627B2" w:rsidRDefault="00A96BA0">
            <w:pPr>
              <w:spacing w:line="240" w:lineRule="auto"/>
              <w:rPr>
                <w:rFonts w:ascii="Lato" w:hAnsi="Lato"/>
                <w:szCs w:val="22"/>
              </w:rPr>
            </w:pPr>
            <w:r w:rsidRPr="00F627B2">
              <w:rPr>
                <w:rFonts w:ascii="Lato" w:hAnsi="Lato"/>
                <w:szCs w:val="22"/>
              </w:rPr>
              <w:t>e)</w:t>
            </w:r>
          </w:p>
        </w:tc>
        <w:tc>
          <w:tcPr>
            <w:tcW w:w="5493" w:type="dxa"/>
            <w:tcBorders>
              <w:top w:val="nil"/>
              <w:left w:val="nil"/>
              <w:bottom w:val="nil"/>
              <w:right w:val="nil"/>
            </w:tcBorders>
          </w:tcPr>
          <w:p w:rsidR="00A96BA0" w:rsidRPr="00F627B2" w:rsidRDefault="00A96BA0" w:rsidP="00B7175D">
            <w:pPr>
              <w:spacing w:line="240" w:lineRule="auto"/>
              <w:rPr>
                <w:rFonts w:ascii="Lato" w:hAnsi="Lato"/>
                <w:szCs w:val="22"/>
              </w:rPr>
            </w:pPr>
            <w:r w:rsidRPr="00F627B2">
              <w:rPr>
                <w:rFonts w:ascii="Lato" w:hAnsi="Lato"/>
                <w:szCs w:val="22"/>
              </w:rPr>
              <w:t>I</w:t>
            </w:r>
            <w:r w:rsidR="00A83F62" w:rsidRPr="00F627B2">
              <w:rPr>
                <w:rFonts w:ascii="Lato" w:hAnsi="Lato"/>
                <w:szCs w:val="22"/>
              </w:rPr>
              <w:t xml:space="preserve">rish </w:t>
            </w:r>
            <w:r w:rsidRPr="00F627B2">
              <w:rPr>
                <w:rFonts w:ascii="Lato" w:hAnsi="Lato"/>
                <w:szCs w:val="22"/>
              </w:rPr>
              <w:t>C</w:t>
            </w:r>
            <w:r w:rsidR="00A83F62" w:rsidRPr="00F627B2">
              <w:rPr>
                <w:rFonts w:ascii="Lato" w:hAnsi="Lato"/>
                <w:szCs w:val="22"/>
              </w:rPr>
              <w:t xml:space="preserve">ollective </w:t>
            </w:r>
            <w:r w:rsidR="00B7175D" w:rsidRPr="00F627B2">
              <w:rPr>
                <w:rFonts w:ascii="Lato" w:hAnsi="Lato"/>
                <w:szCs w:val="22"/>
              </w:rPr>
              <w:t>Asset</w:t>
            </w:r>
            <w:r w:rsidR="0080036D" w:rsidRPr="00F627B2">
              <w:rPr>
                <w:rFonts w:ascii="Lato" w:hAnsi="Lato"/>
                <w:szCs w:val="22"/>
              </w:rPr>
              <w:t>-</w:t>
            </w:r>
            <w:r w:rsidR="00B7175D" w:rsidRPr="00F627B2">
              <w:rPr>
                <w:rFonts w:ascii="Lato" w:hAnsi="Lato"/>
                <w:szCs w:val="22"/>
              </w:rPr>
              <w:t xml:space="preserve">management </w:t>
            </w:r>
            <w:r w:rsidRPr="00F627B2">
              <w:rPr>
                <w:rFonts w:ascii="Lato" w:hAnsi="Lato"/>
                <w:szCs w:val="22"/>
              </w:rPr>
              <w:t>V</w:t>
            </w:r>
            <w:r w:rsidR="00A83F62" w:rsidRPr="00F627B2">
              <w:rPr>
                <w:rFonts w:ascii="Lato" w:hAnsi="Lato"/>
                <w:szCs w:val="22"/>
              </w:rPr>
              <w:t>ehicle (‘ICAV’)</w:t>
            </w:r>
          </w:p>
        </w:tc>
        <w:tc>
          <w:tcPr>
            <w:tcW w:w="1063" w:type="dxa"/>
            <w:gridSpan w:val="2"/>
            <w:tcBorders>
              <w:top w:val="nil"/>
              <w:left w:val="nil"/>
              <w:bottom w:val="nil"/>
              <w:right w:val="nil"/>
            </w:tcBorders>
          </w:tcPr>
          <w:p w:rsidR="00A96BA0" w:rsidRPr="00F627B2" w:rsidRDefault="00A96BA0">
            <w:pPr>
              <w:spacing w:line="240" w:lineRule="auto"/>
              <w:rPr>
                <w:rFonts w:ascii="Lato" w:hAnsi="Lato"/>
                <w:szCs w:val="22"/>
              </w:rPr>
            </w:pPr>
          </w:p>
        </w:tc>
        <w:tc>
          <w:tcPr>
            <w:tcW w:w="238" w:type="dxa"/>
            <w:gridSpan w:val="3"/>
            <w:tcBorders>
              <w:top w:val="nil"/>
              <w:left w:val="nil"/>
              <w:bottom w:val="nil"/>
              <w:right w:val="nil"/>
            </w:tcBorders>
          </w:tcPr>
          <w:p w:rsidR="00A96BA0" w:rsidRPr="00F627B2" w:rsidRDefault="00A96BA0">
            <w:pPr>
              <w:spacing w:line="240" w:lineRule="auto"/>
              <w:rPr>
                <w:rFonts w:ascii="Lato" w:hAnsi="Lato"/>
                <w:szCs w:val="22"/>
              </w:rPr>
            </w:pPr>
          </w:p>
        </w:tc>
        <w:tc>
          <w:tcPr>
            <w:tcW w:w="1644" w:type="dxa"/>
            <w:gridSpan w:val="4"/>
            <w:tcBorders>
              <w:top w:val="nil"/>
              <w:left w:val="nil"/>
              <w:bottom w:val="nil"/>
              <w:right w:val="nil"/>
            </w:tcBorders>
          </w:tcPr>
          <w:p w:rsidR="00A96BA0" w:rsidRPr="00F627B2" w:rsidRDefault="00A96BA0">
            <w:pPr>
              <w:spacing w:line="240" w:lineRule="auto"/>
              <w:rPr>
                <w:rFonts w:ascii="Lato" w:hAnsi="Lato"/>
                <w:szCs w:val="22"/>
              </w:rPr>
            </w:pPr>
          </w:p>
        </w:tc>
        <w:tc>
          <w:tcPr>
            <w:tcW w:w="250" w:type="dxa"/>
            <w:gridSpan w:val="6"/>
            <w:tcBorders>
              <w:top w:val="nil"/>
              <w:left w:val="nil"/>
              <w:bottom w:val="nil"/>
              <w:right w:val="single" w:sz="4" w:space="0" w:color="auto"/>
            </w:tcBorders>
          </w:tcPr>
          <w:p w:rsidR="00A96BA0" w:rsidRPr="00F627B2" w:rsidRDefault="00A96BA0">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A96BA0" w:rsidRPr="00F627B2" w:rsidRDefault="00A96BA0">
            <w:pPr>
              <w:spacing w:line="240" w:lineRule="auto"/>
              <w:rPr>
                <w:rFonts w:ascii="Lato" w:hAnsi="Lato"/>
                <w:szCs w:val="22"/>
              </w:rPr>
            </w:pPr>
          </w:p>
        </w:tc>
        <w:tc>
          <w:tcPr>
            <w:tcW w:w="240" w:type="dxa"/>
            <w:gridSpan w:val="2"/>
            <w:tcBorders>
              <w:top w:val="nil"/>
              <w:left w:val="single" w:sz="4" w:space="0" w:color="auto"/>
              <w:bottom w:val="nil"/>
              <w:right w:val="nil"/>
            </w:tcBorders>
          </w:tcPr>
          <w:p w:rsidR="00A96BA0" w:rsidRPr="00F627B2" w:rsidRDefault="00A96BA0">
            <w:pPr>
              <w:spacing w:line="240" w:lineRule="auto"/>
              <w:rPr>
                <w:rFonts w:ascii="Lato" w:hAnsi="Lato"/>
                <w:szCs w:val="22"/>
              </w:rPr>
            </w:pPr>
          </w:p>
        </w:tc>
        <w:tc>
          <w:tcPr>
            <w:tcW w:w="665" w:type="dxa"/>
            <w:gridSpan w:val="9"/>
            <w:tcBorders>
              <w:top w:val="nil"/>
              <w:left w:val="nil"/>
              <w:bottom w:val="nil"/>
              <w:right w:val="nil"/>
            </w:tcBorders>
          </w:tcPr>
          <w:p w:rsidR="00A96BA0" w:rsidRPr="00F627B2" w:rsidRDefault="00A96BA0">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922B26" w:rsidRPr="00F627B2" w:rsidRDefault="00922B26">
            <w:pPr>
              <w:spacing w:line="240" w:lineRule="auto"/>
              <w:rPr>
                <w:rFonts w:ascii="Lato" w:hAnsi="Lato"/>
                <w:szCs w:val="22"/>
              </w:rPr>
            </w:pPr>
          </w:p>
        </w:tc>
        <w:tc>
          <w:tcPr>
            <w:tcW w:w="5493" w:type="dxa"/>
            <w:tcBorders>
              <w:top w:val="nil"/>
              <w:left w:val="nil"/>
              <w:bottom w:val="nil"/>
              <w:right w:val="nil"/>
            </w:tcBorders>
          </w:tcPr>
          <w:p w:rsidR="00922B26" w:rsidRPr="00F627B2" w:rsidRDefault="00922B26">
            <w:pPr>
              <w:spacing w:line="240" w:lineRule="auto"/>
              <w:rPr>
                <w:rFonts w:ascii="Lato" w:hAnsi="Lato"/>
                <w:szCs w:val="22"/>
              </w:rPr>
            </w:pPr>
          </w:p>
        </w:tc>
        <w:tc>
          <w:tcPr>
            <w:tcW w:w="1063" w:type="dxa"/>
            <w:gridSpan w:val="2"/>
            <w:tcBorders>
              <w:top w:val="nil"/>
              <w:left w:val="nil"/>
              <w:bottom w:val="single" w:sz="4" w:space="0" w:color="auto"/>
              <w:right w:val="nil"/>
            </w:tcBorders>
          </w:tcPr>
          <w:p w:rsidR="00922B26" w:rsidRPr="00F627B2" w:rsidRDefault="00922B26">
            <w:pPr>
              <w:spacing w:line="240" w:lineRule="auto"/>
              <w:rPr>
                <w:rFonts w:ascii="Lato" w:hAnsi="Lato"/>
                <w:szCs w:val="22"/>
              </w:rPr>
            </w:pPr>
          </w:p>
        </w:tc>
        <w:tc>
          <w:tcPr>
            <w:tcW w:w="238" w:type="dxa"/>
            <w:gridSpan w:val="3"/>
            <w:tcBorders>
              <w:top w:val="nil"/>
              <w:left w:val="nil"/>
              <w:bottom w:val="nil"/>
              <w:right w:val="nil"/>
            </w:tcBorders>
          </w:tcPr>
          <w:p w:rsidR="00922B26" w:rsidRPr="00F627B2" w:rsidRDefault="00922B26">
            <w:pPr>
              <w:spacing w:line="240" w:lineRule="auto"/>
              <w:rPr>
                <w:rFonts w:ascii="Lato" w:hAnsi="Lato"/>
                <w:szCs w:val="22"/>
              </w:rPr>
            </w:pPr>
          </w:p>
        </w:tc>
        <w:tc>
          <w:tcPr>
            <w:tcW w:w="1644" w:type="dxa"/>
            <w:gridSpan w:val="4"/>
            <w:tcBorders>
              <w:top w:val="nil"/>
              <w:left w:val="nil"/>
              <w:bottom w:val="single" w:sz="4" w:space="0" w:color="auto"/>
              <w:right w:val="nil"/>
            </w:tcBorders>
          </w:tcPr>
          <w:p w:rsidR="00922B26" w:rsidRPr="00F627B2" w:rsidRDefault="00922B26">
            <w:pPr>
              <w:spacing w:line="240" w:lineRule="auto"/>
              <w:rPr>
                <w:rFonts w:ascii="Lato" w:hAnsi="Lato"/>
                <w:szCs w:val="22"/>
              </w:rPr>
            </w:pPr>
          </w:p>
        </w:tc>
        <w:tc>
          <w:tcPr>
            <w:tcW w:w="250" w:type="dxa"/>
            <w:gridSpan w:val="6"/>
            <w:tcBorders>
              <w:top w:val="nil"/>
              <w:left w:val="nil"/>
              <w:bottom w:val="nil"/>
              <w:right w:val="nil"/>
            </w:tcBorders>
          </w:tcPr>
          <w:p w:rsidR="00922B26" w:rsidRPr="00F627B2" w:rsidRDefault="00922B26">
            <w:pPr>
              <w:spacing w:line="240" w:lineRule="auto"/>
              <w:rPr>
                <w:rFonts w:ascii="Lato" w:hAnsi="Lato"/>
                <w:szCs w:val="22"/>
              </w:rPr>
            </w:pPr>
          </w:p>
        </w:tc>
        <w:tc>
          <w:tcPr>
            <w:tcW w:w="477" w:type="dxa"/>
            <w:gridSpan w:val="5"/>
            <w:tcBorders>
              <w:top w:val="single" w:sz="4" w:space="0" w:color="auto"/>
              <w:left w:val="nil"/>
              <w:bottom w:val="single" w:sz="4" w:space="0" w:color="auto"/>
              <w:right w:val="nil"/>
            </w:tcBorders>
          </w:tcPr>
          <w:p w:rsidR="00922B26" w:rsidRPr="00F627B2" w:rsidRDefault="00922B26">
            <w:pPr>
              <w:spacing w:line="240" w:lineRule="auto"/>
              <w:rPr>
                <w:rFonts w:ascii="Lato" w:hAnsi="Lato"/>
                <w:szCs w:val="22"/>
              </w:rPr>
            </w:pPr>
          </w:p>
        </w:tc>
        <w:tc>
          <w:tcPr>
            <w:tcW w:w="240" w:type="dxa"/>
            <w:gridSpan w:val="2"/>
            <w:tcBorders>
              <w:top w:val="nil"/>
              <w:left w:val="nil"/>
              <w:bottom w:val="nil"/>
              <w:right w:val="nil"/>
            </w:tcBorders>
          </w:tcPr>
          <w:p w:rsidR="00922B26" w:rsidRPr="00F627B2" w:rsidRDefault="00922B26">
            <w:pPr>
              <w:spacing w:line="240" w:lineRule="auto"/>
              <w:rPr>
                <w:rFonts w:ascii="Lato" w:hAnsi="Lato"/>
                <w:szCs w:val="22"/>
              </w:rPr>
            </w:pPr>
          </w:p>
        </w:tc>
        <w:tc>
          <w:tcPr>
            <w:tcW w:w="665" w:type="dxa"/>
            <w:gridSpan w:val="9"/>
            <w:tcBorders>
              <w:top w:val="nil"/>
              <w:left w:val="nil"/>
              <w:bottom w:val="nil"/>
              <w:right w:val="nil"/>
            </w:tcBorders>
          </w:tcPr>
          <w:p w:rsidR="00922B26" w:rsidRPr="00F627B2" w:rsidRDefault="00922B26">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922B26" w:rsidRPr="00F627B2" w:rsidRDefault="00922B26">
            <w:pPr>
              <w:spacing w:line="240" w:lineRule="auto"/>
              <w:rPr>
                <w:rFonts w:ascii="Lato" w:hAnsi="Lato"/>
                <w:szCs w:val="22"/>
              </w:rPr>
            </w:pPr>
            <w:r w:rsidRPr="00F627B2">
              <w:rPr>
                <w:rFonts w:ascii="Lato" w:hAnsi="Lato"/>
                <w:szCs w:val="22"/>
              </w:rPr>
              <w:t>2.1.3</w:t>
            </w:r>
          </w:p>
        </w:tc>
        <w:tc>
          <w:tcPr>
            <w:tcW w:w="5493" w:type="dxa"/>
            <w:tcBorders>
              <w:top w:val="nil"/>
              <w:left w:val="nil"/>
              <w:bottom w:val="nil"/>
              <w:right w:val="single" w:sz="4" w:space="0" w:color="auto"/>
            </w:tcBorders>
          </w:tcPr>
          <w:p w:rsidR="00922B26" w:rsidRPr="00F627B2" w:rsidRDefault="00922B26" w:rsidP="0068485A">
            <w:pPr>
              <w:spacing w:line="240" w:lineRule="auto"/>
              <w:rPr>
                <w:rFonts w:ascii="Lato" w:hAnsi="Lato"/>
                <w:szCs w:val="22"/>
              </w:rPr>
            </w:pPr>
            <w:r w:rsidRPr="00F627B2">
              <w:rPr>
                <w:rFonts w:ascii="Lato" w:hAnsi="Lato"/>
                <w:szCs w:val="22"/>
              </w:rPr>
              <w:t xml:space="preserve">Date of establishment/incorporation of the </w:t>
            </w:r>
          </w:p>
        </w:tc>
        <w:tc>
          <w:tcPr>
            <w:tcW w:w="1063" w:type="dxa"/>
            <w:gridSpan w:val="2"/>
            <w:tcBorders>
              <w:top w:val="single" w:sz="4" w:space="0" w:color="auto"/>
              <w:left w:val="single" w:sz="4" w:space="0" w:color="auto"/>
              <w:bottom w:val="single" w:sz="4" w:space="0" w:color="auto"/>
              <w:right w:val="single" w:sz="4" w:space="0" w:color="auto"/>
            </w:tcBorders>
          </w:tcPr>
          <w:p w:rsidR="00922B26" w:rsidRPr="00F627B2" w:rsidRDefault="00922B26">
            <w:pPr>
              <w:spacing w:line="240" w:lineRule="auto"/>
              <w:rPr>
                <w:rFonts w:ascii="Lato" w:hAnsi="Lato"/>
                <w:szCs w:val="22"/>
              </w:rPr>
            </w:pPr>
          </w:p>
        </w:tc>
        <w:tc>
          <w:tcPr>
            <w:tcW w:w="238" w:type="dxa"/>
            <w:gridSpan w:val="3"/>
            <w:tcBorders>
              <w:top w:val="nil"/>
              <w:left w:val="single" w:sz="4" w:space="0" w:color="auto"/>
              <w:bottom w:val="nil"/>
              <w:right w:val="single" w:sz="4" w:space="0" w:color="auto"/>
            </w:tcBorders>
          </w:tcPr>
          <w:p w:rsidR="00922B26" w:rsidRPr="00F627B2" w:rsidRDefault="00922B26">
            <w:pPr>
              <w:spacing w:line="240" w:lineRule="auto"/>
              <w:rPr>
                <w:rFonts w:ascii="Lato" w:hAnsi="Lato"/>
                <w:szCs w:val="22"/>
              </w:rPr>
            </w:pPr>
          </w:p>
        </w:tc>
        <w:tc>
          <w:tcPr>
            <w:tcW w:w="1644" w:type="dxa"/>
            <w:gridSpan w:val="4"/>
            <w:tcBorders>
              <w:top w:val="single" w:sz="4" w:space="0" w:color="auto"/>
              <w:left w:val="single" w:sz="4" w:space="0" w:color="auto"/>
              <w:bottom w:val="single" w:sz="4" w:space="0" w:color="auto"/>
              <w:right w:val="single" w:sz="4" w:space="0" w:color="auto"/>
            </w:tcBorders>
          </w:tcPr>
          <w:p w:rsidR="00922B26" w:rsidRPr="00F627B2" w:rsidRDefault="00922B26">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922B26" w:rsidRPr="00F627B2" w:rsidRDefault="00922B26">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922B26" w:rsidRPr="00F627B2" w:rsidRDefault="00922B26">
            <w:pPr>
              <w:spacing w:line="240" w:lineRule="auto"/>
              <w:rPr>
                <w:rFonts w:ascii="Lato" w:hAnsi="Lato"/>
                <w:szCs w:val="22"/>
              </w:rPr>
            </w:pPr>
          </w:p>
        </w:tc>
        <w:tc>
          <w:tcPr>
            <w:tcW w:w="240" w:type="dxa"/>
            <w:gridSpan w:val="2"/>
            <w:tcBorders>
              <w:top w:val="nil"/>
              <w:left w:val="single" w:sz="4" w:space="0" w:color="auto"/>
              <w:bottom w:val="nil"/>
              <w:right w:val="nil"/>
            </w:tcBorders>
          </w:tcPr>
          <w:p w:rsidR="00922B26" w:rsidRPr="00F627B2" w:rsidRDefault="00922B26">
            <w:pPr>
              <w:spacing w:line="240" w:lineRule="auto"/>
              <w:rPr>
                <w:rFonts w:ascii="Lato" w:hAnsi="Lato"/>
                <w:szCs w:val="22"/>
              </w:rPr>
            </w:pPr>
          </w:p>
        </w:tc>
        <w:tc>
          <w:tcPr>
            <w:tcW w:w="665" w:type="dxa"/>
            <w:gridSpan w:val="9"/>
            <w:tcBorders>
              <w:top w:val="nil"/>
              <w:left w:val="nil"/>
              <w:bottom w:val="nil"/>
              <w:right w:val="nil"/>
            </w:tcBorders>
          </w:tcPr>
          <w:p w:rsidR="00922B26" w:rsidRPr="00F627B2" w:rsidRDefault="00922B26">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68485A" w:rsidRPr="00F627B2" w:rsidRDefault="0068485A">
            <w:pPr>
              <w:spacing w:line="240" w:lineRule="auto"/>
              <w:rPr>
                <w:rFonts w:ascii="Lato" w:hAnsi="Lato"/>
                <w:szCs w:val="22"/>
              </w:rPr>
            </w:pPr>
          </w:p>
        </w:tc>
        <w:tc>
          <w:tcPr>
            <w:tcW w:w="5493" w:type="dxa"/>
            <w:tcBorders>
              <w:top w:val="nil"/>
              <w:left w:val="nil"/>
              <w:bottom w:val="nil"/>
              <w:right w:val="nil"/>
            </w:tcBorders>
          </w:tcPr>
          <w:p w:rsidR="0068485A" w:rsidRPr="00F627B2" w:rsidRDefault="0068485A">
            <w:pPr>
              <w:spacing w:line="240" w:lineRule="auto"/>
              <w:rPr>
                <w:rFonts w:ascii="Lato" w:hAnsi="Lato"/>
                <w:szCs w:val="22"/>
              </w:rPr>
            </w:pPr>
            <w:r w:rsidRPr="00F627B2">
              <w:rPr>
                <w:rFonts w:ascii="Lato" w:hAnsi="Lato"/>
                <w:szCs w:val="22"/>
              </w:rPr>
              <w:t>Retail Investor AIF</w:t>
            </w:r>
          </w:p>
        </w:tc>
        <w:tc>
          <w:tcPr>
            <w:tcW w:w="1063" w:type="dxa"/>
            <w:gridSpan w:val="2"/>
            <w:tcBorders>
              <w:top w:val="single" w:sz="4" w:space="0" w:color="auto"/>
              <w:left w:val="nil"/>
              <w:bottom w:val="nil"/>
              <w:right w:val="nil"/>
            </w:tcBorders>
          </w:tcPr>
          <w:p w:rsidR="0068485A" w:rsidRPr="00F627B2" w:rsidRDefault="0068485A">
            <w:pPr>
              <w:spacing w:line="240" w:lineRule="auto"/>
              <w:rPr>
                <w:rFonts w:ascii="Lato" w:hAnsi="Lato"/>
                <w:szCs w:val="22"/>
              </w:rPr>
            </w:pPr>
          </w:p>
        </w:tc>
        <w:tc>
          <w:tcPr>
            <w:tcW w:w="238" w:type="dxa"/>
            <w:gridSpan w:val="3"/>
            <w:tcBorders>
              <w:top w:val="nil"/>
              <w:left w:val="nil"/>
              <w:bottom w:val="nil"/>
              <w:right w:val="nil"/>
            </w:tcBorders>
          </w:tcPr>
          <w:p w:rsidR="0068485A" w:rsidRPr="00F627B2" w:rsidRDefault="0068485A">
            <w:pPr>
              <w:spacing w:line="240" w:lineRule="auto"/>
              <w:rPr>
                <w:rFonts w:ascii="Lato" w:hAnsi="Lato"/>
                <w:szCs w:val="22"/>
              </w:rPr>
            </w:pPr>
          </w:p>
        </w:tc>
        <w:tc>
          <w:tcPr>
            <w:tcW w:w="1644" w:type="dxa"/>
            <w:gridSpan w:val="4"/>
            <w:tcBorders>
              <w:top w:val="single" w:sz="4" w:space="0" w:color="auto"/>
              <w:left w:val="nil"/>
              <w:bottom w:val="nil"/>
              <w:right w:val="nil"/>
            </w:tcBorders>
          </w:tcPr>
          <w:p w:rsidR="0068485A" w:rsidRPr="00F627B2" w:rsidRDefault="0068485A">
            <w:pPr>
              <w:spacing w:line="240" w:lineRule="auto"/>
              <w:rPr>
                <w:rFonts w:ascii="Lato" w:hAnsi="Lato"/>
                <w:szCs w:val="22"/>
              </w:rPr>
            </w:pPr>
          </w:p>
        </w:tc>
        <w:tc>
          <w:tcPr>
            <w:tcW w:w="250" w:type="dxa"/>
            <w:gridSpan w:val="6"/>
            <w:tcBorders>
              <w:top w:val="nil"/>
              <w:left w:val="nil"/>
              <w:bottom w:val="nil"/>
              <w:right w:val="nil"/>
            </w:tcBorders>
          </w:tcPr>
          <w:p w:rsidR="0068485A" w:rsidRPr="00F627B2" w:rsidRDefault="0068485A">
            <w:pPr>
              <w:spacing w:line="240" w:lineRule="auto"/>
              <w:rPr>
                <w:rFonts w:ascii="Lato" w:hAnsi="Lato"/>
                <w:szCs w:val="22"/>
              </w:rPr>
            </w:pPr>
          </w:p>
        </w:tc>
        <w:tc>
          <w:tcPr>
            <w:tcW w:w="477" w:type="dxa"/>
            <w:gridSpan w:val="5"/>
            <w:tcBorders>
              <w:top w:val="single" w:sz="4" w:space="0" w:color="auto"/>
              <w:left w:val="nil"/>
              <w:bottom w:val="nil"/>
              <w:right w:val="nil"/>
            </w:tcBorders>
          </w:tcPr>
          <w:p w:rsidR="0068485A" w:rsidRPr="00F627B2" w:rsidRDefault="0068485A">
            <w:pPr>
              <w:spacing w:line="240" w:lineRule="auto"/>
              <w:rPr>
                <w:rFonts w:ascii="Lato" w:hAnsi="Lato"/>
                <w:szCs w:val="22"/>
              </w:rPr>
            </w:pPr>
          </w:p>
        </w:tc>
        <w:tc>
          <w:tcPr>
            <w:tcW w:w="240" w:type="dxa"/>
            <w:gridSpan w:val="2"/>
            <w:tcBorders>
              <w:top w:val="nil"/>
              <w:left w:val="nil"/>
              <w:bottom w:val="nil"/>
              <w:right w:val="nil"/>
            </w:tcBorders>
          </w:tcPr>
          <w:p w:rsidR="0068485A" w:rsidRPr="00F627B2" w:rsidRDefault="0068485A">
            <w:pPr>
              <w:spacing w:line="240" w:lineRule="auto"/>
              <w:rPr>
                <w:rFonts w:ascii="Lato" w:hAnsi="Lato"/>
                <w:szCs w:val="22"/>
              </w:rPr>
            </w:pPr>
          </w:p>
        </w:tc>
        <w:tc>
          <w:tcPr>
            <w:tcW w:w="665" w:type="dxa"/>
            <w:gridSpan w:val="9"/>
            <w:tcBorders>
              <w:top w:val="nil"/>
              <w:left w:val="nil"/>
              <w:bottom w:val="nil"/>
              <w:right w:val="nil"/>
            </w:tcBorders>
          </w:tcPr>
          <w:p w:rsidR="0068485A" w:rsidRPr="00F627B2" w:rsidRDefault="0068485A">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922B26" w:rsidRPr="00F627B2" w:rsidRDefault="00922B26">
            <w:pPr>
              <w:spacing w:line="240" w:lineRule="auto"/>
              <w:rPr>
                <w:rFonts w:ascii="Lato" w:hAnsi="Lato"/>
                <w:szCs w:val="22"/>
              </w:rPr>
            </w:pPr>
          </w:p>
        </w:tc>
        <w:tc>
          <w:tcPr>
            <w:tcW w:w="5493" w:type="dxa"/>
            <w:tcBorders>
              <w:top w:val="nil"/>
              <w:left w:val="nil"/>
              <w:bottom w:val="nil"/>
              <w:right w:val="nil"/>
            </w:tcBorders>
          </w:tcPr>
          <w:p w:rsidR="00922B26" w:rsidRPr="00F627B2" w:rsidRDefault="00922B26">
            <w:pPr>
              <w:spacing w:line="240" w:lineRule="auto"/>
              <w:rPr>
                <w:rFonts w:ascii="Lato" w:hAnsi="Lato"/>
                <w:szCs w:val="22"/>
              </w:rPr>
            </w:pPr>
          </w:p>
        </w:tc>
        <w:tc>
          <w:tcPr>
            <w:tcW w:w="1063" w:type="dxa"/>
            <w:gridSpan w:val="2"/>
            <w:tcBorders>
              <w:top w:val="nil"/>
              <w:left w:val="nil"/>
              <w:bottom w:val="single" w:sz="4" w:space="0" w:color="auto"/>
              <w:right w:val="nil"/>
            </w:tcBorders>
          </w:tcPr>
          <w:p w:rsidR="00922B26" w:rsidRPr="00F627B2" w:rsidRDefault="00922B26">
            <w:pPr>
              <w:spacing w:line="240" w:lineRule="auto"/>
              <w:rPr>
                <w:rFonts w:ascii="Lato" w:hAnsi="Lato"/>
                <w:szCs w:val="22"/>
              </w:rPr>
            </w:pPr>
          </w:p>
        </w:tc>
        <w:tc>
          <w:tcPr>
            <w:tcW w:w="238" w:type="dxa"/>
            <w:gridSpan w:val="3"/>
            <w:tcBorders>
              <w:top w:val="nil"/>
              <w:left w:val="nil"/>
              <w:bottom w:val="nil"/>
              <w:right w:val="nil"/>
            </w:tcBorders>
          </w:tcPr>
          <w:p w:rsidR="00922B26" w:rsidRPr="00F627B2" w:rsidRDefault="00922B26">
            <w:pPr>
              <w:spacing w:line="240" w:lineRule="auto"/>
              <w:rPr>
                <w:rFonts w:ascii="Lato" w:hAnsi="Lato"/>
                <w:szCs w:val="22"/>
              </w:rPr>
            </w:pPr>
          </w:p>
        </w:tc>
        <w:tc>
          <w:tcPr>
            <w:tcW w:w="1644" w:type="dxa"/>
            <w:gridSpan w:val="4"/>
            <w:tcBorders>
              <w:top w:val="nil"/>
              <w:left w:val="nil"/>
              <w:bottom w:val="single" w:sz="4" w:space="0" w:color="auto"/>
              <w:right w:val="nil"/>
            </w:tcBorders>
          </w:tcPr>
          <w:p w:rsidR="00922B26" w:rsidRPr="00F627B2" w:rsidRDefault="00922B26">
            <w:pPr>
              <w:spacing w:line="240" w:lineRule="auto"/>
              <w:rPr>
                <w:rFonts w:ascii="Lato" w:hAnsi="Lato"/>
                <w:szCs w:val="22"/>
              </w:rPr>
            </w:pPr>
          </w:p>
        </w:tc>
        <w:tc>
          <w:tcPr>
            <w:tcW w:w="250" w:type="dxa"/>
            <w:gridSpan w:val="6"/>
            <w:tcBorders>
              <w:top w:val="nil"/>
              <w:left w:val="nil"/>
              <w:bottom w:val="nil"/>
              <w:right w:val="nil"/>
            </w:tcBorders>
          </w:tcPr>
          <w:p w:rsidR="00922B26" w:rsidRPr="00F627B2" w:rsidRDefault="00922B26">
            <w:pPr>
              <w:spacing w:line="240" w:lineRule="auto"/>
              <w:rPr>
                <w:rFonts w:ascii="Lato" w:hAnsi="Lato"/>
                <w:szCs w:val="22"/>
              </w:rPr>
            </w:pPr>
          </w:p>
        </w:tc>
        <w:tc>
          <w:tcPr>
            <w:tcW w:w="477" w:type="dxa"/>
            <w:gridSpan w:val="5"/>
            <w:tcBorders>
              <w:top w:val="nil"/>
              <w:left w:val="nil"/>
              <w:bottom w:val="single" w:sz="4" w:space="0" w:color="auto"/>
              <w:right w:val="nil"/>
            </w:tcBorders>
          </w:tcPr>
          <w:p w:rsidR="00922B26" w:rsidRPr="00F627B2" w:rsidRDefault="00922B26">
            <w:pPr>
              <w:spacing w:line="240" w:lineRule="auto"/>
              <w:rPr>
                <w:rFonts w:ascii="Lato" w:hAnsi="Lato"/>
                <w:szCs w:val="22"/>
              </w:rPr>
            </w:pPr>
          </w:p>
        </w:tc>
        <w:tc>
          <w:tcPr>
            <w:tcW w:w="240" w:type="dxa"/>
            <w:gridSpan w:val="2"/>
            <w:tcBorders>
              <w:top w:val="nil"/>
              <w:left w:val="nil"/>
              <w:bottom w:val="nil"/>
              <w:right w:val="nil"/>
            </w:tcBorders>
          </w:tcPr>
          <w:p w:rsidR="00922B26" w:rsidRPr="00F627B2" w:rsidRDefault="00922B26">
            <w:pPr>
              <w:spacing w:line="240" w:lineRule="auto"/>
              <w:rPr>
                <w:rFonts w:ascii="Lato" w:hAnsi="Lato"/>
                <w:szCs w:val="22"/>
              </w:rPr>
            </w:pPr>
          </w:p>
        </w:tc>
        <w:tc>
          <w:tcPr>
            <w:tcW w:w="665" w:type="dxa"/>
            <w:gridSpan w:val="9"/>
            <w:tcBorders>
              <w:top w:val="nil"/>
              <w:left w:val="nil"/>
              <w:bottom w:val="nil"/>
              <w:right w:val="nil"/>
            </w:tcBorders>
          </w:tcPr>
          <w:p w:rsidR="00922B26" w:rsidRPr="00F627B2" w:rsidRDefault="00922B26">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922B26" w:rsidRPr="00F627B2" w:rsidRDefault="00922B26">
            <w:pPr>
              <w:spacing w:line="240" w:lineRule="auto"/>
              <w:rPr>
                <w:rFonts w:ascii="Lato" w:hAnsi="Lato"/>
                <w:szCs w:val="22"/>
              </w:rPr>
            </w:pPr>
            <w:r w:rsidRPr="00F627B2">
              <w:rPr>
                <w:rFonts w:ascii="Lato" w:hAnsi="Lato"/>
                <w:szCs w:val="22"/>
              </w:rPr>
              <w:t>2.1.4</w:t>
            </w:r>
          </w:p>
        </w:tc>
        <w:tc>
          <w:tcPr>
            <w:tcW w:w="5493" w:type="dxa"/>
            <w:tcBorders>
              <w:top w:val="nil"/>
              <w:left w:val="nil"/>
              <w:bottom w:val="nil"/>
              <w:right w:val="single" w:sz="4" w:space="0" w:color="auto"/>
            </w:tcBorders>
          </w:tcPr>
          <w:p w:rsidR="00922B26" w:rsidRPr="00F627B2" w:rsidRDefault="00922B26">
            <w:pPr>
              <w:spacing w:line="240" w:lineRule="auto"/>
              <w:rPr>
                <w:rFonts w:ascii="Lato" w:hAnsi="Lato"/>
                <w:szCs w:val="22"/>
              </w:rPr>
            </w:pPr>
            <w:r w:rsidRPr="00F627B2">
              <w:rPr>
                <w:rFonts w:ascii="Lato" w:hAnsi="Lato"/>
                <w:szCs w:val="22"/>
              </w:rPr>
              <w:t>Give an indication of duration, if limited</w:t>
            </w:r>
          </w:p>
        </w:tc>
        <w:tc>
          <w:tcPr>
            <w:tcW w:w="1063" w:type="dxa"/>
            <w:gridSpan w:val="2"/>
            <w:tcBorders>
              <w:top w:val="single" w:sz="4" w:space="0" w:color="auto"/>
              <w:left w:val="single" w:sz="4" w:space="0" w:color="auto"/>
              <w:bottom w:val="single" w:sz="4" w:space="0" w:color="auto"/>
              <w:right w:val="single" w:sz="4" w:space="0" w:color="auto"/>
            </w:tcBorders>
          </w:tcPr>
          <w:p w:rsidR="00922B26" w:rsidRPr="00F627B2" w:rsidRDefault="00922B26">
            <w:pPr>
              <w:spacing w:line="240" w:lineRule="auto"/>
              <w:rPr>
                <w:rFonts w:ascii="Lato" w:hAnsi="Lato"/>
                <w:szCs w:val="22"/>
              </w:rPr>
            </w:pPr>
          </w:p>
        </w:tc>
        <w:tc>
          <w:tcPr>
            <w:tcW w:w="238" w:type="dxa"/>
            <w:gridSpan w:val="3"/>
            <w:tcBorders>
              <w:top w:val="nil"/>
              <w:left w:val="single" w:sz="4" w:space="0" w:color="auto"/>
              <w:bottom w:val="nil"/>
              <w:right w:val="single" w:sz="4" w:space="0" w:color="auto"/>
            </w:tcBorders>
          </w:tcPr>
          <w:p w:rsidR="00922B26" w:rsidRPr="00F627B2" w:rsidRDefault="00922B26">
            <w:pPr>
              <w:spacing w:line="240" w:lineRule="auto"/>
              <w:rPr>
                <w:rFonts w:ascii="Lato" w:hAnsi="Lato"/>
                <w:szCs w:val="22"/>
              </w:rPr>
            </w:pPr>
          </w:p>
        </w:tc>
        <w:tc>
          <w:tcPr>
            <w:tcW w:w="1644" w:type="dxa"/>
            <w:gridSpan w:val="4"/>
            <w:tcBorders>
              <w:top w:val="single" w:sz="4" w:space="0" w:color="auto"/>
              <w:left w:val="single" w:sz="4" w:space="0" w:color="auto"/>
              <w:bottom w:val="single" w:sz="4" w:space="0" w:color="auto"/>
              <w:right w:val="single" w:sz="4" w:space="0" w:color="auto"/>
            </w:tcBorders>
          </w:tcPr>
          <w:p w:rsidR="00922B26" w:rsidRPr="00F627B2" w:rsidRDefault="00922B26">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922B26" w:rsidRPr="00F627B2" w:rsidRDefault="00922B26">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922B26" w:rsidRPr="00F627B2" w:rsidRDefault="00922B26">
            <w:pPr>
              <w:spacing w:line="240" w:lineRule="auto"/>
              <w:rPr>
                <w:rFonts w:ascii="Lato" w:hAnsi="Lato"/>
                <w:szCs w:val="22"/>
              </w:rPr>
            </w:pPr>
          </w:p>
        </w:tc>
        <w:tc>
          <w:tcPr>
            <w:tcW w:w="240" w:type="dxa"/>
            <w:gridSpan w:val="2"/>
            <w:tcBorders>
              <w:top w:val="nil"/>
              <w:left w:val="single" w:sz="4" w:space="0" w:color="auto"/>
              <w:bottom w:val="nil"/>
              <w:right w:val="nil"/>
            </w:tcBorders>
          </w:tcPr>
          <w:p w:rsidR="00922B26" w:rsidRPr="00F627B2" w:rsidRDefault="00922B26">
            <w:pPr>
              <w:spacing w:line="240" w:lineRule="auto"/>
              <w:rPr>
                <w:rFonts w:ascii="Lato" w:hAnsi="Lato"/>
                <w:szCs w:val="22"/>
              </w:rPr>
            </w:pPr>
          </w:p>
        </w:tc>
        <w:tc>
          <w:tcPr>
            <w:tcW w:w="665" w:type="dxa"/>
            <w:gridSpan w:val="9"/>
            <w:tcBorders>
              <w:top w:val="nil"/>
              <w:left w:val="nil"/>
              <w:bottom w:val="nil"/>
              <w:right w:val="nil"/>
            </w:tcBorders>
          </w:tcPr>
          <w:p w:rsidR="00922B26" w:rsidRPr="00F627B2" w:rsidRDefault="00922B26">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p>
        </w:tc>
        <w:tc>
          <w:tcPr>
            <w:tcW w:w="5493" w:type="dxa"/>
            <w:tcBorders>
              <w:top w:val="nil"/>
              <w:left w:val="nil"/>
              <w:bottom w:val="nil"/>
              <w:right w:val="nil"/>
            </w:tcBorders>
          </w:tcPr>
          <w:p w:rsidR="00877692" w:rsidRPr="00F627B2" w:rsidRDefault="00877692">
            <w:pPr>
              <w:spacing w:line="240" w:lineRule="auto"/>
              <w:rPr>
                <w:rFonts w:ascii="Lato" w:hAnsi="Lato"/>
                <w:szCs w:val="22"/>
              </w:rPr>
            </w:pPr>
          </w:p>
          <w:p w:rsidR="006F747C" w:rsidRPr="00F627B2" w:rsidRDefault="006F747C">
            <w:pPr>
              <w:spacing w:line="240" w:lineRule="auto"/>
              <w:rPr>
                <w:rFonts w:ascii="Lato" w:hAnsi="Lato"/>
                <w:szCs w:val="22"/>
                <w:u w:val="single"/>
              </w:rPr>
            </w:pPr>
            <w:r w:rsidRPr="00F627B2">
              <w:rPr>
                <w:rFonts w:ascii="Lato" w:hAnsi="Lato"/>
                <w:szCs w:val="22"/>
                <w:u w:val="single"/>
              </w:rPr>
              <w:t>Investment Company</w:t>
            </w:r>
            <w:r w:rsidR="00A96BA0" w:rsidRPr="00F627B2">
              <w:rPr>
                <w:rFonts w:ascii="Lato" w:hAnsi="Lato"/>
                <w:szCs w:val="22"/>
                <w:u w:val="single"/>
              </w:rPr>
              <w:t>/ICAV</w:t>
            </w:r>
          </w:p>
        </w:tc>
        <w:tc>
          <w:tcPr>
            <w:tcW w:w="1063" w:type="dxa"/>
            <w:gridSpan w:val="2"/>
            <w:tcBorders>
              <w:top w:val="single" w:sz="4" w:space="0" w:color="auto"/>
              <w:left w:val="nil"/>
              <w:bottom w:val="single" w:sz="4" w:space="0" w:color="auto"/>
              <w:right w:val="nil"/>
            </w:tcBorders>
          </w:tcPr>
          <w:p w:rsidR="00877692" w:rsidRPr="00F627B2" w:rsidRDefault="00877692">
            <w:pPr>
              <w:spacing w:line="240" w:lineRule="auto"/>
              <w:rPr>
                <w:rFonts w:ascii="Lato" w:hAnsi="Lato"/>
                <w:szCs w:val="22"/>
              </w:rPr>
            </w:pPr>
          </w:p>
        </w:tc>
        <w:tc>
          <w:tcPr>
            <w:tcW w:w="238"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1644" w:type="dxa"/>
            <w:gridSpan w:val="4"/>
            <w:tcBorders>
              <w:top w:val="single" w:sz="4" w:space="0" w:color="auto"/>
              <w:left w:val="nil"/>
              <w:bottom w:val="single" w:sz="4" w:space="0" w:color="auto"/>
              <w:right w:val="nil"/>
            </w:tcBorders>
          </w:tcPr>
          <w:p w:rsidR="00877692" w:rsidRPr="00F627B2" w:rsidRDefault="00877692">
            <w:pPr>
              <w:spacing w:line="240" w:lineRule="auto"/>
              <w:rPr>
                <w:rFonts w:ascii="Lato" w:hAnsi="Lato"/>
                <w:szCs w:val="22"/>
              </w:rPr>
            </w:pPr>
          </w:p>
        </w:tc>
        <w:tc>
          <w:tcPr>
            <w:tcW w:w="250" w:type="dxa"/>
            <w:gridSpan w:val="6"/>
            <w:tcBorders>
              <w:top w:val="nil"/>
              <w:left w:val="nil"/>
              <w:bottom w:val="nil"/>
              <w:right w:val="nil"/>
            </w:tcBorders>
          </w:tcPr>
          <w:p w:rsidR="00877692" w:rsidRPr="00F627B2" w:rsidRDefault="00877692">
            <w:pPr>
              <w:spacing w:line="240" w:lineRule="auto"/>
              <w:rPr>
                <w:rFonts w:ascii="Lato" w:hAnsi="Lato"/>
                <w:szCs w:val="22"/>
              </w:rPr>
            </w:pPr>
          </w:p>
        </w:tc>
        <w:tc>
          <w:tcPr>
            <w:tcW w:w="477" w:type="dxa"/>
            <w:gridSpan w:val="5"/>
            <w:tcBorders>
              <w:top w:val="single" w:sz="4" w:space="0" w:color="auto"/>
              <w:left w:val="nil"/>
              <w:bottom w:val="single" w:sz="4" w:space="0" w:color="auto"/>
              <w:right w:val="nil"/>
            </w:tcBorders>
          </w:tcPr>
          <w:p w:rsidR="00877692" w:rsidRPr="00F627B2" w:rsidRDefault="00877692">
            <w:pPr>
              <w:spacing w:line="240" w:lineRule="auto"/>
              <w:rPr>
                <w:rFonts w:ascii="Lato" w:hAnsi="Lato"/>
                <w:szCs w:val="22"/>
              </w:rPr>
            </w:pPr>
          </w:p>
        </w:tc>
        <w:tc>
          <w:tcPr>
            <w:tcW w:w="240"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665" w:type="dxa"/>
            <w:gridSpan w:val="9"/>
            <w:tcBorders>
              <w:top w:val="nil"/>
              <w:left w:val="nil"/>
              <w:bottom w:val="nil"/>
              <w:right w:val="nil"/>
            </w:tcBorders>
          </w:tcPr>
          <w:p w:rsidR="00877692" w:rsidRPr="00F627B2" w:rsidRDefault="00877692">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877692" w:rsidRPr="00F627B2" w:rsidRDefault="00877692" w:rsidP="00922B26">
            <w:pPr>
              <w:spacing w:line="240" w:lineRule="auto"/>
              <w:rPr>
                <w:rFonts w:ascii="Lato" w:hAnsi="Lato"/>
                <w:szCs w:val="22"/>
              </w:rPr>
            </w:pPr>
            <w:r w:rsidRPr="00F627B2">
              <w:rPr>
                <w:rFonts w:ascii="Lato" w:hAnsi="Lato"/>
                <w:szCs w:val="22"/>
              </w:rPr>
              <w:t>2.1.</w:t>
            </w:r>
            <w:r w:rsidR="00922B26" w:rsidRPr="00F627B2">
              <w:rPr>
                <w:rFonts w:ascii="Lato" w:hAnsi="Lato"/>
                <w:szCs w:val="22"/>
              </w:rPr>
              <w:t>5</w:t>
            </w:r>
          </w:p>
        </w:tc>
        <w:tc>
          <w:tcPr>
            <w:tcW w:w="5493" w:type="dxa"/>
            <w:tcBorders>
              <w:top w:val="nil"/>
              <w:left w:val="nil"/>
              <w:bottom w:val="nil"/>
              <w:right w:val="single" w:sz="4" w:space="0" w:color="auto"/>
            </w:tcBorders>
          </w:tcPr>
          <w:p w:rsidR="00877692" w:rsidRPr="00F627B2" w:rsidRDefault="00877692" w:rsidP="0068485A">
            <w:pPr>
              <w:spacing w:line="240" w:lineRule="auto"/>
              <w:rPr>
                <w:rFonts w:ascii="Lato" w:hAnsi="Lato"/>
                <w:szCs w:val="22"/>
              </w:rPr>
            </w:pPr>
            <w:r w:rsidRPr="00F627B2">
              <w:rPr>
                <w:rFonts w:ascii="Lato" w:hAnsi="Lato"/>
                <w:szCs w:val="22"/>
              </w:rPr>
              <w:t>Registered Office</w:t>
            </w:r>
            <w:r w:rsidR="00ED171E" w:rsidRPr="00F627B2">
              <w:rPr>
                <w:rFonts w:ascii="Lato" w:hAnsi="Lato"/>
                <w:szCs w:val="22"/>
              </w:rPr>
              <w:t xml:space="preserve"> in the case of an Investment </w:t>
            </w:r>
          </w:p>
        </w:tc>
        <w:tc>
          <w:tcPr>
            <w:tcW w:w="1063"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8" w:type="dxa"/>
            <w:gridSpan w:val="3"/>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1644" w:type="dxa"/>
            <w:gridSpan w:val="4"/>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40" w:type="dxa"/>
            <w:gridSpan w:val="2"/>
            <w:tcBorders>
              <w:top w:val="nil"/>
              <w:left w:val="single" w:sz="4" w:space="0" w:color="auto"/>
              <w:bottom w:val="nil"/>
              <w:right w:val="nil"/>
            </w:tcBorders>
          </w:tcPr>
          <w:p w:rsidR="00877692" w:rsidRPr="00F627B2" w:rsidRDefault="00877692">
            <w:pPr>
              <w:spacing w:line="240" w:lineRule="auto"/>
              <w:rPr>
                <w:rFonts w:ascii="Lato" w:hAnsi="Lato"/>
                <w:szCs w:val="22"/>
              </w:rPr>
            </w:pPr>
          </w:p>
        </w:tc>
        <w:tc>
          <w:tcPr>
            <w:tcW w:w="665" w:type="dxa"/>
            <w:gridSpan w:val="9"/>
            <w:tcBorders>
              <w:top w:val="nil"/>
              <w:left w:val="nil"/>
              <w:bottom w:val="nil"/>
              <w:right w:val="nil"/>
            </w:tcBorders>
          </w:tcPr>
          <w:p w:rsidR="00877692" w:rsidRPr="00F627B2" w:rsidRDefault="00877692">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68485A" w:rsidRPr="00F627B2" w:rsidRDefault="0068485A" w:rsidP="00922B26">
            <w:pPr>
              <w:spacing w:line="240" w:lineRule="auto"/>
              <w:rPr>
                <w:rFonts w:ascii="Lato" w:hAnsi="Lato"/>
                <w:szCs w:val="22"/>
              </w:rPr>
            </w:pPr>
          </w:p>
        </w:tc>
        <w:tc>
          <w:tcPr>
            <w:tcW w:w="5493" w:type="dxa"/>
            <w:tcBorders>
              <w:top w:val="nil"/>
              <w:left w:val="nil"/>
              <w:bottom w:val="nil"/>
              <w:right w:val="nil"/>
            </w:tcBorders>
          </w:tcPr>
          <w:p w:rsidR="0068485A" w:rsidRPr="00F627B2" w:rsidRDefault="0068485A">
            <w:pPr>
              <w:spacing w:line="240" w:lineRule="auto"/>
              <w:rPr>
                <w:rFonts w:ascii="Lato" w:hAnsi="Lato"/>
                <w:szCs w:val="22"/>
              </w:rPr>
            </w:pPr>
            <w:r w:rsidRPr="00F627B2">
              <w:rPr>
                <w:rFonts w:ascii="Lato" w:hAnsi="Lato"/>
                <w:szCs w:val="22"/>
              </w:rPr>
              <w:t>Company</w:t>
            </w:r>
            <w:r w:rsidR="00A96BA0" w:rsidRPr="00F627B2">
              <w:rPr>
                <w:rFonts w:ascii="Lato" w:hAnsi="Lato"/>
                <w:szCs w:val="22"/>
              </w:rPr>
              <w:t>/ICAV</w:t>
            </w:r>
          </w:p>
        </w:tc>
        <w:tc>
          <w:tcPr>
            <w:tcW w:w="1063" w:type="dxa"/>
            <w:gridSpan w:val="2"/>
            <w:tcBorders>
              <w:top w:val="single" w:sz="4" w:space="0" w:color="auto"/>
              <w:left w:val="nil"/>
              <w:bottom w:val="nil"/>
              <w:right w:val="nil"/>
            </w:tcBorders>
          </w:tcPr>
          <w:p w:rsidR="0068485A" w:rsidRPr="00F627B2" w:rsidRDefault="0068485A">
            <w:pPr>
              <w:spacing w:line="240" w:lineRule="auto"/>
              <w:rPr>
                <w:rFonts w:ascii="Lato" w:hAnsi="Lato"/>
                <w:szCs w:val="22"/>
              </w:rPr>
            </w:pPr>
          </w:p>
        </w:tc>
        <w:tc>
          <w:tcPr>
            <w:tcW w:w="238" w:type="dxa"/>
            <w:gridSpan w:val="3"/>
            <w:tcBorders>
              <w:top w:val="nil"/>
              <w:left w:val="nil"/>
              <w:bottom w:val="nil"/>
              <w:right w:val="nil"/>
            </w:tcBorders>
          </w:tcPr>
          <w:p w:rsidR="0068485A" w:rsidRPr="00F627B2" w:rsidRDefault="0068485A">
            <w:pPr>
              <w:spacing w:line="240" w:lineRule="auto"/>
              <w:rPr>
                <w:rFonts w:ascii="Lato" w:hAnsi="Lato"/>
                <w:szCs w:val="22"/>
              </w:rPr>
            </w:pPr>
          </w:p>
        </w:tc>
        <w:tc>
          <w:tcPr>
            <w:tcW w:w="1644" w:type="dxa"/>
            <w:gridSpan w:val="4"/>
            <w:tcBorders>
              <w:top w:val="single" w:sz="4" w:space="0" w:color="auto"/>
              <w:left w:val="nil"/>
              <w:bottom w:val="nil"/>
              <w:right w:val="nil"/>
            </w:tcBorders>
          </w:tcPr>
          <w:p w:rsidR="0068485A" w:rsidRPr="00F627B2" w:rsidRDefault="0068485A">
            <w:pPr>
              <w:spacing w:line="240" w:lineRule="auto"/>
              <w:rPr>
                <w:rFonts w:ascii="Lato" w:hAnsi="Lato"/>
                <w:szCs w:val="22"/>
              </w:rPr>
            </w:pPr>
          </w:p>
        </w:tc>
        <w:tc>
          <w:tcPr>
            <w:tcW w:w="250" w:type="dxa"/>
            <w:gridSpan w:val="6"/>
            <w:tcBorders>
              <w:top w:val="nil"/>
              <w:left w:val="nil"/>
              <w:bottom w:val="nil"/>
              <w:right w:val="nil"/>
            </w:tcBorders>
          </w:tcPr>
          <w:p w:rsidR="0068485A" w:rsidRPr="00F627B2" w:rsidRDefault="0068485A">
            <w:pPr>
              <w:spacing w:line="240" w:lineRule="auto"/>
              <w:rPr>
                <w:rFonts w:ascii="Lato" w:hAnsi="Lato"/>
                <w:szCs w:val="22"/>
              </w:rPr>
            </w:pPr>
          </w:p>
        </w:tc>
        <w:tc>
          <w:tcPr>
            <w:tcW w:w="477" w:type="dxa"/>
            <w:gridSpan w:val="5"/>
            <w:tcBorders>
              <w:top w:val="single" w:sz="4" w:space="0" w:color="auto"/>
              <w:left w:val="nil"/>
              <w:bottom w:val="nil"/>
              <w:right w:val="nil"/>
            </w:tcBorders>
          </w:tcPr>
          <w:p w:rsidR="0068485A" w:rsidRPr="00F627B2" w:rsidRDefault="0068485A">
            <w:pPr>
              <w:spacing w:line="240" w:lineRule="auto"/>
              <w:rPr>
                <w:rFonts w:ascii="Lato" w:hAnsi="Lato"/>
                <w:szCs w:val="22"/>
              </w:rPr>
            </w:pPr>
          </w:p>
        </w:tc>
        <w:tc>
          <w:tcPr>
            <w:tcW w:w="240" w:type="dxa"/>
            <w:gridSpan w:val="2"/>
            <w:tcBorders>
              <w:top w:val="nil"/>
              <w:left w:val="nil"/>
              <w:bottom w:val="nil"/>
              <w:right w:val="nil"/>
            </w:tcBorders>
          </w:tcPr>
          <w:p w:rsidR="0068485A" w:rsidRPr="00F627B2" w:rsidRDefault="0068485A">
            <w:pPr>
              <w:spacing w:line="240" w:lineRule="auto"/>
              <w:rPr>
                <w:rFonts w:ascii="Lato" w:hAnsi="Lato"/>
                <w:szCs w:val="22"/>
              </w:rPr>
            </w:pPr>
          </w:p>
        </w:tc>
        <w:tc>
          <w:tcPr>
            <w:tcW w:w="665" w:type="dxa"/>
            <w:gridSpan w:val="9"/>
            <w:tcBorders>
              <w:top w:val="nil"/>
              <w:left w:val="nil"/>
              <w:bottom w:val="nil"/>
              <w:right w:val="nil"/>
            </w:tcBorders>
          </w:tcPr>
          <w:p w:rsidR="0068485A" w:rsidRPr="00F627B2" w:rsidRDefault="0068485A">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CE6D7B" w:rsidRPr="00F627B2" w:rsidRDefault="00CE6D7B">
            <w:pPr>
              <w:spacing w:line="240" w:lineRule="auto"/>
              <w:rPr>
                <w:rFonts w:ascii="Lato" w:hAnsi="Lato"/>
                <w:szCs w:val="22"/>
              </w:rPr>
            </w:pPr>
          </w:p>
        </w:tc>
        <w:tc>
          <w:tcPr>
            <w:tcW w:w="5493" w:type="dxa"/>
            <w:tcBorders>
              <w:top w:val="nil"/>
              <w:left w:val="nil"/>
              <w:bottom w:val="nil"/>
              <w:right w:val="nil"/>
            </w:tcBorders>
          </w:tcPr>
          <w:p w:rsidR="00CE6D7B" w:rsidRPr="00F627B2" w:rsidRDefault="00CE6D7B">
            <w:pPr>
              <w:spacing w:line="240" w:lineRule="auto"/>
              <w:rPr>
                <w:rFonts w:ascii="Lato" w:hAnsi="Lato"/>
                <w:szCs w:val="22"/>
              </w:rPr>
            </w:pPr>
          </w:p>
        </w:tc>
        <w:tc>
          <w:tcPr>
            <w:tcW w:w="1063" w:type="dxa"/>
            <w:gridSpan w:val="2"/>
            <w:tcBorders>
              <w:top w:val="nil"/>
              <w:left w:val="nil"/>
              <w:bottom w:val="single" w:sz="4" w:space="0" w:color="auto"/>
              <w:right w:val="nil"/>
            </w:tcBorders>
          </w:tcPr>
          <w:p w:rsidR="00CE6D7B" w:rsidRPr="00F627B2" w:rsidRDefault="00CE6D7B">
            <w:pPr>
              <w:spacing w:line="240" w:lineRule="auto"/>
              <w:rPr>
                <w:rFonts w:ascii="Lato" w:hAnsi="Lato"/>
                <w:szCs w:val="22"/>
              </w:rPr>
            </w:pPr>
          </w:p>
        </w:tc>
        <w:tc>
          <w:tcPr>
            <w:tcW w:w="238" w:type="dxa"/>
            <w:gridSpan w:val="3"/>
            <w:tcBorders>
              <w:top w:val="nil"/>
              <w:left w:val="nil"/>
              <w:bottom w:val="nil"/>
              <w:right w:val="nil"/>
            </w:tcBorders>
          </w:tcPr>
          <w:p w:rsidR="00CE6D7B" w:rsidRPr="00F627B2" w:rsidRDefault="00CE6D7B">
            <w:pPr>
              <w:spacing w:line="240" w:lineRule="auto"/>
              <w:rPr>
                <w:rFonts w:ascii="Lato" w:hAnsi="Lato"/>
                <w:szCs w:val="22"/>
              </w:rPr>
            </w:pPr>
          </w:p>
        </w:tc>
        <w:tc>
          <w:tcPr>
            <w:tcW w:w="1644" w:type="dxa"/>
            <w:gridSpan w:val="4"/>
            <w:tcBorders>
              <w:top w:val="nil"/>
              <w:left w:val="nil"/>
              <w:bottom w:val="single" w:sz="4" w:space="0" w:color="auto"/>
              <w:right w:val="nil"/>
            </w:tcBorders>
          </w:tcPr>
          <w:p w:rsidR="00CE6D7B" w:rsidRPr="00F627B2" w:rsidRDefault="00CE6D7B">
            <w:pPr>
              <w:spacing w:line="240" w:lineRule="auto"/>
              <w:rPr>
                <w:rFonts w:ascii="Lato" w:hAnsi="Lato"/>
                <w:szCs w:val="22"/>
              </w:rPr>
            </w:pPr>
          </w:p>
        </w:tc>
        <w:tc>
          <w:tcPr>
            <w:tcW w:w="250" w:type="dxa"/>
            <w:gridSpan w:val="6"/>
            <w:tcBorders>
              <w:top w:val="nil"/>
              <w:left w:val="nil"/>
              <w:bottom w:val="nil"/>
              <w:right w:val="nil"/>
            </w:tcBorders>
          </w:tcPr>
          <w:p w:rsidR="00CE6D7B" w:rsidRPr="00F627B2" w:rsidRDefault="00CE6D7B">
            <w:pPr>
              <w:spacing w:line="240" w:lineRule="auto"/>
              <w:rPr>
                <w:rFonts w:ascii="Lato" w:hAnsi="Lato"/>
                <w:szCs w:val="22"/>
              </w:rPr>
            </w:pPr>
          </w:p>
        </w:tc>
        <w:tc>
          <w:tcPr>
            <w:tcW w:w="477" w:type="dxa"/>
            <w:gridSpan w:val="5"/>
            <w:tcBorders>
              <w:top w:val="nil"/>
              <w:left w:val="nil"/>
              <w:bottom w:val="single" w:sz="4" w:space="0" w:color="auto"/>
              <w:right w:val="nil"/>
            </w:tcBorders>
          </w:tcPr>
          <w:p w:rsidR="00CE6D7B" w:rsidRPr="00F627B2" w:rsidRDefault="00CE6D7B">
            <w:pPr>
              <w:spacing w:line="240" w:lineRule="auto"/>
              <w:rPr>
                <w:rFonts w:ascii="Lato" w:hAnsi="Lato"/>
                <w:szCs w:val="22"/>
              </w:rPr>
            </w:pPr>
          </w:p>
        </w:tc>
        <w:tc>
          <w:tcPr>
            <w:tcW w:w="240" w:type="dxa"/>
            <w:gridSpan w:val="2"/>
            <w:tcBorders>
              <w:top w:val="nil"/>
              <w:left w:val="nil"/>
              <w:bottom w:val="nil"/>
              <w:right w:val="nil"/>
            </w:tcBorders>
          </w:tcPr>
          <w:p w:rsidR="00CE6D7B" w:rsidRPr="00F627B2" w:rsidRDefault="00CE6D7B">
            <w:pPr>
              <w:spacing w:line="240" w:lineRule="auto"/>
              <w:rPr>
                <w:rFonts w:ascii="Lato" w:hAnsi="Lato"/>
                <w:szCs w:val="22"/>
              </w:rPr>
            </w:pPr>
          </w:p>
        </w:tc>
        <w:tc>
          <w:tcPr>
            <w:tcW w:w="665" w:type="dxa"/>
            <w:gridSpan w:val="9"/>
            <w:tcBorders>
              <w:top w:val="nil"/>
              <w:left w:val="nil"/>
              <w:bottom w:val="nil"/>
              <w:right w:val="nil"/>
            </w:tcBorders>
          </w:tcPr>
          <w:p w:rsidR="00CE6D7B" w:rsidRPr="00F627B2" w:rsidRDefault="00CE6D7B">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356F2F" w:rsidRPr="00F627B2" w:rsidRDefault="00560C4B" w:rsidP="00922B26">
            <w:pPr>
              <w:spacing w:line="240" w:lineRule="auto"/>
              <w:rPr>
                <w:rFonts w:ascii="Lato" w:hAnsi="Lato"/>
                <w:szCs w:val="22"/>
              </w:rPr>
            </w:pPr>
            <w:r w:rsidRPr="00F627B2">
              <w:rPr>
                <w:rFonts w:ascii="Lato" w:hAnsi="Lato"/>
                <w:szCs w:val="22"/>
              </w:rPr>
              <w:t>2.1.</w:t>
            </w:r>
            <w:r w:rsidR="00922B26" w:rsidRPr="00F627B2">
              <w:rPr>
                <w:rFonts w:ascii="Lato" w:hAnsi="Lato"/>
                <w:szCs w:val="22"/>
              </w:rPr>
              <w:t>6</w:t>
            </w:r>
          </w:p>
        </w:tc>
        <w:tc>
          <w:tcPr>
            <w:tcW w:w="5493" w:type="dxa"/>
            <w:tcBorders>
              <w:top w:val="nil"/>
              <w:left w:val="nil"/>
              <w:bottom w:val="nil"/>
              <w:right w:val="single" w:sz="4" w:space="0" w:color="auto"/>
            </w:tcBorders>
          </w:tcPr>
          <w:p w:rsidR="00356F2F" w:rsidRPr="00F627B2" w:rsidRDefault="00356F2F" w:rsidP="0068485A">
            <w:pPr>
              <w:spacing w:line="240" w:lineRule="auto"/>
              <w:rPr>
                <w:rFonts w:ascii="Lato" w:hAnsi="Lato"/>
                <w:szCs w:val="22"/>
              </w:rPr>
            </w:pPr>
            <w:r w:rsidRPr="00F627B2">
              <w:rPr>
                <w:rFonts w:ascii="Lato" w:hAnsi="Lato"/>
                <w:szCs w:val="22"/>
              </w:rPr>
              <w:t xml:space="preserve">Head Office (if different from registered </w:t>
            </w:r>
          </w:p>
        </w:tc>
        <w:tc>
          <w:tcPr>
            <w:tcW w:w="1063" w:type="dxa"/>
            <w:gridSpan w:val="2"/>
            <w:tcBorders>
              <w:top w:val="single" w:sz="4" w:space="0" w:color="auto"/>
              <w:left w:val="single" w:sz="4" w:space="0" w:color="auto"/>
              <w:bottom w:val="single" w:sz="4" w:space="0" w:color="auto"/>
              <w:right w:val="single" w:sz="4" w:space="0" w:color="auto"/>
            </w:tcBorders>
          </w:tcPr>
          <w:p w:rsidR="00356F2F" w:rsidRPr="00F627B2" w:rsidRDefault="00356F2F">
            <w:pPr>
              <w:spacing w:line="240" w:lineRule="auto"/>
              <w:rPr>
                <w:rFonts w:ascii="Lato" w:hAnsi="Lato"/>
                <w:szCs w:val="22"/>
              </w:rPr>
            </w:pPr>
          </w:p>
        </w:tc>
        <w:tc>
          <w:tcPr>
            <w:tcW w:w="238" w:type="dxa"/>
            <w:gridSpan w:val="3"/>
            <w:tcBorders>
              <w:top w:val="nil"/>
              <w:left w:val="single" w:sz="4" w:space="0" w:color="auto"/>
              <w:bottom w:val="nil"/>
              <w:right w:val="single" w:sz="4" w:space="0" w:color="auto"/>
            </w:tcBorders>
          </w:tcPr>
          <w:p w:rsidR="00356F2F" w:rsidRPr="00F627B2" w:rsidRDefault="00356F2F">
            <w:pPr>
              <w:spacing w:line="240" w:lineRule="auto"/>
              <w:rPr>
                <w:rFonts w:ascii="Lato" w:hAnsi="Lato"/>
                <w:szCs w:val="22"/>
              </w:rPr>
            </w:pPr>
          </w:p>
        </w:tc>
        <w:tc>
          <w:tcPr>
            <w:tcW w:w="1644" w:type="dxa"/>
            <w:gridSpan w:val="4"/>
            <w:tcBorders>
              <w:top w:val="single" w:sz="4" w:space="0" w:color="auto"/>
              <w:left w:val="single" w:sz="4" w:space="0" w:color="auto"/>
              <w:bottom w:val="single" w:sz="4" w:space="0" w:color="auto"/>
              <w:right w:val="single" w:sz="4" w:space="0" w:color="auto"/>
            </w:tcBorders>
          </w:tcPr>
          <w:p w:rsidR="00356F2F" w:rsidRPr="00F627B2" w:rsidRDefault="00356F2F">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356F2F" w:rsidRPr="00F627B2" w:rsidRDefault="00356F2F">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356F2F" w:rsidRPr="00F627B2" w:rsidRDefault="00356F2F">
            <w:pPr>
              <w:spacing w:line="240" w:lineRule="auto"/>
              <w:rPr>
                <w:rFonts w:ascii="Lato" w:hAnsi="Lato"/>
                <w:szCs w:val="22"/>
              </w:rPr>
            </w:pPr>
          </w:p>
        </w:tc>
        <w:tc>
          <w:tcPr>
            <w:tcW w:w="240" w:type="dxa"/>
            <w:gridSpan w:val="2"/>
            <w:tcBorders>
              <w:top w:val="nil"/>
              <w:left w:val="single" w:sz="4" w:space="0" w:color="auto"/>
              <w:bottom w:val="nil"/>
              <w:right w:val="nil"/>
            </w:tcBorders>
          </w:tcPr>
          <w:p w:rsidR="00356F2F" w:rsidRPr="00F627B2" w:rsidRDefault="00356F2F">
            <w:pPr>
              <w:spacing w:line="240" w:lineRule="auto"/>
              <w:rPr>
                <w:rFonts w:ascii="Lato" w:hAnsi="Lato"/>
                <w:szCs w:val="22"/>
              </w:rPr>
            </w:pPr>
          </w:p>
        </w:tc>
        <w:tc>
          <w:tcPr>
            <w:tcW w:w="665" w:type="dxa"/>
            <w:gridSpan w:val="9"/>
            <w:tcBorders>
              <w:top w:val="nil"/>
              <w:left w:val="nil"/>
              <w:bottom w:val="nil"/>
              <w:right w:val="nil"/>
            </w:tcBorders>
          </w:tcPr>
          <w:p w:rsidR="00356F2F" w:rsidRPr="00F627B2" w:rsidRDefault="00356F2F">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68485A" w:rsidRPr="00F627B2" w:rsidRDefault="0068485A" w:rsidP="00922B26">
            <w:pPr>
              <w:spacing w:line="240" w:lineRule="auto"/>
              <w:rPr>
                <w:rFonts w:ascii="Lato" w:hAnsi="Lato"/>
                <w:szCs w:val="22"/>
              </w:rPr>
            </w:pPr>
          </w:p>
        </w:tc>
        <w:tc>
          <w:tcPr>
            <w:tcW w:w="5493" w:type="dxa"/>
            <w:tcBorders>
              <w:top w:val="nil"/>
              <w:left w:val="nil"/>
              <w:bottom w:val="nil"/>
              <w:right w:val="nil"/>
            </w:tcBorders>
          </w:tcPr>
          <w:p w:rsidR="0068485A" w:rsidRPr="00F627B2" w:rsidRDefault="0068485A">
            <w:pPr>
              <w:spacing w:line="240" w:lineRule="auto"/>
              <w:rPr>
                <w:rFonts w:ascii="Lato" w:hAnsi="Lato"/>
                <w:szCs w:val="22"/>
              </w:rPr>
            </w:pPr>
            <w:r w:rsidRPr="00F627B2">
              <w:rPr>
                <w:rFonts w:ascii="Lato" w:hAnsi="Lato"/>
                <w:szCs w:val="22"/>
              </w:rPr>
              <w:t>office)</w:t>
            </w:r>
          </w:p>
        </w:tc>
        <w:tc>
          <w:tcPr>
            <w:tcW w:w="1063" w:type="dxa"/>
            <w:gridSpan w:val="2"/>
            <w:tcBorders>
              <w:top w:val="single" w:sz="4" w:space="0" w:color="auto"/>
              <w:left w:val="nil"/>
              <w:bottom w:val="nil"/>
              <w:right w:val="nil"/>
            </w:tcBorders>
          </w:tcPr>
          <w:p w:rsidR="0068485A" w:rsidRPr="00F627B2" w:rsidRDefault="0068485A">
            <w:pPr>
              <w:spacing w:line="240" w:lineRule="auto"/>
              <w:rPr>
                <w:rFonts w:ascii="Lato" w:hAnsi="Lato"/>
                <w:szCs w:val="22"/>
              </w:rPr>
            </w:pPr>
          </w:p>
        </w:tc>
        <w:tc>
          <w:tcPr>
            <w:tcW w:w="238" w:type="dxa"/>
            <w:gridSpan w:val="3"/>
            <w:tcBorders>
              <w:top w:val="nil"/>
              <w:left w:val="nil"/>
              <w:bottom w:val="nil"/>
              <w:right w:val="nil"/>
            </w:tcBorders>
          </w:tcPr>
          <w:p w:rsidR="0068485A" w:rsidRPr="00F627B2" w:rsidRDefault="0068485A">
            <w:pPr>
              <w:spacing w:line="240" w:lineRule="auto"/>
              <w:rPr>
                <w:rFonts w:ascii="Lato" w:hAnsi="Lato"/>
                <w:szCs w:val="22"/>
              </w:rPr>
            </w:pPr>
          </w:p>
        </w:tc>
        <w:tc>
          <w:tcPr>
            <w:tcW w:w="1644" w:type="dxa"/>
            <w:gridSpan w:val="4"/>
            <w:tcBorders>
              <w:top w:val="single" w:sz="4" w:space="0" w:color="auto"/>
              <w:left w:val="nil"/>
              <w:bottom w:val="nil"/>
              <w:right w:val="nil"/>
            </w:tcBorders>
          </w:tcPr>
          <w:p w:rsidR="0068485A" w:rsidRPr="00F627B2" w:rsidRDefault="0068485A">
            <w:pPr>
              <w:spacing w:line="240" w:lineRule="auto"/>
              <w:rPr>
                <w:rFonts w:ascii="Lato" w:hAnsi="Lato"/>
                <w:szCs w:val="22"/>
              </w:rPr>
            </w:pPr>
          </w:p>
        </w:tc>
        <w:tc>
          <w:tcPr>
            <w:tcW w:w="250" w:type="dxa"/>
            <w:gridSpan w:val="6"/>
            <w:tcBorders>
              <w:top w:val="nil"/>
              <w:left w:val="nil"/>
              <w:bottom w:val="nil"/>
              <w:right w:val="nil"/>
            </w:tcBorders>
          </w:tcPr>
          <w:p w:rsidR="0068485A" w:rsidRPr="00F627B2" w:rsidRDefault="0068485A">
            <w:pPr>
              <w:spacing w:line="240" w:lineRule="auto"/>
              <w:rPr>
                <w:rFonts w:ascii="Lato" w:hAnsi="Lato"/>
                <w:szCs w:val="22"/>
              </w:rPr>
            </w:pPr>
          </w:p>
        </w:tc>
        <w:tc>
          <w:tcPr>
            <w:tcW w:w="477" w:type="dxa"/>
            <w:gridSpan w:val="5"/>
            <w:tcBorders>
              <w:top w:val="single" w:sz="4" w:space="0" w:color="auto"/>
              <w:left w:val="nil"/>
              <w:bottom w:val="nil"/>
              <w:right w:val="nil"/>
            </w:tcBorders>
          </w:tcPr>
          <w:p w:rsidR="0068485A" w:rsidRPr="00F627B2" w:rsidRDefault="0068485A">
            <w:pPr>
              <w:spacing w:line="240" w:lineRule="auto"/>
              <w:rPr>
                <w:rFonts w:ascii="Lato" w:hAnsi="Lato"/>
                <w:szCs w:val="22"/>
              </w:rPr>
            </w:pPr>
          </w:p>
        </w:tc>
        <w:tc>
          <w:tcPr>
            <w:tcW w:w="240" w:type="dxa"/>
            <w:gridSpan w:val="2"/>
            <w:tcBorders>
              <w:top w:val="nil"/>
              <w:left w:val="nil"/>
              <w:bottom w:val="nil"/>
              <w:right w:val="nil"/>
            </w:tcBorders>
          </w:tcPr>
          <w:p w:rsidR="0068485A" w:rsidRPr="00F627B2" w:rsidRDefault="0068485A">
            <w:pPr>
              <w:spacing w:line="240" w:lineRule="auto"/>
              <w:rPr>
                <w:rFonts w:ascii="Lato" w:hAnsi="Lato"/>
                <w:szCs w:val="22"/>
              </w:rPr>
            </w:pPr>
          </w:p>
        </w:tc>
        <w:tc>
          <w:tcPr>
            <w:tcW w:w="665" w:type="dxa"/>
            <w:gridSpan w:val="9"/>
            <w:tcBorders>
              <w:top w:val="nil"/>
              <w:left w:val="nil"/>
              <w:bottom w:val="nil"/>
              <w:right w:val="nil"/>
            </w:tcBorders>
          </w:tcPr>
          <w:p w:rsidR="0068485A" w:rsidRPr="00F627B2" w:rsidRDefault="0068485A">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szCs w:val="22"/>
              </w:rPr>
            </w:pPr>
          </w:p>
        </w:tc>
        <w:tc>
          <w:tcPr>
            <w:tcW w:w="1063" w:type="dxa"/>
            <w:gridSpan w:val="2"/>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38"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1644" w:type="dxa"/>
            <w:gridSpan w:val="4"/>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50"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477" w:type="dxa"/>
            <w:gridSpan w:val="5"/>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40"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665" w:type="dxa"/>
            <w:gridSpan w:val="9"/>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3F241F" w:rsidRPr="00F627B2" w:rsidRDefault="00560C4B" w:rsidP="00922B26">
            <w:pPr>
              <w:spacing w:line="240" w:lineRule="auto"/>
              <w:rPr>
                <w:rFonts w:ascii="Lato" w:hAnsi="Lato"/>
                <w:szCs w:val="22"/>
              </w:rPr>
            </w:pPr>
            <w:r w:rsidRPr="00F627B2">
              <w:rPr>
                <w:rFonts w:ascii="Lato" w:hAnsi="Lato"/>
                <w:szCs w:val="22"/>
              </w:rPr>
              <w:t>2.1.</w:t>
            </w:r>
            <w:r w:rsidR="00922B26" w:rsidRPr="00F627B2">
              <w:rPr>
                <w:rFonts w:ascii="Lato" w:hAnsi="Lato"/>
                <w:szCs w:val="22"/>
              </w:rPr>
              <w:t>7</w:t>
            </w:r>
          </w:p>
        </w:tc>
        <w:tc>
          <w:tcPr>
            <w:tcW w:w="5493" w:type="dxa"/>
            <w:tcBorders>
              <w:top w:val="nil"/>
              <w:left w:val="nil"/>
              <w:bottom w:val="nil"/>
              <w:right w:val="single" w:sz="4" w:space="0" w:color="auto"/>
            </w:tcBorders>
          </w:tcPr>
          <w:p w:rsidR="003F241F" w:rsidRPr="00F627B2" w:rsidRDefault="003F241F" w:rsidP="0068485A">
            <w:pPr>
              <w:spacing w:line="240" w:lineRule="auto"/>
              <w:rPr>
                <w:rFonts w:ascii="Lato" w:hAnsi="Lato"/>
                <w:szCs w:val="22"/>
              </w:rPr>
            </w:pPr>
            <w:r w:rsidRPr="00F627B2">
              <w:rPr>
                <w:rFonts w:ascii="Lato" w:hAnsi="Lato"/>
                <w:szCs w:val="22"/>
              </w:rPr>
              <w:t xml:space="preserve">Names and positions of the directors in the </w:t>
            </w:r>
          </w:p>
        </w:tc>
        <w:tc>
          <w:tcPr>
            <w:tcW w:w="1063" w:type="dxa"/>
            <w:gridSpan w:val="2"/>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38" w:type="dxa"/>
            <w:gridSpan w:val="3"/>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1644" w:type="dxa"/>
            <w:gridSpan w:val="4"/>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40" w:type="dxa"/>
            <w:gridSpan w:val="2"/>
            <w:tcBorders>
              <w:top w:val="nil"/>
              <w:left w:val="single" w:sz="4" w:space="0" w:color="auto"/>
              <w:bottom w:val="nil"/>
              <w:right w:val="nil"/>
            </w:tcBorders>
          </w:tcPr>
          <w:p w:rsidR="003F241F" w:rsidRPr="00F627B2" w:rsidRDefault="003F241F">
            <w:pPr>
              <w:spacing w:line="240" w:lineRule="auto"/>
              <w:rPr>
                <w:rFonts w:ascii="Lato" w:hAnsi="Lato"/>
                <w:szCs w:val="22"/>
              </w:rPr>
            </w:pPr>
          </w:p>
        </w:tc>
        <w:tc>
          <w:tcPr>
            <w:tcW w:w="665" w:type="dxa"/>
            <w:gridSpan w:val="9"/>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68485A" w:rsidRPr="00F627B2" w:rsidRDefault="0068485A" w:rsidP="00922B26">
            <w:pPr>
              <w:spacing w:line="240" w:lineRule="auto"/>
              <w:rPr>
                <w:rFonts w:ascii="Lato" w:hAnsi="Lato"/>
                <w:szCs w:val="22"/>
              </w:rPr>
            </w:pPr>
          </w:p>
        </w:tc>
        <w:tc>
          <w:tcPr>
            <w:tcW w:w="5493" w:type="dxa"/>
            <w:tcBorders>
              <w:top w:val="nil"/>
              <w:left w:val="nil"/>
              <w:bottom w:val="nil"/>
              <w:right w:val="nil"/>
            </w:tcBorders>
          </w:tcPr>
          <w:p w:rsidR="0068485A" w:rsidRPr="00F627B2" w:rsidRDefault="00A96BA0">
            <w:pPr>
              <w:spacing w:line="240" w:lineRule="auto"/>
              <w:rPr>
                <w:rFonts w:ascii="Lato" w:hAnsi="Lato"/>
                <w:szCs w:val="22"/>
              </w:rPr>
            </w:pPr>
            <w:r w:rsidRPr="00F627B2">
              <w:rPr>
                <w:rFonts w:ascii="Lato" w:hAnsi="Lato"/>
                <w:szCs w:val="22"/>
              </w:rPr>
              <w:t>C</w:t>
            </w:r>
            <w:r w:rsidR="0068485A" w:rsidRPr="00F627B2">
              <w:rPr>
                <w:rFonts w:ascii="Lato" w:hAnsi="Lato"/>
                <w:szCs w:val="22"/>
              </w:rPr>
              <w:t>ompany</w:t>
            </w:r>
            <w:r w:rsidRPr="00F627B2">
              <w:rPr>
                <w:rFonts w:ascii="Lato" w:hAnsi="Lato"/>
                <w:szCs w:val="22"/>
              </w:rPr>
              <w:t>/ICAV</w:t>
            </w:r>
          </w:p>
        </w:tc>
        <w:tc>
          <w:tcPr>
            <w:tcW w:w="1063" w:type="dxa"/>
            <w:gridSpan w:val="2"/>
            <w:tcBorders>
              <w:top w:val="single" w:sz="4" w:space="0" w:color="auto"/>
              <w:left w:val="nil"/>
              <w:bottom w:val="nil"/>
              <w:right w:val="nil"/>
            </w:tcBorders>
          </w:tcPr>
          <w:p w:rsidR="0068485A" w:rsidRPr="00F627B2" w:rsidRDefault="0068485A">
            <w:pPr>
              <w:spacing w:line="240" w:lineRule="auto"/>
              <w:rPr>
                <w:rFonts w:ascii="Lato" w:hAnsi="Lato"/>
                <w:szCs w:val="22"/>
              </w:rPr>
            </w:pPr>
          </w:p>
        </w:tc>
        <w:tc>
          <w:tcPr>
            <w:tcW w:w="238" w:type="dxa"/>
            <w:gridSpan w:val="3"/>
            <w:tcBorders>
              <w:top w:val="nil"/>
              <w:left w:val="nil"/>
              <w:bottom w:val="nil"/>
              <w:right w:val="nil"/>
            </w:tcBorders>
          </w:tcPr>
          <w:p w:rsidR="0068485A" w:rsidRPr="00F627B2" w:rsidRDefault="0068485A">
            <w:pPr>
              <w:spacing w:line="240" w:lineRule="auto"/>
              <w:rPr>
                <w:rFonts w:ascii="Lato" w:hAnsi="Lato"/>
                <w:szCs w:val="22"/>
              </w:rPr>
            </w:pPr>
          </w:p>
        </w:tc>
        <w:tc>
          <w:tcPr>
            <w:tcW w:w="1644" w:type="dxa"/>
            <w:gridSpan w:val="4"/>
            <w:tcBorders>
              <w:top w:val="single" w:sz="4" w:space="0" w:color="auto"/>
              <w:left w:val="nil"/>
              <w:bottom w:val="nil"/>
              <w:right w:val="nil"/>
            </w:tcBorders>
          </w:tcPr>
          <w:p w:rsidR="0068485A" w:rsidRPr="00F627B2" w:rsidRDefault="0068485A">
            <w:pPr>
              <w:spacing w:line="240" w:lineRule="auto"/>
              <w:rPr>
                <w:rFonts w:ascii="Lato" w:hAnsi="Lato"/>
                <w:szCs w:val="22"/>
              </w:rPr>
            </w:pPr>
          </w:p>
        </w:tc>
        <w:tc>
          <w:tcPr>
            <w:tcW w:w="250" w:type="dxa"/>
            <w:gridSpan w:val="6"/>
            <w:tcBorders>
              <w:top w:val="nil"/>
              <w:left w:val="nil"/>
              <w:bottom w:val="nil"/>
              <w:right w:val="nil"/>
            </w:tcBorders>
          </w:tcPr>
          <w:p w:rsidR="0068485A" w:rsidRPr="00F627B2" w:rsidRDefault="0068485A">
            <w:pPr>
              <w:spacing w:line="240" w:lineRule="auto"/>
              <w:rPr>
                <w:rFonts w:ascii="Lato" w:hAnsi="Lato"/>
                <w:szCs w:val="22"/>
              </w:rPr>
            </w:pPr>
          </w:p>
        </w:tc>
        <w:tc>
          <w:tcPr>
            <w:tcW w:w="477" w:type="dxa"/>
            <w:gridSpan w:val="5"/>
            <w:tcBorders>
              <w:top w:val="single" w:sz="4" w:space="0" w:color="auto"/>
              <w:left w:val="nil"/>
              <w:bottom w:val="nil"/>
              <w:right w:val="nil"/>
            </w:tcBorders>
          </w:tcPr>
          <w:p w:rsidR="0068485A" w:rsidRPr="00F627B2" w:rsidRDefault="0068485A">
            <w:pPr>
              <w:spacing w:line="240" w:lineRule="auto"/>
              <w:rPr>
                <w:rFonts w:ascii="Lato" w:hAnsi="Lato"/>
                <w:szCs w:val="22"/>
              </w:rPr>
            </w:pPr>
          </w:p>
        </w:tc>
        <w:tc>
          <w:tcPr>
            <w:tcW w:w="240" w:type="dxa"/>
            <w:gridSpan w:val="2"/>
            <w:tcBorders>
              <w:top w:val="nil"/>
              <w:left w:val="nil"/>
              <w:bottom w:val="nil"/>
              <w:right w:val="nil"/>
            </w:tcBorders>
          </w:tcPr>
          <w:p w:rsidR="0068485A" w:rsidRPr="00F627B2" w:rsidRDefault="0068485A">
            <w:pPr>
              <w:spacing w:line="240" w:lineRule="auto"/>
              <w:rPr>
                <w:rFonts w:ascii="Lato" w:hAnsi="Lato"/>
                <w:szCs w:val="22"/>
              </w:rPr>
            </w:pPr>
          </w:p>
        </w:tc>
        <w:tc>
          <w:tcPr>
            <w:tcW w:w="665" w:type="dxa"/>
            <w:gridSpan w:val="9"/>
            <w:tcBorders>
              <w:top w:val="nil"/>
              <w:left w:val="nil"/>
              <w:bottom w:val="nil"/>
              <w:right w:val="nil"/>
            </w:tcBorders>
          </w:tcPr>
          <w:p w:rsidR="0068485A" w:rsidRPr="00F627B2" w:rsidRDefault="0068485A">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szCs w:val="22"/>
              </w:rPr>
            </w:pPr>
          </w:p>
        </w:tc>
        <w:tc>
          <w:tcPr>
            <w:tcW w:w="1063" w:type="dxa"/>
            <w:gridSpan w:val="2"/>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38"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1644" w:type="dxa"/>
            <w:gridSpan w:val="4"/>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50"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477" w:type="dxa"/>
            <w:gridSpan w:val="5"/>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40"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665" w:type="dxa"/>
            <w:gridSpan w:val="9"/>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3F241F" w:rsidRPr="00F627B2" w:rsidRDefault="00560C4B" w:rsidP="00922B26">
            <w:pPr>
              <w:spacing w:line="240" w:lineRule="auto"/>
              <w:rPr>
                <w:rFonts w:ascii="Lato" w:hAnsi="Lato"/>
                <w:szCs w:val="22"/>
              </w:rPr>
            </w:pPr>
            <w:r w:rsidRPr="00F627B2">
              <w:rPr>
                <w:rFonts w:ascii="Lato" w:hAnsi="Lato"/>
                <w:szCs w:val="22"/>
              </w:rPr>
              <w:t>2.1.</w:t>
            </w:r>
            <w:r w:rsidR="00922B26" w:rsidRPr="00F627B2">
              <w:rPr>
                <w:rFonts w:ascii="Lato" w:hAnsi="Lato"/>
                <w:szCs w:val="22"/>
              </w:rPr>
              <w:t>8</w:t>
            </w:r>
          </w:p>
        </w:tc>
        <w:tc>
          <w:tcPr>
            <w:tcW w:w="5493" w:type="dxa"/>
            <w:tcBorders>
              <w:top w:val="nil"/>
              <w:left w:val="nil"/>
              <w:bottom w:val="nil"/>
              <w:right w:val="single" w:sz="4" w:space="0" w:color="auto"/>
            </w:tcBorders>
          </w:tcPr>
          <w:p w:rsidR="003F241F" w:rsidRPr="00F627B2" w:rsidRDefault="003F241F" w:rsidP="0068485A">
            <w:pPr>
              <w:spacing w:line="240" w:lineRule="auto"/>
              <w:rPr>
                <w:rFonts w:ascii="Lato" w:hAnsi="Lato"/>
                <w:szCs w:val="22"/>
              </w:rPr>
            </w:pPr>
            <w:r w:rsidRPr="00F627B2">
              <w:rPr>
                <w:rFonts w:ascii="Lato" w:hAnsi="Lato"/>
                <w:szCs w:val="22"/>
              </w:rPr>
              <w:t xml:space="preserve">A brief description of the directors’ work </w:t>
            </w:r>
          </w:p>
        </w:tc>
        <w:tc>
          <w:tcPr>
            <w:tcW w:w="1063" w:type="dxa"/>
            <w:gridSpan w:val="2"/>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38" w:type="dxa"/>
            <w:gridSpan w:val="3"/>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1644" w:type="dxa"/>
            <w:gridSpan w:val="4"/>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40" w:type="dxa"/>
            <w:gridSpan w:val="2"/>
            <w:tcBorders>
              <w:top w:val="nil"/>
              <w:left w:val="single" w:sz="4" w:space="0" w:color="auto"/>
              <w:bottom w:val="nil"/>
              <w:right w:val="nil"/>
            </w:tcBorders>
          </w:tcPr>
          <w:p w:rsidR="003F241F" w:rsidRPr="00F627B2" w:rsidRDefault="003F241F">
            <w:pPr>
              <w:spacing w:line="240" w:lineRule="auto"/>
              <w:rPr>
                <w:rFonts w:ascii="Lato" w:hAnsi="Lato"/>
                <w:szCs w:val="22"/>
              </w:rPr>
            </w:pPr>
          </w:p>
        </w:tc>
        <w:tc>
          <w:tcPr>
            <w:tcW w:w="665" w:type="dxa"/>
            <w:gridSpan w:val="9"/>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560C4B" w:rsidRPr="00F627B2" w:rsidRDefault="00560C4B">
            <w:pPr>
              <w:spacing w:line="240" w:lineRule="auto"/>
              <w:rPr>
                <w:rFonts w:ascii="Lato" w:hAnsi="Lato"/>
                <w:szCs w:val="22"/>
              </w:rPr>
            </w:pPr>
          </w:p>
        </w:tc>
        <w:tc>
          <w:tcPr>
            <w:tcW w:w="5493" w:type="dxa"/>
            <w:tcBorders>
              <w:top w:val="nil"/>
              <w:left w:val="nil"/>
              <w:bottom w:val="nil"/>
              <w:right w:val="nil"/>
            </w:tcBorders>
          </w:tcPr>
          <w:p w:rsidR="00560C4B" w:rsidRPr="00F627B2" w:rsidRDefault="0068485A">
            <w:pPr>
              <w:spacing w:line="240" w:lineRule="auto"/>
              <w:rPr>
                <w:rFonts w:ascii="Lato" w:hAnsi="Lato"/>
                <w:szCs w:val="22"/>
              </w:rPr>
            </w:pPr>
            <w:r w:rsidRPr="00F627B2">
              <w:rPr>
                <w:rFonts w:ascii="Lato" w:hAnsi="Lato"/>
                <w:szCs w:val="22"/>
              </w:rPr>
              <w:t xml:space="preserve">experience which is </w:t>
            </w:r>
            <w:r w:rsidR="00560C4B" w:rsidRPr="00F627B2">
              <w:rPr>
                <w:rFonts w:ascii="Lato" w:hAnsi="Lato"/>
                <w:szCs w:val="22"/>
              </w:rPr>
              <w:t>relevant to the company</w:t>
            </w:r>
            <w:r w:rsidR="00A96BA0" w:rsidRPr="00F627B2">
              <w:rPr>
                <w:rFonts w:ascii="Lato" w:hAnsi="Lato"/>
                <w:szCs w:val="22"/>
              </w:rPr>
              <w:t>/ICAV</w:t>
            </w:r>
          </w:p>
        </w:tc>
        <w:tc>
          <w:tcPr>
            <w:tcW w:w="1063" w:type="dxa"/>
            <w:gridSpan w:val="2"/>
            <w:tcBorders>
              <w:top w:val="single" w:sz="4" w:space="0" w:color="auto"/>
              <w:left w:val="nil"/>
              <w:bottom w:val="single" w:sz="4" w:space="0" w:color="auto"/>
              <w:right w:val="nil"/>
            </w:tcBorders>
          </w:tcPr>
          <w:p w:rsidR="00560C4B" w:rsidRPr="00F627B2" w:rsidRDefault="00560C4B">
            <w:pPr>
              <w:spacing w:line="240" w:lineRule="auto"/>
              <w:rPr>
                <w:rFonts w:ascii="Lato" w:hAnsi="Lato"/>
                <w:szCs w:val="22"/>
              </w:rPr>
            </w:pPr>
          </w:p>
        </w:tc>
        <w:tc>
          <w:tcPr>
            <w:tcW w:w="238" w:type="dxa"/>
            <w:gridSpan w:val="3"/>
            <w:tcBorders>
              <w:top w:val="nil"/>
              <w:left w:val="nil"/>
              <w:bottom w:val="nil"/>
              <w:right w:val="nil"/>
            </w:tcBorders>
          </w:tcPr>
          <w:p w:rsidR="00560C4B" w:rsidRPr="00F627B2" w:rsidRDefault="00560C4B">
            <w:pPr>
              <w:spacing w:line="240" w:lineRule="auto"/>
              <w:rPr>
                <w:rFonts w:ascii="Lato" w:hAnsi="Lato"/>
                <w:szCs w:val="22"/>
              </w:rPr>
            </w:pPr>
          </w:p>
        </w:tc>
        <w:tc>
          <w:tcPr>
            <w:tcW w:w="1644" w:type="dxa"/>
            <w:gridSpan w:val="4"/>
            <w:tcBorders>
              <w:top w:val="single" w:sz="4" w:space="0" w:color="auto"/>
              <w:left w:val="nil"/>
              <w:bottom w:val="single" w:sz="4" w:space="0" w:color="auto"/>
              <w:right w:val="nil"/>
            </w:tcBorders>
          </w:tcPr>
          <w:p w:rsidR="00560C4B" w:rsidRPr="00F627B2" w:rsidRDefault="00560C4B">
            <w:pPr>
              <w:spacing w:line="240" w:lineRule="auto"/>
              <w:rPr>
                <w:rFonts w:ascii="Lato" w:hAnsi="Lato"/>
                <w:szCs w:val="22"/>
              </w:rPr>
            </w:pPr>
          </w:p>
        </w:tc>
        <w:tc>
          <w:tcPr>
            <w:tcW w:w="250" w:type="dxa"/>
            <w:gridSpan w:val="6"/>
            <w:tcBorders>
              <w:top w:val="nil"/>
              <w:left w:val="nil"/>
              <w:bottom w:val="nil"/>
              <w:right w:val="nil"/>
            </w:tcBorders>
          </w:tcPr>
          <w:p w:rsidR="00560C4B" w:rsidRPr="00F627B2" w:rsidRDefault="00560C4B">
            <w:pPr>
              <w:spacing w:line="240" w:lineRule="auto"/>
              <w:rPr>
                <w:rFonts w:ascii="Lato" w:hAnsi="Lato"/>
                <w:szCs w:val="22"/>
              </w:rPr>
            </w:pPr>
          </w:p>
        </w:tc>
        <w:tc>
          <w:tcPr>
            <w:tcW w:w="477" w:type="dxa"/>
            <w:gridSpan w:val="5"/>
            <w:tcBorders>
              <w:top w:val="single" w:sz="4" w:space="0" w:color="auto"/>
              <w:left w:val="nil"/>
              <w:bottom w:val="single" w:sz="4" w:space="0" w:color="auto"/>
              <w:right w:val="nil"/>
            </w:tcBorders>
          </w:tcPr>
          <w:p w:rsidR="00560C4B" w:rsidRPr="00F627B2" w:rsidRDefault="00560C4B">
            <w:pPr>
              <w:spacing w:line="240" w:lineRule="auto"/>
              <w:rPr>
                <w:rFonts w:ascii="Lato" w:hAnsi="Lato"/>
                <w:szCs w:val="22"/>
              </w:rPr>
            </w:pPr>
          </w:p>
        </w:tc>
        <w:tc>
          <w:tcPr>
            <w:tcW w:w="240" w:type="dxa"/>
            <w:gridSpan w:val="2"/>
            <w:tcBorders>
              <w:top w:val="nil"/>
              <w:left w:val="nil"/>
              <w:bottom w:val="nil"/>
              <w:right w:val="nil"/>
            </w:tcBorders>
          </w:tcPr>
          <w:p w:rsidR="00560C4B" w:rsidRPr="00F627B2" w:rsidRDefault="00560C4B">
            <w:pPr>
              <w:spacing w:line="240" w:lineRule="auto"/>
              <w:rPr>
                <w:rFonts w:ascii="Lato" w:hAnsi="Lato"/>
                <w:szCs w:val="22"/>
              </w:rPr>
            </w:pPr>
          </w:p>
        </w:tc>
        <w:tc>
          <w:tcPr>
            <w:tcW w:w="665" w:type="dxa"/>
            <w:gridSpan w:val="9"/>
            <w:tcBorders>
              <w:top w:val="nil"/>
              <w:left w:val="nil"/>
              <w:bottom w:val="nil"/>
              <w:right w:val="nil"/>
            </w:tcBorders>
          </w:tcPr>
          <w:p w:rsidR="00560C4B" w:rsidRPr="00F627B2" w:rsidRDefault="00560C4B">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single" w:sz="4" w:space="0" w:color="auto"/>
            </w:tcBorders>
          </w:tcPr>
          <w:p w:rsidR="003F241F" w:rsidRPr="00F627B2" w:rsidRDefault="003F241F">
            <w:pPr>
              <w:spacing w:line="240" w:lineRule="auto"/>
              <w:rPr>
                <w:rFonts w:ascii="Lato" w:hAnsi="Lato"/>
                <w:szCs w:val="22"/>
              </w:rPr>
            </w:pPr>
            <w:r w:rsidRPr="00F627B2">
              <w:rPr>
                <w:rFonts w:ascii="Lato" w:hAnsi="Lato"/>
                <w:szCs w:val="22"/>
              </w:rPr>
              <w:t>a) current;</w:t>
            </w:r>
          </w:p>
        </w:tc>
        <w:tc>
          <w:tcPr>
            <w:tcW w:w="1063" w:type="dxa"/>
            <w:gridSpan w:val="2"/>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38" w:type="dxa"/>
            <w:gridSpan w:val="3"/>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1644" w:type="dxa"/>
            <w:gridSpan w:val="4"/>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40" w:type="dxa"/>
            <w:gridSpan w:val="2"/>
            <w:tcBorders>
              <w:top w:val="nil"/>
              <w:left w:val="single" w:sz="4" w:space="0" w:color="auto"/>
              <w:bottom w:val="nil"/>
              <w:right w:val="nil"/>
            </w:tcBorders>
          </w:tcPr>
          <w:p w:rsidR="003F241F" w:rsidRPr="00F627B2" w:rsidRDefault="003F241F">
            <w:pPr>
              <w:spacing w:line="240" w:lineRule="auto"/>
              <w:rPr>
                <w:rFonts w:ascii="Lato" w:hAnsi="Lato"/>
                <w:szCs w:val="22"/>
              </w:rPr>
            </w:pPr>
          </w:p>
        </w:tc>
        <w:tc>
          <w:tcPr>
            <w:tcW w:w="665" w:type="dxa"/>
            <w:gridSpan w:val="9"/>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single" w:sz="4" w:space="0" w:color="auto"/>
            </w:tcBorders>
          </w:tcPr>
          <w:p w:rsidR="003F241F" w:rsidRPr="00F627B2" w:rsidRDefault="003F241F">
            <w:pPr>
              <w:spacing w:line="240" w:lineRule="auto"/>
              <w:rPr>
                <w:rFonts w:ascii="Lato" w:hAnsi="Lato"/>
                <w:szCs w:val="22"/>
              </w:rPr>
            </w:pPr>
            <w:r w:rsidRPr="00F627B2">
              <w:rPr>
                <w:rFonts w:ascii="Lato" w:hAnsi="Lato"/>
                <w:szCs w:val="22"/>
              </w:rPr>
              <w:t>b) past; and</w:t>
            </w:r>
          </w:p>
        </w:tc>
        <w:tc>
          <w:tcPr>
            <w:tcW w:w="1063" w:type="dxa"/>
            <w:gridSpan w:val="2"/>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38" w:type="dxa"/>
            <w:gridSpan w:val="3"/>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1644" w:type="dxa"/>
            <w:gridSpan w:val="4"/>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40" w:type="dxa"/>
            <w:gridSpan w:val="2"/>
            <w:tcBorders>
              <w:top w:val="nil"/>
              <w:left w:val="single" w:sz="4" w:space="0" w:color="auto"/>
              <w:bottom w:val="nil"/>
              <w:right w:val="nil"/>
            </w:tcBorders>
          </w:tcPr>
          <w:p w:rsidR="003F241F" w:rsidRPr="00F627B2" w:rsidRDefault="003F241F">
            <w:pPr>
              <w:spacing w:line="240" w:lineRule="auto"/>
              <w:rPr>
                <w:rFonts w:ascii="Lato" w:hAnsi="Lato"/>
                <w:szCs w:val="22"/>
              </w:rPr>
            </w:pPr>
          </w:p>
        </w:tc>
        <w:tc>
          <w:tcPr>
            <w:tcW w:w="665" w:type="dxa"/>
            <w:gridSpan w:val="9"/>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single" w:sz="4" w:space="0" w:color="auto"/>
            </w:tcBorders>
          </w:tcPr>
          <w:p w:rsidR="003F241F" w:rsidRPr="00F627B2" w:rsidRDefault="003F241F" w:rsidP="0068485A">
            <w:pPr>
              <w:spacing w:line="240" w:lineRule="auto"/>
              <w:rPr>
                <w:rFonts w:ascii="Lato" w:hAnsi="Lato"/>
                <w:szCs w:val="22"/>
              </w:rPr>
            </w:pPr>
            <w:r w:rsidRPr="00F627B2">
              <w:rPr>
                <w:rFonts w:ascii="Lato" w:hAnsi="Lato"/>
                <w:szCs w:val="22"/>
              </w:rPr>
              <w:t xml:space="preserve">c) their main activities outside the company </w:t>
            </w:r>
          </w:p>
        </w:tc>
        <w:tc>
          <w:tcPr>
            <w:tcW w:w="1063" w:type="dxa"/>
            <w:gridSpan w:val="2"/>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38" w:type="dxa"/>
            <w:gridSpan w:val="3"/>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1644" w:type="dxa"/>
            <w:gridSpan w:val="4"/>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40" w:type="dxa"/>
            <w:gridSpan w:val="2"/>
            <w:tcBorders>
              <w:top w:val="nil"/>
              <w:left w:val="single" w:sz="4" w:space="0" w:color="auto"/>
              <w:bottom w:val="nil"/>
              <w:right w:val="nil"/>
            </w:tcBorders>
          </w:tcPr>
          <w:p w:rsidR="003F241F" w:rsidRPr="00F627B2" w:rsidRDefault="003F241F">
            <w:pPr>
              <w:spacing w:line="240" w:lineRule="auto"/>
              <w:rPr>
                <w:rFonts w:ascii="Lato" w:hAnsi="Lato"/>
                <w:szCs w:val="22"/>
              </w:rPr>
            </w:pPr>
          </w:p>
        </w:tc>
        <w:tc>
          <w:tcPr>
            <w:tcW w:w="665" w:type="dxa"/>
            <w:gridSpan w:val="9"/>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68485A">
            <w:pPr>
              <w:spacing w:line="240" w:lineRule="auto"/>
              <w:rPr>
                <w:rFonts w:ascii="Lato" w:hAnsi="Lato"/>
                <w:szCs w:val="22"/>
              </w:rPr>
            </w:pPr>
            <w:r w:rsidRPr="00F627B2">
              <w:rPr>
                <w:rFonts w:ascii="Lato" w:hAnsi="Lato"/>
                <w:szCs w:val="22"/>
              </w:rPr>
              <w:t xml:space="preserve">where </w:t>
            </w:r>
            <w:r w:rsidR="003F241F" w:rsidRPr="00F627B2">
              <w:rPr>
                <w:rFonts w:ascii="Lato" w:hAnsi="Lato"/>
                <w:szCs w:val="22"/>
              </w:rPr>
              <w:t>these are of significance with respect to the Company</w:t>
            </w:r>
            <w:r w:rsidR="00A96BA0" w:rsidRPr="00F627B2">
              <w:rPr>
                <w:rFonts w:ascii="Lato" w:hAnsi="Lato"/>
                <w:szCs w:val="22"/>
              </w:rPr>
              <w:t>/ICAV</w:t>
            </w:r>
            <w:r w:rsidR="003F241F" w:rsidRPr="00F627B2">
              <w:rPr>
                <w:rFonts w:ascii="Lato" w:hAnsi="Lato"/>
                <w:szCs w:val="22"/>
              </w:rPr>
              <w:t xml:space="preserve"> </w:t>
            </w:r>
          </w:p>
        </w:tc>
        <w:tc>
          <w:tcPr>
            <w:tcW w:w="1063" w:type="dxa"/>
            <w:gridSpan w:val="2"/>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238"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1644" w:type="dxa"/>
            <w:gridSpan w:val="4"/>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250"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477" w:type="dxa"/>
            <w:gridSpan w:val="5"/>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240"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665" w:type="dxa"/>
            <w:gridSpan w:val="9"/>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szCs w:val="22"/>
              </w:rPr>
            </w:pPr>
          </w:p>
        </w:tc>
        <w:tc>
          <w:tcPr>
            <w:tcW w:w="1063" w:type="dxa"/>
            <w:gridSpan w:val="2"/>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38"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1644" w:type="dxa"/>
            <w:gridSpan w:val="4"/>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50"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477" w:type="dxa"/>
            <w:gridSpan w:val="5"/>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40"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665" w:type="dxa"/>
            <w:gridSpan w:val="9"/>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5418AB" w:rsidRPr="00F627B2" w:rsidRDefault="005418AB" w:rsidP="00922B26">
            <w:pPr>
              <w:spacing w:line="240" w:lineRule="auto"/>
              <w:rPr>
                <w:rFonts w:ascii="Lato" w:hAnsi="Lato"/>
                <w:szCs w:val="22"/>
              </w:rPr>
            </w:pPr>
            <w:r w:rsidRPr="00F627B2">
              <w:rPr>
                <w:rFonts w:ascii="Lato" w:hAnsi="Lato"/>
                <w:szCs w:val="22"/>
              </w:rPr>
              <w:t>2.1.</w:t>
            </w:r>
            <w:r w:rsidR="00922B26" w:rsidRPr="00F627B2">
              <w:rPr>
                <w:rFonts w:ascii="Lato" w:hAnsi="Lato"/>
                <w:szCs w:val="22"/>
              </w:rPr>
              <w:t>9</w:t>
            </w:r>
          </w:p>
        </w:tc>
        <w:tc>
          <w:tcPr>
            <w:tcW w:w="5493" w:type="dxa"/>
            <w:tcBorders>
              <w:top w:val="nil"/>
              <w:left w:val="nil"/>
              <w:bottom w:val="nil"/>
              <w:right w:val="single" w:sz="4" w:space="0" w:color="auto"/>
            </w:tcBorders>
          </w:tcPr>
          <w:p w:rsidR="005418AB" w:rsidRPr="00F627B2" w:rsidRDefault="005418AB" w:rsidP="0068485A">
            <w:pPr>
              <w:spacing w:line="240" w:lineRule="auto"/>
              <w:rPr>
                <w:rFonts w:ascii="Lato" w:hAnsi="Lato"/>
                <w:szCs w:val="22"/>
              </w:rPr>
            </w:pPr>
            <w:r w:rsidRPr="00F627B2">
              <w:rPr>
                <w:rFonts w:ascii="Lato" w:hAnsi="Lato"/>
                <w:szCs w:val="22"/>
              </w:rPr>
              <w:t xml:space="preserve">Disclose the authorised share capital of the </w:t>
            </w:r>
          </w:p>
        </w:tc>
        <w:tc>
          <w:tcPr>
            <w:tcW w:w="1063" w:type="dxa"/>
            <w:gridSpan w:val="2"/>
            <w:tcBorders>
              <w:top w:val="single" w:sz="4" w:space="0" w:color="auto"/>
              <w:left w:val="single" w:sz="4" w:space="0" w:color="auto"/>
              <w:bottom w:val="single" w:sz="4" w:space="0" w:color="auto"/>
              <w:right w:val="single" w:sz="4" w:space="0" w:color="auto"/>
            </w:tcBorders>
          </w:tcPr>
          <w:p w:rsidR="005418AB" w:rsidRPr="00F627B2" w:rsidRDefault="005418AB">
            <w:pPr>
              <w:spacing w:line="240" w:lineRule="auto"/>
              <w:rPr>
                <w:rFonts w:ascii="Lato" w:hAnsi="Lato"/>
                <w:szCs w:val="22"/>
              </w:rPr>
            </w:pPr>
          </w:p>
        </w:tc>
        <w:tc>
          <w:tcPr>
            <w:tcW w:w="238" w:type="dxa"/>
            <w:gridSpan w:val="3"/>
            <w:tcBorders>
              <w:top w:val="nil"/>
              <w:left w:val="single" w:sz="4" w:space="0" w:color="auto"/>
              <w:bottom w:val="nil"/>
              <w:right w:val="single" w:sz="4" w:space="0" w:color="auto"/>
            </w:tcBorders>
          </w:tcPr>
          <w:p w:rsidR="005418AB" w:rsidRPr="00F627B2" w:rsidRDefault="005418AB">
            <w:pPr>
              <w:spacing w:line="240" w:lineRule="auto"/>
              <w:rPr>
                <w:rFonts w:ascii="Lato" w:hAnsi="Lato"/>
                <w:szCs w:val="22"/>
              </w:rPr>
            </w:pPr>
          </w:p>
        </w:tc>
        <w:tc>
          <w:tcPr>
            <w:tcW w:w="1644" w:type="dxa"/>
            <w:gridSpan w:val="4"/>
            <w:tcBorders>
              <w:top w:val="single" w:sz="4" w:space="0" w:color="auto"/>
              <w:left w:val="single" w:sz="4" w:space="0" w:color="auto"/>
              <w:bottom w:val="single" w:sz="4" w:space="0" w:color="auto"/>
              <w:right w:val="single" w:sz="4" w:space="0" w:color="auto"/>
            </w:tcBorders>
          </w:tcPr>
          <w:p w:rsidR="005418AB" w:rsidRPr="00F627B2" w:rsidRDefault="005418AB">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5418AB" w:rsidRPr="00F627B2" w:rsidRDefault="005418AB">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5418AB" w:rsidRPr="00F627B2" w:rsidRDefault="005418AB">
            <w:pPr>
              <w:spacing w:line="240" w:lineRule="auto"/>
              <w:rPr>
                <w:rFonts w:ascii="Lato" w:hAnsi="Lato"/>
                <w:szCs w:val="22"/>
              </w:rPr>
            </w:pPr>
          </w:p>
        </w:tc>
        <w:tc>
          <w:tcPr>
            <w:tcW w:w="240" w:type="dxa"/>
            <w:gridSpan w:val="2"/>
            <w:tcBorders>
              <w:top w:val="nil"/>
              <w:left w:val="single" w:sz="4" w:space="0" w:color="auto"/>
              <w:bottom w:val="nil"/>
              <w:right w:val="nil"/>
            </w:tcBorders>
          </w:tcPr>
          <w:p w:rsidR="005418AB" w:rsidRPr="00F627B2" w:rsidRDefault="005418AB">
            <w:pPr>
              <w:spacing w:line="240" w:lineRule="auto"/>
              <w:rPr>
                <w:rFonts w:ascii="Lato" w:hAnsi="Lato"/>
                <w:szCs w:val="22"/>
              </w:rPr>
            </w:pPr>
          </w:p>
        </w:tc>
        <w:tc>
          <w:tcPr>
            <w:tcW w:w="665" w:type="dxa"/>
            <w:gridSpan w:val="9"/>
            <w:tcBorders>
              <w:top w:val="nil"/>
              <w:left w:val="nil"/>
              <w:bottom w:val="nil"/>
              <w:right w:val="nil"/>
            </w:tcBorders>
          </w:tcPr>
          <w:p w:rsidR="005418AB" w:rsidRPr="00F627B2" w:rsidRDefault="005418AB">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5418AB" w:rsidRPr="00F627B2" w:rsidRDefault="005418AB">
            <w:pPr>
              <w:spacing w:line="240" w:lineRule="auto"/>
              <w:rPr>
                <w:rFonts w:ascii="Lato" w:hAnsi="Lato"/>
                <w:szCs w:val="22"/>
              </w:rPr>
            </w:pPr>
          </w:p>
        </w:tc>
        <w:tc>
          <w:tcPr>
            <w:tcW w:w="5493" w:type="dxa"/>
            <w:tcBorders>
              <w:top w:val="nil"/>
              <w:left w:val="nil"/>
              <w:bottom w:val="nil"/>
              <w:right w:val="nil"/>
            </w:tcBorders>
          </w:tcPr>
          <w:p w:rsidR="005418AB" w:rsidRPr="00F627B2" w:rsidRDefault="0068485A">
            <w:pPr>
              <w:spacing w:line="240" w:lineRule="auto"/>
              <w:rPr>
                <w:rFonts w:ascii="Lato" w:hAnsi="Lato"/>
                <w:szCs w:val="22"/>
              </w:rPr>
            </w:pPr>
            <w:r w:rsidRPr="00F627B2">
              <w:rPr>
                <w:rFonts w:ascii="Lato" w:hAnsi="Lato"/>
                <w:szCs w:val="22"/>
              </w:rPr>
              <w:t xml:space="preserve">Investment </w:t>
            </w:r>
            <w:r w:rsidR="005418AB" w:rsidRPr="00F627B2">
              <w:rPr>
                <w:rFonts w:ascii="Lato" w:hAnsi="Lato"/>
                <w:szCs w:val="22"/>
              </w:rPr>
              <w:t>Company</w:t>
            </w:r>
            <w:r w:rsidR="00A96BA0" w:rsidRPr="00F627B2">
              <w:rPr>
                <w:rFonts w:ascii="Lato" w:hAnsi="Lato"/>
                <w:szCs w:val="22"/>
              </w:rPr>
              <w:t>/ICAV</w:t>
            </w:r>
          </w:p>
        </w:tc>
        <w:tc>
          <w:tcPr>
            <w:tcW w:w="1063" w:type="dxa"/>
            <w:gridSpan w:val="2"/>
            <w:tcBorders>
              <w:top w:val="single" w:sz="4" w:space="0" w:color="auto"/>
              <w:left w:val="nil"/>
              <w:bottom w:val="nil"/>
              <w:right w:val="nil"/>
            </w:tcBorders>
          </w:tcPr>
          <w:p w:rsidR="005418AB" w:rsidRPr="00F627B2" w:rsidRDefault="005418AB">
            <w:pPr>
              <w:spacing w:line="240" w:lineRule="auto"/>
              <w:rPr>
                <w:rFonts w:ascii="Lato" w:hAnsi="Lato"/>
                <w:szCs w:val="22"/>
              </w:rPr>
            </w:pPr>
          </w:p>
        </w:tc>
        <w:tc>
          <w:tcPr>
            <w:tcW w:w="238" w:type="dxa"/>
            <w:gridSpan w:val="3"/>
            <w:tcBorders>
              <w:top w:val="nil"/>
              <w:left w:val="nil"/>
              <w:bottom w:val="nil"/>
              <w:right w:val="nil"/>
            </w:tcBorders>
          </w:tcPr>
          <w:p w:rsidR="005418AB" w:rsidRPr="00F627B2" w:rsidRDefault="005418AB">
            <w:pPr>
              <w:spacing w:line="240" w:lineRule="auto"/>
              <w:rPr>
                <w:rFonts w:ascii="Lato" w:hAnsi="Lato"/>
                <w:szCs w:val="22"/>
              </w:rPr>
            </w:pPr>
          </w:p>
        </w:tc>
        <w:tc>
          <w:tcPr>
            <w:tcW w:w="1644" w:type="dxa"/>
            <w:gridSpan w:val="4"/>
            <w:tcBorders>
              <w:top w:val="single" w:sz="4" w:space="0" w:color="auto"/>
              <w:left w:val="nil"/>
              <w:bottom w:val="nil"/>
              <w:right w:val="nil"/>
            </w:tcBorders>
          </w:tcPr>
          <w:p w:rsidR="005418AB" w:rsidRPr="00F627B2" w:rsidRDefault="005418AB">
            <w:pPr>
              <w:spacing w:line="240" w:lineRule="auto"/>
              <w:rPr>
                <w:rFonts w:ascii="Lato" w:hAnsi="Lato"/>
                <w:szCs w:val="22"/>
              </w:rPr>
            </w:pPr>
          </w:p>
        </w:tc>
        <w:tc>
          <w:tcPr>
            <w:tcW w:w="250" w:type="dxa"/>
            <w:gridSpan w:val="6"/>
            <w:tcBorders>
              <w:top w:val="nil"/>
              <w:left w:val="nil"/>
              <w:bottom w:val="nil"/>
              <w:right w:val="nil"/>
            </w:tcBorders>
          </w:tcPr>
          <w:p w:rsidR="005418AB" w:rsidRPr="00F627B2" w:rsidRDefault="005418AB">
            <w:pPr>
              <w:spacing w:line="240" w:lineRule="auto"/>
              <w:rPr>
                <w:rFonts w:ascii="Lato" w:hAnsi="Lato"/>
                <w:szCs w:val="22"/>
              </w:rPr>
            </w:pPr>
          </w:p>
        </w:tc>
        <w:tc>
          <w:tcPr>
            <w:tcW w:w="477" w:type="dxa"/>
            <w:gridSpan w:val="5"/>
            <w:tcBorders>
              <w:top w:val="single" w:sz="4" w:space="0" w:color="auto"/>
              <w:left w:val="nil"/>
              <w:bottom w:val="nil"/>
              <w:right w:val="nil"/>
            </w:tcBorders>
          </w:tcPr>
          <w:p w:rsidR="005418AB" w:rsidRPr="00F627B2" w:rsidRDefault="005418AB">
            <w:pPr>
              <w:spacing w:line="240" w:lineRule="auto"/>
              <w:rPr>
                <w:rFonts w:ascii="Lato" w:hAnsi="Lato"/>
                <w:szCs w:val="22"/>
              </w:rPr>
            </w:pPr>
          </w:p>
        </w:tc>
        <w:tc>
          <w:tcPr>
            <w:tcW w:w="240" w:type="dxa"/>
            <w:gridSpan w:val="2"/>
            <w:tcBorders>
              <w:top w:val="nil"/>
              <w:left w:val="nil"/>
              <w:bottom w:val="nil"/>
              <w:right w:val="nil"/>
            </w:tcBorders>
          </w:tcPr>
          <w:p w:rsidR="005418AB" w:rsidRPr="00F627B2" w:rsidRDefault="005418AB">
            <w:pPr>
              <w:spacing w:line="240" w:lineRule="auto"/>
              <w:rPr>
                <w:rFonts w:ascii="Lato" w:hAnsi="Lato"/>
                <w:szCs w:val="22"/>
              </w:rPr>
            </w:pPr>
          </w:p>
        </w:tc>
        <w:tc>
          <w:tcPr>
            <w:tcW w:w="665" w:type="dxa"/>
            <w:gridSpan w:val="9"/>
            <w:tcBorders>
              <w:top w:val="nil"/>
              <w:left w:val="nil"/>
              <w:bottom w:val="nil"/>
              <w:right w:val="nil"/>
            </w:tcBorders>
          </w:tcPr>
          <w:p w:rsidR="005418AB" w:rsidRPr="00F627B2" w:rsidRDefault="005418AB">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szCs w:val="22"/>
              </w:rPr>
            </w:pPr>
          </w:p>
        </w:tc>
        <w:tc>
          <w:tcPr>
            <w:tcW w:w="1063" w:type="dxa"/>
            <w:gridSpan w:val="2"/>
            <w:tcBorders>
              <w:top w:val="single" w:sz="4" w:space="0" w:color="auto"/>
              <w:left w:val="nil"/>
              <w:bottom w:val="single" w:sz="4" w:space="0" w:color="auto"/>
              <w:right w:val="nil"/>
            </w:tcBorders>
          </w:tcPr>
          <w:p w:rsidR="003F241F" w:rsidRPr="00F627B2" w:rsidRDefault="003F241F">
            <w:pPr>
              <w:spacing w:line="240" w:lineRule="auto"/>
              <w:rPr>
                <w:rFonts w:ascii="Lato" w:hAnsi="Lato"/>
                <w:szCs w:val="22"/>
              </w:rPr>
            </w:pPr>
          </w:p>
        </w:tc>
        <w:tc>
          <w:tcPr>
            <w:tcW w:w="238"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1644" w:type="dxa"/>
            <w:gridSpan w:val="4"/>
            <w:tcBorders>
              <w:top w:val="single" w:sz="4" w:space="0" w:color="auto"/>
              <w:left w:val="nil"/>
              <w:bottom w:val="single" w:sz="4" w:space="0" w:color="auto"/>
              <w:right w:val="nil"/>
            </w:tcBorders>
          </w:tcPr>
          <w:p w:rsidR="003F241F" w:rsidRPr="00F627B2" w:rsidRDefault="003F241F">
            <w:pPr>
              <w:spacing w:line="240" w:lineRule="auto"/>
              <w:rPr>
                <w:rFonts w:ascii="Lato" w:hAnsi="Lato"/>
                <w:szCs w:val="22"/>
              </w:rPr>
            </w:pPr>
          </w:p>
        </w:tc>
        <w:tc>
          <w:tcPr>
            <w:tcW w:w="250"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477" w:type="dxa"/>
            <w:gridSpan w:val="5"/>
            <w:tcBorders>
              <w:top w:val="single" w:sz="4" w:space="0" w:color="auto"/>
              <w:left w:val="nil"/>
              <w:bottom w:val="single" w:sz="4" w:space="0" w:color="auto"/>
              <w:right w:val="nil"/>
            </w:tcBorders>
          </w:tcPr>
          <w:p w:rsidR="003F241F" w:rsidRPr="00F627B2" w:rsidRDefault="003F241F">
            <w:pPr>
              <w:spacing w:line="240" w:lineRule="auto"/>
              <w:rPr>
                <w:rFonts w:ascii="Lato" w:hAnsi="Lato"/>
                <w:szCs w:val="22"/>
              </w:rPr>
            </w:pPr>
          </w:p>
        </w:tc>
        <w:tc>
          <w:tcPr>
            <w:tcW w:w="240"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665" w:type="dxa"/>
            <w:gridSpan w:val="9"/>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3F241F" w:rsidRPr="00F627B2" w:rsidRDefault="00560C4B" w:rsidP="003C3E16">
            <w:pPr>
              <w:spacing w:line="240" w:lineRule="auto"/>
              <w:rPr>
                <w:rFonts w:ascii="Lato" w:hAnsi="Lato"/>
                <w:szCs w:val="22"/>
              </w:rPr>
            </w:pPr>
            <w:r w:rsidRPr="00F627B2">
              <w:rPr>
                <w:rFonts w:ascii="Lato" w:hAnsi="Lato"/>
                <w:szCs w:val="22"/>
              </w:rPr>
              <w:t>2.1.</w:t>
            </w:r>
            <w:r w:rsidR="003C3E16" w:rsidRPr="00F627B2">
              <w:rPr>
                <w:rFonts w:ascii="Lato" w:hAnsi="Lato"/>
                <w:szCs w:val="22"/>
              </w:rPr>
              <w:t>10</w:t>
            </w:r>
          </w:p>
        </w:tc>
        <w:tc>
          <w:tcPr>
            <w:tcW w:w="5493" w:type="dxa"/>
            <w:tcBorders>
              <w:top w:val="nil"/>
              <w:left w:val="nil"/>
              <w:bottom w:val="nil"/>
              <w:right w:val="single" w:sz="4" w:space="0" w:color="auto"/>
            </w:tcBorders>
          </w:tcPr>
          <w:p w:rsidR="003F241F" w:rsidRPr="00F627B2" w:rsidRDefault="003F241F">
            <w:pPr>
              <w:spacing w:line="240" w:lineRule="auto"/>
              <w:rPr>
                <w:rFonts w:ascii="Lato" w:hAnsi="Lato"/>
                <w:szCs w:val="22"/>
              </w:rPr>
            </w:pPr>
            <w:r w:rsidRPr="00F627B2">
              <w:rPr>
                <w:rFonts w:ascii="Lato" w:hAnsi="Lato"/>
                <w:szCs w:val="22"/>
              </w:rPr>
              <w:t>Name and address of the Auditor</w:t>
            </w:r>
          </w:p>
        </w:tc>
        <w:tc>
          <w:tcPr>
            <w:tcW w:w="1063" w:type="dxa"/>
            <w:gridSpan w:val="2"/>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38" w:type="dxa"/>
            <w:gridSpan w:val="3"/>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1644" w:type="dxa"/>
            <w:gridSpan w:val="4"/>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40" w:type="dxa"/>
            <w:gridSpan w:val="2"/>
            <w:tcBorders>
              <w:top w:val="nil"/>
              <w:left w:val="single" w:sz="4" w:space="0" w:color="auto"/>
              <w:bottom w:val="nil"/>
              <w:right w:val="nil"/>
            </w:tcBorders>
          </w:tcPr>
          <w:p w:rsidR="003F241F" w:rsidRPr="00F627B2" w:rsidRDefault="003F241F">
            <w:pPr>
              <w:spacing w:line="240" w:lineRule="auto"/>
              <w:rPr>
                <w:rFonts w:ascii="Lato" w:hAnsi="Lato"/>
                <w:szCs w:val="22"/>
              </w:rPr>
            </w:pPr>
          </w:p>
        </w:tc>
        <w:tc>
          <w:tcPr>
            <w:tcW w:w="665" w:type="dxa"/>
            <w:gridSpan w:val="9"/>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szCs w:val="22"/>
              </w:rPr>
            </w:pPr>
          </w:p>
        </w:tc>
        <w:tc>
          <w:tcPr>
            <w:tcW w:w="1063" w:type="dxa"/>
            <w:gridSpan w:val="2"/>
            <w:tcBorders>
              <w:top w:val="single" w:sz="4" w:space="0" w:color="auto"/>
              <w:left w:val="nil"/>
              <w:bottom w:val="single" w:sz="4" w:space="0" w:color="auto"/>
              <w:right w:val="nil"/>
            </w:tcBorders>
          </w:tcPr>
          <w:p w:rsidR="003F241F" w:rsidRPr="00F627B2" w:rsidRDefault="003F241F">
            <w:pPr>
              <w:spacing w:line="240" w:lineRule="auto"/>
              <w:rPr>
                <w:rFonts w:ascii="Lato" w:hAnsi="Lato"/>
                <w:szCs w:val="22"/>
              </w:rPr>
            </w:pPr>
          </w:p>
        </w:tc>
        <w:tc>
          <w:tcPr>
            <w:tcW w:w="238"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1644" w:type="dxa"/>
            <w:gridSpan w:val="4"/>
            <w:tcBorders>
              <w:top w:val="single" w:sz="4" w:space="0" w:color="auto"/>
              <w:left w:val="nil"/>
              <w:bottom w:val="single" w:sz="4" w:space="0" w:color="auto"/>
              <w:right w:val="nil"/>
            </w:tcBorders>
          </w:tcPr>
          <w:p w:rsidR="003F241F" w:rsidRPr="00F627B2" w:rsidRDefault="003F241F">
            <w:pPr>
              <w:spacing w:line="240" w:lineRule="auto"/>
              <w:rPr>
                <w:rFonts w:ascii="Lato" w:hAnsi="Lato"/>
                <w:szCs w:val="22"/>
              </w:rPr>
            </w:pPr>
          </w:p>
        </w:tc>
        <w:tc>
          <w:tcPr>
            <w:tcW w:w="250"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477" w:type="dxa"/>
            <w:gridSpan w:val="5"/>
            <w:tcBorders>
              <w:top w:val="single" w:sz="4" w:space="0" w:color="auto"/>
              <w:left w:val="nil"/>
              <w:bottom w:val="single" w:sz="4" w:space="0" w:color="auto"/>
              <w:right w:val="nil"/>
            </w:tcBorders>
          </w:tcPr>
          <w:p w:rsidR="003F241F" w:rsidRPr="00F627B2" w:rsidRDefault="003F241F">
            <w:pPr>
              <w:spacing w:line="240" w:lineRule="auto"/>
              <w:rPr>
                <w:rFonts w:ascii="Lato" w:hAnsi="Lato"/>
                <w:szCs w:val="22"/>
              </w:rPr>
            </w:pPr>
          </w:p>
        </w:tc>
        <w:tc>
          <w:tcPr>
            <w:tcW w:w="240"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665" w:type="dxa"/>
            <w:gridSpan w:val="9"/>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3F241F" w:rsidRPr="00F627B2" w:rsidRDefault="00560C4B" w:rsidP="003C3E16">
            <w:pPr>
              <w:spacing w:line="240" w:lineRule="auto"/>
              <w:rPr>
                <w:rFonts w:ascii="Lato" w:hAnsi="Lato"/>
                <w:szCs w:val="22"/>
              </w:rPr>
            </w:pPr>
            <w:r w:rsidRPr="00F627B2">
              <w:rPr>
                <w:rFonts w:ascii="Lato" w:hAnsi="Lato"/>
                <w:szCs w:val="22"/>
              </w:rPr>
              <w:t>2.1.</w:t>
            </w:r>
            <w:r w:rsidR="003C3E16" w:rsidRPr="00F627B2">
              <w:rPr>
                <w:rFonts w:ascii="Lato" w:hAnsi="Lato"/>
                <w:szCs w:val="22"/>
              </w:rPr>
              <w:t>11</w:t>
            </w:r>
          </w:p>
        </w:tc>
        <w:tc>
          <w:tcPr>
            <w:tcW w:w="5493" w:type="dxa"/>
            <w:tcBorders>
              <w:top w:val="nil"/>
              <w:left w:val="nil"/>
              <w:bottom w:val="nil"/>
              <w:right w:val="single" w:sz="4" w:space="0" w:color="auto"/>
            </w:tcBorders>
          </w:tcPr>
          <w:p w:rsidR="003F241F" w:rsidRPr="00F627B2" w:rsidRDefault="003F241F">
            <w:pPr>
              <w:spacing w:line="240" w:lineRule="auto"/>
              <w:rPr>
                <w:rFonts w:ascii="Lato" w:hAnsi="Lato"/>
                <w:szCs w:val="22"/>
              </w:rPr>
            </w:pPr>
            <w:r w:rsidRPr="00F627B2">
              <w:rPr>
                <w:rFonts w:ascii="Lato" w:hAnsi="Lato"/>
                <w:szCs w:val="22"/>
              </w:rPr>
              <w:t xml:space="preserve">Name and address of the </w:t>
            </w:r>
            <w:r w:rsidR="00A96BA0" w:rsidRPr="00F627B2">
              <w:rPr>
                <w:rFonts w:ascii="Lato" w:hAnsi="Lato"/>
                <w:szCs w:val="22"/>
              </w:rPr>
              <w:t>(</w:t>
            </w:r>
            <w:r w:rsidRPr="00F627B2">
              <w:rPr>
                <w:rFonts w:ascii="Lato" w:hAnsi="Lato"/>
                <w:szCs w:val="22"/>
              </w:rPr>
              <w:t>Company</w:t>
            </w:r>
            <w:r w:rsidR="00A96BA0" w:rsidRPr="00F627B2">
              <w:rPr>
                <w:rFonts w:ascii="Lato" w:hAnsi="Lato"/>
                <w:szCs w:val="22"/>
              </w:rPr>
              <w:t>)</w:t>
            </w:r>
            <w:r w:rsidRPr="00F627B2">
              <w:rPr>
                <w:rFonts w:ascii="Lato" w:hAnsi="Lato"/>
                <w:szCs w:val="22"/>
              </w:rPr>
              <w:t xml:space="preserve"> Secretary </w:t>
            </w:r>
          </w:p>
        </w:tc>
        <w:tc>
          <w:tcPr>
            <w:tcW w:w="1063" w:type="dxa"/>
            <w:gridSpan w:val="2"/>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38" w:type="dxa"/>
            <w:gridSpan w:val="3"/>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1644" w:type="dxa"/>
            <w:gridSpan w:val="4"/>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477" w:type="dxa"/>
            <w:gridSpan w:val="5"/>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40" w:type="dxa"/>
            <w:gridSpan w:val="2"/>
            <w:tcBorders>
              <w:top w:val="nil"/>
              <w:left w:val="single" w:sz="4" w:space="0" w:color="auto"/>
              <w:bottom w:val="nil"/>
              <w:right w:val="nil"/>
            </w:tcBorders>
          </w:tcPr>
          <w:p w:rsidR="003F241F" w:rsidRPr="00F627B2" w:rsidRDefault="003F241F">
            <w:pPr>
              <w:spacing w:line="240" w:lineRule="auto"/>
              <w:rPr>
                <w:rFonts w:ascii="Lato" w:hAnsi="Lato"/>
                <w:szCs w:val="22"/>
              </w:rPr>
            </w:pPr>
          </w:p>
        </w:tc>
        <w:tc>
          <w:tcPr>
            <w:tcW w:w="665" w:type="dxa"/>
            <w:gridSpan w:val="9"/>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szCs w:val="22"/>
              </w:rPr>
            </w:pPr>
            <w:r w:rsidRPr="00F627B2">
              <w:rPr>
                <w:rFonts w:ascii="Lato" w:hAnsi="Lato"/>
                <w:szCs w:val="22"/>
              </w:rPr>
              <w:t>(investment company</w:t>
            </w:r>
            <w:r w:rsidR="00A96BA0" w:rsidRPr="00F627B2">
              <w:rPr>
                <w:rFonts w:ascii="Lato" w:hAnsi="Lato"/>
                <w:szCs w:val="22"/>
              </w:rPr>
              <w:t>/ICAV</w:t>
            </w:r>
            <w:r w:rsidRPr="00F627B2">
              <w:rPr>
                <w:rFonts w:ascii="Lato" w:hAnsi="Lato"/>
                <w:szCs w:val="22"/>
              </w:rPr>
              <w:t>)</w:t>
            </w:r>
          </w:p>
        </w:tc>
        <w:tc>
          <w:tcPr>
            <w:tcW w:w="1063" w:type="dxa"/>
            <w:gridSpan w:val="2"/>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238"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1644" w:type="dxa"/>
            <w:gridSpan w:val="4"/>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250"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477" w:type="dxa"/>
            <w:gridSpan w:val="5"/>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240"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665" w:type="dxa"/>
            <w:gridSpan w:val="9"/>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5"/>
          <w:wAfter w:w="313"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szCs w:val="22"/>
              </w:rPr>
            </w:pPr>
          </w:p>
        </w:tc>
        <w:tc>
          <w:tcPr>
            <w:tcW w:w="1063" w:type="dxa"/>
            <w:gridSpan w:val="2"/>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38"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1644"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250"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477" w:type="dxa"/>
            <w:gridSpan w:val="5"/>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40"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665" w:type="dxa"/>
            <w:gridSpan w:val="9"/>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3F241F" w:rsidRPr="00F627B2" w:rsidRDefault="003F241F" w:rsidP="003C3E16">
            <w:pPr>
              <w:spacing w:line="240" w:lineRule="auto"/>
              <w:rPr>
                <w:rFonts w:ascii="Lato" w:hAnsi="Lato"/>
                <w:szCs w:val="22"/>
              </w:rPr>
            </w:pPr>
            <w:r w:rsidRPr="00F627B2">
              <w:rPr>
                <w:rFonts w:ascii="Lato" w:hAnsi="Lato"/>
                <w:szCs w:val="22"/>
              </w:rPr>
              <w:t>2.1.</w:t>
            </w:r>
            <w:r w:rsidR="003C3E16" w:rsidRPr="00F627B2">
              <w:rPr>
                <w:rFonts w:ascii="Lato" w:hAnsi="Lato"/>
                <w:szCs w:val="22"/>
              </w:rPr>
              <w:t>12</w:t>
            </w:r>
          </w:p>
        </w:tc>
        <w:tc>
          <w:tcPr>
            <w:tcW w:w="5493" w:type="dxa"/>
            <w:tcBorders>
              <w:top w:val="nil"/>
              <w:left w:val="nil"/>
              <w:bottom w:val="nil"/>
              <w:right w:val="single" w:sz="4" w:space="0" w:color="auto"/>
            </w:tcBorders>
          </w:tcPr>
          <w:p w:rsidR="003F241F" w:rsidRPr="00F627B2" w:rsidRDefault="003F241F" w:rsidP="00A3401E">
            <w:pPr>
              <w:spacing w:line="240" w:lineRule="auto"/>
              <w:rPr>
                <w:rFonts w:ascii="Lato" w:hAnsi="Lato"/>
                <w:szCs w:val="22"/>
              </w:rPr>
            </w:pPr>
            <w:r w:rsidRPr="00F627B2">
              <w:rPr>
                <w:rFonts w:ascii="Lato" w:hAnsi="Lato"/>
                <w:szCs w:val="22"/>
              </w:rPr>
              <w:t xml:space="preserve">If applicable, the stock exchange(s) or markets </w:t>
            </w:r>
            <w:r w:rsidR="002911EE" w:rsidRPr="00F627B2">
              <w:rPr>
                <w:rFonts w:ascii="Lato" w:hAnsi="Lato"/>
                <w:szCs w:val="22"/>
              </w:rPr>
              <w:t xml:space="preserve">on </w:t>
            </w:r>
          </w:p>
        </w:tc>
        <w:tc>
          <w:tcPr>
            <w:tcW w:w="1056" w:type="dxa"/>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618" w:type="dxa"/>
            <w:gridSpan w:val="5"/>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1271" w:type="dxa"/>
            <w:gridSpan w:val="3"/>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804" w:type="dxa"/>
            <w:gridSpan w:val="8"/>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40" w:type="dxa"/>
            <w:gridSpan w:val="4"/>
            <w:tcBorders>
              <w:top w:val="nil"/>
              <w:left w:val="single" w:sz="4" w:space="0" w:color="auto"/>
              <w:bottom w:val="nil"/>
              <w:right w:val="nil"/>
            </w:tcBorders>
          </w:tcPr>
          <w:p w:rsidR="003F241F" w:rsidRPr="00F627B2" w:rsidRDefault="003F241F">
            <w:pPr>
              <w:spacing w:line="240" w:lineRule="auto"/>
              <w:rPr>
                <w:rFonts w:ascii="Lato" w:hAnsi="Lato"/>
                <w:szCs w:val="22"/>
              </w:rPr>
            </w:pPr>
          </w:p>
        </w:tc>
        <w:tc>
          <w:tcPr>
            <w:tcW w:w="636"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4F01CA">
            <w:pPr>
              <w:spacing w:line="240" w:lineRule="auto"/>
              <w:rPr>
                <w:rFonts w:ascii="Lato" w:hAnsi="Lato"/>
                <w:szCs w:val="22"/>
              </w:rPr>
            </w:pPr>
            <w:r w:rsidRPr="001E4A73">
              <w:rPr>
                <w:rFonts w:ascii="Lato" w:hAnsi="Lato"/>
                <w:szCs w:val="22"/>
              </w:rPr>
              <w:t>which</w:t>
            </w:r>
            <w:r w:rsidRPr="00A3401E">
              <w:rPr>
                <w:rFonts w:ascii="Lato" w:hAnsi="Lato"/>
                <w:szCs w:val="22"/>
              </w:rPr>
              <w:t xml:space="preserve"> </w:t>
            </w:r>
            <w:r w:rsidR="0068485A" w:rsidRPr="00F627B2">
              <w:rPr>
                <w:rFonts w:ascii="Lato" w:hAnsi="Lato"/>
                <w:szCs w:val="22"/>
              </w:rPr>
              <w:t xml:space="preserve">the </w:t>
            </w:r>
            <w:r w:rsidR="00560C4B" w:rsidRPr="00F627B2">
              <w:rPr>
                <w:rFonts w:ascii="Lato" w:hAnsi="Lato"/>
                <w:szCs w:val="22"/>
              </w:rPr>
              <w:t>units/shares of the Retail Investor AIF will be listed/dealt in</w:t>
            </w:r>
          </w:p>
        </w:tc>
        <w:tc>
          <w:tcPr>
            <w:tcW w:w="1056" w:type="dxa"/>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618" w:type="dxa"/>
            <w:gridSpan w:val="5"/>
            <w:tcBorders>
              <w:top w:val="nil"/>
              <w:left w:val="nil"/>
              <w:bottom w:val="nil"/>
              <w:right w:val="nil"/>
            </w:tcBorders>
          </w:tcPr>
          <w:p w:rsidR="003F241F" w:rsidRPr="00F627B2" w:rsidRDefault="003F241F">
            <w:pPr>
              <w:spacing w:line="240" w:lineRule="auto"/>
              <w:rPr>
                <w:rFonts w:ascii="Lato" w:hAnsi="Lato"/>
                <w:szCs w:val="22"/>
              </w:rPr>
            </w:pPr>
          </w:p>
        </w:tc>
        <w:tc>
          <w:tcPr>
            <w:tcW w:w="1271" w:type="dxa"/>
            <w:gridSpan w:val="3"/>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250"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804" w:type="dxa"/>
            <w:gridSpan w:val="8"/>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240"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636"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4"/>
          <w:wAfter w:w="283"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pStyle w:val="Heading3"/>
              <w:spacing w:before="0" w:after="0" w:line="240" w:lineRule="auto"/>
              <w:rPr>
                <w:rFonts w:ascii="Lato" w:hAnsi="Lato"/>
                <w:b w:val="0"/>
                <w:bCs/>
                <w:color w:val="auto"/>
                <w:sz w:val="22"/>
                <w:szCs w:val="22"/>
              </w:rPr>
            </w:pPr>
          </w:p>
        </w:tc>
        <w:tc>
          <w:tcPr>
            <w:tcW w:w="1056" w:type="dxa"/>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618" w:type="dxa"/>
            <w:gridSpan w:val="5"/>
            <w:tcBorders>
              <w:top w:val="nil"/>
              <w:left w:val="nil"/>
              <w:bottom w:val="nil"/>
              <w:right w:val="nil"/>
            </w:tcBorders>
          </w:tcPr>
          <w:p w:rsidR="003F241F" w:rsidRPr="00F627B2" w:rsidRDefault="003F241F">
            <w:pPr>
              <w:spacing w:line="240" w:lineRule="auto"/>
              <w:rPr>
                <w:rFonts w:ascii="Lato" w:hAnsi="Lato"/>
                <w:szCs w:val="22"/>
              </w:rPr>
            </w:pPr>
          </w:p>
        </w:tc>
        <w:tc>
          <w:tcPr>
            <w:tcW w:w="1271" w:type="dxa"/>
            <w:gridSpan w:val="3"/>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50"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804" w:type="dxa"/>
            <w:gridSpan w:val="8"/>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307" w:type="dxa"/>
            <w:gridSpan w:val="7"/>
            <w:tcBorders>
              <w:top w:val="nil"/>
              <w:left w:val="nil"/>
              <w:bottom w:val="nil"/>
              <w:right w:val="nil"/>
            </w:tcBorders>
          </w:tcPr>
          <w:p w:rsidR="003F241F" w:rsidRPr="00F627B2" w:rsidRDefault="003F241F">
            <w:pPr>
              <w:spacing w:line="240" w:lineRule="auto"/>
              <w:rPr>
                <w:rFonts w:ascii="Lato" w:hAnsi="Lato"/>
                <w:szCs w:val="22"/>
              </w:rPr>
            </w:pPr>
          </w:p>
        </w:tc>
        <w:tc>
          <w:tcPr>
            <w:tcW w:w="301" w:type="dxa"/>
            <w:gridSpan w:val="2"/>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3F241F" w:rsidRPr="00F627B2" w:rsidRDefault="003F241F" w:rsidP="003C3E16">
            <w:pPr>
              <w:spacing w:line="240" w:lineRule="auto"/>
              <w:rPr>
                <w:rFonts w:ascii="Lato" w:hAnsi="Lato"/>
                <w:szCs w:val="22"/>
              </w:rPr>
            </w:pPr>
            <w:r w:rsidRPr="00F627B2">
              <w:rPr>
                <w:rFonts w:ascii="Lato" w:hAnsi="Lato"/>
                <w:szCs w:val="22"/>
              </w:rPr>
              <w:t>2.1.</w:t>
            </w:r>
            <w:r w:rsidR="003C3E16" w:rsidRPr="00F627B2">
              <w:rPr>
                <w:rFonts w:ascii="Lato" w:hAnsi="Lato"/>
                <w:szCs w:val="22"/>
              </w:rPr>
              <w:t>13</w:t>
            </w:r>
          </w:p>
        </w:tc>
        <w:tc>
          <w:tcPr>
            <w:tcW w:w="5493" w:type="dxa"/>
            <w:tcBorders>
              <w:top w:val="nil"/>
              <w:left w:val="nil"/>
              <w:bottom w:val="nil"/>
              <w:right w:val="single" w:sz="4" w:space="0" w:color="auto"/>
            </w:tcBorders>
          </w:tcPr>
          <w:p w:rsidR="003F241F" w:rsidRPr="00F627B2" w:rsidRDefault="003F241F" w:rsidP="0068485A">
            <w:pPr>
              <w:pStyle w:val="Heading3"/>
              <w:spacing w:before="0" w:after="0" w:line="240" w:lineRule="auto"/>
              <w:rPr>
                <w:rFonts w:ascii="Lato" w:hAnsi="Lato"/>
                <w:b w:val="0"/>
                <w:bCs/>
                <w:color w:val="auto"/>
                <w:sz w:val="22"/>
                <w:szCs w:val="22"/>
              </w:rPr>
            </w:pPr>
            <w:r w:rsidRPr="00F627B2">
              <w:rPr>
                <w:rFonts w:ascii="Lato" w:hAnsi="Lato"/>
                <w:b w:val="0"/>
                <w:bCs/>
                <w:color w:val="auto"/>
                <w:sz w:val="22"/>
                <w:szCs w:val="22"/>
              </w:rPr>
              <w:t xml:space="preserve">Details of the persons who accept </w:t>
            </w:r>
            <w:r w:rsidR="00655FE9" w:rsidRPr="00F627B2">
              <w:rPr>
                <w:rFonts w:ascii="Lato" w:hAnsi="Lato"/>
                <w:b w:val="0"/>
                <w:bCs/>
                <w:color w:val="auto"/>
                <w:sz w:val="22"/>
                <w:szCs w:val="22"/>
              </w:rPr>
              <w:t>responsibility for</w:t>
            </w:r>
          </w:p>
        </w:tc>
        <w:tc>
          <w:tcPr>
            <w:tcW w:w="1056" w:type="dxa"/>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618" w:type="dxa"/>
            <w:gridSpan w:val="5"/>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1271" w:type="dxa"/>
            <w:gridSpan w:val="3"/>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804" w:type="dxa"/>
            <w:gridSpan w:val="8"/>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307" w:type="dxa"/>
            <w:gridSpan w:val="7"/>
            <w:tcBorders>
              <w:top w:val="nil"/>
              <w:left w:val="single" w:sz="4" w:space="0" w:color="auto"/>
              <w:bottom w:val="nil"/>
              <w:right w:val="nil"/>
            </w:tcBorders>
          </w:tcPr>
          <w:p w:rsidR="003F241F" w:rsidRPr="00F627B2" w:rsidRDefault="003F241F">
            <w:pPr>
              <w:spacing w:line="240" w:lineRule="auto"/>
              <w:rPr>
                <w:rFonts w:ascii="Lato" w:hAnsi="Lato"/>
                <w:szCs w:val="22"/>
              </w:rPr>
            </w:pPr>
          </w:p>
        </w:tc>
        <w:tc>
          <w:tcPr>
            <w:tcW w:w="569" w:type="dxa"/>
            <w:gridSpan w:val="4"/>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3F241F" w:rsidRPr="00F627B2" w:rsidRDefault="003F241F">
            <w:pPr>
              <w:spacing w:line="240" w:lineRule="auto"/>
              <w:rPr>
                <w:rFonts w:ascii="Lato" w:hAnsi="Lato"/>
                <w:b/>
                <w:bCs/>
                <w:szCs w:val="22"/>
              </w:rPr>
            </w:pPr>
          </w:p>
        </w:tc>
        <w:tc>
          <w:tcPr>
            <w:tcW w:w="5493" w:type="dxa"/>
            <w:tcBorders>
              <w:top w:val="nil"/>
              <w:left w:val="nil"/>
              <w:bottom w:val="nil"/>
              <w:right w:val="nil"/>
            </w:tcBorders>
          </w:tcPr>
          <w:p w:rsidR="003F241F" w:rsidRPr="00F627B2" w:rsidRDefault="0068485A" w:rsidP="0098599D">
            <w:pPr>
              <w:spacing w:line="240" w:lineRule="auto"/>
              <w:rPr>
                <w:rFonts w:ascii="Lato" w:hAnsi="Lato"/>
                <w:szCs w:val="22"/>
              </w:rPr>
            </w:pPr>
            <w:r w:rsidRPr="00F627B2">
              <w:rPr>
                <w:rFonts w:ascii="Lato" w:hAnsi="Lato"/>
                <w:bCs/>
                <w:szCs w:val="22"/>
              </w:rPr>
              <w:t>the</w:t>
            </w:r>
            <w:r w:rsidRPr="00F627B2">
              <w:rPr>
                <w:rFonts w:ascii="Lato" w:hAnsi="Lato"/>
                <w:szCs w:val="22"/>
              </w:rPr>
              <w:t xml:space="preserve"> </w:t>
            </w:r>
            <w:r w:rsidR="003F241F" w:rsidRPr="00F627B2">
              <w:rPr>
                <w:rFonts w:ascii="Lato" w:hAnsi="Lato"/>
                <w:szCs w:val="22"/>
              </w:rPr>
              <w:t xml:space="preserve">information contained in the prospectus </w:t>
            </w:r>
            <w:r w:rsidR="00934F55" w:rsidRPr="00F627B2">
              <w:rPr>
                <w:rFonts w:ascii="Lato" w:hAnsi="Lato"/>
                <w:szCs w:val="22"/>
              </w:rPr>
              <w:t>(i.e., directors of the scheme or directors of the manager)</w:t>
            </w:r>
          </w:p>
        </w:tc>
        <w:tc>
          <w:tcPr>
            <w:tcW w:w="1056" w:type="dxa"/>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618" w:type="dxa"/>
            <w:gridSpan w:val="5"/>
            <w:tcBorders>
              <w:top w:val="nil"/>
              <w:left w:val="nil"/>
              <w:bottom w:val="nil"/>
              <w:right w:val="nil"/>
            </w:tcBorders>
          </w:tcPr>
          <w:p w:rsidR="003F241F" w:rsidRPr="00F627B2" w:rsidRDefault="003F241F">
            <w:pPr>
              <w:spacing w:line="240" w:lineRule="auto"/>
              <w:rPr>
                <w:rFonts w:ascii="Lato" w:hAnsi="Lato"/>
                <w:szCs w:val="22"/>
              </w:rPr>
            </w:pPr>
          </w:p>
        </w:tc>
        <w:tc>
          <w:tcPr>
            <w:tcW w:w="1271" w:type="dxa"/>
            <w:gridSpan w:val="3"/>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250"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804" w:type="dxa"/>
            <w:gridSpan w:val="8"/>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307" w:type="dxa"/>
            <w:gridSpan w:val="7"/>
            <w:tcBorders>
              <w:top w:val="nil"/>
              <w:left w:val="nil"/>
              <w:bottom w:val="nil"/>
              <w:right w:val="nil"/>
            </w:tcBorders>
          </w:tcPr>
          <w:p w:rsidR="003F241F" w:rsidRPr="00F627B2" w:rsidRDefault="003F241F">
            <w:pPr>
              <w:spacing w:line="240" w:lineRule="auto"/>
              <w:rPr>
                <w:rFonts w:ascii="Lato" w:hAnsi="Lato"/>
                <w:szCs w:val="22"/>
              </w:rPr>
            </w:pPr>
          </w:p>
        </w:tc>
        <w:tc>
          <w:tcPr>
            <w:tcW w:w="569" w:type="dxa"/>
            <w:gridSpan w:val="4"/>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560C4B" w:rsidRPr="00F627B2" w:rsidRDefault="00560C4B">
            <w:pPr>
              <w:spacing w:line="240" w:lineRule="auto"/>
              <w:rPr>
                <w:rFonts w:ascii="Lato" w:hAnsi="Lato"/>
                <w:b/>
                <w:bCs/>
                <w:szCs w:val="22"/>
              </w:rPr>
            </w:pPr>
          </w:p>
        </w:tc>
        <w:tc>
          <w:tcPr>
            <w:tcW w:w="5493" w:type="dxa"/>
            <w:tcBorders>
              <w:top w:val="nil"/>
              <w:left w:val="nil"/>
              <w:bottom w:val="nil"/>
              <w:right w:val="nil"/>
            </w:tcBorders>
          </w:tcPr>
          <w:p w:rsidR="00560C4B" w:rsidRPr="00F627B2" w:rsidRDefault="00560C4B" w:rsidP="0098599D">
            <w:pPr>
              <w:spacing w:line="240" w:lineRule="auto"/>
              <w:rPr>
                <w:rFonts w:ascii="Lato" w:hAnsi="Lato"/>
                <w:szCs w:val="22"/>
              </w:rPr>
            </w:pPr>
          </w:p>
        </w:tc>
        <w:tc>
          <w:tcPr>
            <w:tcW w:w="1056" w:type="dxa"/>
            <w:tcBorders>
              <w:top w:val="nil"/>
              <w:left w:val="nil"/>
              <w:bottom w:val="single" w:sz="4" w:space="0" w:color="auto"/>
              <w:right w:val="nil"/>
            </w:tcBorders>
          </w:tcPr>
          <w:p w:rsidR="00560C4B" w:rsidRPr="00F627B2" w:rsidRDefault="00560C4B">
            <w:pPr>
              <w:spacing w:line="240" w:lineRule="auto"/>
              <w:rPr>
                <w:rFonts w:ascii="Lato" w:hAnsi="Lato"/>
                <w:szCs w:val="22"/>
              </w:rPr>
            </w:pPr>
          </w:p>
        </w:tc>
        <w:tc>
          <w:tcPr>
            <w:tcW w:w="618" w:type="dxa"/>
            <w:gridSpan w:val="5"/>
            <w:tcBorders>
              <w:top w:val="nil"/>
              <w:left w:val="nil"/>
              <w:bottom w:val="nil"/>
              <w:right w:val="nil"/>
            </w:tcBorders>
          </w:tcPr>
          <w:p w:rsidR="00560C4B" w:rsidRPr="00F627B2" w:rsidRDefault="00560C4B">
            <w:pPr>
              <w:spacing w:line="240" w:lineRule="auto"/>
              <w:rPr>
                <w:rFonts w:ascii="Lato" w:hAnsi="Lato"/>
                <w:szCs w:val="22"/>
              </w:rPr>
            </w:pPr>
          </w:p>
        </w:tc>
        <w:tc>
          <w:tcPr>
            <w:tcW w:w="1271" w:type="dxa"/>
            <w:gridSpan w:val="3"/>
            <w:tcBorders>
              <w:top w:val="nil"/>
              <w:left w:val="nil"/>
              <w:bottom w:val="single" w:sz="4" w:space="0" w:color="auto"/>
              <w:right w:val="nil"/>
            </w:tcBorders>
          </w:tcPr>
          <w:p w:rsidR="00560C4B" w:rsidRPr="00F627B2" w:rsidRDefault="00560C4B">
            <w:pPr>
              <w:spacing w:line="240" w:lineRule="auto"/>
              <w:rPr>
                <w:rFonts w:ascii="Lato" w:hAnsi="Lato"/>
                <w:szCs w:val="22"/>
              </w:rPr>
            </w:pPr>
          </w:p>
        </w:tc>
        <w:tc>
          <w:tcPr>
            <w:tcW w:w="250" w:type="dxa"/>
            <w:gridSpan w:val="6"/>
            <w:tcBorders>
              <w:top w:val="nil"/>
              <w:left w:val="nil"/>
              <w:bottom w:val="nil"/>
              <w:right w:val="nil"/>
            </w:tcBorders>
          </w:tcPr>
          <w:p w:rsidR="00560C4B" w:rsidRPr="00F627B2" w:rsidRDefault="00560C4B">
            <w:pPr>
              <w:spacing w:line="240" w:lineRule="auto"/>
              <w:rPr>
                <w:rFonts w:ascii="Lato" w:hAnsi="Lato"/>
                <w:szCs w:val="22"/>
              </w:rPr>
            </w:pPr>
          </w:p>
        </w:tc>
        <w:tc>
          <w:tcPr>
            <w:tcW w:w="804" w:type="dxa"/>
            <w:gridSpan w:val="8"/>
            <w:tcBorders>
              <w:top w:val="nil"/>
              <w:left w:val="nil"/>
              <w:bottom w:val="single" w:sz="4" w:space="0" w:color="auto"/>
              <w:right w:val="nil"/>
            </w:tcBorders>
          </w:tcPr>
          <w:p w:rsidR="00560C4B" w:rsidRPr="00F627B2" w:rsidRDefault="00560C4B">
            <w:pPr>
              <w:spacing w:line="240" w:lineRule="auto"/>
              <w:rPr>
                <w:rFonts w:ascii="Lato" w:hAnsi="Lato"/>
                <w:szCs w:val="22"/>
              </w:rPr>
            </w:pPr>
          </w:p>
        </w:tc>
        <w:tc>
          <w:tcPr>
            <w:tcW w:w="307" w:type="dxa"/>
            <w:gridSpan w:val="7"/>
            <w:tcBorders>
              <w:top w:val="nil"/>
              <w:left w:val="nil"/>
              <w:bottom w:val="nil"/>
              <w:right w:val="nil"/>
            </w:tcBorders>
          </w:tcPr>
          <w:p w:rsidR="00560C4B" w:rsidRPr="00F627B2" w:rsidRDefault="00560C4B">
            <w:pPr>
              <w:spacing w:line="240" w:lineRule="auto"/>
              <w:rPr>
                <w:rFonts w:ascii="Lato" w:hAnsi="Lato"/>
                <w:szCs w:val="22"/>
              </w:rPr>
            </w:pPr>
          </w:p>
        </w:tc>
        <w:tc>
          <w:tcPr>
            <w:tcW w:w="569" w:type="dxa"/>
            <w:gridSpan w:val="4"/>
            <w:tcBorders>
              <w:top w:val="nil"/>
              <w:left w:val="nil"/>
              <w:bottom w:val="nil"/>
              <w:right w:val="nil"/>
            </w:tcBorders>
          </w:tcPr>
          <w:p w:rsidR="00560C4B" w:rsidRPr="00F627B2" w:rsidRDefault="00560C4B">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3F241F" w:rsidRPr="00F627B2" w:rsidRDefault="003F241F" w:rsidP="003C3E16">
            <w:pPr>
              <w:spacing w:line="240" w:lineRule="auto"/>
              <w:rPr>
                <w:rFonts w:ascii="Lato" w:hAnsi="Lato"/>
                <w:bCs/>
                <w:szCs w:val="22"/>
              </w:rPr>
            </w:pPr>
            <w:r w:rsidRPr="00F627B2">
              <w:rPr>
                <w:rFonts w:ascii="Lato" w:hAnsi="Lato"/>
                <w:bCs/>
                <w:szCs w:val="22"/>
              </w:rPr>
              <w:t>2.1.</w:t>
            </w:r>
            <w:r w:rsidR="003C3E16" w:rsidRPr="00F627B2">
              <w:rPr>
                <w:rFonts w:ascii="Lato" w:hAnsi="Lato"/>
                <w:bCs/>
                <w:szCs w:val="22"/>
              </w:rPr>
              <w:t>14</w:t>
            </w:r>
          </w:p>
        </w:tc>
        <w:tc>
          <w:tcPr>
            <w:tcW w:w="5493" w:type="dxa"/>
            <w:tcBorders>
              <w:top w:val="nil"/>
              <w:left w:val="nil"/>
              <w:bottom w:val="nil"/>
              <w:right w:val="single" w:sz="4" w:space="0" w:color="auto"/>
            </w:tcBorders>
          </w:tcPr>
          <w:p w:rsidR="003F241F" w:rsidRPr="00F627B2" w:rsidRDefault="003F241F" w:rsidP="0068485A">
            <w:pPr>
              <w:spacing w:line="240" w:lineRule="auto"/>
              <w:rPr>
                <w:rFonts w:ascii="Lato" w:hAnsi="Lato"/>
                <w:szCs w:val="22"/>
              </w:rPr>
            </w:pPr>
            <w:r w:rsidRPr="00F627B2">
              <w:rPr>
                <w:rFonts w:ascii="Lato" w:hAnsi="Lato"/>
                <w:szCs w:val="22"/>
              </w:rPr>
              <w:t>Disclose the base currency of the R</w:t>
            </w:r>
            <w:r w:rsidR="00955AE5" w:rsidRPr="00F627B2">
              <w:rPr>
                <w:rFonts w:ascii="Lato" w:hAnsi="Lato"/>
                <w:szCs w:val="22"/>
              </w:rPr>
              <w:t xml:space="preserve">etail </w:t>
            </w:r>
            <w:r w:rsidR="002911EE" w:rsidRPr="00F627B2">
              <w:rPr>
                <w:rFonts w:ascii="Lato" w:hAnsi="Lato"/>
                <w:szCs w:val="22"/>
              </w:rPr>
              <w:t>Investor AIF</w:t>
            </w:r>
          </w:p>
        </w:tc>
        <w:tc>
          <w:tcPr>
            <w:tcW w:w="1056" w:type="dxa"/>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618" w:type="dxa"/>
            <w:gridSpan w:val="5"/>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1271" w:type="dxa"/>
            <w:gridSpan w:val="3"/>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50" w:type="dxa"/>
            <w:gridSpan w:val="6"/>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804" w:type="dxa"/>
            <w:gridSpan w:val="8"/>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307" w:type="dxa"/>
            <w:gridSpan w:val="7"/>
            <w:tcBorders>
              <w:top w:val="nil"/>
              <w:left w:val="single" w:sz="4" w:space="0" w:color="auto"/>
              <w:bottom w:val="nil"/>
              <w:right w:val="nil"/>
            </w:tcBorders>
          </w:tcPr>
          <w:p w:rsidR="003F241F" w:rsidRPr="00F627B2" w:rsidRDefault="003F241F">
            <w:pPr>
              <w:spacing w:line="240" w:lineRule="auto"/>
              <w:rPr>
                <w:rFonts w:ascii="Lato" w:hAnsi="Lato"/>
                <w:szCs w:val="22"/>
              </w:rPr>
            </w:pPr>
          </w:p>
        </w:tc>
        <w:tc>
          <w:tcPr>
            <w:tcW w:w="569" w:type="dxa"/>
            <w:gridSpan w:val="4"/>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1"/>
          <w:wAfter w:w="9" w:type="dxa"/>
        </w:trPr>
        <w:tc>
          <w:tcPr>
            <w:tcW w:w="1107" w:type="dxa"/>
            <w:tcBorders>
              <w:top w:val="nil"/>
              <w:left w:val="nil"/>
              <w:bottom w:val="nil"/>
              <w:right w:val="nil"/>
            </w:tcBorders>
          </w:tcPr>
          <w:p w:rsidR="0068485A" w:rsidRPr="00F627B2" w:rsidRDefault="0068485A">
            <w:pPr>
              <w:spacing w:line="240" w:lineRule="auto"/>
              <w:rPr>
                <w:rFonts w:ascii="Lato" w:hAnsi="Lato"/>
                <w:szCs w:val="22"/>
              </w:rPr>
            </w:pPr>
          </w:p>
        </w:tc>
        <w:tc>
          <w:tcPr>
            <w:tcW w:w="5493" w:type="dxa"/>
            <w:tcBorders>
              <w:top w:val="nil"/>
              <w:left w:val="nil"/>
              <w:bottom w:val="nil"/>
              <w:right w:val="nil"/>
            </w:tcBorders>
          </w:tcPr>
          <w:p w:rsidR="0068485A" w:rsidRPr="00F627B2" w:rsidRDefault="0068485A">
            <w:pPr>
              <w:spacing w:line="240" w:lineRule="auto"/>
              <w:rPr>
                <w:rFonts w:ascii="Lato" w:hAnsi="Lato"/>
                <w:szCs w:val="22"/>
              </w:rPr>
            </w:pPr>
          </w:p>
        </w:tc>
        <w:tc>
          <w:tcPr>
            <w:tcW w:w="1120" w:type="dxa"/>
            <w:gridSpan w:val="3"/>
            <w:tcBorders>
              <w:top w:val="nil"/>
              <w:left w:val="nil"/>
              <w:bottom w:val="single" w:sz="4" w:space="0" w:color="auto"/>
              <w:right w:val="nil"/>
            </w:tcBorders>
          </w:tcPr>
          <w:p w:rsidR="0068485A" w:rsidRPr="00F627B2" w:rsidRDefault="0068485A">
            <w:pPr>
              <w:spacing w:line="240" w:lineRule="auto"/>
              <w:rPr>
                <w:rFonts w:ascii="Lato" w:hAnsi="Lato"/>
                <w:szCs w:val="22"/>
              </w:rPr>
            </w:pPr>
          </w:p>
        </w:tc>
        <w:tc>
          <w:tcPr>
            <w:tcW w:w="554" w:type="dxa"/>
            <w:gridSpan w:val="3"/>
            <w:tcBorders>
              <w:top w:val="nil"/>
              <w:left w:val="nil"/>
              <w:bottom w:val="nil"/>
              <w:right w:val="nil"/>
            </w:tcBorders>
          </w:tcPr>
          <w:p w:rsidR="0068485A" w:rsidRPr="00F627B2" w:rsidRDefault="0068485A">
            <w:pPr>
              <w:spacing w:line="240" w:lineRule="auto"/>
              <w:rPr>
                <w:rFonts w:ascii="Lato" w:hAnsi="Lato"/>
                <w:szCs w:val="22"/>
              </w:rPr>
            </w:pPr>
          </w:p>
        </w:tc>
        <w:tc>
          <w:tcPr>
            <w:tcW w:w="1281" w:type="dxa"/>
            <w:gridSpan w:val="4"/>
            <w:tcBorders>
              <w:top w:val="nil"/>
              <w:left w:val="nil"/>
              <w:bottom w:val="single" w:sz="4" w:space="0" w:color="auto"/>
              <w:right w:val="nil"/>
            </w:tcBorders>
          </w:tcPr>
          <w:p w:rsidR="0068485A" w:rsidRPr="00F627B2" w:rsidRDefault="0068485A">
            <w:pPr>
              <w:spacing w:line="240" w:lineRule="auto"/>
              <w:rPr>
                <w:rFonts w:ascii="Lato" w:hAnsi="Lato"/>
                <w:szCs w:val="22"/>
              </w:rPr>
            </w:pPr>
          </w:p>
        </w:tc>
        <w:tc>
          <w:tcPr>
            <w:tcW w:w="257" w:type="dxa"/>
            <w:gridSpan w:val="6"/>
            <w:tcBorders>
              <w:top w:val="nil"/>
              <w:left w:val="nil"/>
              <w:bottom w:val="nil"/>
              <w:right w:val="nil"/>
            </w:tcBorders>
          </w:tcPr>
          <w:p w:rsidR="0068485A" w:rsidRPr="00F627B2" w:rsidRDefault="0068485A">
            <w:pPr>
              <w:spacing w:line="240" w:lineRule="auto"/>
              <w:rPr>
                <w:rFonts w:ascii="Lato" w:hAnsi="Lato"/>
                <w:szCs w:val="22"/>
              </w:rPr>
            </w:pPr>
          </w:p>
        </w:tc>
        <w:tc>
          <w:tcPr>
            <w:tcW w:w="796" w:type="dxa"/>
            <w:gridSpan w:val="8"/>
            <w:tcBorders>
              <w:top w:val="nil"/>
              <w:left w:val="nil"/>
              <w:bottom w:val="single" w:sz="4" w:space="0" w:color="auto"/>
              <w:right w:val="nil"/>
            </w:tcBorders>
          </w:tcPr>
          <w:p w:rsidR="0068485A" w:rsidRPr="00F627B2" w:rsidRDefault="0068485A">
            <w:pPr>
              <w:spacing w:line="240" w:lineRule="auto"/>
              <w:rPr>
                <w:rFonts w:ascii="Lato" w:hAnsi="Lato"/>
                <w:szCs w:val="22"/>
              </w:rPr>
            </w:pPr>
          </w:p>
        </w:tc>
        <w:tc>
          <w:tcPr>
            <w:tcW w:w="237" w:type="dxa"/>
            <w:gridSpan w:val="4"/>
            <w:tcBorders>
              <w:top w:val="nil"/>
              <w:left w:val="nil"/>
              <w:bottom w:val="nil"/>
              <w:right w:val="nil"/>
            </w:tcBorders>
          </w:tcPr>
          <w:p w:rsidR="0068485A" w:rsidRPr="00F627B2" w:rsidRDefault="0068485A">
            <w:pPr>
              <w:spacing w:line="240" w:lineRule="auto"/>
              <w:rPr>
                <w:rFonts w:ascii="Lato" w:hAnsi="Lato"/>
                <w:szCs w:val="22"/>
              </w:rPr>
            </w:pPr>
          </w:p>
        </w:tc>
        <w:tc>
          <w:tcPr>
            <w:tcW w:w="636" w:type="dxa"/>
            <w:gridSpan w:val="7"/>
            <w:tcBorders>
              <w:top w:val="nil"/>
              <w:left w:val="nil"/>
              <w:bottom w:val="nil"/>
              <w:right w:val="nil"/>
            </w:tcBorders>
          </w:tcPr>
          <w:p w:rsidR="0068485A" w:rsidRPr="00F627B2" w:rsidRDefault="0068485A">
            <w:pPr>
              <w:spacing w:line="240" w:lineRule="auto"/>
              <w:rPr>
                <w:rFonts w:ascii="Lato" w:hAnsi="Lato"/>
                <w:szCs w:val="22"/>
              </w:rPr>
            </w:pPr>
          </w:p>
        </w:tc>
      </w:tr>
      <w:tr w:rsidR="00655FE9" w:rsidRPr="00F627B2" w:rsidTr="00F627B2">
        <w:trPr>
          <w:gridAfter w:val="1"/>
          <w:wAfter w:w="9" w:type="dxa"/>
        </w:trPr>
        <w:tc>
          <w:tcPr>
            <w:tcW w:w="1107" w:type="dxa"/>
            <w:tcBorders>
              <w:top w:val="nil"/>
              <w:left w:val="nil"/>
              <w:bottom w:val="nil"/>
              <w:right w:val="nil"/>
            </w:tcBorders>
          </w:tcPr>
          <w:p w:rsidR="00655FE9" w:rsidRPr="00F627B2" w:rsidRDefault="00655FE9">
            <w:pPr>
              <w:spacing w:line="240" w:lineRule="auto"/>
              <w:rPr>
                <w:rFonts w:ascii="Lato" w:hAnsi="Lato"/>
                <w:szCs w:val="22"/>
              </w:rPr>
            </w:pPr>
            <w:r w:rsidRPr="00F627B2">
              <w:rPr>
                <w:rFonts w:ascii="Lato" w:hAnsi="Lato"/>
                <w:szCs w:val="22"/>
              </w:rPr>
              <w:t>2.1.15</w:t>
            </w:r>
          </w:p>
        </w:tc>
        <w:tc>
          <w:tcPr>
            <w:tcW w:w="5493" w:type="dxa"/>
            <w:tcBorders>
              <w:top w:val="nil"/>
              <w:left w:val="nil"/>
              <w:bottom w:val="nil"/>
              <w:right w:val="single" w:sz="4" w:space="0" w:color="auto"/>
            </w:tcBorders>
          </w:tcPr>
          <w:p w:rsidR="00655FE9" w:rsidRPr="00F627B2" w:rsidRDefault="00655FE9" w:rsidP="00655FE9">
            <w:pPr>
              <w:spacing w:line="240" w:lineRule="auto"/>
              <w:rPr>
                <w:rFonts w:ascii="Lato" w:hAnsi="Lato"/>
                <w:szCs w:val="22"/>
              </w:rPr>
            </w:pPr>
            <w:r w:rsidRPr="00F627B2">
              <w:rPr>
                <w:rFonts w:ascii="Lato" w:hAnsi="Lato"/>
                <w:szCs w:val="22"/>
              </w:rPr>
              <w:t>Insert details of derogations granted by the Central Bank</w:t>
            </w:r>
          </w:p>
        </w:tc>
        <w:tc>
          <w:tcPr>
            <w:tcW w:w="1120" w:type="dxa"/>
            <w:gridSpan w:val="3"/>
            <w:tcBorders>
              <w:top w:val="single" w:sz="4" w:space="0" w:color="auto"/>
              <w:left w:val="single" w:sz="4" w:space="0" w:color="auto"/>
              <w:bottom w:val="single" w:sz="4" w:space="0" w:color="auto"/>
              <w:right w:val="single" w:sz="4" w:space="0" w:color="auto"/>
            </w:tcBorders>
          </w:tcPr>
          <w:p w:rsidR="00655FE9" w:rsidRPr="00F627B2" w:rsidRDefault="00655FE9">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655FE9" w:rsidRPr="00F627B2" w:rsidRDefault="00655FE9">
            <w:pPr>
              <w:spacing w:line="240" w:lineRule="auto"/>
              <w:rPr>
                <w:rFonts w:ascii="Lato" w:hAnsi="Lato"/>
                <w:szCs w:val="22"/>
              </w:rPr>
            </w:pPr>
          </w:p>
        </w:tc>
        <w:tc>
          <w:tcPr>
            <w:tcW w:w="1281" w:type="dxa"/>
            <w:gridSpan w:val="4"/>
            <w:tcBorders>
              <w:top w:val="single" w:sz="4" w:space="0" w:color="auto"/>
              <w:left w:val="single" w:sz="4" w:space="0" w:color="auto"/>
              <w:bottom w:val="single" w:sz="4" w:space="0" w:color="auto"/>
              <w:right w:val="single" w:sz="4" w:space="0" w:color="auto"/>
            </w:tcBorders>
          </w:tcPr>
          <w:p w:rsidR="00655FE9" w:rsidRPr="00F627B2" w:rsidRDefault="00655FE9">
            <w:pPr>
              <w:spacing w:line="240" w:lineRule="auto"/>
              <w:rPr>
                <w:rFonts w:ascii="Lato" w:hAnsi="Lato"/>
                <w:szCs w:val="22"/>
              </w:rPr>
            </w:pPr>
          </w:p>
        </w:tc>
        <w:tc>
          <w:tcPr>
            <w:tcW w:w="257" w:type="dxa"/>
            <w:gridSpan w:val="6"/>
            <w:tcBorders>
              <w:top w:val="nil"/>
              <w:left w:val="single" w:sz="4" w:space="0" w:color="auto"/>
              <w:bottom w:val="nil"/>
              <w:right w:val="single" w:sz="4" w:space="0" w:color="auto"/>
            </w:tcBorders>
          </w:tcPr>
          <w:p w:rsidR="00655FE9" w:rsidRPr="00F627B2" w:rsidRDefault="00655FE9">
            <w:pPr>
              <w:spacing w:line="240" w:lineRule="auto"/>
              <w:rPr>
                <w:rFonts w:ascii="Lato" w:hAnsi="Lato"/>
                <w:szCs w:val="22"/>
              </w:rPr>
            </w:pPr>
          </w:p>
        </w:tc>
        <w:tc>
          <w:tcPr>
            <w:tcW w:w="796" w:type="dxa"/>
            <w:gridSpan w:val="8"/>
            <w:tcBorders>
              <w:top w:val="single" w:sz="4" w:space="0" w:color="auto"/>
              <w:left w:val="single" w:sz="4" w:space="0" w:color="auto"/>
              <w:bottom w:val="single" w:sz="4" w:space="0" w:color="auto"/>
              <w:right w:val="single" w:sz="4" w:space="0" w:color="auto"/>
            </w:tcBorders>
          </w:tcPr>
          <w:p w:rsidR="00655FE9" w:rsidRPr="00F627B2" w:rsidRDefault="00655FE9">
            <w:pPr>
              <w:spacing w:line="240" w:lineRule="auto"/>
              <w:rPr>
                <w:rFonts w:ascii="Lato" w:hAnsi="Lato"/>
                <w:szCs w:val="22"/>
              </w:rPr>
            </w:pPr>
          </w:p>
        </w:tc>
        <w:tc>
          <w:tcPr>
            <w:tcW w:w="237" w:type="dxa"/>
            <w:gridSpan w:val="4"/>
            <w:tcBorders>
              <w:top w:val="nil"/>
              <w:left w:val="single" w:sz="4" w:space="0" w:color="auto"/>
              <w:bottom w:val="nil"/>
              <w:right w:val="nil"/>
            </w:tcBorders>
          </w:tcPr>
          <w:p w:rsidR="00655FE9" w:rsidRPr="00F627B2" w:rsidRDefault="00655FE9">
            <w:pPr>
              <w:spacing w:line="240" w:lineRule="auto"/>
              <w:rPr>
                <w:rFonts w:ascii="Lato" w:hAnsi="Lato"/>
                <w:szCs w:val="22"/>
              </w:rPr>
            </w:pPr>
          </w:p>
        </w:tc>
        <w:tc>
          <w:tcPr>
            <w:tcW w:w="636" w:type="dxa"/>
            <w:gridSpan w:val="7"/>
            <w:tcBorders>
              <w:top w:val="nil"/>
              <w:left w:val="nil"/>
              <w:bottom w:val="nil"/>
              <w:right w:val="nil"/>
            </w:tcBorders>
          </w:tcPr>
          <w:p w:rsidR="00655FE9" w:rsidRPr="00F627B2" w:rsidRDefault="00655FE9">
            <w:pPr>
              <w:spacing w:line="240" w:lineRule="auto"/>
              <w:rPr>
                <w:rFonts w:ascii="Lato" w:hAnsi="Lato"/>
                <w:szCs w:val="22"/>
              </w:rPr>
            </w:pPr>
          </w:p>
        </w:tc>
      </w:tr>
      <w:tr w:rsidR="00655FE9" w:rsidRPr="00F627B2" w:rsidTr="00F627B2">
        <w:trPr>
          <w:gridAfter w:val="1"/>
          <w:wAfter w:w="9" w:type="dxa"/>
        </w:trPr>
        <w:tc>
          <w:tcPr>
            <w:tcW w:w="1107" w:type="dxa"/>
            <w:tcBorders>
              <w:top w:val="nil"/>
              <w:left w:val="nil"/>
              <w:bottom w:val="nil"/>
              <w:right w:val="nil"/>
            </w:tcBorders>
          </w:tcPr>
          <w:p w:rsidR="00655FE9" w:rsidRPr="00F627B2" w:rsidRDefault="00655FE9">
            <w:pPr>
              <w:spacing w:line="240" w:lineRule="auto"/>
              <w:rPr>
                <w:rFonts w:ascii="Lato" w:hAnsi="Lato"/>
                <w:szCs w:val="22"/>
              </w:rPr>
            </w:pPr>
          </w:p>
        </w:tc>
        <w:tc>
          <w:tcPr>
            <w:tcW w:w="5493" w:type="dxa"/>
            <w:tcBorders>
              <w:top w:val="nil"/>
              <w:left w:val="nil"/>
              <w:bottom w:val="nil"/>
              <w:right w:val="nil"/>
            </w:tcBorders>
          </w:tcPr>
          <w:p w:rsidR="00655FE9" w:rsidRPr="00F627B2" w:rsidRDefault="00655FE9">
            <w:pPr>
              <w:spacing w:line="240" w:lineRule="auto"/>
              <w:rPr>
                <w:rFonts w:ascii="Lato" w:hAnsi="Lato"/>
                <w:szCs w:val="22"/>
              </w:rPr>
            </w:pPr>
          </w:p>
        </w:tc>
        <w:tc>
          <w:tcPr>
            <w:tcW w:w="1120" w:type="dxa"/>
            <w:gridSpan w:val="3"/>
            <w:tcBorders>
              <w:top w:val="nil"/>
              <w:left w:val="nil"/>
              <w:bottom w:val="nil"/>
              <w:right w:val="nil"/>
            </w:tcBorders>
          </w:tcPr>
          <w:p w:rsidR="00655FE9" w:rsidRPr="00F627B2" w:rsidRDefault="00655FE9">
            <w:pPr>
              <w:spacing w:line="240" w:lineRule="auto"/>
              <w:rPr>
                <w:rFonts w:ascii="Lato" w:hAnsi="Lato"/>
                <w:szCs w:val="22"/>
              </w:rPr>
            </w:pPr>
          </w:p>
        </w:tc>
        <w:tc>
          <w:tcPr>
            <w:tcW w:w="554" w:type="dxa"/>
            <w:gridSpan w:val="3"/>
            <w:tcBorders>
              <w:top w:val="nil"/>
              <w:left w:val="nil"/>
              <w:bottom w:val="nil"/>
              <w:right w:val="nil"/>
            </w:tcBorders>
          </w:tcPr>
          <w:p w:rsidR="00655FE9" w:rsidRPr="00F627B2" w:rsidRDefault="00655FE9">
            <w:pPr>
              <w:spacing w:line="240" w:lineRule="auto"/>
              <w:rPr>
                <w:rFonts w:ascii="Lato" w:hAnsi="Lato"/>
                <w:szCs w:val="22"/>
              </w:rPr>
            </w:pPr>
          </w:p>
        </w:tc>
        <w:tc>
          <w:tcPr>
            <w:tcW w:w="1281" w:type="dxa"/>
            <w:gridSpan w:val="4"/>
            <w:tcBorders>
              <w:top w:val="nil"/>
              <w:left w:val="nil"/>
              <w:bottom w:val="nil"/>
              <w:right w:val="nil"/>
            </w:tcBorders>
          </w:tcPr>
          <w:p w:rsidR="00655FE9" w:rsidRPr="00F627B2" w:rsidRDefault="00655FE9">
            <w:pPr>
              <w:spacing w:line="240" w:lineRule="auto"/>
              <w:rPr>
                <w:rFonts w:ascii="Lato" w:hAnsi="Lato"/>
                <w:szCs w:val="22"/>
              </w:rPr>
            </w:pPr>
          </w:p>
        </w:tc>
        <w:tc>
          <w:tcPr>
            <w:tcW w:w="257" w:type="dxa"/>
            <w:gridSpan w:val="6"/>
            <w:tcBorders>
              <w:top w:val="nil"/>
              <w:left w:val="nil"/>
              <w:bottom w:val="nil"/>
              <w:right w:val="nil"/>
            </w:tcBorders>
          </w:tcPr>
          <w:p w:rsidR="00655FE9" w:rsidRPr="00F627B2" w:rsidRDefault="00655FE9">
            <w:pPr>
              <w:spacing w:line="240" w:lineRule="auto"/>
              <w:rPr>
                <w:rFonts w:ascii="Lato" w:hAnsi="Lato"/>
                <w:szCs w:val="22"/>
              </w:rPr>
            </w:pPr>
          </w:p>
        </w:tc>
        <w:tc>
          <w:tcPr>
            <w:tcW w:w="796" w:type="dxa"/>
            <w:gridSpan w:val="8"/>
            <w:tcBorders>
              <w:top w:val="nil"/>
              <w:left w:val="nil"/>
              <w:bottom w:val="nil"/>
              <w:right w:val="nil"/>
            </w:tcBorders>
          </w:tcPr>
          <w:p w:rsidR="00655FE9" w:rsidRPr="00F627B2" w:rsidRDefault="00655FE9">
            <w:pPr>
              <w:spacing w:line="240" w:lineRule="auto"/>
              <w:rPr>
                <w:rFonts w:ascii="Lato" w:hAnsi="Lato"/>
                <w:szCs w:val="22"/>
              </w:rPr>
            </w:pPr>
          </w:p>
        </w:tc>
        <w:tc>
          <w:tcPr>
            <w:tcW w:w="237" w:type="dxa"/>
            <w:gridSpan w:val="4"/>
            <w:tcBorders>
              <w:top w:val="nil"/>
              <w:left w:val="nil"/>
              <w:bottom w:val="nil"/>
              <w:right w:val="nil"/>
            </w:tcBorders>
          </w:tcPr>
          <w:p w:rsidR="00655FE9" w:rsidRPr="00F627B2" w:rsidRDefault="00655FE9">
            <w:pPr>
              <w:spacing w:line="240" w:lineRule="auto"/>
              <w:rPr>
                <w:rFonts w:ascii="Lato" w:hAnsi="Lato"/>
                <w:szCs w:val="22"/>
              </w:rPr>
            </w:pPr>
          </w:p>
        </w:tc>
        <w:tc>
          <w:tcPr>
            <w:tcW w:w="636" w:type="dxa"/>
            <w:gridSpan w:val="7"/>
            <w:tcBorders>
              <w:top w:val="nil"/>
              <w:left w:val="nil"/>
              <w:bottom w:val="nil"/>
              <w:right w:val="nil"/>
            </w:tcBorders>
          </w:tcPr>
          <w:p w:rsidR="00655FE9" w:rsidRPr="00F627B2" w:rsidRDefault="00655FE9">
            <w:pPr>
              <w:spacing w:line="240" w:lineRule="auto"/>
              <w:rPr>
                <w:rFonts w:ascii="Lato" w:hAnsi="Lato"/>
                <w:szCs w:val="22"/>
              </w:rPr>
            </w:pPr>
          </w:p>
        </w:tc>
      </w:tr>
      <w:tr w:rsidR="00AC467B" w:rsidRPr="00F627B2" w:rsidTr="00F627B2">
        <w:trPr>
          <w:gridAfter w:val="1"/>
          <w:wAfter w:w="9" w:type="dxa"/>
        </w:trPr>
        <w:tc>
          <w:tcPr>
            <w:tcW w:w="1107" w:type="dxa"/>
            <w:tcBorders>
              <w:top w:val="nil"/>
              <w:left w:val="nil"/>
              <w:bottom w:val="nil"/>
              <w:right w:val="nil"/>
            </w:tcBorders>
          </w:tcPr>
          <w:p w:rsidR="003F241F" w:rsidRPr="00F627B2" w:rsidRDefault="003F241F" w:rsidP="00655FE9">
            <w:pPr>
              <w:spacing w:line="240" w:lineRule="auto"/>
              <w:rPr>
                <w:rFonts w:ascii="Lato" w:hAnsi="Lato"/>
                <w:szCs w:val="22"/>
              </w:rPr>
            </w:pPr>
            <w:r w:rsidRPr="00F627B2">
              <w:rPr>
                <w:rFonts w:ascii="Lato" w:hAnsi="Lato"/>
                <w:szCs w:val="22"/>
              </w:rPr>
              <w:t>2.1.</w:t>
            </w:r>
            <w:r w:rsidR="00655FE9" w:rsidRPr="00F627B2">
              <w:rPr>
                <w:rFonts w:ascii="Lato" w:hAnsi="Lato"/>
                <w:szCs w:val="22"/>
              </w:rPr>
              <w:t>16</w:t>
            </w:r>
          </w:p>
        </w:tc>
        <w:tc>
          <w:tcPr>
            <w:tcW w:w="5493" w:type="dxa"/>
            <w:tcBorders>
              <w:top w:val="nil"/>
              <w:left w:val="nil"/>
              <w:bottom w:val="nil"/>
              <w:right w:val="nil"/>
            </w:tcBorders>
          </w:tcPr>
          <w:p w:rsidR="003F241F" w:rsidRPr="00F627B2" w:rsidRDefault="00525B8D">
            <w:pPr>
              <w:spacing w:line="240" w:lineRule="auto"/>
              <w:rPr>
                <w:rFonts w:ascii="Lato" w:hAnsi="Lato"/>
                <w:szCs w:val="22"/>
              </w:rPr>
            </w:pPr>
            <w:r w:rsidRPr="00F627B2">
              <w:rPr>
                <w:rFonts w:ascii="Lato" w:hAnsi="Lato"/>
                <w:szCs w:val="22"/>
              </w:rPr>
              <w:t xml:space="preserve">Disclose the risks applicable to the </w:t>
            </w:r>
            <w:r w:rsidR="00955AE5" w:rsidRPr="00F627B2">
              <w:rPr>
                <w:rFonts w:ascii="Lato" w:hAnsi="Lato"/>
                <w:szCs w:val="22"/>
              </w:rPr>
              <w:t xml:space="preserve">Retail Investor </w:t>
            </w:r>
            <w:r w:rsidRPr="00F627B2">
              <w:rPr>
                <w:rFonts w:ascii="Lato" w:hAnsi="Lato"/>
                <w:szCs w:val="22"/>
              </w:rPr>
              <w:t>AIF</w:t>
            </w:r>
            <w:r w:rsidR="003F241F" w:rsidRPr="00F627B2">
              <w:rPr>
                <w:rFonts w:ascii="Lato" w:hAnsi="Lato"/>
                <w:szCs w:val="22"/>
              </w:rPr>
              <w:t xml:space="preserve"> in a </w:t>
            </w:r>
            <w:r w:rsidR="003F241F" w:rsidRPr="00F627B2">
              <w:rPr>
                <w:rFonts w:ascii="Lato" w:hAnsi="Lato"/>
                <w:szCs w:val="22"/>
                <w:u w:val="single"/>
              </w:rPr>
              <w:t>prominent position</w:t>
            </w:r>
            <w:r w:rsidR="00955AE5" w:rsidRPr="00F627B2">
              <w:rPr>
                <w:rFonts w:ascii="Lato" w:hAnsi="Lato"/>
                <w:b/>
                <w:bCs/>
                <w:szCs w:val="22"/>
              </w:rPr>
              <w:t xml:space="preserve"> in bold:</w:t>
            </w:r>
          </w:p>
        </w:tc>
        <w:tc>
          <w:tcPr>
            <w:tcW w:w="1120"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554"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1281"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257"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96" w:type="dxa"/>
            <w:gridSpan w:val="8"/>
            <w:tcBorders>
              <w:top w:val="nil"/>
              <w:left w:val="nil"/>
              <w:bottom w:val="nil"/>
              <w:right w:val="nil"/>
            </w:tcBorders>
          </w:tcPr>
          <w:p w:rsidR="003F241F" w:rsidRPr="00F627B2" w:rsidRDefault="003F241F">
            <w:pPr>
              <w:spacing w:line="240" w:lineRule="auto"/>
              <w:rPr>
                <w:rFonts w:ascii="Lato" w:hAnsi="Lato"/>
                <w:szCs w:val="22"/>
              </w:rPr>
            </w:pPr>
          </w:p>
        </w:tc>
        <w:tc>
          <w:tcPr>
            <w:tcW w:w="237"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636"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1"/>
          <w:wAfter w:w="9"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szCs w:val="22"/>
              </w:rPr>
            </w:pPr>
          </w:p>
        </w:tc>
        <w:tc>
          <w:tcPr>
            <w:tcW w:w="1120"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554"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1281"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257"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96" w:type="dxa"/>
            <w:gridSpan w:val="8"/>
            <w:tcBorders>
              <w:top w:val="nil"/>
              <w:left w:val="nil"/>
              <w:bottom w:val="nil"/>
              <w:right w:val="nil"/>
            </w:tcBorders>
          </w:tcPr>
          <w:p w:rsidR="003F241F" w:rsidRPr="00F627B2" w:rsidRDefault="003F241F">
            <w:pPr>
              <w:spacing w:line="240" w:lineRule="auto"/>
              <w:rPr>
                <w:rFonts w:ascii="Lato" w:hAnsi="Lato"/>
                <w:szCs w:val="22"/>
              </w:rPr>
            </w:pPr>
          </w:p>
        </w:tc>
        <w:tc>
          <w:tcPr>
            <w:tcW w:w="237"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636"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1"/>
          <w:wAfter w:w="9"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r w:rsidRPr="00F627B2">
              <w:rPr>
                <w:rFonts w:ascii="Lato" w:hAnsi="Lato"/>
                <w:szCs w:val="22"/>
              </w:rPr>
              <w:t>a)</w:t>
            </w:r>
          </w:p>
        </w:tc>
        <w:tc>
          <w:tcPr>
            <w:tcW w:w="5493" w:type="dxa"/>
            <w:tcBorders>
              <w:top w:val="nil"/>
              <w:left w:val="nil"/>
              <w:bottom w:val="nil"/>
            </w:tcBorders>
          </w:tcPr>
          <w:p w:rsidR="003F241F" w:rsidRPr="00F627B2" w:rsidRDefault="003F241F" w:rsidP="00AC467B">
            <w:pPr>
              <w:spacing w:line="240" w:lineRule="auto"/>
              <w:rPr>
                <w:rFonts w:ascii="Lato" w:hAnsi="Lato"/>
                <w:b/>
                <w:bCs/>
                <w:szCs w:val="22"/>
              </w:rPr>
            </w:pPr>
            <w:r w:rsidRPr="00F627B2">
              <w:rPr>
                <w:rFonts w:ascii="Lato" w:hAnsi="Lato"/>
                <w:b/>
                <w:bCs/>
                <w:szCs w:val="22"/>
              </w:rPr>
              <w:t>Investors should consult a stockbroker</w:t>
            </w:r>
            <w:r w:rsidR="00C05324" w:rsidRPr="00F627B2">
              <w:rPr>
                <w:rFonts w:ascii="Lato" w:hAnsi="Lato"/>
                <w:b/>
                <w:bCs/>
                <w:szCs w:val="22"/>
              </w:rPr>
              <w:t xml:space="preserve"> or financial </w:t>
            </w:r>
          </w:p>
        </w:tc>
        <w:tc>
          <w:tcPr>
            <w:tcW w:w="1120" w:type="dxa"/>
            <w:gridSpan w:val="3"/>
            <w:tcBorders>
              <w:bottom w:val="single" w:sz="4" w:space="0" w:color="auto"/>
            </w:tcBorders>
          </w:tcPr>
          <w:p w:rsidR="003F241F" w:rsidRPr="00F627B2" w:rsidRDefault="003F241F">
            <w:pPr>
              <w:spacing w:line="240" w:lineRule="auto"/>
              <w:rPr>
                <w:rFonts w:ascii="Lato" w:hAnsi="Lato"/>
                <w:szCs w:val="22"/>
              </w:rPr>
            </w:pPr>
          </w:p>
        </w:tc>
        <w:tc>
          <w:tcPr>
            <w:tcW w:w="554" w:type="dxa"/>
            <w:gridSpan w:val="3"/>
            <w:tcBorders>
              <w:top w:val="nil"/>
              <w:bottom w:val="nil"/>
            </w:tcBorders>
          </w:tcPr>
          <w:p w:rsidR="003F241F" w:rsidRPr="00F627B2" w:rsidRDefault="003F241F">
            <w:pPr>
              <w:spacing w:line="240" w:lineRule="auto"/>
              <w:rPr>
                <w:rFonts w:ascii="Lato" w:hAnsi="Lato"/>
                <w:szCs w:val="22"/>
              </w:rPr>
            </w:pPr>
          </w:p>
        </w:tc>
        <w:tc>
          <w:tcPr>
            <w:tcW w:w="1281" w:type="dxa"/>
            <w:gridSpan w:val="4"/>
            <w:tcBorders>
              <w:bottom w:val="single" w:sz="4" w:space="0" w:color="auto"/>
            </w:tcBorders>
          </w:tcPr>
          <w:p w:rsidR="003F241F" w:rsidRPr="00F627B2" w:rsidRDefault="003F241F">
            <w:pPr>
              <w:spacing w:line="240" w:lineRule="auto"/>
              <w:rPr>
                <w:rFonts w:ascii="Lato" w:hAnsi="Lato"/>
                <w:szCs w:val="22"/>
              </w:rPr>
            </w:pPr>
          </w:p>
        </w:tc>
        <w:tc>
          <w:tcPr>
            <w:tcW w:w="257" w:type="dxa"/>
            <w:gridSpan w:val="6"/>
            <w:tcBorders>
              <w:top w:val="nil"/>
              <w:bottom w:val="nil"/>
            </w:tcBorders>
          </w:tcPr>
          <w:p w:rsidR="003F241F" w:rsidRPr="00F627B2" w:rsidRDefault="003F241F">
            <w:pPr>
              <w:spacing w:line="240" w:lineRule="auto"/>
              <w:rPr>
                <w:rFonts w:ascii="Lato" w:hAnsi="Lato"/>
                <w:szCs w:val="22"/>
              </w:rPr>
            </w:pPr>
          </w:p>
        </w:tc>
        <w:tc>
          <w:tcPr>
            <w:tcW w:w="796" w:type="dxa"/>
            <w:gridSpan w:val="8"/>
            <w:tcBorders>
              <w:bottom w:val="single" w:sz="4" w:space="0" w:color="auto"/>
            </w:tcBorders>
          </w:tcPr>
          <w:p w:rsidR="003F241F" w:rsidRPr="00F627B2" w:rsidRDefault="003F241F">
            <w:pPr>
              <w:spacing w:line="240" w:lineRule="auto"/>
              <w:rPr>
                <w:rFonts w:ascii="Lato" w:hAnsi="Lato"/>
                <w:szCs w:val="22"/>
              </w:rPr>
            </w:pPr>
          </w:p>
        </w:tc>
        <w:tc>
          <w:tcPr>
            <w:tcW w:w="237" w:type="dxa"/>
            <w:gridSpan w:val="4"/>
            <w:tcBorders>
              <w:top w:val="nil"/>
              <w:bottom w:val="nil"/>
              <w:right w:val="nil"/>
            </w:tcBorders>
          </w:tcPr>
          <w:p w:rsidR="003F241F" w:rsidRPr="00F627B2" w:rsidRDefault="003F241F">
            <w:pPr>
              <w:spacing w:line="240" w:lineRule="auto"/>
              <w:rPr>
                <w:rFonts w:ascii="Lato" w:hAnsi="Lato"/>
                <w:szCs w:val="22"/>
              </w:rPr>
            </w:pPr>
          </w:p>
        </w:tc>
        <w:tc>
          <w:tcPr>
            <w:tcW w:w="636"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1"/>
          <w:wAfter w:w="9"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AC467B" w:rsidP="00CE6D7B">
            <w:pPr>
              <w:spacing w:line="240" w:lineRule="auto"/>
              <w:rPr>
                <w:rFonts w:ascii="Lato" w:hAnsi="Lato"/>
                <w:b/>
                <w:bCs/>
                <w:szCs w:val="22"/>
              </w:rPr>
            </w:pPr>
            <w:r w:rsidRPr="00F627B2">
              <w:rPr>
                <w:rFonts w:ascii="Lato" w:hAnsi="Lato"/>
                <w:b/>
                <w:bCs/>
                <w:szCs w:val="22"/>
              </w:rPr>
              <w:t xml:space="preserve">adviser </w:t>
            </w:r>
            <w:r w:rsidR="00C05324" w:rsidRPr="00F627B2">
              <w:rPr>
                <w:rFonts w:ascii="Lato" w:hAnsi="Lato"/>
                <w:b/>
                <w:bCs/>
                <w:szCs w:val="22"/>
              </w:rPr>
              <w:t>about the contents of the Prospectus</w:t>
            </w:r>
          </w:p>
        </w:tc>
        <w:tc>
          <w:tcPr>
            <w:tcW w:w="1120" w:type="dxa"/>
            <w:gridSpan w:val="3"/>
            <w:tcBorders>
              <w:left w:val="nil"/>
              <w:bottom w:val="nil"/>
              <w:right w:val="nil"/>
            </w:tcBorders>
          </w:tcPr>
          <w:p w:rsidR="003F241F" w:rsidRPr="00F627B2" w:rsidRDefault="003F241F">
            <w:pPr>
              <w:spacing w:line="240" w:lineRule="auto"/>
              <w:rPr>
                <w:rFonts w:ascii="Lato" w:hAnsi="Lato"/>
                <w:szCs w:val="22"/>
              </w:rPr>
            </w:pPr>
          </w:p>
        </w:tc>
        <w:tc>
          <w:tcPr>
            <w:tcW w:w="554"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1281" w:type="dxa"/>
            <w:gridSpan w:val="4"/>
            <w:tcBorders>
              <w:left w:val="nil"/>
              <w:bottom w:val="nil"/>
              <w:right w:val="nil"/>
            </w:tcBorders>
          </w:tcPr>
          <w:p w:rsidR="003F241F" w:rsidRPr="00F627B2" w:rsidRDefault="003F241F">
            <w:pPr>
              <w:spacing w:line="240" w:lineRule="auto"/>
              <w:rPr>
                <w:rFonts w:ascii="Lato" w:hAnsi="Lato"/>
                <w:szCs w:val="22"/>
              </w:rPr>
            </w:pPr>
          </w:p>
        </w:tc>
        <w:tc>
          <w:tcPr>
            <w:tcW w:w="257"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96" w:type="dxa"/>
            <w:gridSpan w:val="8"/>
            <w:tcBorders>
              <w:left w:val="nil"/>
              <w:bottom w:val="nil"/>
              <w:right w:val="nil"/>
            </w:tcBorders>
          </w:tcPr>
          <w:p w:rsidR="003F241F" w:rsidRPr="00F627B2" w:rsidRDefault="003F241F">
            <w:pPr>
              <w:spacing w:line="240" w:lineRule="auto"/>
              <w:rPr>
                <w:rFonts w:ascii="Lato" w:hAnsi="Lato"/>
                <w:szCs w:val="22"/>
              </w:rPr>
            </w:pPr>
          </w:p>
        </w:tc>
        <w:tc>
          <w:tcPr>
            <w:tcW w:w="237"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636"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1"/>
          <w:wAfter w:w="9"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b/>
                <w:bCs/>
                <w:szCs w:val="22"/>
              </w:rPr>
            </w:pPr>
          </w:p>
        </w:tc>
        <w:tc>
          <w:tcPr>
            <w:tcW w:w="1120" w:type="dxa"/>
            <w:gridSpan w:val="3"/>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554"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1281" w:type="dxa"/>
            <w:gridSpan w:val="4"/>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57"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96" w:type="dxa"/>
            <w:gridSpan w:val="8"/>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37"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636"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1"/>
          <w:wAfter w:w="9"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r w:rsidRPr="00F627B2">
              <w:rPr>
                <w:rFonts w:ascii="Lato" w:hAnsi="Lato"/>
                <w:szCs w:val="22"/>
              </w:rPr>
              <w:t>b)</w:t>
            </w:r>
          </w:p>
        </w:tc>
        <w:tc>
          <w:tcPr>
            <w:tcW w:w="5493" w:type="dxa"/>
            <w:tcBorders>
              <w:top w:val="nil"/>
              <w:left w:val="nil"/>
              <w:bottom w:val="nil"/>
            </w:tcBorders>
          </w:tcPr>
          <w:p w:rsidR="003F241F" w:rsidRPr="00F627B2" w:rsidRDefault="003F241F" w:rsidP="0068485A">
            <w:pPr>
              <w:spacing w:line="240" w:lineRule="auto"/>
              <w:rPr>
                <w:rFonts w:ascii="Lato" w:hAnsi="Lato"/>
                <w:b/>
                <w:bCs/>
                <w:szCs w:val="22"/>
              </w:rPr>
            </w:pPr>
            <w:r w:rsidRPr="00F627B2">
              <w:rPr>
                <w:rFonts w:ascii="Lato" w:hAnsi="Lato"/>
                <w:b/>
                <w:bCs/>
                <w:szCs w:val="22"/>
              </w:rPr>
              <w:t xml:space="preserve">Prices of units/shares in the </w:t>
            </w:r>
            <w:r w:rsidR="00525B8D" w:rsidRPr="00F627B2">
              <w:rPr>
                <w:rFonts w:ascii="Lato" w:hAnsi="Lato"/>
                <w:b/>
                <w:bCs/>
                <w:szCs w:val="22"/>
              </w:rPr>
              <w:t>R</w:t>
            </w:r>
            <w:r w:rsidR="00955AE5" w:rsidRPr="00F627B2">
              <w:rPr>
                <w:rFonts w:ascii="Lato" w:hAnsi="Lato"/>
                <w:b/>
                <w:bCs/>
                <w:szCs w:val="22"/>
              </w:rPr>
              <w:t xml:space="preserve">etail </w:t>
            </w:r>
            <w:r w:rsidR="00525B8D" w:rsidRPr="00F627B2">
              <w:rPr>
                <w:rFonts w:ascii="Lato" w:hAnsi="Lato"/>
                <w:b/>
                <w:bCs/>
                <w:szCs w:val="22"/>
              </w:rPr>
              <w:t>I</w:t>
            </w:r>
            <w:r w:rsidR="00955AE5" w:rsidRPr="00F627B2">
              <w:rPr>
                <w:rFonts w:ascii="Lato" w:hAnsi="Lato"/>
                <w:b/>
                <w:bCs/>
                <w:szCs w:val="22"/>
              </w:rPr>
              <w:t xml:space="preserve">nvestor </w:t>
            </w:r>
            <w:r w:rsidR="00B7175D" w:rsidRPr="00F627B2">
              <w:rPr>
                <w:rFonts w:ascii="Lato" w:hAnsi="Lato"/>
                <w:b/>
                <w:bCs/>
                <w:szCs w:val="22"/>
              </w:rPr>
              <w:t>AIF may</w:t>
            </w:r>
          </w:p>
        </w:tc>
        <w:tc>
          <w:tcPr>
            <w:tcW w:w="1120" w:type="dxa"/>
            <w:gridSpan w:val="3"/>
            <w:tcBorders>
              <w:top w:val="single" w:sz="4" w:space="0" w:color="auto"/>
              <w:bottom w:val="single" w:sz="4" w:space="0" w:color="auto"/>
            </w:tcBorders>
          </w:tcPr>
          <w:p w:rsidR="003F241F" w:rsidRPr="00F627B2" w:rsidRDefault="003F241F">
            <w:pPr>
              <w:spacing w:line="240" w:lineRule="auto"/>
              <w:rPr>
                <w:rFonts w:ascii="Lato" w:hAnsi="Lato"/>
                <w:szCs w:val="22"/>
              </w:rPr>
            </w:pPr>
          </w:p>
        </w:tc>
        <w:tc>
          <w:tcPr>
            <w:tcW w:w="554" w:type="dxa"/>
            <w:gridSpan w:val="3"/>
            <w:tcBorders>
              <w:top w:val="nil"/>
              <w:bottom w:val="nil"/>
            </w:tcBorders>
          </w:tcPr>
          <w:p w:rsidR="003F241F" w:rsidRPr="00F627B2" w:rsidRDefault="003F241F">
            <w:pPr>
              <w:spacing w:line="240" w:lineRule="auto"/>
              <w:rPr>
                <w:rFonts w:ascii="Lato" w:hAnsi="Lato"/>
                <w:szCs w:val="22"/>
              </w:rPr>
            </w:pPr>
          </w:p>
        </w:tc>
        <w:tc>
          <w:tcPr>
            <w:tcW w:w="1281" w:type="dxa"/>
            <w:gridSpan w:val="4"/>
            <w:tcBorders>
              <w:top w:val="single" w:sz="4" w:space="0" w:color="auto"/>
              <w:bottom w:val="single" w:sz="4" w:space="0" w:color="auto"/>
            </w:tcBorders>
          </w:tcPr>
          <w:p w:rsidR="003F241F" w:rsidRPr="00F627B2" w:rsidRDefault="003F241F">
            <w:pPr>
              <w:spacing w:line="240" w:lineRule="auto"/>
              <w:rPr>
                <w:rFonts w:ascii="Lato" w:hAnsi="Lato"/>
                <w:szCs w:val="22"/>
              </w:rPr>
            </w:pPr>
          </w:p>
        </w:tc>
        <w:tc>
          <w:tcPr>
            <w:tcW w:w="257" w:type="dxa"/>
            <w:gridSpan w:val="6"/>
            <w:tcBorders>
              <w:top w:val="nil"/>
              <w:bottom w:val="nil"/>
            </w:tcBorders>
          </w:tcPr>
          <w:p w:rsidR="003F241F" w:rsidRPr="00F627B2" w:rsidRDefault="003F241F">
            <w:pPr>
              <w:spacing w:line="240" w:lineRule="auto"/>
              <w:rPr>
                <w:rFonts w:ascii="Lato" w:hAnsi="Lato"/>
                <w:szCs w:val="22"/>
              </w:rPr>
            </w:pPr>
          </w:p>
        </w:tc>
        <w:tc>
          <w:tcPr>
            <w:tcW w:w="796" w:type="dxa"/>
            <w:gridSpan w:val="8"/>
            <w:tcBorders>
              <w:top w:val="single" w:sz="4" w:space="0" w:color="auto"/>
              <w:bottom w:val="single" w:sz="4" w:space="0" w:color="auto"/>
            </w:tcBorders>
          </w:tcPr>
          <w:p w:rsidR="003F241F" w:rsidRPr="00F627B2" w:rsidRDefault="003F241F">
            <w:pPr>
              <w:spacing w:line="240" w:lineRule="auto"/>
              <w:rPr>
                <w:rFonts w:ascii="Lato" w:hAnsi="Lato"/>
                <w:szCs w:val="22"/>
              </w:rPr>
            </w:pPr>
          </w:p>
        </w:tc>
        <w:tc>
          <w:tcPr>
            <w:tcW w:w="237" w:type="dxa"/>
            <w:gridSpan w:val="4"/>
            <w:tcBorders>
              <w:top w:val="nil"/>
              <w:bottom w:val="nil"/>
              <w:right w:val="nil"/>
            </w:tcBorders>
          </w:tcPr>
          <w:p w:rsidR="003F241F" w:rsidRPr="00F627B2" w:rsidRDefault="003F241F">
            <w:pPr>
              <w:spacing w:line="240" w:lineRule="auto"/>
              <w:rPr>
                <w:rFonts w:ascii="Lato" w:hAnsi="Lato"/>
                <w:szCs w:val="22"/>
              </w:rPr>
            </w:pPr>
          </w:p>
        </w:tc>
        <w:tc>
          <w:tcPr>
            <w:tcW w:w="636"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1"/>
          <w:wAfter w:w="9"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68485A">
            <w:pPr>
              <w:spacing w:line="240" w:lineRule="auto"/>
              <w:rPr>
                <w:rFonts w:ascii="Lato" w:hAnsi="Lato"/>
                <w:b/>
                <w:bCs/>
                <w:szCs w:val="22"/>
              </w:rPr>
            </w:pPr>
            <w:r w:rsidRPr="00F627B2">
              <w:rPr>
                <w:rFonts w:ascii="Lato" w:hAnsi="Lato"/>
                <w:b/>
                <w:bCs/>
                <w:szCs w:val="22"/>
              </w:rPr>
              <w:t xml:space="preserve">fall as </w:t>
            </w:r>
            <w:r w:rsidR="00955AE5" w:rsidRPr="00F627B2">
              <w:rPr>
                <w:rFonts w:ascii="Lato" w:hAnsi="Lato"/>
                <w:b/>
                <w:bCs/>
                <w:szCs w:val="22"/>
              </w:rPr>
              <w:t xml:space="preserve">well as </w:t>
            </w:r>
            <w:r w:rsidR="003F241F" w:rsidRPr="00F627B2">
              <w:rPr>
                <w:rFonts w:ascii="Lato" w:hAnsi="Lato"/>
                <w:b/>
                <w:bCs/>
                <w:szCs w:val="22"/>
              </w:rPr>
              <w:t>rise</w:t>
            </w:r>
          </w:p>
        </w:tc>
        <w:tc>
          <w:tcPr>
            <w:tcW w:w="1120" w:type="dxa"/>
            <w:gridSpan w:val="3"/>
            <w:tcBorders>
              <w:left w:val="nil"/>
              <w:bottom w:val="nil"/>
              <w:right w:val="nil"/>
            </w:tcBorders>
          </w:tcPr>
          <w:p w:rsidR="003F241F" w:rsidRPr="00F627B2" w:rsidRDefault="003F241F">
            <w:pPr>
              <w:spacing w:line="240" w:lineRule="auto"/>
              <w:rPr>
                <w:rFonts w:ascii="Lato" w:hAnsi="Lato"/>
                <w:szCs w:val="22"/>
              </w:rPr>
            </w:pPr>
          </w:p>
        </w:tc>
        <w:tc>
          <w:tcPr>
            <w:tcW w:w="554"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1281" w:type="dxa"/>
            <w:gridSpan w:val="4"/>
            <w:tcBorders>
              <w:left w:val="nil"/>
              <w:bottom w:val="nil"/>
              <w:right w:val="nil"/>
            </w:tcBorders>
          </w:tcPr>
          <w:p w:rsidR="003F241F" w:rsidRPr="00F627B2" w:rsidRDefault="003F241F">
            <w:pPr>
              <w:spacing w:line="240" w:lineRule="auto"/>
              <w:rPr>
                <w:rFonts w:ascii="Lato" w:hAnsi="Lato"/>
                <w:szCs w:val="22"/>
              </w:rPr>
            </w:pPr>
          </w:p>
        </w:tc>
        <w:tc>
          <w:tcPr>
            <w:tcW w:w="257"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96" w:type="dxa"/>
            <w:gridSpan w:val="8"/>
            <w:tcBorders>
              <w:left w:val="nil"/>
              <w:bottom w:val="nil"/>
              <w:right w:val="nil"/>
            </w:tcBorders>
          </w:tcPr>
          <w:p w:rsidR="003F241F" w:rsidRPr="00F627B2" w:rsidRDefault="003F241F">
            <w:pPr>
              <w:spacing w:line="240" w:lineRule="auto"/>
              <w:rPr>
                <w:rFonts w:ascii="Lato" w:hAnsi="Lato"/>
                <w:szCs w:val="22"/>
              </w:rPr>
            </w:pPr>
          </w:p>
        </w:tc>
        <w:tc>
          <w:tcPr>
            <w:tcW w:w="237"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636"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1"/>
          <w:wAfter w:w="9"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szCs w:val="22"/>
              </w:rPr>
            </w:pPr>
          </w:p>
        </w:tc>
        <w:tc>
          <w:tcPr>
            <w:tcW w:w="1120"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554"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1281"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257"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96" w:type="dxa"/>
            <w:gridSpan w:val="8"/>
            <w:tcBorders>
              <w:top w:val="nil"/>
              <w:left w:val="nil"/>
              <w:bottom w:val="nil"/>
              <w:right w:val="nil"/>
            </w:tcBorders>
          </w:tcPr>
          <w:p w:rsidR="003F241F" w:rsidRPr="00F627B2" w:rsidRDefault="003F241F">
            <w:pPr>
              <w:spacing w:line="240" w:lineRule="auto"/>
              <w:rPr>
                <w:rFonts w:ascii="Lato" w:hAnsi="Lato"/>
                <w:szCs w:val="22"/>
              </w:rPr>
            </w:pPr>
          </w:p>
        </w:tc>
        <w:tc>
          <w:tcPr>
            <w:tcW w:w="237"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636"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1"/>
          <w:wAfter w:w="9"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r w:rsidRPr="00F627B2">
              <w:rPr>
                <w:rFonts w:ascii="Lato" w:hAnsi="Lato"/>
                <w:szCs w:val="22"/>
              </w:rPr>
              <w:t>c)</w:t>
            </w:r>
          </w:p>
        </w:tc>
        <w:tc>
          <w:tcPr>
            <w:tcW w:w="5493" w:type="dxa"/>
            <w:tcBorders>
              <w:top w:val="nil"/>
              <w:left w:val="nil"/>
              <w:bottom w:val="nil"/>
            </w:tcBorders>
          </w:tcPr>
          <w:p w:rsidR="003F241F" w:rsidRPr="00F627B2" w:rsidRDefault="003F241F" w:rsidP="0068485A">
            <w:pPr>
              <w:spacing w:line="240" w:lineRule="auto"/>
              <w:rPr>
                <w:rFonts w:ascii="Lato" w:hAnsi="Lato"/>
                <w:b/>
                <w:bCs/>
                <w:szCs w:val="22"/>
              </w:rPr>
            </w:pPr>
            <w:r w:rsidRPr="00F627B2">
              <w:rPr>
                <w:rFonts w:ascii="Lato" w:hAnsi="Lato"/>
                <w:b/>
                <w:bCs/>
                <w:szCs w:val="22"/>
              </w:rPr>
              <w:t>Authorisation of the R</w:t>
            </w:r>
            <w:r w:rsidR="00955AE5" w:rsidRPr="00F627B2">
              <w:rPr>
                <w:rFonts w:ascii="Lato" w:hAnsi="Lato"/>
                <w:b/>
                <w:bCs/>
                <w:szCs w:val="22"/>
              </w:rPr>
              <w:t xml:space="preserve">etail </w:t>
            </w:r>
            <w:r w:rsidRPr="00F627B2">
              <w:rPr>
                <w:rFonts w:ascii="Lato" w:hAnsi="Lato"/>
                <w:b/>
                <w:bCs/>
                <w:szCs w:val="22"/>
              </w:rPr>
              <w:t>I</w:t>
            </w:r>
            <w:r w:rsidR="00955AE5" w:rsidRPr="00F627B2">
              <w:rPr>
                <w:rFonts w:ascii="Lato" w:hAnsi="Lato"/>
                <w:b/>
                <w:bCs/>
                <w:szCs w:val="22"/>
              </w:rPr>
              <w:t xml:space="preserve">nvestor </w:t>
            </w:r>
            <w:r w:rsidRPr="00F627B2">
              <w:rPr>
                <w:rFonts w:ascii="Lato" w:hAnsi="Lato"/>
                <w:b/>
                <w:bCs/>
                <w:szCs w:val="22"/>
              </w:rPr>
              <w:t xml:space="preserve">AIF is </w:t>
            </w:r>
            <w:r w:rsidR="00B7175D" w:rsidRPr="00F627B2">
              <w:rPr>
                <w:rFonts w:ascii="Lato" w:hAnsi="Lato"/>
                <w:b/>
                <w:bCs/>
                <w:szCs w:val="22"/>
              </w:rPr>
              <w:t>not an</w:t>
            </w:r>
          </w:p>
        </w:tc>
        <w:tc>
          <w:tcPr>
            <w:tcW w:w="1120" w:type="dxa"/>
            <w:gridSpan w:val="3"/>
            <w:tcBorders>
              <w:bottom w:val="single" w:sz="4" w:space="0" w:color="auto"/>
            </w:tcBorders>
          </w:tcPr>
          <w:p w:rsidR="003F241F" w:rsidRPr="00F627B2" w:rsidRDefault="003F241F">
            <w:pPr>
              <w:spacing w:line="240" w:lineRule="auto"/>
              <w:rPr>
                <w:rFonts w:ascii="Lato" w:hAnsi="Lato"/>
                <w:szCs w:val="22"/>
              </w:rPr>
            </w:pPr>
          </w:p>
        </w:tc>
        <w:tc>
          <w:tcPr>
            <w:tcW w:w="554" w:type="dxa"/>
            <w:gridSpan w:val="3"/>
            <w:tcBorders>
              <w:top w:val="nil"/>
              <w:bottom w:val="nil"/>
            </w:tcBorders>
          </w:tcPr>
          <w:p w:rsidR="003F241F" w:rsidRPr="00F627B2" w:rsidRDefault="003F241F">
            <w:pPr>
              <w:spacing w:line="240" w:lineRule="auto"/>
              <w:rPr>
                <w:rFonts w:ascii="Lato" w:hAnsi="Lato"/>
                <w:szCs w:val="22"/>
              </w:rPr>
            </w:pPr>
          </w:p>
        </w:tc>
        <w:tc>
          <w:tcPr>
            <w:tcW w:w="1281" w:type="dxa"/>
            <w:gridSpan w:val="4"/>
            <w:tcBorders>
              <w:bottom w:val="single" w:sz="4" w:space="0" w:color="auto"/>
            </w:tcBorders>
          </w:tcPr>
          <w:p w:rsidR="003F241F" w:rsidRPr="00F627B2" w:rsidRDefault="003F241F">
            <w:pPr>
              <w:spacing w:line="240" w:lineRule="auto"/>
              <w:rPr>
                <w:rFonts w:ascii="Lato" w:hAnsi="Lato"/>
                <w:szCs w:val="22"/>
              </w:rPr>
            </w:pPr>
          </w:p>
        </w:tc>
        <w:tc>
          <w:tcPr>
            <w:tcW w:w="257" w:type="dxa"/>
            <w:gridSpan w:val="6"/>
            <w:tcBorders>
              <w:top w:val="nil"/>
              <w:bottom w:val="nil"/>
            </w:tcBorders>
          </w:tcPr>
          <w:p w:rsidR="003F241F" w:rsidRPr="00F627B2" w:rsidRDefault="003F241F">
            <w:pPr>
              <w:spacing w:line="240" w:lineRule="auto"/>
              <w:rPr>
                <w:rFonts w:ascii="Lato" w:hAnsi="Lato"/>
                <w:szCs w:val="22"/>
              </w:rPr>
            </w:pPr>
          </w:p>
        </w:tc>
        <w:tc>
          <w:tcPr>
            <w:tcW w:w="796" w:type="dxa"/>
            <w:gridSpan w:val="8"/>
            <w:tcBorders>
              <w:bottom w:val="single" w:sz="4" w:space="0" w:color="auto"/>
            </w:tcBorders>
          </w:tcPr>
          <w:p w:rsidR="003F241F" w:rsidRPr="00F627B2" w:rsidRDefault="003F241F">
            <w:pPr>
              <w:spacing w:line="240" w:lineRule="auto"/>
              <w:rPr>
                <w:rFonts w:ascii="Lato" w:hAnsi="Lato"/>
                <w:szCs w:val="22"/>
              </w:rPr>
            </w:pPr>
          </w:p>
        </w:tc>
        <w:tc>
          <w:tcPr>
            <w:tcW w:w="237" w:type="dxa"/>
            <w:gridSpan w:val="4"/>
            <w:tcBorders>
              <w:top w:val="nil"/>
              <w:bottom w:val="nil"/>
              <w:right w:val="nil"/>
            </w:tcBorders>
          </w:tcPr>
          <w:p w:rsidR="003F241F" w:rsidRPr="00F627B2" w:rsidRDefault="003F241F">
            <w:pPr>
              <w:spacing w:line="240" w:lineRule="auto"/>
              <w:rPr>
                <w:rFonts w:ascii="Lato" w:hAnsi="Lato"/>
                <w:szCs w:val="22"/>
              </w:rPr>
            </w:pPr>
          </w:p>
        </w:tc>
        <w:tc>
          <w:tcPr>
            <w:tcW w:w="636"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1"/>
          <w:wAfter w:w="9"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955AE5" w:rsidP="00C05324">
            <w:pPr>
              <w:spacing w:line="240" w:lineRule="auto"/>
              <w:rPr>
                <w:rFonts w:ascii="Lato" w:hAnsi="Lato"/>
                <w:b/>
                <w:bCs/>
                <w:szCs w:val="22"/>
              </w:rPr>
            </w:pPr>
            <w:r w:rsidRPr="00F627B2">
              <w:rPr>
                <w:rFonts w:ascii="Lato" w:hAnsi="Lato"/>
                <w:b/>
                <w:bCs/>
                <w:szCs w:val="22"/>
              </w:rPr>
              <w:t xml:space="preserve">endorsement or </w:t>
            </w:r>
            <w:r w:rsidR="003F241F" w:rsidRPr="00F627B2">
              <w:rPr>
                <w:rFonts w:ascii="Lato" w:hAnsi="Lato"/>
                <w:b/>
                <w:bCs/>
                <w:szCs w:val="22"/>
              </w:rPr>
              <w:t xml:space="preserve">guarantee of the </w:t>
            </w:r>
            <w:r w:rsidR="00C05324" w:rsidRPr="00F627B2">
              <w:rPr>
                <w:rFonts w:ascii="Lato" w:hAnsi="Lato"/>
                <w:b/>
                <w:bCs/>
                <w:szCs w:val="22"/>
              </w:rPr>
              <w:t xml:space="preserve">Retail Investor AIF </w:t>
            </w:r>
            <w:r w:rsidR="003F241F" w:rsidRPr="00F627B2">
              <w:rPr>
                <w:rFonts w:ascii="Lato" w:hAnsi="Lato"/>
                <w:b/>
                <w:bCs/>
                <w:szCs w:val="22"/>
              </w:rPr>
              <w:t>by the Central Bank nor is the Central Bank responsible for the contents of the Prospectus</w:t>
            </w:r>
          </w:p>
        </w:tc>
        <w:tc>
          <w:tcPr>
            <w:tcW w:w="1120" w:type="dxa"/>
            <w:gridSpan w:val="3"/>
            <w:tcBorders>
              <w:left w:val="nil"/>
              <w:bottom w:val="nil"/>
              <w:right w:val="nil"/>
            </w:tcBorders>
          </w:tcPr>
          <w:p w:rsidR="003F241F" w:rsidRPr="00F627B2" w:rsidRDefault="003F241F">
            <w:pPr>
              <w:spacing w:line="240" w:lineRule="auto"/>
              <w:rPr>
                <w:rFonts w:ascii="Lato" w:hAnsi="Lato"/>
                <w:szCs w:val="22"/>
              </w:rPr>
            </w:pPr>
          </w:p>
        </w:tc>
        <w:tc>
          <w:tcPr>
            <w:tcW w:w="554" w:type="dxa"/>
            <w:gridSpan w:val="3"/>
            <w:tcBorders>
              <w:top w:val="nil"/>
              <w:left w:val="nil"/>
              <w:bottom w:val="nil"/>
              <w:right w:val="nil"/>
            </w:tcBorders>
          </w:tcPr>
          <w:p w:rsidR="003F241F" w:rsidRPr="00F627B2" w:rsidRDefault="003F241F">
            <w:pPr>
              <w:spacing w:line="240" w:lineRule="auto"/>
              <w:rPr>
                <w:rFonts w:ascii="Lato" w:hAnsi="Lato"/>
                <w:szCs w:val="22"/>
              </w:rPr>
            </w:pPr>
          </w:p>
        </w:tc>
        <w:tc>
          <w:tcPr>
            <w:tcW w:w="1281" w:type="dxa"/>
            <w:gridSpan w:val="4"/>
            <w:tcBorders>
              <w:left w:val="nil"/>
              <w:bottom w:val="nil"/>
              <w:right w:val="nil"/>
            </w:tcBorders>
          </w:tcPr>
          <w:p w:rsidR="003F241F" w:rsidRPr="00F627B2" w:rsidRDefault="003F241F">
            <w:pPr>
              <w:spacing w:line="240" w:lineRule="auto"/>
              <w:rPr>
                <w:rFonts w:ascii="Lato" w:hAnsi="Lato"/>
                <w:szCs w:val="22"/>
              </w:rPr>
            </w:pPr>
          </w:p>
        </w:tc>
        <w:tc>
          <w:tcPr>
            <w:tcW w:w="257"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96" w:type="dxa"/>
            <w:gridSpan w:val="8"/>
            <w:tcBorders>
              <w:left w:val="nil"/>
              <w:bottom w:val="nil"/>
              <w:right w:val="nil"/>
            </w:tcBorders>
          </w:tcPr>
          <w:p w:rsidR="003F241F" w:rsidRPr="00F627B2" w:rsidRDefault="003F241F">
            <w:pPr>
              <w:spacing w:line="240" w:lineRule="auto"/>
              <w:rPr>
                <w:rFonts w:ascii="Lato" w:hAnsi="Lato"/>
                <w:szCs w:val="22"/>
              </w:rPr>
            </w:pPr>
          </w:p>
        </w:tc>
        <w:tc>
          <w:tcPr>
            <w:tcW w:w="237"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636"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1"/>
          <w:wAfter w:w="9"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szCs w:val="22"/>
              </w:rPr>
            </w:pPr>
          </w:p>
        </w:tc>
        <w:tc>
          <w:tcPr>
            <w:tcW w:w="1131" w:type="dxa"/>
            <w:gridSpan w:val="4"/>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543"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1293" w:type="dxa"/>
            <w:gridSpan w:val="5"/>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65"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76" w:type="dxa"/>
            <w:gridSpan w:val="7"/>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37"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636"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1"/>
          <w:wAfter w:w="9"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r w:rsidRPr="00F627B2">
              <w:rPr>
                <w:rFonts w:ascii="Lato" w:hAnsi="Lato"/>
                <w:szCs w:val="22"/>
              </w:rPr>
              <w:t>d)</w:t>
            </w:r>
          </w:p>
        </w:tc>
        <w:tc>
          <w:tcPr>
            <w:tcW w:w="5493" w:type="dxa"/>
            <w:tcBorders>
              <w:top w:val="nil"/>
              <w:left w:val="nil"/>
              <w:bottom w:val="nil"/>
              <w:right w:val="single" w:sz="4" w:space="0" w:color="auto"/>
            </w:tcBorders>
          </w:tcPr>
          <w:p w:rsidR="003F241F" w:rsidRPr="00F627B2" w:rsidRDefault="003F241F" w:rsidP="00C44EBF">
            <w:pPr>
              <w:spacing w:line="240" w:lineRule="auto"/>
              <w:rPr>
                <w:rFonts w:ascii="Lato" w:hAnsi="Lato"/>
                <w:b/>
                <w:bCs/>
                <w:szCs w:val="22"/>
              </w:rPr>
            </w:pPr>
            <w:r w:rsidRPr="00F627B2">
              <w:rPr>
                <w:rFonts w:ascii="Lato" w:hAnsi="Lato"/>
                <w:b/>
                <w:bCs/>
                <w:szCs w:val="22"/>
              </w:rPr>
              <w:t>The Central Bank shall not</w:t>
            </w:r>
            <w:r w:rsidR="00C44EBF" w:rsidRPr="00F627B2">
              <w:rPr>
                <w:rFonts w:ascii="Lato" w:hAnsi="Lato"/>
                <w:b/>
                <w:bCs/>
                <w:szCs w:val="22"/>
              </w:rPr>
              <w:t>,</w:t>
            </w:r>
            <w:r w:rsidRPr="00F627B2">
              <w:rPr>
                <w:rFonts w:ascii="Lato" w:hAnsi="Lato"/>
                <w:b/>
                <w:bCs/>
                <w:szCs w:val="22"/>
              </w:rPr>
              <w:t xml:space="preserve"> by </w:t>
            </w:r>
            <w:r w:rsidR="00B7175D" w:rsidRPr="00F627B2">
              <w:rPr>
                <w:rFonts w:ascii="Lato" w:hAnsi="Lato"/>
                <w:b/>
                <w:bCs/>
                <w:szCs w:val="22"/>
              </w:rPr>
              <w:t>virtue of its</w:t>
            </w:r>
          </w:p>
        </w:tc>
        <w:tc>
          <w:tcPr>
            <w:tcW w:w="1131" w:type="dxa"/>
            <w:gridSpan w:val="4"/>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1293" w:type="dxa"/>
            <w:gridSpan w:val="5"/>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65" w:type="dxa"/>
            <w:gridSpan w:val="6"/>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776" w:type="dxa"/>
            <w:gridSpan w:val="7"/>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37" w:type="dxa"/>
            <w:gridSpan w:val="4"/>
            <w:tcBorders>
              <w:top w:val="nil"/>
              <w:left w:val="single" w:sz="4" w:space="0" w:color="auto"/>
              <w:bottom w:val="nil"/>
              <w:right w:val="nil"/>
            </w:tcBorders>
          </w:tcPr>
          <w:p w:rsidR="003F241F" w:rsidRPr="00F627B2" w:rsidRDefault="003F241F">
            <w:pPr>
              <w:spacing w:line="240" w:lineRule="auto"/>
              <w:rPr>
                <w:rFonts w:ascii="Lato" w:hAnsi="Lato"/>
                <w:szCs w:val="22"/>
              </w:rPr>
            </w:pPr>
          </w:p>
        </w:tc>
        <w:tc>
          <w:tcPr>
            <w:tcW w:w="636"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1"/>
          <w:wAfter w:w="9"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rsidP="00C47AC2">
            <w:pPr>
              <w:spacing w:line="240" w:lineRule="auto"/>
              <w:rPr>
                <w:rFonts w:ascii="Lato" w:hAnsi="Lato"/>
                <w:b/>
                <w:bCs/>
                <w:szCs w:val="22"/>
              </w:rPr>
            </w:pPr>
            <w:r w:rsidRPr="00F627B2">
              <w:rPr>
                <w:rFonts w:ascii="Lato" w:hAnsi="Lato"/>
                <w:b/>
                <w:bCs/>
                <w:szCs w:val="22"/>
              </w:rPr>
              <w:t>authorisation of this R</w:t>
            </w:r>
            <w:r w:rsidR="00955AE5" w:rsidRPr="00F627B2">
              <w:rPr>
                <w:rFonts w:ascii="Lato" w:hAnsi="Lato"/>
                <w:b/>
                <w:bCs/>
                <w:szCs w:val="22"/>
              </w:rPr>
              <w:t xml:space="preserve">etail </w:t>
            </w:r>
            <w:r w:rsidRPr="00F627B2">
              <w:rPr>
                <w:rFonts w:ascii="Lato" w:hAnsi="Lato"/>
                <w:b/>
                <w:bCs/>
                <w:szCs w:val="22"/>
              </w:rPr>
              <w:t>I</w:t>
            </w:r>
            <w:r w:rsidR="00955AE5" w:rsidRPr="00F627B2">
              <w:rPr>
                <w:rFonts w:ascii="Lato" w:hAnsi="Lato"/>
                <w:b/>
                <w:bCs/>
                <w:szCs w:val="22"/>
              </w:rPr>
              <w:t>nvestor</w:t>
            </w:r>
            <w:r w:rsidRPr="00F627B2">
              <w:rPr>
                <w:rFonts w:ascii="Lato" w:hAnsi="Lato"/>
                <w:b/>
                <w:bCs/>
                <w:szCs w:val="22"/>
              </w:rPr>
              <w:t xml:space="preserve"> AIF or by reason of its exercise of the functions conferred on it by legislation in relation to this R</w:t>
            </w:r>
            <w:r w:rsidR="00955AE5" w:rsidRPr="00F627B2">
              <w:rPr>
                <w:rFonts w:ascii="Lato" w:hAnsi="Lato"/>
                <w:b/>
                <w:bCs/>
                <w:szCs w:val="22"/>
              </w:rPr>
              <w:t xml:space="preserve">etail </w:t>
            </w:r>
            <w:r w:rsidRPr="00F627B2">
              <w:rPr>
                <w:rFonts w:ascii="Lato" w:hAnsi="Lato"/>
                <w:b/>
                <w:bCs/>
                <w:szCs w:val="22"/>
              </w:rPr>
              <w:t>I</w:t>
            </w:r>
            <w:r w:rsidR="00955AE5" w:rsidRPr="00F627B2">
              <w:rPr>
                <w:rFonts w:ascii="Lato" w:hAnsi="Lato"/>
                <w:b/>
                <w:bCs/>
                <w:szCs w:val="22"/>
              </w:rPr>
              <w:t xml:space="preserve">nvestor </w:t>
            </w:r>
            <w:r w:rsidRPr="00F627B2">
              <w:rPr>
                <w:rFonts w:ascii="Lato" w:hAnsi="Lato"/>
                <w:b/>
                <w:bCs/>
                <w:szCs w:val="22"/>
              </w:rPr>
              <w:t>AIF</w:t>
            </w:r>
            <w:r w:rsidR="00C44EBF" w:rsidRPr="00F627B2">
              <w:rPr>
                <w:rFonts w:ascii="Lato" w:hAnsi="Lato"/>
                <w:b/>
                <w:bCs/>
                <w:szCs w:val="22"/>
              </w:rPr>
              <w:t>,</w:t>
            </w:r>
            <w:r w:rsidR="00955AE5" w:rsidRPr="00F627B2">
              <w:rPr>
                <w:rFonts w:ascii="Lato" w:hAnsi="Lato"/>
                <w:b/>
                <w:bCs/>
                <w:szCs w:val="22"/>
              </w:rPr>
              <w:t xml:space="preserve"> </w:t>
            </w:r>
            <w:r w:rsidR="00C44EBF" w:rsidRPr="00F627B2">
              <w:rPr>
                <w:rFonts w:ascii="Lato" w:hAnsi="Lato"/>
                <w:b/>
                <w:bCs/>
                <w:szCs w:val="22"/>
              </w:rPr>
              <w:t xml:space="preserve">be liable </w:t>
            </w:r>
            <w:r w:rsidRPr="00F627B2">
              <w:rPr>
                <w:rFonts w:ascii="Lato" w:hAnsi="Lato"/>
                <w:b/>
                <w:bCs/>
                <w:szCs w:val="22"/>
              </w:rPr>
              <w:t xml:space="preserve">for any default of the </w:t>
            </w:r>
            <w:r w:rsidR="00C47AC2" w:rsidRPr="00F627B2">
              <w:rPr>
                <w:rFonts w:ascii="Lato" w:hAnsi="Lato"/>
                <w:b/>
                <w:bCs/>
                <w:szCs w:val="22"/>
              </w:rPr>
              <w:t>Retail Investor AIF</w:t>
            </w:r>
            <w:r w:rsidRPr="00F627B2">
              <w:rPr>
                <w:rFonts w:ascii="Lato" w:hAnsi="Lato"/>
                <w:b/>
                <w:bCs/>
                <w:szCs w:val="22"/>
              </w:rPr>
              <w:t>.  Authorisation of this R</w:t>
            </w:r>
            <w:r w:rsidR="00955AE5" w:rsidRPr="00F627B2">
              <w:rPr>
                <w:rFonts w:ascii="Lato" w:hAnsi="Lato"/>
                <w:b/>
                <w:bCs/>
                <w:szCs w:val="22"/>
              </w:rPr>
              <w:t xml:space="preserve">etail </w:t>
            </w:r>
            <w:r w:rsidRPr="00F627B2">
              <w:rPr>
                <w:rFonts w:ascii="Lato" w:hAnsi="Lato"/>
                <w:b/>
                <w:bCs/>
                <w:szCs w:val="22"/>
              </w:rPr>
              <w:t>I</w:t>
            </w:r>
            <w:r w:rsidR="00955AE5" w:rsidRPr="00F627B2">
              <w:rPr>
                <w:rFonts w:ascii="Lato" w:hAnsi="Lato"/>
                <w:b/>
                <w:bCs/>
                <w:szCs w:val="22"/>
              </w:rPr>
              <w:t xml:space="preserve">nvestor </w:t>
            </w:r>
            <w:r w:rsidRPr="00F627B2">
              <w:rPr>
                <w:rFonts w:ascii="Lato" w:hAnsi="Lato"/>
                <w:b/>
                <w:bCs/>
                <w:szCs w:val="22"/>
              </w:rPr>
              <w:t>AIF does not constitute a warranty by the Central Bank as to the creditworthiness or financial standing of the various parties to the R</w:t>
            </w:r>
            <w:r w:rsidR="00955AE5" w:rsidRPr="00F627B2">
              <w:rPr>
                <w:rFonts w:ascii="Lato" w:hAnsi="Lato"/>
                <w:b/>
                <w:bCs/>
                <w:szCs w:val="22"/>
              </w:rPr>
              <w:t xml:space="preserve">etail </w:t>
            </w:r>
            <w:r w:rsidRPr="00F627B2">
              <w:rPr>
                <w:rFonts w:ascii="Lato" w:hAnsi="Lato"/>
                <w:b/>
                <w:bCs/>
                <w:szCs w:val="22"/>
              </w:rPr>
              <w:t>I</w:t>
            </w:r>
            <w:r w:rsidR="00955AE5" w:rsidRPr="00F627B2">
              <w:rPr>
                <w:rFonts w:ascii="Lato" w:hAnsi="Lato"/>
                <w:b/>
                <w:bCs/>
                <w:szCs w:val="22"/>
              </w:rPr>
              <w:t xml:space="preserve">nvestor </w:t>
            </w:r>
            <w:r w:rsidRPr="00F627B2">
              <w:rPr>
                <w:rFonts w:ascii="Lato" w:hAnsi="Lato"/>
                <w:b/>
                <w:bCs/>
                <w:szCs w:val="22"/>
              </w:rPr>
              <w:t>AIF</w:t>
            </w:r>
          </w:p>
        </w:tc>
        <w:tc>
          <w:tcPr>
            <w:tcW w:w="1131" w:type="dxa"/>
            <w:gridSpan w:val="4"/>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543"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1293" w:type="dxa"/>
            <w:gridSpan w:val="5"/>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265"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76" w:type="dxa"/>
            <w:gridSpan w:val="7"/>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237"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636"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rPr>
          <w:gridAfter w:val="1"/>
          <w:wAfter w:w="9" w:type="dxa"/>
        </w:trPr>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b/>
                <w:bCs/>
                <w:szCs w:val="22"/>
              </w:rPr>
            </w:pPr>
          </w:p>
        </w:tc>
        <w:tc>
          <w:tcPr>
            <w:tcW w:w="1131"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43"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1293" w:type="dxa"/>
            <w:gridSpan w:val="5"/>
            <w:tcBorders>
              <w:top w:val="nil"/>
              <w:left w:val="nil"/>
              <w:bottom w:val="nil"/>
              <w:right w:val="nil"/>
            </w:tcBorders>
          </w:tcPr>
          <w:p w:rsidR="003F241F" w:rsidRPr="00F627B2" w:rsidRDefault="003F241F">
            <w:pPr>
              <w:spacing w:line="240" w:lineRule="auto"/>
              <w:rPr>
                <w:rFonts w:ascii="Lato" w:hAnsi="Lato"/>
                <w:szCs w:val="22"/>
              </w:rPr>
            </w:pPr>
          </w:p>
        </w:tc>
        <w:tc>
          <w:tcPr>
            <w:tcW w:w="265"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76" w:type="dxa"/>
            <w:gridSpan w:val="7"/>
            <w:tcBorders>
              <w:top w:val="nil"/>
              <w:left w:val="nil"/>
              <w:bottom w:val="nil"/>
              <w:right w:val="nil"/>
            </w:tcBorders>
          </w:tcPr>
          <w:p w:rsidR="003F241F" w:rsidRPr="00F627B2" w:rsidRDefault="003F241F">
            <w:pPr>
              <w:spacing w:line="240" w:lineRule="auto"/>
              <w:rPr>
                <w:rFonts w:ascii="Lato" w:hAnsi="Lato"/>
                <w:szCs w:val="22"/>
              </w:rPr>
            </w:pPr>
          </w:p>
        </w:tc>
        <w:tc>
          <w:tcPr>
            <w:tcW w:w="237"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636"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6B0A91" w:rsidP="00956AD4">
            <w:pPr>
              <w:spacing w:line="240" w:lineRule="auto"/>
              <w:rPr>
                <w:rFonts w:ascii="Lato" w:hAnsi="Lato"/>
                <w:szCs w:val="22"/>
              </w:rPr>
            </w:pPr>
            <w:r w:rsidRPr="00F627B2">
              <w:rPr>
                <w:rFonts w:ascii="Lato" w:hAnsi="Lato"/>
                <w:szCs w:val="22"/>
              </w:rPr>
              <w:t>Where a subscription and/or redemption charge is provided for, the applicant should consider whether or not the following warning is appropriate:</w:t>
            </w:r>
          </w:p>
        </w:tc>
        <w:tc>
          <w:tcPr>
            <w:tcW w:w="1131"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43"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1305"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273"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65" w:type="dxa"/>
            <w:gridSpan w:val="7"/>
            <w:tcBorders>
              <w:top w:val="nil"/>
              <w:left w:val="nil"/>
              <w:bottom w:val="nil"/>
              <w:right w:val="nil"/>
            </w:tcBorders>
          </w:tcPr>
          <w:p w:rsidR="003F241F" w:rsidRPr="00F627B2" w:rsidRDefault="003F241F">
            <w:pPr>
              <w:spacing w:line="240" w:lineRule="auto"/>
              <w:rPr>
                <w:rFonts w:ascii="Lato" w:hAnsi="Lato"/>
                <w:szCs w:val="22"/>
              </w:rPr>
            </w:pPr>
          </w:p>
        </w:tc>
        <w:tc>
          <w:tcPr>
            <w:tcW w:w="278"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F241F" w:rsidRPr="00F627B2" w:rsidRDefault="003F241F">
            <w:pPr>
              <w:spacing w:line="240" w:lineRule="auto"/>
              <w:rPr>
                <w:rFonts w:ascii="Lato" w:hAnsi="Lato"/>
                <w:szCs w:val="22"/>
              </w:rPr>
            </w:pPr>
            <w:r w:rsidRPr="00F627B2">
              <w:rPr>
                <w:rFonts w:ascii="Lato" w:hAnsi="Lato"/>
                <w:szCs w:val="22"/>
              </w:rPr>
              <w:t>e)</w:t>
            </w:r>
          </w:p>
        </w:tc>
        <w:tc>
          <w:tcPr>
            <w:tcW w:w="5493" w:type="dxa"/>
            <w:tcBorders>
              <w:top w:val="nil"/>
              <w:left w:val="nil"/>
              <w:bottom w:val="nil"/>
              <w:right w:val="single" w:sz="4" w:space="0" w:color="auto"/>
            </w:tcBorders>
          </w:tcPr>
          <w:p w:rsidR="003F241F" w:rsidRPr="00F627B2" w:rsidRDefault="003F241F" w:rsidP="0068485A">
            <w:pPr>
              <w:spacing w:line="240" w:lineRule="auto"/>
              <w:rPr>
                <w:rFonts w:ascii="Lato" w:hAnsi="Lato"/>
                <w:b/>
                <w:bCs/>
                <w:szCs w:val="22"/>
              </w:rPr>
            </w:pPr>
            <w:r w:rsidRPr="00F627B2">
              <w:rPr>
                <w:rFonts w:ascii="Lato" w:hAnsi="Lato"/>
                <w:b/>
                <w:bCs/>
                <w:szCs w:val="22"/>
              </w:rPr>
              <w:t xml:space="preserve">The difference at any one time between the </w:t>
            </w:r>
            <w:r w:rsidR="00B7175D" w:rsidRPr="00F627B2">
              <w:rPr>
                <w:rFonts w:ascii="Lato" w:hAnsi="Lato"/>
                <w:b/>
                <w:bCs/>
                <w:szCs w:val="22"/>
              </w:rPr>
              <w:t>sale and</w:t>
            </w:r>
          </w:p>
        </w:tc>
        <w:tc>
          <w:tcPr>
            <w:tcW w:w="1131" w:type="dxa"/>
            <w:gridSpan w:val="4"/>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78" w:type="dxa"/>
            <w:gridSpan w:val="4"/>
            <w:tcBorders>
              <w:top w:val="nil"/>
              <w:left w:val="single" w:sz="4" w:space="0" w:color="auto"/>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b/>
                <w:bCs/>
                <w:szCs w:val="22"/>
              </w:rPr>
            </w:pPr>
            <w:r w:rsidRPr="00F627B2">
              <w:rPr>
                <w:rFonts w:ascii="Lato" w:hAnsi="Lato"/>
                <w:b/>
                <w:bCs/>
                <w:szCs w:val="22"/>
              </w:rPr>
              <w:t>repurchase price of units/shares in this R</w:t>
            </w:r>
            <w:r w:rsidR="00955AE5" w:rsidRPr="00F627B2">
              <w:rPr>
                <w:rFonts w:ascii="Lato" w:hAnsi="Lato"/>
                <w:b/>
                <w:bCs/>
                <w:szCs w:val="22"/>
              </w:rPr>
              <w:t xml:space="preserve">etail </w:t>
            </w:r>
            <w:r w:rsidRPr="00F627B2">
              <w:rPr>
                <w:rFonts w:ascii="Lato" w:hAnsi="Lato"/>
                <w:b/>
                <w:bCs/>
                <w:szCs w:val="22"/>
              </w:rPr>
              <w:t>I</w:t>
            </w:r>
            <w:r w:rsidR="00955AE5" w:rsidRPr="00F627B2">
              <w:rPr>
                <w:rFonts w:ascii="Lato" w:hAnsi="Lato"/>
                <w:b/>
                <w:bCs/>
                <w:szCs w:val="22"/>
              </w:rPr>
              <w:t xml:space="preserve">nvestor </w:t>
            </w:r>
            <w:r w:rsidRPr="00F627B2">
              <w:rPr>
                <w:rFonts w:ascii="Lato" w:hAnsi="Lato"/>
                <w:b/>
                <w:bCs/>
                <w:szCs w:val="22"/>
              </w:rPr>
              <w:t xml:space="preserve">AIF means that the investment should be viewed as medium to long term </w:t>
            </w:r>
          </w:p>
          <w:p w:rsidR="003F241F" w:rsidRPr="00F627B2" w:rsidRDefault="003F241F">
            <w:pPr>
              <w:spacing w:line="240" w:lineRule="auto"/>
              <w:rPr>
                <w:rFonts w:ascii="Lato" w:hAnsi="Lato"/>
                <w:b/>
                <w:bCs/>
                <w:szCs w:val="22"/>
              </w:rPr>
            </w:pPr>
          </w:p>
        </w:tc>
        <w:tc>
          <w:tcPr>
            <w:tcW w:w="1131" w:type="dxa"/>
            <w:gridSpan w:val="4"/>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543"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1305" w:type="dxa"/>
            <w:gridSpan w:val="6"/>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273"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65" w:type="dxa"/>
            <w:gridSpan w:val="7"/>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278"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F241F" w:rsidRPr="00F627B2" w:rsidRDefault="003F241F">
            <w:pPr>
              <w:spacing w:line="240" w:lineRule="auto"/>
              <w:rPr>
                <w:rFonts w:ascii="Lato" w:hAnsi="Lato"/>
                <w:szCs w:val="22"/>
              </w:rPr>
            </w:pPr>
            <w:r w:rsidRPr="00F627B2">
              <w:rPr>
                <w:rFonts w:ascii="Lato" w:hAnsi="Lato"/>
                <w:szCs w:val="22"/>
              </w:rPr>
              <w:lastRenderedPageBreak/>
              <w:t>f)</w:t>
            </w:r>
          </w:p>
        </w:tc>
        <w:tc>
          <w:tcPr>
            <w:tcW w:w="5493" w:type="dxa"/>
            <w:tcBorders>
              <w:top w:val="nil"/>
              <w:left w:val="nil"/>
              <w:bottom w:val="nil"/>
              <w:right w:val="nil"/>
            </w:tcBorders>
          </w:tcPr>
          <w:p w:rsidR="003F241F" w:rsidRPr="00F627B2" w:rsidRDefault="003F241F" w:rsidP="003644B5">
            <w:pPr>
              <w:spacing w:line="240" w:lineRule="auto"/>
              <w:rPr>
                <w:rFonts w:ascii="Lato" w:hAnsi="Lato"/>
                <w:bCs/>
                <w:szCs w:val="22"/>
              </w:rPr>
            </w:pPr>
            <w:r w:rsidRPr="00F627B2">
              <w:rPr>
                <w:rFonts w:ascii="Lato" w:hAnsi="Lato"/>
                <w:bCs/>
                <w:szCs w:val="22"/>
              </w:rPr>
              <w:t>Where the R</w:t>
            </w:r>
            <w:r w:rsidR="00955AE5" w:rsidRPr="00F627B2">
              <w:rPr>
                <w:rFonts w:ascii="Lato" w:hAnsi="Lato"/>
                <w:bCs/>
                <w:szCs w:val="22"/>
              </w:rPr>
              <w:t xml:space="preserve">etail </w:t>
            </w:r>
            <w:r w:rsidRPr="00F627B2">
              <w:rPr>
                <w:rFonts w:ascii="Lato" w:hAnsi="Lato"/>
                <w:bCs/>
                <w:szCs w:val="22"/>
              </w:rPr>
              <w:t>I</w:t>
            </w:r>
            <w:r w:rsidR="00955AE5" w:rsidRPr="00F627B2">
              <w:rPr>
                <w:rFonts w:ascii="Lato" w:hAnsi="Lato"/>
                <w:bCs/>
                <w:szCs w:val="22"/>
              </w:rPr>
              <w:t xml:space="preserve">nvestor </w:t>
            </w:r>
            <w:r w:rsidRPr="00F627B2">
              <w:rPr>
                <w:rFonts w:ascii="Lato" w:hAnsi="Lato"/>
                <w:bCs/>
                <w:szCs w:val="22"/>
              </w:rPr>
              <w:t>AIF invests in gold</w:t>
            </w:r>
            <w:r w:rsidR="003644B5" w:rsidRPr="00F627B2">
              <w:rPr>
                <w:rFonts w:ascii="Lato" w:hAnsi="Lato"/>
                <w:bCs/>
                <w:szCs w:val="22"/>
              </w:rPr>
              <w:t xml:space="preserve">, set out in bold type </w:t>
            </w:r>
            <w:r w:rsidRPr="00F627B2">
              <w:rPr>
                <w:rFonts w:ascii="Lato" w:hAnsi="Lato"/>
                <w:bCs/>
                <w:szCs w:val="22"/>
              </w:rPr>
              <w:t xml:space="preserve"> the</w:t>
            </w:r>
          </w:p>
        </w:tc>
        <w:tc>
          <w:tcPr>
            <w:tcW w:w="1131"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43"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1305"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273"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65" w:type="dxa"/>
            <w:gridSpan w:val="7"/>
            <w:tcBorders>
              <w:top w:val="nil"/>
              <w:left w:val="nil"/>
              <w:bottom w:val="nil"/>
              <w:right w:val="nil"/>
            </w:tcBorders>
          </w:tcPr>
          <w:p w:rsidR="003F241F" w:rsidRPr="00F627B2" w:rsidRDefault="003F241F">
            <w:pPr>
              <w:spacing w:line="240" w:lineRule="auto"/>
              <w:rPr>
                <w:rFonts w:ascii="Lato" w:hAnsi="Lato"/>
                <w:szCs w:val="22"/>
              </w:rPr>
            </w:pPr>
          </w:p>
        </w:tc>
        <w:tc>
          <w:tcPr>
            <w:tcW w:w="278"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560C4B" w:rsidRPr="00F627B2" w:rsidRDefault="00560C4B">
            <w:pPr>
              <w:spacing w:line="240" w:lineRule="auto"/>
              <w:rPr>
                <w:rFonts w:ascii="Lato" w:hAnsi="Lato"/>
                <w:szCs w:val="22"/>
              </w:rPr>
            </w:pPr>
          </w:p>
        </w:tc>
        <w:tc>
          <w:tcPr>
            <w:tcW w:w="5493" w:type="dxa"/>
            <w:tcBorders>
              <w:top w:val="nil"/>
              <w:left w:val="nil"/>
              <w:bottom w:val="nil"/>
              <w:right w:val="nil"/>
            </w:tcBorders>
          </w:tcPr>
          <w:p w:rsidR="00560C4B" w:rsidRPr="00F627B2" w:rsidRDefault="00560C4B" w:rsidP="003644B5">
            <w:pPr>
              <w:spacing w:line="240" w:lineRule="auto"/>
              <w:rPr>
                <w:rFonts w:ascii="Lato" w:hAnsi="Lato"/>
                <w:bCs/>
                <w:szCs w:val="22"/>
              </w:rPr>
            </w:pPr>
            <w:r w:rsidRPr="00F627B2">
              <w:rPr>
                <w:rFonts w:ascii="Lato" w:hAnsi="Lato"/>
                <w:bCs/>
                <w:szCs w:val="22"/>
              </w:rPr>
              <w:t>following statement</w:t>
            </w:r>
            <w:r w:rsidR="00C05324" w:rsidRPr="00F627B2">
              <w:rPr>
                <w:rFonts w:ascii="Lato" w:hAnsi="Lato"/>
                <w:bCs/>
                <w:szCs w:val="22"/>
              </w:rPr>
              <w:t xml:space="preserve"> </w:t>
            </w:r>
            <w:r w:rsidR="003644B5" w:rsidRPr="00F627B2">
              <w:rPr>
                <w:rFonts w:ascii="Lato" w:hAnsi="Lato"/>
                <w:bCs/>
                <w:szCs w:val="22"/>
              </w:rPr>
              <w:t>at the beginning of the prospectus</w:t>
            </w:r>
            <w:r w:rsidR="00C05324" w:rsidRPr="00F627B2">
              <w:rPr>
                <w:rFonts w:ascii="Lato" w:hAnsi="Lato"/>
                <w:bCs/>
                <w:szCs w:val="22"/>
              </w:rPr>
              <w:t>:</w:t>
            </w:r>
          </w:p>
        </w:tc>
        <w:tc>
          <w:tcPr>
            <w:tcW w:w="1131" w:type="dxa"/>
            <w:gridSpan w:val="4"/>
            <w:tcBorders>
              <w:top w:val="nil"/>
              <w:left w:val="nil"/>
              <w:bottom w:val="single" w:sz="4" w:space="0" w:color="auto"/>
              <w:right w:val="nil"/>
            </w:tcBorders>
          </w:tcPr>
          <w:p w:rsidR="00560C4B" w:rsidRPr="00F627B2" w:rsidRDefault="00560C4B">
            <w:pPr>
              <w:spacing w:line="240" w:lineRule="auto"/>
              <w:rPr>
                <w:rFonts w:ascii="Lato" w:hAnsi="Lato"/>
                <w:szCs w:val="22"/>
              </w:rPr>
            </w:pPr>
          </w:p>
        </w:tc>
        <w:tc>
          <w:tcPr>
            <w:tcW w:w="543" w:type="dxa"/>
            <w:gridSpan w:val="2"/>
            <w:tcBorders>
              <w:top w:val="nil"/>
              <w:left w:val="nil"/>
              <w:bottom w:val="nil"/>
              <w:right w:val="nil"/>
            </w:tcBorders>
          </w:tcPr>
          <w:p w:rsidR="00560C4B" w:rsidRPr="00F627B2" w:rsidRDefault="00560C4B">
            <w:pPr>
              <w:spacing w:line="240" w:lineRule="auto"/>
              <w:rPr>
                <w:rFonts w:ascii="Lato" w:hAnsi="Lato"/>
                <w:szCs w:val="22"/>
              </w:rPr>
            </w:pPr>
          </w:p>
        </w:tc>
        <w:tc>
          <w:tcPr>
            <w:tcW w:w="1305" w:type="dxa"/>
            <w:gridSpan w:val="6"/>
            <w:tcBorders>
              <w:top w:val="nil"/>
              <w:left w:val="nil"/>
              <w:bottom w:val="single" w:sz="4" w:space="0" w:color="auto"/>
              <w:right w:val="nil"/>
            </w:tcBorders>
          </w:tcPr>
          <w:p w:rsidR="00560C4B" w:rsidRPr="00F627B2" w:rsidRDefault="00560C4B">
            <w:pPr>
              <w:spacing w:line="240" w:lineRule="auto"/>
              <w:rPr>
                <w:rFonts w:ascii="Lato" w:hAnsi="Lato"/>
                <w:szCs w:val="22"/>
              </w:rPr>
            </w:pPr>
          </w:p>
        </w:tc>
        <w:tc>
          <w:tcPr>
            <w:tcW w:w="273" w:type="dxa"/>
            <w:gridSpan w:val="6"/>
            <w:tcBorders>
              <w:top w:val="nil"/>
              <w:left w:val="nil"/>
              <w:bottom w:val="nil"/>
              <w:right w:val="nil"/>
            </w:tcBorders>
          </w:tcPr>
          <w:p w:rsidR="00560C4B" w:rsidRPr="00F627B2" w:rsidRDefault="00560C4B">
            <w:pPr>
              <w:spacing w:line="240" w:lineRule="auto"/>
              <w:rPr>
                <w:rFonts w:ascii="Lato" w:hAnsi="Lato"/>
                <w:szCs w:val="22"/>
              </w:rPr>
            </w:pPr>
          </w:p>
        </w:tc>
        <w:tc>
          <w:tcPr>
            <w:tcW w:w="765" w:type="dxa"/>
            <w:gridSpan w:val="7"/>
            <w:tcBorders>
              <w:top w:val="nil"/>
              <w:left w:val="nil"/>
              <w:bottom w:val="single" w:sz="4" w:space="0" w:color="auto"/>
              <w:right w:val="nil"/>
            </w:tcBorders>
          </w:tcPr>
          <w:p w:rsidR="00560C4B" w:rsidRPr="00F627B2" w:rsidRDefault="00560C4B">
            <w:pPr>
              <w:spacing w:line="240" w:lineRule="auto"/>
              <w:rPr>
                <w:rFonts w:ascii="Lato" w:hAnsi="Lato"/>
                <w:szCs w:val="22"/>
              </w:rPr>
            </w:pPr>
          </w:p>
        </w:tc>
        <w:tc>
          <w:tcPr>
            <w:tcW w:w="278" w:type="dxa"/>
            <w:gridSpan w:val="4"/>
            <w:tcBorders>
              <w:top w:val="nil"/>
              <w:left w:val="nil"/>
              <w:bottom w:val="nil"/>
              <w:right w:val="nil"/>
            </w:tcBorders>
          </w:tcPr>
          <w:p w:rsidR="00560C4B" w:rsidRPr="00F627B2" w:rsidRDefault="00560C4B">
            <w:pPr>
              <w:spacing w:line="240" w:lineRule="auto"/>
              <w:rPr>
                <w:rFonts w:ascii="Lato" w:hAnsi="Lato"/>
                <w:szCs w:val="22"/>
              </w:rPr>
            </w:pPr>
          </w:p>
        </w:tc>
        <w:tc>
          <w:tcPr>
            <w:tcW w:w="595" w:type="dxa"/>
            <w:gridSpan w:val="7"/>
            <w:tcBorders>
              <w:top w:val="nil"/>
              <w:left w:val="nil"/>
              <w:bottom w:val="nil"/>
              <w:right w:val="nil"/>
            </w:tcBorders>
          </w:tcPr>
          <w:p w:rsidR="00560C4B" w:rsidRPr="00F627B2" w:rsidRDefault="00560C4B">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560C4B" w:rsidRPr="00F627B2" w:rsidRDefault="00560C4B">
            <w:pPr>
              <w:spacing w:line="240" w:lineRule="auto"/>
              <w:rPr>
                <w:rFonts w:ascii="Lato" w:hAnsi="Lato"/>
                <w:szCs w:val="22"/>
              </w:rPr>
            </w:pPr>
          </w:p>
        </w:tc>
        <w:tc>
          <w:tcPr>
            <w:tcW w:w="5493" w:type="dxa"/>
            <w:tcBorders>
              <w:top w:val="nil"/>
              <w:left w:val="nil"/>
              <w:bottom w:val="nil"/>
              <w:right w:val="single" w:sz="4" w:space="0" w:color="auto"/>
            </w:tcBorders>
          </w:tcPr>
          <w:p w:rsidR="00560C4B" w:rsidRPr="00F627B2" w:rsidRDefault="00560C4B" w:rsidP="0068485A">
            <w:pPr>
              <w:spacing w:line="240" w:lineRule="auto"/>
              <w:rPr>
                <w:rFonts w:ascii="Lato" w:hAnsi="Lato"/>
                <w:bCs/>
                <w:szCs w:val="22"/>
              </w:rPr>
            </w:pPr>
            <w:r w:rsidRPr="00F627B2">
              <w:rPr>
                <w:rFonts w:ascii="Lato" w:hAnsi="Lato"/>
                <w:b/>
                <w:bCs/>
                <w:szCs w:val="22"/>
              </w:rPr>
              <w:t xml:space="preserve">The price of gold varies considerably over </w:t>
            </w:r>
            <w:r w:rsidR="00B7175D" w:rsidRPr="00F627B2">
              <w:rPr>
                <w:rFonts w:ascii="Lato" w:hAnsi="Lato"/>
                <w:b/>
                <w:bCs/>
                <w:szCs w:val="22"/>
              </w:rPr>
              <w:t>time. This</w:t>
            </w:r>
          </w:p>
        </w:tc>
        <w:tc>
          <w:tcPr>
            <w:tcW w:w="1131" w:type="dxa"/>
            <w:gridSpan w:val="4"/>
            <w:tcBorders>
              <w:top w:val="single" w:sz="4" w:space="0" w:color="auto"/>
              <w:left w:val="single" w:sz="4" w:space="0" w:color="auto"/>
              <w:bottom w:val="single" w:sz="4" w:space="0" w:color="auto"/>
              <w:right w:val="single" w:sz="4" w:space="0" w:color="auto"/>
            </w:tcBorders>
          </w:tcPr>
          <w:p w:rsidR="00560C4B" w:rsidRPr="00F627B2" w:rsidRDefault="00560C4B">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560C4B" w:rsidRPr="00F627B2" w:rsidRDefault="00560C4B">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560C4B" w:rsidRPr="00F627B2" w:rsidRDefault="00560C4B">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560C4B" w:rsidRPr="00F627B2" w:rsidRDefault="00560C4B">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560C4B" w:rsidRPr="00F627B2" w:rsidRDefault="00560C4B">
            <w:pPr>
              <w:spacing w:line="240" w:lineRule="auto"/>
              <w:rPr>
                <w:rFonts w:ascii="Lato" w:hAnsi="Lato"/>
                <w:szCs w:val="22"/>
              </w:rPr>
            </w:pPr>
          </w:p>
        </w:tc>
        <w:tc>
          <w:tcPr>
            <w:tcW w:w="278" w:type="dxa"/>
            <w:gridSpan w:val="4"/>
            <w:tcBorders>
              <w:top w:val="nil"/>
              <w:left w:val="single" w:sz="4" w:space="0" w:color="auto"/>
              <w:bottom w:val="nil"/>
              <w:right w:val="nil"/>
            </w:tcBorders>
          </w:tcPr>
          <w:p w:rsidR="00560C4B" w:rsidRPr="00F627B2" w:rsidRDefault="00560C4B">
            <w:pPr>
              <w:spacing w:line="240" w:lineRule="auto"/>
              <w:rPr>
                <w:rFonts w:ascii="Lato" w:hAnsi="Lato"/>
                <w:szCs w:val="22"/>
              </w:rPr>
            </w:pPr>
          </w:p>
        </w:tc>
        <w:tc>
          <w:tcPr>
            <w:tcW w:w="595" w:type="dxa"/>
            <w:gridSpan w:val="7"/>
            <w:tcBorders>
              <w:top w:val="nil"/>
              <w:left w:val="nil"/>
              <w:bottom w:val="nil"/>
              <w:right w:val="nil"/>
            </w:tcBorders>
          </w:tcPr>
          <w:p w:rsidR="00560C4B" w:rsidRPr="00F627B2" w:rsidRDefault="00560C4B">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b/>
                <w:bCs/>
                <w:szCs w:val="22"/>
              </w:rPr>
            </w:pPr>
            <w:r w:rsidRPr="00F627B2">
              <w:rPr>
                <w:rFonts w:ascii="Lato" w:hAnsi="Lato"/>
                <w:b/>
                <w:bCs/>
                <w:szCs w:val="22"/>
              </w:rPr>
              <w:t>makes investment in gold high risk, particularly for medium to long term investor. If the price of gold falls considerably, as it has in the past, you could face a significant loss on your investment.</w:t>
            </w:r>
          </w:p>
        </w:tc>
        <w:tc>
          <w:tcPr>
            <w:tcW w:w="1131" w:type="dxa"/>
            <w:gridSpan w:val="4"/>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543"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1305" w:type="dxa"/>
            <w:gridSpan w:val="6"/>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273"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65" w:type="dxa"/>
            <w:gridSpan w:val="7"/>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278"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560C4B" w:rsidRPr="00F627B2" w:rsidRDefault="00560C4B">
            <w:pPr>
              <w:spacing w:line="240" w:lineRule="auto"/>
              <w:rPr>
                <w:rFonts w:ascii="Lato" w:hAnsi="Lato"/>
                <w:szCs w:val="22"/>
              </w:rPr>
            </w:pPr>
          </w:p>
        </w:tc>
        <w:tc>
          <w:tcPr>
            <w:tcW w:w="5493" w:type="dxa"/>
            <w:tcBorders>
              <w:top w:val="nil"/>
              <w:left w:val="nil"/>
              <w:bottom w:val="nil"/>
              <w:right w:val="nil"/>
            </w:tcBorders>
          </w:tcPr>
          <w:p w:rsidR="00560C4B" w:rsidRPr="00F627B2" w:rsidRDefault="00560C4B">
            <w:pPr>
              <w:spacing w:line="240" w:lineRule="auto"/>
              <w:rPr>
                <w:rFonts w:ascii="Lato" w:hAnsi="Lato"/>
                <w:b/>
                <w:bCs/>
                <w:szCs w:val="22"/>
              </w:rPr>
            </w:pPr>
          </w:p>
        </w:tc>
        <w:tc>
          <w:tcPr>
            <w:tcW w:w="1131" w:type="dxa"/>
            <w:gridSpan w:val="4"/>
            <w:tcBorders>
              <w:top w:val="nil"/>
              <w:left w:val="nil"/>
              <w:bottom w:val="nil"/>
              <w:right w:val="nil"/>
            </w:tcBorders>
          </w:tcPr>
          <w:p w:rsidR="00560C4B" w:rsidRPr="00F627B2" w:rsidRDefault="00560C4B">
            <w:pPr>
              <w:spacing w:line="240" w:lineRule="auto"/>
              <w:rPr>
                <w:rFonts w:ascii="Lato" w:hAnsi="Lato"/>
                <w:szCs w:val="22"/>
              </w:rPr>
            </w:pPr>
          </w:p>
        </w:tc>
        <w:tc>
          <w:tcPr>
            <w:tcW w:w="543" w:type="dxa"/>
            <w:gridSpan w:val="2"/>
            <w:tcBorders>
              <w:top w:val="nil"/>
              <w:left w:val="nil"/>
              <w:bottom w:val="nil"/>
              <w:right w:val="nil"/>
            </w:tcBorders>
          </w:tcPr>
          <w:p w:rsidR="00560C4B" w:rsidRPr="00F627B2" w:rsidRDefault="00560C4B">
            <w:pPr>
              <w:spacing w:line="240" w:lineRule="auto"/>
              <w:rPr>
                <w:rFonts w:ascii="Lato" w:hAnsi="Lato"/>
                <w:szCs w:val="22"/>
              </w:rPr>
            </w:pPr>
          </w:p>
        </w:tc>
        <w:tc>
          <w:tcPr>
            <w:tcW w:w="1305" w:type="dxa"/>
            <w:gridSpan w:val="6"/>
            <w:tcBorders>
              <w:top w:val="nil"/>
              <w:left w:val="nil"/>
              <w:bottom w:val="nil"/>
              <w:right w:val="nil"/>
            </w:tcBorders>
          </w:tcPr>
          <w:p w:rsidR="00560C4B" w:rsidRPr="00F627B2" w:rsidRDefault="00560C4B">
            <w:pPr>
              <w:spacing w:line="240" w:lineRule="auto"/>
              <w:rPr>
                <w:rFonts w:ascii="Lato" w:hAnsi="Lato"/>
                <w:szCs w:val="22"/>
              </w:rPr>
            </w:pPr>
          </w:p>
        </w:tc>
        <w:tc>
          <w:tcPr>
            <w:tcW w:w="273" w:type="dxa"/>
            <w:gridSpan w:val="6"/>
            <w:tcBorders>
              <w:top w:val="nil"/>
              <w:left w:val="nil"/>
              <w:bottom w:val="nil"/>
              <w:right w:val="nil"/>
            </w:tcBorders>
          </w:tcPr>
          <w:p w:rsidR="00560C4B" w:rsidRPr="00F627B2" w:rsidRDefault="00560C4B">
            <w:pPr>
              <w:spacing w:line="240" w:lineRule="auto"/>
              <w:rPr>
                <w:rFonts w:ascii="Lato" w:hAnsi="Lato"/>
                <w:szCs w:val="22"/>
              </w:rPr>
            </w:pPr>
          </w:p>
        </w:tc>
        <w:tc>
          <w:tcPr>
            <w:tcW w:w="765" w:type="dxa"/>
            <w:gridSpan w:val="7"/>
            <w:tcBorders>
              <w:top w:val="nil"/>
              <w:left w:val="nil"/>
              <w:bottom w:val="nil"/>
              <w:right w:val="nil"/>
            </w:tcBorders>
          </w:tcPr>
          <w:p w:rsidR="00560C4B" w:rsidRPr="00F627B2" w:rsidRDefault="00560C4B">
            <w:pPr>
              <w:spacing w:line="240" w:lineRule="auto"/>
              <w:rPr>
                <w:rFonts w:ascii="Lato" w:hAnsi="Lato"/>
                <w:szCs w:val="22"/>
              </w:rPr>
            </w:pPr>
          </w:p>
        </w:tc>
        <w:tc>
          <w:tcPr>
            <w:tcW w:w="278" w:type="dxa"/>
            <w:gridSpan w:val="4"/>
            <w:tcBorders>
              <w:top w:val="nil"/>
              <w:left w:val="nil"/>
              <w:bottom w:val="nil"/>
              <w:right w:val="nil"/>
            </w:tcBorders>
          </w:tcPr>
          <w:p w:rsidR="00560C4B" w:rsidRPr="00F627B2" w:rsidRDefault="00560C4B">
            <w:pPr>
              <w:spacing w:line="240" w:lineRule="auto"/>
              <w:rPr>
                <w:rFonts w:ascii="Lato" w:hAnsi="Lato"/>
                <w:szCs w:val="22"/>
              </w:rPr>
            </w:pPr>
          </w:p>
        </w:tc>
        <w:tc>
          <w:tcPr>
            <w:tcW w:w="595" w:type="dxa"/>
            <w:gridSpan w:val="7"/>
            <w:tcBorders>
              <w:top w:val="nil"/>
              <w:left w:val="nil"/>
              <w:bottom w:val="nil"/>
              <w:right w:val="nil"/>
            </w:tcBorders>
          </w:tcPr>
          <w:p w:rsidR="00560C4B" w:rsidRPr="00F627B2" w:rsidRDefault="00560C4B">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F241F" w:rsidRPr="00F627B2" w:rsidRDefault="003F241F">
            <w:pPr>
              <w:spacing w:line="240" w:lineRule="auto"/>
              <w:rPr>
                <w:rFonts w:ascii="Lato" w:hAnsi="Lato"/>
                <w:szCs w:val="22"/>
              </w:rPr>
            </w:pPr>
            <w:r w:rsidRPr="00F627B2">
              <w:rPr>
                <w:rFonts w:ascii="Lato" w:hAnsi="Lato"/>
                <w:szCs w:val="22"/>
              </w:rPr>
              <w:t>g)</w:t>
            </w:r>
          </w:p>
        </w:tc>
        <w:tc>
          <w:tcPr>
            <w:tcW w:w="5493" w:type="dxa"/>
            <w:tcBorders>
              <w:top w:val="nil"/>
              <w:left w:val="nil"/>
              <w:bottom w:val="nil"/>
              <w:right w:val="nil"/>
            </w:tcBorders>
          </w:tcPr>
          <w:p w:rsidR="003F241F" w:rsidRPr="00F627B2" w:rsidRDefault="003F241F" w:rsidP="00C47AC2">
            <w:pPr>
              <w:spacing w:line="240" w:lineRule="auto"/>
              <w:rPr>
                <w:rFonts w:ascii="Lato" w:hAnsi="Lato"/>
                <w:bCs/>
                <w:szCs w:val="22"/>
              </w:rPr>
            </w:pPr>
            <w:r w:rsidRPr="00F627B2">
              <w:rPr>
                <w:rFonts w:ascii="Lato" w:hAnsi="Lato"/>
                <w:bCs/>
                <w:szCs w:val="22"/>
              </w:rPr>
              <w:t>Where the R</w:t>
            </w:r>
            <w:r w:rsidR="00955AE5" w:rsidRPr="00F627B2">
              <w:rPr>
                <w:rFonts w:ascii="Lato" w:hAnsi="Lato"/>
                <w:bCs/>
                <w:szCs w:val="22"/>
              </w:rPr>
              <w:t xml:space="preserve">etail </w:t>
            </w:r>
            <w:r w:rsidRPr="00F627B2">
              <w:rPr>
                <w:rFonts w:ascii="Lato" w:hAnsi="Lato"/>
                <w:bCs/>
                <w:szCs w:val="22"/>
              </w:rPr>
              <w:t>I</w:t>
            </w:r>
            <w:r w:rsidR="00955AE5" w:rsidRPr="00F627B2">
              <w:rPr>
                <w:rFonts w:ascii="Lato" w:hAnsi="Lato"/>
                <w:bCs/>
                <w:szCs w:val="22"/>
              </w:rPr>
              <w:t xml:space="preserve">nvestor </w:t>
            </w:r>
            <w:r w:rsidRPr="00F627B2">
              <w:rPr>
                <w:rFonts w:ascii="Lato" w:hAnsi="Lato"/>
                <w:bCs/>
                <w:szCs w:val="22"/>
              </w:rPr>
              <w:t xml:space="preserve">AIF invests in emerging stock exchanges and markets </w:t>
            </w:r>
            <w:r w:rsidR="00C47AC2" w:rsidRPr="00F627B2">
              <w:rPr>
                <w:rFonts w:ascii="Lato" w:hAnsi="Lato"/>
                <w:bCs/>
                <w:szCs w:val="22"/>
              </w:rPr>
              <w:t>it must recommend, in a prominent manner,</w:t>
            </w:r>
            <w:r w:rsidR="00C47AC2" w:rsidRPr="00F627B2">
              <w:rPr>
                <w:rFonts w:ascii="Lato" w:hAnsi="Lato"/>
                <w:szCs w:val="22"/>
              </w:rPr>
              <w:t xml:space="preserve"> </w:t>
            </w:r>
            <w:r w:rsidR="00C47AC2" w:rsidRPr="00F627B2">
              <w:rPr>
                <w:rFonts w:ascii="Lato" w:hAnsi="Lato"/>
                <w:bCs/>
                <w:szCs w:val="22"/>
              </w:rPr>
              <w:t xml:space="preserve">in bold type at the beginning of the prospectus </w:t>
            </w:r>
            <w:r w:rsidRPr="00F627B2">
              <w:rPr>
                <w:rFonts w:ascii="Lato" w:hAnsi="Lato"/>
                <w:bCs/>
                <w:szCs w:val="22"/>
              </w:rPr>
              <w:t>that:</w:t>
            </w:r>
          </w:p>
        </w:tc>
        <w:tc>
          <w:tcPr>
            <w:tcW w:w="1131" w:type="dxa"/>
            <w:gridSpan w:val="4"/>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543"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1305" w:type="dxa"/>
            <w:gridSpan w:val="6"/>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73"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65" w:type="dxa"/>
            <w:gridSpan w:val="7"/>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78"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single" w:sz="4" w:space="0" w:color="auto"/>
            </w:tcBorders>
          </w:tcPr>
          <w:p w:rsidR="003F241F" w:rsidRPr="00F627B2" w:rsidRDefault="003F241F" w:rsidP="0068485A">
            <w:pPr>
              <w:spacing w:line="240" w:lineRule="auto"/>
              <w:rPr>
                <w:rFonts w:ascii="Lato" w:hAnsi="Lato"/>
                <w:b/>
                <w:bCs/>
                <w:szCs w:val="22"/>
              </w:rPr>
            </w:pPr>
            <w:r w:rsidRPr="00F627B2">
              <w:rPr>
                <w:rFonts w:ascii="Lato" w:hAnsi="Lato"/>
                <w:b/>
                <w:bCs/>
                <w:szCs w:val="22"/>
              </w:rPr>
              <w:t xml:space="preserve">Unitholders should not invest a substantial </w:t>
            </w:r>
          </w:p>
        </w:tc>
        <w:tc>
          <w:tcPr>
            <w:tcW w:w="1131" w:type="dxa"/>
            <w:gridSpan w:val="4"/>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78" w:type="dxa"/>
            <w:gridSpan w:val="4"/>
            <w:tcBorders>
              <w:top w:val="nil"/>
              <w:left w:val="single" w:sz="4" w:space="0" w:color="auto"/>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560C4B" w:rsidRPr="00F627B2" w:rsidRDefault="00560C4B">
            <w:pPr>
              <w:spacing w:line="240" w:lineRule="auto"/>
              <w:rPr>
                <w:rFonts w:ascii="Lato" w:hAnsi="Lato"/>
                <w:szCs w:val="22"/>
              </w:rPr>
            </w:pPr>
          </w:p>
        </w:tc>
        <w:tc>
          <w:tcPr>
            <w:tcW w:w="5493" w:type="dxa"/>
            <w:tcBorders>
              <w:top w:val="nil"/>
              <w:left w:val="nil"/>
              <w:bottom w:val="nil"/>
              <w:right w:val="nil"/>
            </w:tcBorders>
          </w:tcPr>
          <w:p w:rsidR="00560C4B" w:rsidRPr="00F627B2" w:rsidRDefault="0068485A" w:rsidP="00955AE5">
            <w:pPr>
              <w:spacing w:line="240" w:lineRule="auto"/>
              <w:rPr>
                <w:rFonts w:ascii="Lato" w:hAnsi="Lato"/>
                <w:b/>
                <w:bCs/>
                <w:szCs w:val="22"/>
              </w:rPr>
            </w:pPr>
            <w:r w:rsidRPr="00F627B2">
              <w:rPr>
                <w:rFonts w:ascii="Lato" w:hAnsi="Lato"/>
                <w:b/>
                <w:bCs/>
                <w:szCs w:val="22"/>
              </w:rPr>
              <w:t xml:space="preserve">proportion of </w:t>
            </w:r>
            <w:r w:rsidR="00560C4B" w:rsidRPr="00F627B2">
              <w:rPr>
                <w:rFonts w:ascii="Lato" w:hAnsi="Lato"/>
                <w:b/>
                <w:bCs/>
                <w:szCs w:val="22"/>
              </w:rPr>
              <w:t>their investment portfolio in the R</w:t>
            </w:r>
            <w:r w:rsidR="00955AE5" w:rsidRPr="00F627B2">
              <w:rPr>
                <w:rFonts w:ascii="Lato" w:hAnsi="Lato"/>
                <w:b/>
                <w:bCs/>
                <w:szCs w:val="22"/>
              </w:rPr>
              <w:t xml:space="preserve">etail Investor </w:t>
            </w:r>
            <w:r w:rsidR="00560C4B" w:rsidRPr="00F627B2">
              <w:rPr>
                <w:rFonts w:ascii="Lato" w:hAnsi="Lato"/>
                <w:b/>
                <w:bCs/>
                <w:szCs w:val="22"/>
              </w:rPr>
              <w:t>AIF</w:t>
            </w:r>
          </w:p>
        </w:tc>
        <w:tc>
          <w:tcPr>
            <w:tcW w:w="1131" w:type="dxa"/>
            <w:gridSpan w:val="4"/>
            <w:tcBorders>
              <w:top w:val="single" w:sz="4" w:space="0" w:color="auto"/>
              <w:left w:val="nil"/>
              <w:bottom w:val="nil"/>
              <w:right w:val="nil"/>
            </w:tcBorders>
          </w:tcPr>
          <w:p w:rsidR="00560C4B" w:rsidRPr="00F627B2" w:rsidRDefault="00560C4B">
            <w:pPr>
              <w:spacing w:line="240" w:lineRule="auto"/>
              <w:rPr>
                <w:rFonts w:ascii="Lato" w:hAnsi="Lato"/>
                <w:szCs w:val="22"/>
              </w:rPr>
            </w:pPr>
          </w:p>
        </w:tc>
        <w:tc>
          <w:tcPr>
            <w:tcW w:w="543" w:type="dxa"/>
            <w:gridSpan w:val="2"/>
            <w:tcBorders>
              <w:top w:val="nil"/>
              <w:left w:val="nil"/>
              <w:bottom w:val="nil"/>
              <w:right w:val="nil"/>
            </w:tcBorders>
          </w:tcPr>
          <w:p w:rsidR="00560C4B" w:rsidRPr="00F627B2" w:rsidRDefault="00560C4B">
            <w:pPr>
              <w:spacing w:line="240" w:lineRule="auto"/>
              <w:rPr>
                <w:rFonts w:ascii="Lato" w:hAnsi="Lato"/>
                <w:szCs w:val="22"/>
              </w:rPr>
            </w:pPr>
          </w:p>
        </w:tc>
        <w:tc>
          <w:tcPr>
            <w:tcW w:w="1305" w:type="dxa"/>
            <w:gridSpan w:val="6"/>
            <w:tcBorders>
              <w:top w:val="single" w:sz="4" w:space="0" w:color="auto"/>
              <w:left w:val="nil"/>
              <w:bottom w:val="nil"/>
              <w:right w:val="nil"/>
            </w:tcBorders>
          </w:tcPr>
          <w:p w:rsidR="00560C4B" w:rsidRPr="00F627B2" w:rsidRDefault="00560C4B">
            <w:pPr>
              <w:spacing w:line="240" w:lineRule="auto"/>
              <w:rPr>
                <w:rFonts w:ascii="Lato" w:hAnsi="Lato"/>
                <w:szCs w:val="22"/>
              </w:rPr>
            </w:pPr>
          </w:p>
        </w:tc>
        <w:tc>
          <w:tcPr>
            <w:tcW w:w="273" w:type="dxa"/>
            <w:gridSpan w:val="6"/>
            <w:tcBorders>
              <w:top w:val="nil"/>
              <w:left w:val="nil"/>
              <w:bottom w:val="nil"/>
              <w:right w:val="nil"/>
            </w:tcBorders>
          </w:tcPr>
          <w:p w:rsidR="00560C4B" w:rsidRPr="00F627B2" w:rsidRDefault="00560C4B">
            <w:pPr>
              <w:spacing w:line="240" w:lineRule="auto"/>
              <w:rPr>
                <w:rFonts w:ascii="Lato" w:hAnsi="Lato"/>
                <w:szCs w:val="22"/>
              </w:rPr>
            </w:pPr>
          </w:p>
        </w:tc>
        <w:tc>
          <w:tcPr>
            <w:tcW w:w="765" w:type="dxa"/>
            <w:gridSpan w:val="7"/>
            <w:tcBorders>
              <w:top w:val="single" w:sz="4" w:space="0" w:color="auto"/>
              <w:left w:val="nil"/>
              <w:bottom w:val="nil"/>
              <w:right w:val="nil"/>
            </w:tcBorders>
          </w:tcPr>
          <w:p w:rsidR="00560C4B" w:rsidRPr="00F627B2" w:rsidRDefault="00560C4B">
            <w:pPr>
              <w:spacing w:line="240" w:lineRule="auto"/>
              <w:rPr>
                <w:rFonts w:ascii="Lato" w:hAnsi="Lato"/>
                <w:szCs w:val="22"/>
              </w:rPr>
            </w:pPr>
          </w:p>
        </w:tc>
        <w:tc>
          <w:tcPr>
            <w:tcW w:w="278" w:type="dxa"/>
            <w:gridSpan w:val="4"/>
            <w:tcBorders>
              <w:top w:val="nil"/>
              <w:left w:val="nil"/>
              <w:bottom w:val="nil"/>
              <w:right w:val="nil"/>
            </w:tcBorders>
          </w:tcPr>
          <w:p w:rsidR="00560C4B" w:rsidRPr="00F627B2" w:rsidRDefault="00560C4B">
            <w:pPr>
              <w:spacing w:line="240" w:lineRule="auto"/>
              <w:rPr>
                <w:rFonts w:ascii="Lato" w:hAnsi="Lato"/>
                <w:szCs w:val="22"/>
              </w:rPr>
            </w:pPr>
          </w:p>
        </w:tc>
        <w:tc>
          <w:tcPr>
            <w:tcW w:w="595" w:type="dxa"/>
            <w:gridSpan w:val="7"/>
            <w:tcBorders>
              <w:top w:val="nil"/>
              <w:left w:val="nil"/>
              <w:bottom w:val="nil"/>
              <w:right w:val="nil"/>
            </w:tcBorders>
          </w:tcPr>
          <w:p w:rsidR="00560C4B" w:rsidRPr="00F627B2" w:rsidRDefault="00560C4B">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b/>
                <w:bCs/>
                <w:szCs w:val="22"/>
              </w:rPr>
            </w:pPr>
            <w:r w:rsidRPr="00F627B2">
              <w:rPr>
                <w:rFonts w:ascii="Lato" w:hAnsi="Lato"/>
                <w:bCs/>
                <w:szCs w:val="22"/>
              </w:rPr>
              <w:t>And</w:t>
            </w:r>
          </w:p>
        </w:tc>
        <w:tc>
          <w:tcPr>
            <w:tcW w:w="1131" w:type="dxa"/>
            <w:gridSpan w:val="4"/>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543"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1305" w:type="dxa"/>
            <w:gridSpan w:val="6"/>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73"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65" w:type="dxa"/>
            <w:gridSpan w:val="7"/>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78"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single" w:sz="4" w:space="0" w:color="auto"/>
            </w:tcBorders>
          </w:tcPr>
          <w:p w:rsidR="003F241F" w:rsidRPr="00F627B2" w:rsidRDefault="00EF4BC6" w:rsidP="00062D9F">
            <w:pPr>
              <w:spacing w:line="240" w:lineRule="auto"/>
              <w:rPr>
                <w:rFonts w:ascii="Lato" w:hAnsi="Lato"/>
                <w:bCs/>
                <w:szCs w:val="22"/>
              </w:rPr>
            </w:pPr>
            <w:r w:rsidRPr="00F627B2">
              <w:rPr>
                <w:rFonts w:ascii="Lato" w:hAnsi="Lato"/>
                <w:bCs/>
                <w:szCs w:val="22"/>
              </w:rPr>
              <w:t>C</w:t>
            </w:r>
            <w:r w:rsidR="003F241F" w:rsidRPr="00F627B2">
              <w:rPr>
                <w:rFonts w:ascii="Lato" w:hAnsi="Lato"/>
                <w:bCs/>
                <w:szCs w:val="22"/>
              </w:rPr>
              <w:t xml:space="preserve">ross refer to the more detailed </w:t>
            </w:r>
            <w:r w:rsidR="00062D9F" w:rsidRPr="00F627B2">
              <w:rPr>
                <w:rFonts w:ascii="Lato" w:hAnsi="Lato"/>
                <w:bCs/>
                <w:szCs w:val="22"/>
              </w:rPr>
              <w:t>disclosure</w:t>
            </w:r>
            <w:r w:rsidRPr="00F627B2">
              <w:rPr>
                <w:rFonts w:ascii="Lato" w:hAnsi="Lato"/>
                <w:bCs/>
                <w:szCs w:val="22"/>
              </w:rPr>
              <w:t xml:space="preserve"> of risk</w:t>
            </w:r>
          </w:p>
        </w:tc>
        <w:tc>
          <w:tcPr>
            <w:tcW w:w="1131" w:type="dxa"/>
            <w:gridSpan w:val="4"/>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78" w:type="dxa"/>
            <w:gridSpan w:val="4"/>
            <w:tcBorders>
              <w:top w:val="nil"/>
              <w:left w:val="single" w:sz="4" w:space="0" w:color="auto"/>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560C4B" w:rsidRPr="00F627B2" w:rsidRDefault="00560C4B">
            <w:pPr>
              <w:spacing w:line="240" w:lineRule="auto"/>
              <w:rPr>
                <w:rFonts w:ascii="Lato" w:hAnsi="Lato"/>
                <w:szCs w:val="22"/>
              </w:rPr>
            </w:pPr>
          </w:p>
        </w:tc>
        <w:tc>
          <w:tcPr>
            <w:tcW w:w="5493" w:type="dxa"/>
            <w:tcBorders>
              <w:top w:val="nil"/>
              <w:left w:val="nil"/>
              <w:bottom w:val="nil"/>
              <w:right w:val="nil"/>
            </w:tcBorders>
          </w:tcPr>
          <w:p w:rsidR="00560C4B" w:rsidRPr="00F627B2" w:rsidRDefault="00560C4B">
            <w:pPr>
              <w:spacing w:line="240" w:lineRule="auto"/>
              <w:rPr>
                <w:rFonts w:ascii="Lato" w:hAnsi="Lato"/>
                <w:bCs/>
                <w:szCs w:val="22"/>
              </w:rPr>
            </w:pPr>
            <w:r w:rsidRPr="00F627B2">
              <w:rPr>
                <w:rFonts w:ascii="Lato" w:hAnsi="Lato"/>
                <w:bCs/>
                <w:szCs w:val="22"/>
              </w:rPr>
              <w:t>factors which are contained in the body of the prospectus</w:t>
            </w:r>
          </w:p>
        </w:tc>
        <w:tc>
          <w:tcPr>
            <w:tcW w:w="1131" w:type="dxa"/>
            <w:gridSpan w:val="4"/>
            <w:tcBorders>
              <w:top w:val="single" w:sz="4" w:space="0" w:color="auto"/>
              <w:left w:val="nil"/>
              <w:bottom w:val="nil"/>
              <w:right w:val="nil"/>
            </w:tcBorders>
          </w:tcPr>
          <w:p w:rsidR="00560C4B" w:rsidRPr="00F627B2" w:rsidRDefault="00560C4B">
            <w:pPr>
              <w:spacing w:line="240" w:lineRule="auto"/>
              <w:rPr>
                <w:rFonts w:ascii="Lato" w:hAnsi="Lato"/>
                <w:szCs w:val="22"/>
              </w:rPr>
            </w:pPr>
          </w:p>
        </w:tc>
        <w:tc>
          <w:tcPr>
            <w:tcW w:w="543" w:type="dxa"/>
            <w:gridSpan w:val="2"/>
            <w:tcBorders>
              <w:top w:val="nil"/>
              <w:left w:val="nil"/>
              <w:bottom w:val="nil"/>
              <w:right w:val="nil"/>
            </w:tcBorders>
          </w:tcPr>
          <w:p w:rsidR="00560C4B" w:rsidRPr="00F627B2" w:rsidRDefault="00560C4B">
            <w:pPr>
              <w:spacing w:line="240" w:lineRule="auto"/>
              <w:rPr>
                <w:rFonts w:ascii="Lato" w:hAnsi="Lato"/>
                <w:szCs w:val="22"/>
              </w:rPr>
            </w:pPr>
          </w:p>
        </w:tc>
        <w:tc>
          <w:tcPr>
            <w:tcW w:w="1305" w:type="dxa"/>
            <w:gridSpan w:val="6"/>
            <w:tcBorders>
              <w:top w:val="single" w:sz="4" w:space="0" w:color="auto"/>
              <w:left w:val="nil"/>
              <w:bottom w:val="nil"/>
              <w:right w:val="nil"/>
            </w:tcBorders>
          </w:tcPr>
          <w:p w:rsidR="00560C4B" w:rsidRPr="00F627B2" w:rsidRDefault="00560C4B">
            <w:pPr>
              <w:spacing w:line="240" w:lineRule="auto"/>
              <w:rPr>
                <w:rFonts w:ascii="Lato" w:hAnsi="Lato"/>
                <w:szCs w:val="22"/>
              </w:rPr>
            </w:pPr>
          </w:p>
        </w:tc>
        <w:tc>
          <w:tcPr>
            <w:tcW w:w="273" w:type="dxa"/>
            <w:gridSpan w:val="6"/>
            <w:tcBorders>
              <w:top w:val="nil"/>
              <w:left w:val="nil"/>
              <w:bottom w:val="nil"/>
              <w:right w:val="nil"/>
            </w:tcBorders>
          </w:tcPr>
          <w:p w:rsidR="00560C4B" w:rsidRPr="00F627B2" w:rsidRDefault="00560C4B">
            <w:pPr>
              <w:spacing w:line="240" w:lineRule="auto"/>
              <w:rPr>
                <w:rFonts w:ascii="Lato" w:hAnsi="Lato"/>
                <w:szCs w:val="22"/>
              </w:rPr>
            </w:pPr>
          </w:p>
        </w:tc>
        <w:tc>
          <w:tcPr>
            <w:tcW w:w="765" w:type="dxa"/>
            <w:gridSpan w:val="7"/>
            <w:tcBorders>
              <w:top w:val="single" w:sz="4" w:space="0" w:color="auto"/>
              <w:left w:val="nil"/>
              <w:bottom w:val="nil"/>
              <w:right w:val="nil"/>
            </w:tcBorders>
          </w:tcPr>
          <w:p w:rsidR="00560C4B" w:rsidRPr="00F627B2" w:rsidRDefault="00560C4B">
            <w:pPr>
              <w:spacing w:line="240" w:lineRule="auto"/>
              <w:rPr>
                <w:rFonts w:ascii="Lato" w:hAnsi="Lato"/>
                <w:szCs w:val="22"/>
              </w:rPr>
            </w:pPr>
          </w:p>
        </w:tc>
        <w:tc>
          <w:tcPr>
            <w:tcW w:w="278" w:type="dxa"/>
            <w:gridSpan w:val="4"/>
            <w:tcBorders>
              <w:top w:val="nil"/>
              <w:left w:val="nil"/>
              <w:bottom w:val="nil"/>
              <w:right w:val="nil"/>
            </w:tcBorders>
          </w:tcPr>
          <w:p w:rsidR="00560C4B" w:rsidRPr="00F627B2" w:rsidRDefault="00560C4B">
            <w:pPr>
              <w:spacing w:line="240" w:lineRule="auto"/>
              <w:rPr>
                <w:rFonts w:ascii="Lato" w:hAnsi="Lato"/>
                <w:szCs w:val="22"/>
              </w:rPr>
            </w:pPr>
          </w:p>
        </w:tc>
        <w:tc>
          <w:tcPr>
            <w:tcW w:w="595" w:type="dxa"/>
            <w:gridSpan w:val="7"/>
            <w:tcBorders>
              <w:top w:val="nil"/>
              <w:left w:val="nil"/>
              <w:bottom w:val="nil"/>
              <w:right w:val="nil"/>
            </w:tcBorders>
          </w:tcPr>
          <w:p w:rsidR="00560C4B" w:rsidRPr="00F627B2" w:rsidRDefault="00560C4B">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bCs/>
                <w:szCs w:val="22"/>
              </w:rPr>
            </w:pPr>
          </w:p>
        </w:tc>
        <w:tc>
          <w:tcPr>
            <w:tcW w:w="1131"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43"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1305"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273"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65" w:type="dxa"/>
            <w:gridSpan w:val="7"/>
            <w:tcBorders>
              <w:top w:val="nil"/>
              <w:left w:val="nil"/>
              <w:bottom w:val="nil"/>
              <w:right w:val="nil"/>
            </w:tcBorders>
          </w:tcPr>
          <w:p w:rsidR="003F241F" w:rsidRPr="00F627B2" w:rsidRDefault="003F241F">
            <w:pPr>
              <w:spacing w:line="240" w:lineRule="auto"/>
              <w:rPr>
                <w:rFonts w:ascii="Lato" w:hAnsi="Lato"/>
                <w:szCs w:val="22"/>
              </w:rPr>
            </w:pPr>
          </w:p>
        </w:tc>
        <w:tc>
          <w:tcPr>
            <w:tcW w:w="278"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F241F" w:rsidRPr="00F627B2" w:rsidRDefault="00560C4B">
            <w:pPr>
              <w:spacing w:line="240" w:lineRule="auto"/>
              <w:rPr>
                <w:rFonts w:ascii="Lato" w:hAnsi="Lato"/>
                <w:szCs w:val="22"/>
              </w:rPr>
            </w:pPr>
            <w:r w:rsidRPr="00F627B2">
              <w:rPr>
                <w:rFonts w:ascii="Lato" w:hAnsi="Lato"/>
                <w:szCs w:val="22"/>
              </w:rPr>
              <w:t>h</w:t>
            </w:r>
            <w:r w:rsidR="003F241F" w:rsidRPr="00F627B2">
              <w:rPr>
                <w:rFonts w:ascii="Lato" w:hAnsi="Lato"/>
                <w:szCs w:val="22"/>
              </w:rPr>
              <w:t>)</w:t>
            </w:r>
          </w:p>
        </w:tc>
        <w:tc>
          <w:tcPr>
            <w:tcW w:w="5493" w:type="dxa"/>
            <w:tcBorders>
              <w:top w:val="nil"/>
              <w:left w:val="nil"/>
              <w:bottom w:val="nil"/>
              <w:right w:val="nil"/>
            </w:tcBorders>
          </w:tcPr>
          <w:p w:rsidR="003F241F" w:rsidRPr="00F627B2" w:rsidRDefault="003F241F">
            <w:pPr>
              <w:spacing w:line="240" w:lineRule="auto"/>
              <w:rPr>
                <w:rFonts w:ascii="Lato" w:hAnsi="Lato"/>
                <w:bCs/>
                <w:szCs w:val="22"/>
              </w:rPr>
            </w:pPr>
            <w:r w:rsidRPr="00F627B2">
              <w:rPr>
                <w:rFonts w:ascii="Lato" w:hAnsi="Lato"/>
                <w:bCs/>
                <w:szCs w:val="22"/>
              </w:rPr>
              <w:t>Where relevant, the prospectus must contain a prominent</w:t>
            </w:r>
          </w:p>
        </w:tc>
        <w:tc>
          <w:tcPr>
            <w:tcW w:w="1131"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43"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1305"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273"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65" w:type="dxa"/>
            <w:gridSpan w:val="7"/>
            <w:tcBorders>
              <w:top w:val="nil"/>
              <w:left w:val="nil"/>
              <w:bottom w:val="nil"/>
              <w:right w:val="nil"/>
            </w:tcBorders>
          </w:tcPr>
          <w:p w:rsidR="003F241F" w:rsidRPr="00F627B2" w:rsidRDefault="003F241F">
            <w:pPr>
              <w:spacing w:line="240" w:lineRule="auto"/>
              <w:rPr>
                <w:rFonts w:ascii="Lato" w:hAnsi="Lato"/>
                <w:szCs w:val="22"/>
              </w:rPr>
            </w:pPr>
          </w:p>
        </w:tc>
        <w:tc>
          <w:tcPr>
            <w:tcW w:w="278"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szCs w:val="22"/>
              </w:rPr>
            </w:pPr>
            <w:r w:rsidRPr="00F627B2">
              <w:rPr>
                <w:rFonts w:ascii="Lato" w:hAnsi="Lato"/>
                <w:szCs w:val="22"/>
              </w:rPr>
              <w:t>risk warning which will make specific reference to the following:</w:t>
            </w:r>
          </w:p>
        </w:tc>
        <w:tc>
          <w:tcPr>
            <w:tcW w:w="1131" w:type="dxa"/>
            <w:gridSpan w:val="4"/>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543"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1305" w:type="dxa"/>
            <w:gridSpan w:val="6"/>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73"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65" w:type="dxa"/>
            <w:gridSpan w:val="7"/>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78"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560C4B" w:rsidRPr="00F627B2" w:rsidRDefault="00560C4B" w:rsidP="00560C4B">
            <w:pPr>
              <w:spacing w:line="240" w:lineRule="auto"/>
              <w:jc w:val="right"/>
              <w:rPr>
                <w:rFonts w:ascii="Lato" w:hAnsi="Lato"/>
                <w:szCs w:val="22"/>
              </w:rPr>
            </w:pPr>
            <w:r w:rsidRPr="00F627B2">
              <w:rPr>
                <w:rFonts w:ascii="Lato" w:hAnsi="Lato"/>
                <w:szCs w:val="22"/>
              </w:rPr>
              <w:t>(i)</w:t>
            </w:r>
          </w:p>
        </w:tc>
        <w:tc>
          <w:tcPr>
            <w:tcW w:w="5493" w:type="dxa"/>
            <w:tcBorders>
              <w:top w:val="nil"/>
              <w:left w:val="nil"/>
              <w:bottom w:val="nil"/>
              <w:right w:val="single" w:sz="4" w:space="0" w:color="auto"/>
            </w:tcBorders>
          </w:tcPr>
          <w:p w:rsidR="00560C4B" w:rsidRPr="00F627B2" w:rsidRDefault="00560C4B" w:rsidP="00B9512B">
            <w:pPr>
              <w:spacing w:line="240" w:lineRule="auto"/>
              <w:rPr>
                <w:rFonts w:ascii="Lato" w:hAnsi="Lato"/>
                <w:szCs w:val="22"/>
              </w:rPr>
            </w:pPr>
            <w:r w:rsidRPr="00F627B2">
              <w:rPr>
                <w:rFonts w:ascii="Lato" w:hAnsi="Lato"/>
                <w:szCs w:val="22"/>
              </w:rPr>
              <w:t xml:space="preserve">Any potential for above average risk involved </w:t>
            </w:r>
          </w:p>
        </w:tc>
        <w:tc>
          <w:tcPr>
            <w:tcW w:w="1131" w:type="dxa"/>
            <w:gridSpan w:val="4"/>
            <w:tcBorders>
              <w:top w:val="single" w:sz="4" w:space="0" w:color="auto"/>
              <w:left w:val="single" w:sz="4" w:space="0" w:color="auto"/>
              <w:bottom w:val="single" w:sz="4" w:space="0" w:color="auto"/>
              <w:right w:val="single" w:sz="4" w:space="0" w:color="auto"/>
            </w:tcBorders>
          </w:tcPr>
          <w:p w:rsidR="00560C4B" w:rsidRPr="00F627B2" w:rsidRDefault="00560C4B">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560C4B" w:rsidRPr="00F627B2" w:rsidRDefault="00560C4B">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560C4B" w:rsidRPr="00F627B2" w:rsidRDefault="00560C4B">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560C4B" w:rsidRPr="00F627B2" w:rsidRDefault="00560C4B">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560C4B" w:rsidRPr="00F627B2" w:rsidRDefault="00560C4B">
            <w:pPr>
              <w:spacing w:line="240" w:lineRule="auto"/>
              <w:rPr>
                <w:rFonts w:ascii="Lato" w:hAnsi="Lato"/>
                <w:szCs w:val="22"/>
              </w:rPr>
            </w:pPr>
          </w:p>
        </w:tc>
        <w:tc>
          <w:tcPr>
            <w:tcW w:w="278" w:type="dxa"/>
            <w:gridSpan w:val="4"/>
            <w:tcBorders>
              <w:top w:val="nil"/>
              <w:left w:val="single" w:sz="4" w:space="0" w:color="auto"/>
              <w:bottom w:val="nil"/>
              <w:right w:val="nil"/>
            </w:tcBorders>
          </w:tcPr>
          <w:p w:rsidR="00560C4B" w:rsidRPr="00F627B2" w:rsidRDefault="00560C4B">
            <w:pPr>
              <w:spacing w:line="240" w:lineRule="auto"/>
              <w:rPr>
                <w:rFonts w:ascii="Lato" w:hAnsi="Lato"/>
                <w:szCs w:val="22"/>
              </w:rPr>
            </w:pPr>
          </w:p>
        </w:tc>
        <w:tc>
          <w:tcPr>
            <w:tcW w:w="595" w:type="dxa"/>
            <w:gridSpan w:val="7"/>
            <w:tcBorders>
              <w:top w:val="nil"/>
              <w:left w:val="nil"/>
              <w:bottom w:val="nil"/>
              <w:right w:val="nil"/>
            </w:tcBorders>
          </w:tcPr>
          <w:p w:rsidR="00560C4B" w:rsidRPr="00F627B2" w:rsidDel="00560C4B" w:rsidRDefault="00560C4B">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B9512B" w:rsidRPr="00F627B2" w:rsidRDefault="00B9512B" w:rsidP="00560C4B">
            <w:pPr>
              <w:spacing w:line="240" w:lineRule="auto"/>
              <w:jc w:val="right"/>
              <w:rPr>
                <w:rFonts w:ascii="Lato" w:hAnsi="Lato"/>
                <w:szCs w:val="22"/>
              </w:rPr>
            </w:pPr>
          </w:p>
        </w:tc>
        <w:tc>
          <w:tcPr>
            <w:tcW w:w="5493" w:type="dxa"/>
            <w:tcBorders>
              <w:top w:val="nil"/>
              <w:left w:val="nil"/>
              <w:bottom w:val="nil"/>
              <w:right w:val="nil"/>
            </w:tcBorders>
          </w:tcPr>
          <w:p w:rsidR="00B9512B" w:rsidRPr="00F627B2" w:rsidRDefault="00B9512B">
            <w:pPr>
              <w:spacing w:line="240" w:lineRule="auto"/>
              <w:rPr>
                <w:rFonts w:ascii="Lato" w:hAnsi="Lato"/>
                <w:szCs w:val="22"/>
              </w:rPr>
            </w:pPr>
            <w:r w:rsidRPr="00F627B2">
              <w:rPr>
                <w:rFonts w:ascii="Lato" w:hAnsi="Lato"/>
                <w:szCs w:val="22"/>
              </w:rPr>
              <w:t>and</w:t>
            </w:r>
          </w:p>
        </w:tc>
        <w:tc>
          <w:tcPr>
            <w:tcW w:w="1131" w:type="dxa"/>
            <w:gridSpan w:val="4"/>
            <w:tcBorders>
              <w:top w:val="single" w:sz="4" w:space="0" w:color="auto"/>
              <w:left w:val="nil"/>
              <w:bottom w:val="single" w:sz="4" w:space="0" w:color="auto"/>
              <w:right w:val="nil"/>
            </w:tcBorders>
          </w:tcPr>
          <w:p w:rsidR="00B9512B" w:rsidRPr="00F627B2" w:rsidRDefault="00B9512B">
            <w:pPr>
              <w:spacing w:line="240" w:lineRule="auto"/>
              <w:rPr>
                <w:rFonts w:ascii="Lato" w:hAnsi="Lato"/>
                <w:szCs w:val="22"/>
              </w:rPr>
            </w:pPr>
          </w:p>
        </w:tc>
        <w:tc>
          <w:tcPr>
            <w:tcW w:w="543" w:type="dxa"/>
            <w:gridSpan w:val="2"/>
            <w:tcBorders>
              <w:top w:val="nil"/>
              <w:left w:val="nil"/>
              <w:bottom w:val="nil"/>
              <w:right w:val="nil"/>
            </w:tcBorders>
          </w:tcPr>
          <w:p w:rsidR="00B9512B" w:rsidRPr="00F627B2" w:rsidRDefault="00B9512B">
            <w:pPr>
              <w:spacing w:line="240" w:lineRule="auto"/>
              <w:rPr>
                <w:rFonts w:ascii="Lato" w:hAnsi="Lato"/>
                <w:szCs w:val="22"/>
              </w:rPr>
            </w:pPr>
          </w:p>
        </w:tc>
        <w:tc>
          <w:tcPr>
            <w:tcW w:w="1305" w:type="dxa"/>
            <w:gridSpan w:val="6"/>
            <w:tcBorders>
              <w:top w:val="single" w:sz="4" w:space="0" w:color="auto"/>
              <w:left w:val="nil"/>
              <w:bottom w:val="single" w:sz="4" w:space="0" w:color="auto"/>
              <w:right w:val="nil"/>
            </w:tcBorders>
          </w:tcPr>
          <w:p w:rsidR="00B9512B" w:rsidRPr="00F627B2" w:rsidRDefault="00B9512B">
            <w:pPr>
              <w:spacing w:line="240" w:lineRule="auto"/>
              <w:rPr>
                <w:rFonts w:ascii="Lato" w:hAnsi="Lato"/>
                <w:szCs w:val="22"/>
              </w:rPr>
            </w:pPr>
          </w:p>
        </w:tc>
        <w:tc>
          <w:tcPr>
            <w:tcW w:w="273" w:type="dxa"/>
            <w:gridSpan w:val="6"/>
            <w:tcBorders>
              <w:top w:val="nil"/>
              <w:left w:val="nil"/>
              <w:bottom w:val="nil"/>
              <w:right w:val="nil"/>
            </w:tcBorders>
          </w:tcPr>
          <w:p w:rsidR="00B9512B" w:rsidRPr="00F627B2" w:rsidRDefault="00B9512B">
            <w:pPr>
              <w:spacing w:line="240" w:lineRule="auto"/>
              <w:rPr>
                <w:rFonts w:ascii="Lato" w:hAnsi="Lato"/>
                <w:szCs w:val="22"/>
              </w:rPr>
            </w:pPr>
          </w:p>
        </w:tc>
        <w:tc>
          <w:tcPr>
            <w:tcW w:w="765" w:type="dxa"/>
            <w:gridSpan w:val="7"/>
            <w:tcBorders>
              <w:top w:val="single" w:sz="4" w:space="0" w:color="auto"/>
              <w:left w:val="nil"/>
              <w:bottom w:val="single" w:sz="4" w:space="0" w:color="auto"/>
              <w:right w:val="nil"/>
            </w:tcBorders>
          </w:tcPr>
          <w:p w:rsidR="00B9512B" w:rsidRPr="00F627B2" w:rsidRDefault="00B9512B">
            <w:pPr>
              <w:spacing w:line="240" w:lineRule="auto"/>
              <w:rPr>
                <w:rFonts w:ascii="Lato" w:hAnsi="Lato"/>
                <w:szCs w:val="22"/>
              </w:rPr>
            </w:pPr>
          </w:p>
        </w:tc>
        <w:tc>
          <w:tcPr>
            <w:tcW w:w="278" w:type="dxa"/>
            <w:gridSpan w:val="4"/>
            <w:tcBorders>
              <w:top w:val="nil"/>
              <w:left w:val="nil"/>
              <w:bottom w:val="nil"/>
              <w:right w:val="nil"/>
            </w:tcBorders>
          </w:tcPr>
          <w:p w:rsidR="00B9512B" w:rsidRPr="00F627B2" w:rsidRDefault="00B9512B">
            <w:pPr>
              <w:spacing w:line="240" w:lineRule="auto"/>
              <w:rPr>
                <w:rFonts w:ascii="Lato" w:hAnsi="Lato"/>
                <w:szCs w:val="22"/>
              </w:rPr>
            </w:pPr>
          </w:p>
        </w:tc>
        <w:tc>
          <w:tcPr>
            <w:tcW w:w="595" w:type="dxa"/>
            <w:gridSpan w:val="7"/>
            <w:tcBorders>
              <w:top w:val="nil"/>
              <w:left w:val="nil"/>
              <w:bottom w:val="nil"/>
              <w:right w:val="nil"/>
            </w:tcBorders>
          </w:tcPr>
          <w:p w:rsidR="00B9512B" w:rsidRPr="00F627B2" w:rsidDel="00560C4B" w:rsidRDefault="00B9512B">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560C4B" w:rsidRPr="00F627B2" w:rsidRDefault="00560C4B" w:rsidP="00560C4B">
            <w:pPr>
              <w:spacing w:line="240" w:lineRule="auto"/>
              <w:jc w:val="right"/>
              <w:rPr>
                <w:rFonts w:ascii="Lato" w:hAnsi="Lato"/>
                <w:szCs w:val="22"/>
              </w:rPr>
            </w:pPr>
            <w:r w:rsidRPr="00F627B2">
              <w:rPr>
                <w:rFonts w:ascii="Lato" w:hAnsi="Lato"/>
                <w:szCs w:val="22"/>
              </w:rPr>
              <w:t>(ii)</w:t>
            </w:r>
          </w:p>
        </w:tc>
        <w:tc>
          <w:tcPr>
            <w:tcW w:w="5493" w:type="dxa"/>
            <w:tcBorders>
              <w:top w:val="nil"/>
              <w:left w:val="nil"/>
              <w:bottom w:val="nil"/>
              <w:right w:val="single" w:sz="4" w:space="0" w:color="auto"/>
            </w:tcBorders>
          </w:tcPr>
          <w:p w:rsidR="00560C4B" w:rsidRPr="00F627B2" w:rsidRDefault="00560C4B" w:rsidP="00B9512B">
            <w:pPr>
              <w:spacing w:line="240" w:lineRule="auto"/>
              <w:rPr>
                <w:rFonts w:ascii="Lato" w:hAnsi="Lato"/>
                <w:szCs w:val="22"/>
              </w:rPr>
            </w:pPr>
            <w:r w:rsidRPr="00F627B2">
              <w:rPr>
                <w:rFonts w:ascii="Lato" w:hAnsi="Lato"/>
                <w:szCs w:val="22"/>
              </w:rPr>
              <w:t xml:space="preserve">The suitability of this type of investment with </w:t>
            </w:r>
          </w:p>
        </w:tc>
        <w:tc>
          <w:tcPr>
            <w:tcW w:w="1131" w:type="dxa"/>
            <w:gridSpan w:val="4"/>
            <w:tcBorders>
              <w:top w:val="single" w:sz="4" w:space="0" w:color="auto"/>
              <w:left w:val="single" w:sz="4" w:space="0" w:color="auto"/>
              <w:bottom w:val="single" w:sz="4" w:space="0" w:color="auto"/>
              <w:right w:val="single" w:sz="4" w:space="0" w:color="auto"/>
            </w:tcBorders>
          </w:tcPr>
          <w:p w:rsidR="00560C4B" w:rsidRPr="00F627B2" w:rsidRDefault="00560C4B">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560C4B" w:rsidRPr="00F627B2" w:rsidRDefault="00560C4B">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560C4B" w:rsidRPr="00F627B2" w:rsidRDefault="00560C4B">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560C4B" w:rsidRPr="00F627B2" w:rsidRDefault="00560C4B">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560C4B" w:rsidRPr="00F627B2" w:rsidRDefault="00560C4B">
            <w:pPr>
              <w:spacing w:line="240" w:lineRule="auto"/>
              <w:rPr>
                <w:rFonts w:ascii="Lato" w:hAnsi="Lato"/>
                <w:szCs w:val="22"/>
              </w:rPr>
            </w:pPr>
          </w:p>
        </w:tc>
        <w:tc>
          <w:tcPr>
            <w:tcW w:w="278" w:type="dxa"/>
            <w:gridSpan w:val="4"/>
            <w:tcBorders>
              <w:top w:val="nil"/>
              <w:left w:val="single" w:sz="4" w:space="0" w:color="auto"/>
              <w:bottom w:val="nil"/>
              <w:right w:val="nil"/>
            </w:tcBorders>
          </w:tcPr>
          <w:p w:rsidR="00560C4B" w:rsidRPr="00F627B2" w:rsidRDefault="00560C4B">
            <w:pPr>
              <w:spacing w:line="240" w:lineRule="auto"/>
              <w:rPr>
                <w:rFonts w:ascii="Lato" w:hAnsi="Lato"/>
                <w:szCs w:val="22"/>
              </w:rPr>
            </w:pPr>
          </w:p>
        </w:tc>
        <w:tc>
          <w:tcPr>
            <w:tcW w:w="595" w:type="dxa"/>
            <w:gridSpan w:val="7"/>
            <w:tcBorders>
              <w:top w:val="nil"/>
              <w:left w:val="nil"/>
              <w:bottom w:val="nil"/>
              <w:right w:val="nil"/>
            </w:tcBorders>
          </w:tcPr>
          <w:p w:rsidR="00560C4B" w:rsidRPr="00F627B2" w:rsidDel="00560C4B" w:rsidRDefault="00560C4B">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560C4B" w:rsidRPr="00F627B2" w:rsidRDefault="00560C4B">
            <w:pPr>
              <w:spacing w:line="240" w:lineRule="auto"/>
              <w:rPr>
                <w:rFonts w:ascii="Lato" w:hAnsi="Lato"/>
                <w:szCs w:val="22"/>
              </w:rPr>
            </w:pPr>
          </w:p>
        </w:tc>
        <w:tc>
          <w:tcPr>
            <w:tcW w:w="5493" w:type="dxa"/>
            <w:tcBorders>
              <w:top w:val="nil"/>
              <w:left w:val="nil"/>
              <w:bottom w:val="nil"/>
              <w:right w:val="nil"/>
            </w:tcBorders>
          </w:tcPr>
          <w:p w:rsidR="00560C4B" w:rsidRPr="00F627B2" w:rsidRDefault="00B9512B" w:rsidP="00B9512B">
            <w:pPr>
              <w:spacing w:line="240" w:lineRule="auto"/>
              <w:rPr>
                <w:rFonts w:ascii="Lato" w:hAnsi="Lato"/>
                <w:szCs w:val="22"/>
              </w:rPr>
            </w:pPr>
            <w:r w:rsidRPr="00F627B2">
              <w:rPr>
                <w:rFonts w:ascii="Lato" w:hAnsi="Lato"/>
                <w:szCs w:val="22"/>
              </w:rPr>
              <w:t xml:space="preserve">the </w:t>
            </w:r>
            <w:r w:rsidR="00560C4B" w:rsidRPr="00F627B2">
              <w:rPr>
                <w:rFonts w:ascii="Lato" w:hAnsi="Lato"/>
                <w:szCs w:val="22"/>
              </w:rPr>
              <w:t xml:space="preserve">potential for above average risk only for </w:t>
            </w:r>
          </w:p>
        </w:tc>
        <w:tc>
          <w:tcPr>
            <w:tcW w:w="1131" w:type="dxa"/>
            <w:gridSpan w:val="4"/>
            <w:tcBorders>
              <w:top w:val="single" w:sz="4" w:space="0" w:color="auto"/>
              <w:left w:val="nil"/>
              <w:bottom w:val="nil"/>
              <w:right w:val="nil"/>
            </w:tcBorders>
          </w:tcPr>
          <w:p w:rsidR="00560C4B" w:rsidRPr="00F627B2" w:rsidRDefault="00560C4B">
            <w:pPr>
              <w:spacing w:line="240" w:lineRule="auto"/>
              <w:rPr>
                <w:rFonts w:ascii="Lato" w:hAnsi="Lato"/>
                <w:szCs w:val="22"/>
              </w:rPr>
            </w:pPr>
          </w:p>
        </w:tc>
        <w:tc>
          <w:tcPr>
            <w:tcW w:w="543" w:type="dxa"/>
            <w:gridSpan w:val="2"/>
            <w:tcBorders>
              <w:top w:val="nil"/>
              <w:left w:val="nil"/>
              <w:bottom w:val="nil"/>
              <w:right w:val="nil"/>
            </w:tcBorders>
          </w:tcPr>
          <w:p w:rsidR="00560C4B" w:rsidRPr="00F627B2" w:rsidRDefault="00560C4B">
            <w:pPr>
              <w:spacing w:line="240" w:lineRule="auto"/>
              <w:rPr>
                <w:rFonts w:ascii="Lato" w:hAnsi="Lato"/>
                <w:szCs w:val="22"/>
              </w:rPr>
            </w:pPr>
          </w:p>
        </w:tc>
        <w:tc>
          <w:tcPr>
            <w:tcW w:w="1305" w:type="dxa"/>
            <w:gridSpan w:val="6"/>
            <w:tcBorders>
              <w:top w:val="single" w:sz="4" w:space="0" w:color="auto"/>
              <w:left w:val="nil"/>
              <w:bottom w:val="nil"/>
              <w:right w:val="nil"/>
            </w:tcBorders>
          </w:tcPr>
          <w:p w:rsidR="00560C4B" w:rsidRPr="00F627B2" w:rsidRDefault="00560C4B">
            <w:pPr>
              <w:spacing w:line="240" w:lineRule="auto"/>
              <w:rPr>
                <w:rFonts w:ascii="Lato" w:hAnsi="Lato"/>
                <w:szCs w:val="22"/>
              </w:rPr>
            </w:pPr>
          </w:p>
        </w:tc>
        <w:tc>
          <w:tcPr>
            <w:tcW w:w="273" w:type="dxa"/>
            <w:gridSpan w:val="6"/>
            <w:tcBorders>
              <w:top w:val="nil"/>
              <w:left w:val="nil"/>
              <w:bottom w:val="nil"/>
              <w:right w:val="nil"/>
            </w:tcBorders>
          </w:tcPr>
          <w:p w:rsidR="00560C4B" w:rsidRPr="00F627B2" w:rsidRDefault="00560C4B">
            <w:pPr>
              <w:spacing w:line="240" w:lineRule="auto"/>
              <w:rPr>
                <w:rFonts w:ascii="Lato" w:hAnsi="Lato"/>
                <w:szCs w:val="22"/>
              </w:rPr>
            </w:pPr>
          </w:p>
        </w:tc>
        <w:tc>
          <w:tcPr>
            <w:tcW w:w="765" w:type="dxa"/>
            <w:gridSpan w:val="7"/>
            <w:tcBorders>
              <w:top w:val="single" w:sz="4" w:space="0" w:color="auto"/>
              <w:left w:val="nil"/>
              <w:bottom w:val="nil"/>
              <w:right w:val="nil"/>
            </w:tcBorders>
          </w:tcPr>
          <w:p w:rsidR="00560C4B" w:rsidRPr="00F627B2" w:rsidRDefault="00560C4B">
            <w:pPr>
              <w:spacing w:line="240" w:lineRule="auto"/>
              <w:rPr>
                <w:rFonts w:ascii="Lato" w:hAnsi="Lato"/>
                <w:szCs w:val="22"/>
              </w:rPr>
            </w:pPr>
          </w:p>
        </w:tc>
        <w:tc>
          <w:tcPr>
            <w:tcW w:w="278" w:type="dxa"/>
            <w:gridSpan w:val="4"/>
            <w:tcBorders>
              <w:top w:val="nil"/>
              <w:left w:val="nil"/>
              <w:bottom w:val="nil"/>
              <w:right w:val="nil"/>
            </w:tcBorders>
          </w:tcPr>
          <w:p w:rsidR="00560C4B" w:rsidRPr="00F627B2" w:rsidRDefault="00560C4B">
            <w:pPr>
              <w:spacing w:line="240" w:lineRule="auto"/>
              <w:rPr>
                <w:rFonts w:ascii="Lato" w:hAnsi="Lato"/>
                <w:szCs w:val="22"/>
              </w:rPr>
            </w:pPr>
          </w:p>
        </w:tc>
        <w:tc>
          <w:tcPr>
            <w:tcW w:w="595" w:type="dxa"/>
            <w:gridSpan w:val="7"/>
            <w:tcBorders>
              <w:top w:val="nil"/>
              <w:left w:val="nil"/>
              <w:bottom w:val="nil"/>
              <w:right w:val="nil"/>
            </w:tcBorders>
          </w:tcPr>
          <w:p w:rsidR="00560C4B" w:rsidRPr="00F627B2" w:rsidDel="00560C4B" w:rsidRDefault="00560C4B">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560C4B" w:rsidRPr="00F627B2" w:rsidRDefault="00560C4B">
            <w:pPr>
              <w:spacing w:line="240" w:lineRule="auto"/>
              <w:rPr>
                <w:rFonts w:ascii="Lato" w:hAnsi="Lato"/>
                <w:szCs w:val="22"/>
              </w:rPr>
            </w:pPr>
          </w:p>
        </w:tc>
        <w:tc>
          <w:tcPr>
            <w:tcW w:w="5493" w:type="dxa"/>
            <w:tcBorders>
              <w:top w:val="nil"/>
              <w:left w:val="nil"/>
              <w:bottom w:val="nil"/>
              <w:right w:val="nil"/>
            </w:tcBorders>
          </w:tcPr>
          <w:p w:rsidR="00560C4B" w:rsidRPr="00F627B2" w:rsidRDefault="00B9512B">
            <w:pPr>
              <w:spacing w:line="240" w:lineRule="auto"/>
              <w:rPr>
                <w:rFonts w:ascii="Lato" w:hAnsi="Lato"/>
                <w:szCs w:val="22"/>
              </w:rPr>
            </w:pPr>
            <w:r w:rsidRPr="00F627B2">
              <w:rPr>
                <w:rFonts w:ascii="Lato" w:hAnsi="Lato"/>
                <w:szCs w:val="22"/>
              </w:rPr>
              <w:t xml:space="preserve">people who are in a </w:t>
            </w:r>
            <w:r w:rsidR="00560C4B" w:rsidRPr="00F627B2">
              <w:rPr>
                <w:rFonts w:ascii="Lato" w:hAnsi="Lato"/>
                <w:szCs w:val="22"/>
              </w:rPr>
              <w:t>position to take such a risk.</w:t>
            </w:r>
          </w:p>
        </w:tc>
        <w:tc>
          <w:tcPr>
            <w:tcW w:w="1131" w:type="dxa"/>
            <w:gridSpan w:val="4"/>
            <w:tcBorders>
              <w:top w:val="nil"/>
              <w:left w:val="nil"/>
              <w:bottom w:val="nil"/>
              <w:right w:val="nil"/>
            </w:tcBorders>
          </w:tcPr>
          <w:p w:rsidR="00560C4B" w:rsidRPr="00F627B2" w:rsidRDefault="00560C4B">
            <w:pPr>
              <w:spacing w:line="240" w:lineRule="auto"/>
              <w:rPr>
                <w:rFonts w:ascii="Lato" w:hAnsi="Lato"/>
                <w:szCs w:val="22"/>
              </w:rPr>
            </w:pPr>
          </w:p>
        </w:tc>
        <w:tc>
          <w:tcPr>
            <w:tcW w:w="543" w:type="dxa"/>
            <w:gridSpan w:val="2"/>
            <w:tcBorders>
              <w:top w:val="nil"/>
              <w:left w:val="nil"/>
              <w:bottom w:val="nil"/>
              <w:right w:val="nil"/>
            </w:tcBorders>
          </w:tcPr>
          <w:p w:rsidR="00560C4B" w:rsidRPr="00F627B2" w:rsidRDefault="00560C4B">
            <w:pPr>
              <w:spacing w:line="240" w:lineRule="auto"/>
              <w:rPr>
                <w:rFonts w:ascii="Lato" w:hAnsi="Lato"/>
                <w:szCs w:val="22"/>
              </w:rPr>
            </w:pPr>
          </w:p>
        </w:tc>
        <w:tc>
          <w:tcPr>
            <w:tcW w:w="1305" w:type="dxa"/>
            <w:gridSpan w:val="6"/>
            <w:tcBorders>
              <w:top w:val="nil"/>
              <w:left w:val="nil"/>
              <w:bottom w:val="nil"/>
              <w:right w:val="nil"/>
            </w:tcBorders>
          </w:tcPr>
          <w:p w:rsidR="00560C4B" w:rsidRPr="00F627B2" w:rsidRDefault="00560C4B">
            <w:pPr>
              <w:spacing w:line="240" w:lineRule="auto"/>
              <w:rPr>
                <w:rFonts w:ascii="Lato" w:hAnsi="Lato"/>
                <w:szCs w:val="22"/>
              </w:rPr>
            </w:pPr>
          </w:p>
        </w:tc>
        <w:tc>
          <w:tcPr>
            <w:tcW w:w="273" w:type="dxa"/>
            <w:gridSpan w:val="6"/>
            <w:tcBorders>
              <w:top w:val="nil"/>
              <w:left w:val="nil"/>
              <w:bottom w:val="nil"/>
              <w:right w:val="nil"/>
            </w:tcBorders>
          </w:tcPr>
          <w:p w:rsidR="00560C4B" w:rsidRPr="00F627B2" w:rsidRDefault="00560C4B">
            <w:pPr>
              <w:spacing w:line="240" w:lineRule="auto"/>
              <w:rPr>
                <w:rFonts w:ascii="Lato" w:hAnsi="Lato"/>
                <w:szCs w:val="22"/>
              </w:rPr>
            </w:pPr>
          </w:p>
        </w:tc>
        <w:tc>
          <w:tcPr>
            <w:tcW w:w="765" w:type="dxa"/>
            <w:gridSpan w:val="7"/>
            <w:tcBorders>
              <w:top w:val="nil"/>
              <w:left w:val="nil"/>
              <w:bottom w:val="nil"/>
              <w:right w:val="nil"/>
            </w:tcBorders>
          </w:tcPr>
          <w:p w:rsidR="00560C4B" w:rsidRPr="00F627B2" w:rsidRDefault="00560C4B">
            <w:pPr>
              <w:spacing w:line="240" w:lineRule="auto"/>
              <w:rPr>
                <w:rFonts w:ascii="Lato" w:hAnsi="Lato"/>
                <w:szCs w:val="22"/>
              </w:rPr>
            </w:pPr>
          </w:p>
        </w:tc>
        <w:tc>
          <w:tcPr>
            <w:tcW w:w="278" w:type="dxa"/>
            <w:gridSpan w:val="4"/>
            <w:tcBorders>
              <w:top w:val="nil"/>
              <w:left w:val="nil"/>
              <w:bottom w:val="nil"/>
              <w:right w:val="nil"/>
            </w:tcBorders>
          </w:tcPr>
          <w:p w:rsidR="00560C4B" w:rsidRPr="00F627B2" w:rsidRDefault="00560C4B">
            <w:pPr>
              <w:spacing w:line="240" w:lineRule="auto"/>
              <w:rPr>
                <w:rFonts w:ascii="Lato" w:hAnsi="Lato"/>
                <w:szCs w:val="22"/>
              </w:rPr>
            </w:pPr>
          </w:p>
        </w:tc>
        <w:tc>
          <w:tcPr>
            <w:tcW w:w="595" w:type="dxa"/>
            <w:gridSpan w:val="7"/>
            <w:tcBorders>
              <w:top w:val="nil"/>
              <w:left w:val="nil"/>
              <w:bottom w:val="nil"/>
              <w:right w:val="nil"/>
            </w:tcBorders>
          </w:tcPr>
          <w:p w:rsidR="00560C4B" w:rsidRPr="00F627B2" w:rsidDel="00560C4B" w:rsidRDefault="00560C4B">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560C4B" w:rsidRPr="00F627B2" w:rsidRDefault="00560C4B">
            <w:pPr>
              <w:spacing w:line="240" w:lineRule="auto"/>
              <w:rPr>
                <w:rFonts w:ascii="Lato" w:hAnsi="Lato"/>
                <w:szCs w:val="22"/>
              </w:rPr>
            </w:pPr>
          </w:p>
        </w:tc>
        <w:tc>
          <w:tcPr>
            <w:tcW w:w="5493" w:type="dxa"/>
            <w:tcBorders>
              <w:top w:val="nil"/>
              <w:left w:val="nil"/>
              <w:bottom w:val="single" w:sz="4" w:space="0" w:color="auto"/>
              <w:right w:val="nil"/>
            </w:tcBorders>
          </w:tcPr>
          <w:p w:rsidR="00560C4B" w:rsidRPr="00F627B2" w:rsidRDefault="00560C4B">
            <w:pPr>
              <w:spacing w:line="240" w:lineRule="auto"/>
              <w:rPr>
                <w:rFonts w:ascii="Lato" w:hAnsi="Lato"/>
                <w:szCs w:val="22"/>
              </w:rPr>
            </w:pPr>
          </w:p>
        </w:tc>
        <w:tc>
          <w:tcPr>
            <w:tcW w:w="1131" w:type="dxa"/>
            <w:gridSpan w:val="4"/>
            <w:tcBorders>
              <w:top w:val="nil"/>
              <w:left w:val="nil"/>
              <w:bottom w:val="nil"/>
              <w:right w:val="nil"/>
            </w:tcBorders>
          </w:tcPr>
          <w:p w:rsidR="00560C4B" w:rsidRPr="00F627B2" w:rsidRDefault="00560C4B">
            <w:pPr>
              <w:spacing w:line="240" w:lineRule="auto"/>
              <w:rPr>
                <w:rFonts w:ascii="Lato" w:hAnsi="Lato"/>
                <w:szCs w:val="22"/>
              </w:rPr>
            </w:pPr>
          </w:p>
        </w:tc>
        <w:tc>
          <w:tcPr>
            <w:tcW w:w="543" w:type="dxa"/>
            <w:gridSpan w:val="2"/>
            <w:tcBorders>
              <w:top w:val="nil"/>
              <w:left w:val="nil"/>
              <w:bottom w:val="nil"/>
              <w:right w:val="nil"/>
            </w:tcBorders>
          </w:tcPr>
          <w:p w:rsidR="00560C4B" w:rsidRPr="00F627B2" w:rsidRDefault="00560C4B">
            <w:pPr>
              <w:spacing w:line="240" w:lineRule="auto"/>
              <w:rPr>
                <w:rFonts w:ascii="Lato" w:hAnsi="Lato"/>
                <w:szCs w:val="22"/>
              </w:rPr>
            </w:pPr>
          </w:p>
        </w:tc>
        <w:tc>
          <w:tcPr>
            <w:tcW w:w="1305" w:type="dxa"/>
            <w:gridSpan w:val="6"/>
            <w:tcBorders>
              <w:top w:val="nil"/>
              <w:left w:val="nil"/>
              <w:bottom w:val="nil"/>
              <w:right w:val="nil"/>
            </w:tcBorders>
          </w:tcPr>
          <w:p w:rsidR="00560C4B" w:rsidRPr="00F627B2" w:rsidRDefault="00560C4B">
            <w:pPr>
              <w:spacing w:line="240" w:lineRule="auto"/>
              <w:rPr>
                <w:rFonts w:ascii="Lato" w:hAnsi="Lato"/>
                <w:szCs w:val="22"/>
              </w:rPr>
            </w:pPr>
          </w:p>
        </w:tc>
        <w:tc>
          <w:tcPr>
            <w:tcW w:w="273" w:type="dxa"/>
            <w:gridSpan w:val="6"/>
            <w:tcBorders>
              <w:top w:val="nil"/>
              <w:left w:val="nil"/>
              <w:bottom w:val="nil"/>
              <w:right w:val="nil"/>
            </w:tcBorders>
          </w:tcPr>
          <w:p w:rsidR="00560C4B" w:rsidRPr="00F627B2" w:rsidRDefault="00560C4B">
            <w:pPr>
              <w:spacing w:line="240" w:lineRule="auto"/>
              <w:rPr>
                <w:rFonts w:ascii="Lato" w:hAnsi="Lato"/>
                <w:szCs w:val="22"/>
              </w:rPr>
            </w:pPr>
          </w:p>
        </w:tc>
        <w:tc>
          <w:tcPr>
            <w:tcW w:w="765" w:type="dxa"/>
            <w:gridSpan w:val="7"/>
            <w:tcBorders>
              <w:top w:val="nil"/>
              <w:left w:val="nil"/>
              <w:bottom w:val="nil"/>
              <w:right w:val="nil"/>
            </w:tcBorders>
          </w:tcPr>
          <w:p w:rsidR="00560C4B" w:rsidRPr="00F627B2" w:rsidRDefault="00560C4B">
            <w:pPr>
              <w:spacing w:line="240" w:lineRule="auto"/>
              <w:rPr>
                <w:rFonts w:ascii="Lato" w:hAnsi="Lato"/>
                <w:szCs w:val="22"/>
              </w:rPr>
            </w:pPr>
          </w:p>
        </w:tc>
        <w:tc>
          <w:tcPr>
            <w:tcW w:w="278" w:type="dxa"/>
            <w:gridSpan w:val="4"/>
            <w:tcBorders>
              <w:top w:val="nil"/>
              <w:left w:val="nil"/>
              <w:bottom w:val="nil"/>
              <w:right w:val="nil"/>
            </w:tcBorders>
          </w:tcPr>
          <w:p w:rsidR="00560C4B" w:rsidRPr="00F627B2" w:rsidRDefault="00560C4B">
            <w:pPr>
              <w:spacing w:line="240" w:lineRule="auto"/>
              <w:rPr>
                <w:rFonts w:ascii="Lato" w:hAnsi="Lato"/>
                <w:szCs w:val="22"/>
              </w:rPr>
            </w:pPr>
          </w:p>
        </w:tc>
        <w:tc>
          <w:tcPr>
            <w:tcW w:w="595" w:type="dxa"/>
            <w:gridSpan w:val="7"/>
            <w:tcBorders>
              <w:top w:val="nil"/>
              <w:left w:val="nil"/>
              <w:bottom w:val="nil"/>
              <w:right w:val="nil"/>
            </w:tcBorders>
          </w:tcPr>
          <w:p w:rsidR="00560C4B" w:rsidRPr="00F627B2" w:rsidDel="00560C4B" w:rsidRDefault="00560C4B">
            <w:pPr>
              <w:spacing w:line="240" w:lineRule="auto"/>
              <w:rPr>
                <w:rFonts w:ascii="Lato" w:hAnsi="Lato"/>
                <w:szCs w:val="22"/>
              </w:rPr>
            </w:pPr>
          </w:p>
        </w:tc>
      </w:tr>
      <w:tr w:rsidR="00AC467B" w:rsidRPr="00F627B2" w:rsidTr="00F627B2">
        <w:tc>
          <w:tcPr>
            <w:tcW w:w="1107" w:type="dxa"/>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r w:rsidRPr="00F627B2">
              <w:rPr>
                <w:rFonts w:ascii="Lato" w:hAnsi="Lato"/>
                <w:szCs w:val="22"/>
              </w:rPr>
              <w:t>2.2</w:t>
            </w:r>
          </w:p>
        </w:tc>
        <w:tc>
          <w:tcPr>
            <w:tcW w:w="5493" w:type="dxa"/>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r w:rsidRPr="00F627B2">
              <w:rPr>
                <w:rFonts w:ascii="Lato" w:hAnsi="Lato"/>
                <w:szCs w:val="22"/>
              </w:rPr>
              <w:t>Investment Objective and Policy</w:t>
            </w:r>
          </w:p>
        </w:tc>
        <w:tc>
          <w:tcPr>
            <w:tcW w:w="1131" w:type="dxa"/>
            <w:gridSpan w:val="4"/>
            <w:tcBorders>
              <w:top w:val="nil"/>
              <w:left w:val="single" w:sz="4" w:space="0" w:color="auto"/>
              <w:bottom w:val="nil"/>
              <w:right w:val="nil"/>
            </w:tcBorders>
          </w:tcPr>
          <w:p w:rsidR="003F241F" w:rsidRPr="00F627B2" w:rsidRDefault="003F241F">
            <w:pPr>
              <w:spacing w:line="240" w:lineRule="auto"/>
              <w:rPr>
                <w:rFonts w:ascii="Lato" w:hAnsi="Lato"/>
                <w:b/>
                <w:bCs/>
                <w:szCs w:val="22"/>
              </w:rPr>
            </w:pPr>
          </w:p>
        </w:tc>
        <w:tc>
          <w:tcPr>
            <w:tcW w:w="543" w:type="dxa"/>
            <w:gridSpan w:val="2"/>
            <w:tcBorders>
              <w:top w:val="nil"/>
              <w:left w:val="nil"/>
              <w:bottom w:val="nil"/>
              <w:right w:val="nil"/>
            </w:tcBorders>
          </w:tcPr>
          <w:p w:rsidR="003F241F" w:rsidRPr="00F627B2" w:rsidRDefault="003F241F">
            <w:pPr>
              <w:spacing w:line="240" w:lineRule="auto"/>
              <w:rPr>
                <w:rFonts w:ascii="Lato" w:hAnsi="Lato"/>
                <w:b/>
                <w:bCs/>
                <w:szCs w:val="22"/>
              </w:rPr>
            </w:pPr>
          </w:p>
        </w:tc>
        <w:tc>
          <w:tcPr>
            <w:tcW w:w="1305" w:type="dxa"/>
            <w:gridSpan w:val="6"/>
            <w:tcBorders>
              <w:top w:val="nil"/>
              <w:left w:val="nil"/>
              <w:bottom w:val="nil"/>
              <w:right w:val="nil"/>
            </w:tcBorders>
          </w:tcPr>
          <w:p w:rsidR="003F241F" w:rsidRPr="00F627B2" w:rsidRDefault="003F241F">
            <w:pPr>
              <w:spacing w:line="240" w:lineRule="auto"/>
              <w:rPr>
                <w:rFonts w:ascii="Lato" w:hAnsi="Lato"/>
                <w:b/>
                <w:bCs/>
                <w:szCs w:val="22"/>
              </w:rPr>
            </w:pPr>
          </w:p>
        </w:tc>
        <w:tc>
          <w:tcPr>
            <w:tcW w:w="273"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65" w:type="dxa"/>
            <w:gridSpan w:val="7"/>
            <w:tcBorders>
              <w:top w:val="nil"/>
              <w:left w:val="nil"/>
              <w:bottom w:val="nil"/>
              <w:right w:val="nil"/>
            </w:tcBorders>
          </w:tcPr>
          <w:p w:rsidR="003F241F" w:rsidRPr="00F627B2" w:rsidRDefault="003F241F">
            <w:pPr>
              <w:spacing w:line="240" w:lineRule="auto"/>
              <w:rPr>
                <w:rFonts w:ascii="Lato" w:hAnsi="Lato"/>
                <w:szCs w:val="22"/>
              </w:rPr>
            </w:pPr>
          </w:p>
        </w:tc>
        <w:tc>
          <w:tcPr>
            <w:tcW w:w="278"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5493" w:type="dxa"/>
            <w:tcBorders>
              <w:top w:val="single" w:sz="4" w:space="0" w:color="auto"/>
              <w:left w:val="nil"/>
              <w:bottom w:val="nil"/>
              <w:right w:val="nil"/>
            </w:tcBorders>
          </w:tcPr>
          <w:p w:rsidR="003F241F" w:rsidRPr="00F627B2" w:rsidRDefault="003F241F">
            <w:pPr>
              <w:spacing w:line="240" w:lineRule="auto"/>
              <w:rPr>
                <w:rFonts w:ascii="Lato" w:hAnsi="Lato"/>
                <w:szCs w:val="22"/>
              </w:rPr>
            </w:pPr>
          </w:p>
        </w:tc>
        <w:tc>
          <w:tcPr>
            <w:tcW w:w="1131" w:type="dxa"/>
            <w:gridSpan w:val="4"/>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543"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1305" w:type="dxa"/>
            <w:gridSpan w:val="6"/>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73"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65" w:type="dxa"/>
            <w:gridSpan w:val="7"/>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78"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F241F" w:rsidRPr="00F627B2" w:rsidRDefault="003F241F">
            <w:pPr>
              <w:spacing w:line="240" w:lineRule="auto"/>
              <w:rPr>
                <w:rFonts w:ascii="Lato" w:hAnsi="Lato"/>
                <w:szCs w:val="22"/>
              </w:rPr>
            </w:pPr>
            <w:r w:rsidRPr="00F627B2">
              <w:rPr>
                <w:rFonts w:ascii="Lato" w:hAnsi="Lato"/>
                <w:szCs w:val="22"/>
              </w:rPr>
              <w:t>2.2.1</w:t>
            </w:r>
          </w:p>
        </w:tc>
        <w:tc>
          <w:tcPr>
            <w:tcW w:w="5493" w:type="dxa"/>
            <w:tcBorders>
              <w:top w:val="nil"/>
              <w:left w:val="nil"/>
              <w:bottom w:val="nil"/>
              <w:right w:val="single" w:sz="4" w:space="0" w:color="auto"/>
            </w:tcBorders>
          </w:tcPr>
          <w:p w:rsidR="003F241F" w:rsidRPr="00F627B2" w:rsidRDefault="003F241F">
            <w:pPr>
              <w:spacing w:line="240" w:lineRule="auto"/>
              <w:rPr>
                <w:rFonts w:ascii="Lato" w:hAnsi="Lato"/>
                <w:szCs w:val="22"/>
              </w:rPr>
            </w:pPr>
            <w:r w:rsidRPr="00F627B2">
              <w:rPr>
                <w:rFonts w:ascii="Lato" w:hAnsi="Lato"/>
                <w:szCs w:val="22"/>
              </w:rPr>
              <w:t>Disclose investment objective</w:t>
            </w:r>
          </w:p>
        </w:tc>
        <w:tc>
          <w:tcPr>
            <w:tcW w:w="1131" w:type="dxa"/>
            <w:gridSpan w:val="4"/>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78" w:type="dxa"/>
            <w:gridSpan w:val="4"/>
            <w:tcBorders>
              <w:top w:val="nil"/>
              <w:left w:val="single" w:sz="4" w:space="0" w:color="auto"/>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szCs w:val="22"/>
              </w:rPr>
            </w:pPr>
          </w:p>
        </w:tc>
        <w:tc>
          <w:tcPr>
            <w:tcW w:w="1131" w:type="dxa"/>
            <w:gridSpan w:val="4"/>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543"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1305" w:type="dxa"/>
            <w:gridSpan w:val="6"/>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73"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65" w:type="dxa"/>
            <w:gridSpan w:val="7"/>
            <w:tcBorders>
              <w:top w:val="nil"/>
              <w:left w:val="nil"/>
              <w:bottom w:val="single" w:sz="4" w:space="0" w:color="auto"/>
              <w:right w:val="nil"/>
            </w:tcBorders>
          </w:tcPr>
          <w:p w:rsidR="003F241F" w:rsidRPr="00F627B2" w:rsidRDefault="003F241F">
            <w:pPr>
              <w:spacing w:line="240" w:lineRule="auto"/>
              <w:rPr>
                <w:rFonts w:ascii="Lato" w:hAnsi="Lato"/>
                <w:szCs w:val="22"/>
              </w:rPr>
            </w:pPr>
          </w:p>
        </w:tc>
        <w:tc>
          <w:tcPr>
            <w:tcW w:w="278"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F241F" w:rsidRPr="00F627B2" w:rsidRDefault="00955AE5" w:rsidP="00AC467B">
            <w:pPr>
              <w:spacing w:line="240" w:lineRule="auto"/>
              <w:rPr>
                <w:rFonts w:ascii="Lato" w:hAnsi="Lato"/>
                <w:szCs w:val="22"/>
              </w:rPr>
            </w:pPr>
            <w:r w:rsidRPr="00F627B2">
              <w:rPr>
                <w:rFonts w:ascii="Lato" w:hAnsi="Lato"/>
                <w:szCs w:val="22"/>
              </w:rPr>
              <w:t>2.2.2</w:t>
            </w:r>
          </w:p>
        </w:tc>
        <w:tc>
          <w:tcPr>
            <w:tcW w:w="5493" w:type="dxa"/>
            <w:tcBorders>
              <w:top w:val="nil"/>
              <w:left w:val="nil"/>
              <w:bottom w:val="nil"/>
              <w:right w:val="single" w:sz="4" w:space="0" w:color="auto"/>
            </w:tcBorders>
          </w:tcPr>
          <w:p w:rsidR="003F241F" w:rsidRPr="00F627B2" w:rsidRDefault="003F241F" w:rsidP="00B9512B">
            <w:pPr>
              <w:spacing w:line="240" w:lineRule="auto"/>
              <w:rPr>
                <w:rFonts w:ascii="Lato" w:hAnsi="Lato"/>
                <w:szCs w:val="22"/>
              </w:rPr>
            </w:pPr>
            <w:r w:rsidRPr="00F627B2">
              <w:rPr>
                <w:rFonts w:ascii="Lato" w:hAnsi="Lato"/>
                <w:szCs w:val="22"/>
              </w:rPr>
              <w:t xml:space="preserve">Insert a description of the investment </w:t>
            </w:r>
            <w:r w:rsidR="0023603C" w:rsidRPr="00F627B2">
              <w:rPr>
                <w:rFonts w:ascii="Lato" w:hAnsi="Lato"/>
                <w:szCs w:val="22"/>
              </w:rPr>
              <w:t>objectives and</w:t>
            </w:r>
          </w:p>
        </w:tc>
        <w:tc>
          <w:tcPr>
            <w:tcW w:w="1131" w:type="dxa"/>
            <w:gridSpan w:val="4"/>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3F241F" w:rsidRPr="00F627B2" w:rsidRDefault="003F241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3F241F" w:rsidRPr="00F627B2" w:rsidRDefault="003F241F">
            <w:pPr>
              <w:spacing w:line="240" w:lineRule="auto"/>
              <w:rPr>
                <w:rFonts w:ascii="Lato" w:hAnsi="Lato"/>
                <w:szCs w:val="22"/>
              </w:rPr>
            </w:pPr>
          </w:p>
        </w:tc>
        <w:tc>
          <w:tcPr>
            <w:tcW w:w="278" w:type="dxa"/>
            <w:gridSpan w:val="4"/>
            <w:tcBorders>
              <w:top w:val="nil"/>
              <w:left w:val="single" w:sz="4" w:space="0" w:color="auto"/>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955AE5" w:rsidRPr="00F627B2" w:rsidRDefault="00955AE5">
            <w:pPr>
              <w:spacing w:line="240" w:lineRule="auto"/>
              <w:rPr>
                <w:rFonts w:ascii="Lato" w:hAnsi="Lato"/>
                <w:szCs w:val="22"/>
              </w:rPr>
            </w:pPr>
          </w:p>
        </w:tc>
        <w:tc>
          <w:tcPr>
            <w:tcW w:w="5493" w:type="dxa"/>
            <w:tcBorders>
              <w:top w:val="nil"/>
              <w:left w:val="nil"/>
              <w:bottom w:val="nil"/>
              <w:right w:val="nil"/>
            </w:tcBorders>
          </w:tcPr>
          <w:p w:rsidR="00955AE5" w:rsidRPr="00F627B2" w:rsidRDefault="0023603C" w:rsidP="001C7B4E">
            <w:pPr>
              <w:spacing w:line="240" w:lineRule="auto"/>
              <w:rPr>
                <w:rFonts w:ascii="Lato" w:hAnsi="Lato"/>
                <w:szCs w:val="22"/>
              </w:rPr>
            </w:pPr>
            <w:r w:rsidRPr="00F627B2">
              <w:rPr>
                <w:rFonts w:ascii="Lato" w:hAnsi="Lato"/>
                <w:szCs w:val="22"/>
              </w:rPr>
              <w:t>p</w:t>
            </w:r>
            <w:r w:rsidR="00B9512B" w:rsidRPr="00F627B2">
              <w:rPr>
                <w:rFonts w:ascii="Lato" w:hAnsi="Lato"/>
                <w:szCs w:val="22"/>
              </w:rPr>
              <w:t>olicies</w:t>
            </w:r>
            <w:r w:rsidRPr="00F627B2">
              <w:rPr>
                <w:rFonts w:ascii="Lato" w:hAnsi="Lato"/>
                <w:szCs w:val="22"/>
              </w:rPr>
              <w:t xml:space="preserve"> and strategies</w:t>
            </w:r>
            <w:r w:rsidR="00B9512B" w:rsidRPr="00F627B2">
              <w:rPr>
                <w:rFonts w:ascii="Lato" w:hAnsi="Lato"/>
                <w:szCs w:val="22"/>
              </w:rPr>
              <w:t xml:space="preserve"> </w:t>
            </w:r>
            <w:r w:rsidR="00955AE5" w:rsidRPr="00F627B2">
              <w:rPr>
                <w:rFonts w:ascii="Lato" w:hAnsi="Lato"/>
                <w:szCs w:val="22"/>
              </w:rPr>
              <w:t>of the Retail Investor AIF.  These descriptions must be comprehensive and accurate, readily comprehensive to investors and be sufficient to enable investors make an informed judgement on the investment proposed to them.</w:t>
            </w:r>
          </w:p>
        </w:tc>
        <w:tc>
          <w:tcPr>
            <w:tcW w:w="1131" w:type="dxa"/>
            <w:gridSpan w:val="4"/>
            <w:tcBorders>
              <w:top w:val="single" w:sz="4" w:space="0" w:color="auto"/>
              <w:left w:val="nil"/>
              <w:bottom w:val="nil"/>
              <w:right w:val="nil"/>
            </w:tcBorders>
          </w:tcPr>
          <w:p w:rsidR="00955AE5" w:rsidRPr="00F627B2" w:rsidRDefault="00955AE5">
            <w:pPr>
              <w:spacing w:line="240" w:lineRule="auto"/>
              <w:rPr>
                <w:rFonts w:ascii="Lato" w:hAnsi="Lato"/>
                <w:szCs w:val="22"/>
              </w:rPr>
            </w:pPr>
          </w:p>
        </w:tc>
        <w:tc>
          <w:tcPr>
            <w:tcW w:w="543" w:type="dxa"/>
            <w:gridSpan w:val="2"/>
            <w:tcBorders>
              <w:top w:val="nil"/>
              <w:left w:val="nil"/>
              <w:bottom w:val="nil"/>
              <w:right w:val="nil"/>
            </w:tcBorders>
          </w:tcPr>
          <w:p w:rsidR="00955AE5" w:rsidRPr="00F627B2" w:rsidRDefault="00955AE5">
            <w:pPr>
              <w:spacing w:line="240" w:lineRule="auto"/>
              <w:rPr>
                <w:rFonts w:ascii="Lato" w:hAnsi="Lato"/>
                <w:szCs w:val="22"/>
              </w:rPr>
            </w:pPr>
          </w:p>
        </w:tc>
        <w:tc>
          <w:tcPr>
            <w:tcW w:w="1305" w:type="dxa"/>
            <w:gridSpan w:val="6"/>
            <w:tcBorders>
              <w:top w:val="single" w:sz="4" w:space="0" w:color="auto"/>
              <w:left w:val="nil"/>
              <w:bottom w:val="nil"/>
              <w:right w:val="nil"/>
            </w:tcBorders>
          </w:tcPr>
          <w:p w:rsidR="00955AE5" w:rsidRPr="00F627B2" w:rsidRDefault="00955AE5">
            <w:pPr>
              <w:spacing w:line="240" w:lineRule="auto"/>
              <w:rPr>
                <w:rFonts w:ascii="Lato" w:hAnsi="Lato"/>
                <w:szCs w:val="22"/>
              </w:rPr>
            </w:pPr>
          </w:p>
        </w:tc>
        <w:tc>
          <w:tcPr>
            <w:tcW w:w="273" w:type="dxa"/>
            <w:gridSpan w:val="6"/>
            <w:tcBorders>
              <w:top w:val="nil"/>
              <w:left w:val="nil"/>
              <w:bottom w:val="nil"/>
              <w:right w:val="nil"/>
            </w:tcBorders>
          </w:tcPr>
          <w:p w:rsidR="00955AE5" w:rsidRPr="00F627B2" w:rsidRDefault="00955AE5">
            <w:pPr>
              <w:spacing w:line="240" w:lineRule="auto"/>
              <w:rPr>
                <w:rFonts w:ascii="Lato" w:hAnsi="Lato"/>
                <w:szCs w:val="22"/>
              </w:rPr>
            </w:pPr>
          </w:p>
        </w:tc>
        <w:tc>
          <w:tcPr>
            <w:tcW w:w="765" w:type="dxa"/>
            <w:gridSpan w:val="7"/>
            <w:tcBorders>
              <w:top w:val="single" w:sz="4" w:space="0" w:color="auto"/>
              <w:left w:val="nil"/>
              <w:bottom w:val="nil"/>
              <w:right w:val="nil"/>
            </w:tcBorders>
          </w:tcPr>
          <w:p w:rsidR="00955AE5" w:rsidRPr="00F627B2" w:rsidRDefault="00955AE5">
            <w:pPr>
              <w:spacing w:line="240" w:lineRule="auto"/>
              <w:rPr>
                <w:rFonts w:ascii="Lato" w:hAnsi="Lato"/>
                <w:szCs w:val="22"/>
              </w:rPr>
            </w:pPr>
          </w:p>
        </w:tc>
        <w:tc>
          <w:tcPr>
            <w:tcW w:w="278" w:type="dxa"/>
            <w:gridSpan w:val="4"/>
            <w:tcBorders>
              <w:top w:val="nil"/>
              <w:left w:val="nil"/>
              <w:bottom w:val="nil"/>
              <w:right w:val="nil"/>
            </w:tcBorders>
          </w:tcPr>
          <w:p w:rsidR="00955AE5" w:rsidRPr="00F627B2" w:rsidRDefault="00955AE5">
            <w:pPr>
              <w:spacing w:line="240" w:lineRule="auto"/>
              <w:rPr>
                <w:rFonts w:ascii="Lato" w:hAnsi="Lato"/>
                <w:szCs w:val="22"/>
              </w:rPr>
            </w:pPr>
          </w:p>
        </w:tc>
        <w:tc>
          <w:tcPr>
            <w:tcW w:w="595" w:type="dxa"/>
            <w:gridSpan w:val="7"/>
            <w:tcBorders>
              <w:top w:val="nil"/>
              <w:left w:val="nil"/>
              <w:bottom w:val="nil"/>
              <w:right w:val="nil"/>
            </w:tcBorders>
          </w:tcPr>
          <w:p w:rsidR="00955AE5" w:rsidRPr="00F627B2" w:rsidRDefault="00955AE5">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F241F" w:rsidRPr="00F627B2" w:rsidRDefault="003F241F">
            <w:pPr>
              <w:spacing w:line="240" w:lineRule="auto"/>
              <w:rPr>
                <w:rFonts w:ascii="Lato" w:hAnsi="Lato"/>
                <w:szCs w:val="22"/>
              </w:rPr>
            </w:pPr>
          </w:p>
        </w:tc>
        <w:tc>
          <w:tcPr>
            <w:tcW w:w="5493" w:type="dxa"/>
            <w:tcBorders>
              <w:top w:val="nil"/>
              <w:left w:val="nil"/>
              <w:bottom w:val="nil"/>
              <w:right w:val="nil"/>
            </w:tcBorders>
          </w:tcPr>
          <w:p w:rsidR="003F241F" w:rsidRPr="00F627B2" w:rsidRDefault="003F241F">
            <w:pPr>
              <w:spacing w:line="240" w:lineRule="auto"/>
              <w:rPr>
                <w:rFonts w:ascii="Lato" w:hAnsi="Lato"/>
                <w:szCs w:val="22"/>
              </w:rPr>
            </w:pPr>
          </w:p>
        </w:tc>
        <w:tc>
          <w:tcPr>
            <w:tcW w:w="1131"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43" w:type="dxa"/>
            <w:gridSpan w:val="2"/>
            <w:tcBorders>
              <w:top w:val="nil"/>
              <w:left w:val="nil"/>
              <w:bottom w:val="nil"/>
              <w:right w:val="nil"/>
            </w:tcBorders>
          </w:tcPr>
          <w:p w:rsidR="003F241F" w:rsidRPr="00F627B2" w:rsidRDefault="003F241F">
            <w:pPr>
              <w:spacing w:line="240" w:lineRule="auto"/>
              <w:rPr>
                <w:rFonts w:ascii="Lato" w:hAnsi="Lato"/>
                <w:szCs w:val="22"/>
              </w:rPr>
            </w:pPr>
          </w:p>
        </w:tc>
        <w:tc>
          <w:tcPr>
            <w:tcW w:w="1305"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273" w:type="dxa"/>
            <w:gridSpan w:val="6"/>
            <w:tcBorders>
              <w:top w:val="nil"/>
              <w:left w:val="nil"/>
              <w:bottom w:val="nil"/>
              <w:right w:val="nil"/>
            </w:tcBorders>
          </w:tcPr>
          <w:p w:rsidR="003F241F" w:rsidRPr="00F627B2" w:rsidRDefault="003F241F">
            <w:pPr>
              <w:spacing w:line="240" w:lineRule="auto"/>
              <w:rPr>
                <w:rFonts w:ascii="Lato" w:hAnsi="Lato"/>
                <w:szCs w:val="22"/>
              </w:rPr>
            </w:pPr>
          </w:p>
        </w:tc>
        <w:tc>
          <w:tcPr>
            <w:tcW w:w="765" w:type="dxa"/>
            <w:gridSpan w:val="7"/>
            <w:tcBorders>
              <w:top w:val="nil"/>
              <w:left w:val="nil"/>
              <w:bottom w:val="nil"/>
              <w:right w:val="nil"/>
            </w:tcBorders>
          </w:tcPr>
          <w:p w:rsidR="003F241F" w:rsidRPr="00F627B2" w:rsidRDefault="003F241F">
            <w:pPr>
              <w:spacing w:line="240" w:lineRule="auto"/>
              <w:rPr>
                <w:rFonts w:ascii="Lato" w:hAnsi="Lato"/>
                <w:szCs w:val="22"/>
              </w:rPr>
            </w:pPr>
          </w:p>
        </w:tc>
        <w:tc>
          <w:tcPr>
            <w:tcW w:w="278" w:type="dxa"/>
            <w:gridSpan w:val="4"/>
            <w:tcBorders>
              <w:top w:val="nil"/>
              <w:left w:val="nil"/>
              <w:bottom w:val="nil"/>
              <w:right w:val="nil"/>
            </w:tcBorders>
          </w:tcPr>
          <w:p w:rsidR="003F241F" w:rsidRPr="00F627B2" w:rsidRDefault="003F241F">
            <w:pPr>
              <w:spacing w:line="240" w:lineRule="auto"/>
              <w:rPr>
                <w:rFonts w:ascii="Lato" w:hAnsi="Lato"/>
                <w:szCs w:val="22"/>
              </w:rPr>
            </w:pPr>
          </w:p>
        </w:tc>
        <w:tc>
          <w:tcPr>
            <w:tcW w:w="595" w:type="dxa"/>
            <w:gridSpan w:val="7"/>
            <w:tcBorders>
              <w:top w:val="nil"/>
              <w:left w:val="nil"/>
              <w:bottom w:val="nil"/>
              <w:right w:val="nil"/>
            </w:tcBorders>
          </w:tcPr>
          <w:p w:rsidR="003F241F" w:rsidRPr="00F627B2" w:rsidRDefault="003F241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r w:rsidRPr="00F627B2">
              <w:rPr>
                <w:rFonts w:ascii="Lato" w:hAnsi="Lato"/>
                <w:szCs w:val="22"/>
              </w:rPr>
              <w:t xml:space="preserve">2.2.3 </w:t>
            </w:r>
          </w:p>
        </w:tc>
        <w:tc>
          <w:tcPr>
            <w:tcW w:w="5493" w:type="dxa"/>
            <w:tcBorders>
              <w:top w:val="nil"/>
              <w:left w:val="nil"/>
              <w:bottom w:val="nil"/>
              <w:right w:val="nil"/>
            </w:tcBorders>
          </w:tcPr>
          <w:p w:rsidR="002F07AF" w:rsidRPr="00F627B2" w:rsidRDefault="002F07AF">
            <w:pPr>
              <w:spacing w:line="240" w:lineRule="auto"/>
              <w:rPr>
                <w:rFonts w:ascii="Lato" w:hAnsi="Lato"/>
                <w:szCs w:val="22"/>
              </w:rPr>
            </w:pPr>
            <w:r w:rsidRPr="00F627B2">
              <w:rPr>
                <w:rFonts w:ascii="Lato" w:hAnsi="Lato"/>
                <w:szCs w:val="22"/>
                <w:u w:val="single"/>
              </w:rPr>
              <w:t xml:space="preserve">Investment in </w:t>
            </w:r>
            <w:r w:rsidRPr="00F627B2">
              <w:rPr>
                <w:rFonts w:ascii="Lato" w:hAnsi="Lato"/>
                <w:bCs/>
                <w:szCs w:val="22"/>
                <w:u w:val="single"/>
              </w:rPr>
              <w:t>Securities (including units/shares of closed-</w:t>
            </w:r>
          </w:p>
        </w:tc>
        <w:tc>
          <w:tcPr>
            <w:tcW w:w="1131"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r w:rsidRPr="00F627B2">
              <w:rPr>
                <w:rFonts w:ascii="Lato" w:hAnsi="Lato"/>
                <w:bCs/>
                <w:szCs w:val="22"/>
                <w:u w:val="single"/>
              </w:rPr>
              <w:t>ended schemes</w:t>
            </w:r>
            <w:r w:rsidRPr="00F627B2">
              <w:rPr>
                <w:rFonts w:ascii="Lato" w:hAnsi="Lato"/>
                <w:szCs w:val="22"/>
              </w:rPr>
              <w:t xml:space="preserve"> (e.g. equities, bonds)</w:t>
            </w:r>
          </w:p>
        </w:tc>
        <w:tc>
          <w:tcPr>
            <w:tcW w:w="1131" w:type="dxa"/>
            <w:gridSpan w:val="4"/>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r w:rsidRPr="00F627B2">
              <w:rPr>
                <w:rFonts w:ascii="Lato" w:hAnsi="Lato"/>
                <w:szCs w:val="22"/>
              </w:rPr>
              <w:t>a)</w:t>
            </w:r>
          </w:p>
        </w:tc>
        <w:tc>
          <w:tcPr>
            <w:tcW w:w="5493" w:type="dxa"/>
            <w:tcBorders>
              <w:top w:val="nil"/>
              <w:left w:val="nil"/>
              <w:bottom w:val="nil"/>
              <w:right w:val="single" w:sz="4" w:space="0" w:color="auto"/>
            </w:tcBorders>
          </w:tcPr>
          <w:p w:rsidR="002F07AF" w:rsidRPr="00F627B2" w:rsidRDefault="002F07AF" w:rsidP="00B9512B">
            <w:pPr>
              <w:spacing w:line="240" w:lineRule="auto"/>
              <w:rPr>
                <w:rFonts w:ascii="Lato" w:hAnsi="Lato"/>
                <w:szCs w:val="22"/>
              </w:rPr>
            </w:pPr>
            <w:r w:rsidRPr="00F627B2">
              <w:rPr>
                <w:rFonts w:ascii="Lato" w:hAnsi="Lato"/>
                <w:szCs w:val="22"/>
              </w:rPr>
              <w:t xml:space="preserve">Disclose full details of the types of securities </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B9512B">
            <w:pPr>
              <w:spacing w:line="240" w:lineRule="auto"/>
              <w:rPr>
                <w:rFonts w:ascii="Lato" w:hAnsi="Lato"/>
                <w:szCs w:val="22"/>
              </w:rPr>
            </w:pPr>
            <w:r w:rsidRPr="00F627B2">
              <w:rPr>
                <w:rFonts w:ascii="Lato" w:hAnsi="Lato"/>
                <w:szCs w:val="22"/>
              </w:rPr>
              <w:t xml:space="preserve">the Retail </w:t>
            </w:r>
            <w:r w:rsidR="00313EDC" w:rsidRPr="00F627B2">
              <w:rPr>
                <w:rFonts w:ascii="Lato" w:hAnsi="Lato"/>
                <w:szCs w:val="22"/>
              </w:rPr>
              <w:t xml:space="preserve">Investor AIF </w:t>
            </w:r>
            <w:r w:rsidR="002F07AF" w:rsidRPr="00F627B2">
              <w:rPr>
                <w:rFonts w:ascii="Lato" w:hAnsi="Lato"/>
                <w:szCs w:val="22"/>
              </w:rPr>
              <w:t>will invest in (it is not sufficient to simply state securities)</w:t>
            </w:r>
          </w:p>
        </w:tc>
        <w:tc>
          <w:tcPr>
            <w:tcW w:w="1131" w:type="dxa"/>
            <w:gridSpan w:val="4"/>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r w:rsidRPr="00F627B2">
              <w:rPr>
                <w:rFonts w:ascii="Lato" w:hAnsi="Lato"/>
                <w:szCs w:val="22"/>
              </w:rPr>
              <w:t>b)</w:t>
            </w:r>
          </w:p>
        </w:tc>
        <w:tc>
          <w:tcPr>
            <w:tcW w:w="5493" w:type="dxa"/>
            <w:tcBorders>
              <w:top w:val="nil"/>
              <w:left w:val="nil"/>
              <w:bottom w:val="nil"/>
              <w:right w:val="single" w:sz="4" w:space="0" w:color="auto"/>
            </w:tcBorders>
          </w:tcPr>
          <w:p w:rsidR="002F07AF" w:rsidRPr="00F627B2" w:rsidRDefault="002F07AF" w:rsidP="00B9512B">
            <w:pPr>
              <w:spacing w:line="240" w:lineRule="auto"/>
              <w:rPr>
                <w:rFonts w:ascii="Lato" w:hAnsi="Lato"/>
                <w:szCs w:val="22"/>
              </w:rPr>
            </w:pPr>
            <w:r w:rsidRPr="00F627B2">
              <w:rPr>
                <w:rFonts w:ascii="Lato" w:hAnsi="Lato"/>
                <w:szCs w:val="22"/>
              </w:rPr>
              <w:t xml:space="preserve">Where ‘cash equivalents’, ‘equity-related’ </w:t>
            </w:r>
            <w:r w:rsidR="002911EE" w:rsidRPr="00F627B2">
              <w:rPr>
                <w:rFonts w:ascii="Lato" w:hAnsi="Lato"/>
                <w:szCs w:val="22"/>
              </w:rPr>
              <w:t>securities,</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B9512B" w:rsidP="00B9512B">
            <w:pPr>
              <w:spacing w:line="240" w:lineRule="auto"/>
              <w:rPr>
                <w:rFonts w:ascii="Lato" w:hAnsi="Lato"/>
                <w:szCs w:val="22"/>
              </w:rPr>
            </w:pPr>
            <w:r w:rsidRPr="00F627B2">
              <w:rPr>
                <w:rFonts w:ascii="Lato" w:hAnsi="Lato"/>
                <w:szCs w:val="22"/>
              </w:rPr>
              <w:t xml:space="preserve"> </w:t>
            </w:r>
            <w:r w:rsidR="002F07AF" w:rsidRPr="00F627B2">
              <w:rPr>
                <w:rFonts w:ascii="Lato" w:hAnsi="Lato"/>
                <w:szCs w:val="22"/>
              </w:rPr>
              <w:t>‘money market instruments’, ‘short-term investments’, etc., are provided for, give an indication of the proposed investment types</w:t>
            </w:r>
          </w:p>
        </w:tc>
        <w:tc>
          <w:tcPr>
            <w:tcW w:w="1131" w:type="dxa"/>
            <w:gridSpan w:val="4"/>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r w:rsidRPr="00F627B2">
              <w:rPr>
                <w:rFonts w:ascii="Lato" w:hAnsi="Lato"/>
                <w:szCs w:val="22"/>
              </w:rPr>
              <w:t>c)</w:t>
            </w:r>
          </w:p>
        </w:tc>
        <w:tc>
          <w:tcPr>
            <w:tcW w:w="5493" w:type="dxa"/>
            <w:tcBorders>
              <w:top w:val="nil"/>
              <w:left w:val="nil"/>
              <w:bottom w:val="nil"/>
              <w:right w:val="nil"/>
            </w:tcBorders>
          </w:tcPr>
          <w:p w:rsidR="002F07AF" w:rsidRPr="00F627B2" w:rsidRDefault="002F07AF">
            <w:pPr>
              <w:spacing w:line="240" w:lineRule="auto"/>
              <w:rPr>
                <w:rFonts w:ascii="Lato" w:hAnsi="Lato"/>
                <w:szCs w:val="22"/>
              </w:rPr>
            </w:pPr>
            <w:r w:rsidRPr="00F627B2">
              <w:rPr>
                <w:rFonts w:ascii="Lato" w:hAnsi="Lato"/>
                <w:bCs/>
                <w:szCs w:val="22"/>
              </w:rPr>
              <w:t>Where a scheme invests in bonds, indicate whether they are</w:t>
            </w:r>
          </w:p>
        </w:tc>
        <w:tc>
          <w:tcPr>
            <w:tcW w:w="1131" w:type="dxa"/>
            <w:gridSpan w:val="4"/>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single" w:sz="4" w:space="0" w:color="auto"/>
            </w:tcBorders>
          </w:tcPr>
          <w:p w:rsidR="002F07AF" w:rsidRPr="00F627B2" w:rsidRDefault="002F07AF">
            <w:pPr>
              <w:spacing w:line="240" w:lineRule="auto"/>
              <w:rPr>
                <w:rFonts w:ascii="Lato" w:hAnsi="Lato"/>
                <w:szCs w:val="22"/>
              </w:rPr>
            </w:pPr>
            <w:r w:rsidRPr="00F627B2">
              <w:rPr>
                <w:rFonts w:ascii="Lato" w:hAnsi="Lato"/>
                <w:szCs w:val="22"/>
              </w:rPr>
              <w:t xml:space="preserve">a) government and/or corporate; and </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single" w:sz="4" w:space="0" w:color="auto"/>
            </w:tcBorders>
          </w:tcPr>
          <w:p w:rsidR="002F07AF" w:rsidRPr="00F627B2" w:rsidRDefault="002F07AF">
            <w:pPr>
              <w:spacing w:line="240" w:lineRule="auto"/>
              <w:rPr>
                <w:rFonts w:ascii="Lato" w:hAnsi="Lato"/>
                <w:szCs w:val="22"/>
              </w:rPr>
            </w:pPr>
            <w:r w:rsidRPr="00F627B2">
              <w:rPr>
                <w:rFonts w:ascii="Lato" w:hAnsi="Lato"/>
                <w:szCs w:val="22"/>
              </w:rPr>
              <w:t>b) fixed and/or floating rate</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r w:rsidRPr="00F627B2">
              <w:rPr>
                <w:rFonts w:ascii="Lato" w:hAnsi="Lato"/>
                <w:szCs w:val="22"/>
              </w:rPr>
              <w:t>and</w:t>
            </w:r>
          </w:p>
        </w:tc>
        <w:tc>
          <w:tcPr>
            <w:tcW w:w="1131" w:type="dxa"/>
            <w:gridSpan w:val="4"/>
            <w:tcBorders>
              <w:top w:val="single" w:sz="4" w:space="0" w:color="auto"/>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single" w:sz="4" w:space="0" w:color="auto"/>
            </w:tcBorders>
          </w:tcPr>
          <w:p w:rsidR="002F07AF" w:rsidRPr="00F627B2" w:rsidRDefault="002911EE" w:rsidP="002911EE">
            <w:pPr>
              <w:spacing w:line="240" w:lineRule="auto"/>
              <w:rPr>
                <w:rFonts w:ascii="Lato" w:hAnsi="Lato"/>
                <w:szCs w:val="22"/>
              </w:rPr>
            </w:pPr>
            <w:r w:rsidRPr="00F627B2">
              <w:rPr>
                <w:rFonts w:ascii="Lato" w:hAnsi="Lato"/>
                <w:szCs w:val="22"/>
              </w:rPr>
              <w:t>c) d</w:t>
            </w:r>
            <w:r w:rsidR="002F07AF" w:rsidRPr="00F627B2">
              <w:rPr>
                <w:rFonts w:ascii="Lato" w:hAnsi="Lato"/>
                <w:szCs w:val="22"/>
              </w:rPr>
              <w:t xml:space="preserve">isclose investment rating </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single" w:sz="4" w:space="0" w:color="auto"/>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r w:rsidRPr="00F627B2">
              <w:rPr>
                <w:rFonts w:ascii="Lato" w:hAnsi="Lato"/>
                <w:szCs w:val="22"/>
              </w:rPr>
              <w:t>d)</w:t>
            </w:r>
          </w:p>
        </w:tc>
        <w:tc>
          <w:tcPr>
            <w:tcW w:w="5493" w:type="dxa"/>
            <w:tcBorders>
              <w:top w:val="nil"/>
              <w:left w:val="nil"/>
              <w:bottom w:val="nil"/>
              <w:right w:val="single" w:sz="4" w:space="0" w:color="auto"/>
            </w:tcBorders>
          </w:tcPr>
          <w:p w:rsidR="002F07AF" w:rsidRPr="00F627B2" w:rsidRDefault="002F07AF" w:rsidP="00B9512B">
            <w:pPr>
              <w:spacing w:line="240" w:lineRule="auto"/>
              <w:rPr>
                <w:rFonts w:ascii="Lato" w:hAnsi="Lato"/>
                <w:szCs w:val="22"/>
              </w:rPr>
            </w:pPr>
            <w:r w:rsidRPr="00F627B2">
              <w:rPr>
                <w:rFonts w:ascii="Lato" w:hAnsi="Lato"/>
                <w:bCs/>
                <w:szCs w:val="22"/>
              </w:rPr>
              <w:t xml:space="preserve">Indicate if the </w:t>
            </w:r>
            <w:r w:rsidR="00313EDC" w:rsidRPr="00F627B2">
              <w:rPr>
                <w:rFonts w:ascii="Lato" w:hAnsi="Lato"/>
                <w:bCs/>
                <w:szCs w:val="22"/>
              </w:rPr>
              <w:t>Retail Investor AIF</w:t>
            </w:r>
            <w:r w:rsidRPr="00F627B2">
              <w:rPr>
                <w:rFonts w:ascii="Lato" w:hAnsi="Lato"/>
                <w:bCs/>
                <w:szCs w:val="22"/>
              </w:rPr>
              <w:t xml:space="preserve"> will </w:t>
            </w:r>
            <w:r w:rsidR="002911EE" w:rsidRPr="00F627B2">
              <w:rPr>
                <w:rFonts w:ascii="Lato" w:hAnsi="Lato"/>
                <w:bCs/>
                <w:szCs w:val="22"/>
              </w:rPr>
              <w:t>concentrate</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B9512B">
            <w:pPr>
              <w:spacing w:line="240" w:lineRule="auto"/>
              <w:rPr>
                <w:rFonts w:ascii="Lato" w:hAnsi="Lato"/>
                <w:szCs w:val="22"/>
              </w:rPr>
            </w:pPr>
            <w:r w:rsidRPr="00F627B2">
              <w:rPr>
                <w:rFonts w:ascii="Lato" w:hAnsi="Lato"/>
                <w:bCs/>
                <w:szCs w:val="22"/>
              </w:rPr>
              <w:t xml:space="preserve">investment </w:t>
            </w:r>
            <w:r w:rsidR="00313EDC" w:rsidRPr="00F627B2">
              <w:rPr>
                <w:rFonts w:ascii="Lato" w:hAnsi="Lato"/>
                <w:bCs/>
                <w:szCs w:val="22"/>
              </w:rPr>
              <w:t>in any</w:t>
            </w:r>
            <w:r w:rsidR="00313EDC" w:rsidRPr="00F627B2">
              <w:rPr>
                <w:rFonts w:ascii="Lato" w:hAnsi="Lato"/>
                <w:szCs w:val="22"/>
              </w:rPr>
              <w:t xml:space="preserve"> </w:t>
            </w:r>
            <w:r w:rsidR="002F07AF" w:rsidRPr="00F627B2">
              <w:rPr>
                <w:rFonts w:ascii="Lato" w:hAnsi="Lato"/>
                <w:szCs w:val="22"/>
              </w:rPr>
              <w:t>industry or geographical sectors</w:t>
            </w:r>
          </w:p>
        </w:tc>
        <w:tc>
          <w:tcPr>
            <w:tcW w:w="1131" w:type="dxa"/>
            <w:gridSpan w:val="4"/>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r w:rsidRPr="00F627B2">
              <w:rPr>
                <w:rFonts w:ascii="Lato" w:hAnsi="Lato"/>
                <w:szCs w:val="22"/>
              </w:rPr>
              <w:t>e)</w:t>
            </w:r>
          </w:p>
        </w:tc>
        <w:tc>
          <w:tcPr>
            <w:tcW w:w="5493" w:type="dxa"/>
            <w:tcBorders>
              <w:top w:val="nil"/>
              <w:left w:val="nil"/>
              <w:bottom w:val="nil"/>
              <w:right w:val="nil"/>
            </w:tcBorders>
          </w:tcPr>
          <w:p w:rsidR="002F07AF" w:rsidRPr="00F627B2" w:rsidRDefault="002F07AF">
            <w:pPr>
              <w:spacing w:line="240" w:lineRule="auto"/>
              <w:rPr>
                <w:rFonts w:ascii="Lato" w:hAnsi="Lato"/>
                <w:szCs w:val="22"/>
              </w:rPr>
            </w:pPr>
            <w:r w:rsidRPr="00F627B2">
              <w:rPr>
                <w:rFonts w:ascii="Lato" w:hAnsi="Lato"/>
                <w:szCs w:val="22"/>
              </w:rPr>
              <w:t xml:space="preserve">Where a </w:t>
            </w:r>
            <w:r w:rsidR="00313EDC" w:rsidRPr="00F627B2">
              <w:rPr>
                <w:rFonts w:ascii="Lato" w:hAnsi="Lato"/>
                <w:szCs w:val="22"/>
              </w:rPr>
              <w:t>Retail Investor AIF</w:t>
            </w:r>
            <w:r w:rsidRPr="00F627B2">
              <w:rPr>
                <w:rFonts w:ascii="Lato" w:hAnsi="Lato"/>
                <w:szCs w:val="22"/>
              </w:rPr>
              <w:t xml:space="preserve"> intends to </w:t>
            </w:r>
            <w:r w:rsidRPr="00F627B2">
              <w:rPr>
                <w:rFonts w:ascii="Lato" w:hAnsi="Lato"/>
                <w:szCs w:val="22"/>
                <w:u w:val="single"/>
              </w:rPr>
              <w:t>track the performance</w:t>
            </w:r>
            <w:r w:rsidRPr="00F627B2">
              <w:rPr>
                <w:rFonts w:ascii="Lato" w:hAnsi="Lato"/>
                <w:szCs w:val="22"/>
              </w:rPr>
              <w:t xml:space="preserve"> of an index </w:t>
            </w:r>
          </w:p>
        </w:tc>
        <w:tc>
          <w:tcPr>
            <w:tcW w:w="1131" w:type="dxa"/>
            <w:gridSpan w:val="4"/>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r w:rsidRPr="00F627B2">
              <w:rPr>
                <w:rFonts w:ascii="Lato" w:hAnsi="Lato"/>
                <w:szCs w:val="22"/>
              </w:rPr>
              <w:t>(i)</w:t>
            </w:r>
          </w:p>
        </w:tc>
        <w:tc>
          <w:tcPr>
            <w:tcW w:w="5493" w:type="dxa"/>
            <w:tcBorders>
              <w:top w:val="nil"/>
              <w:left w:val="nil"/>
              <w:bottom w:val="nil"/>
              <w:right w:val="single" w:sz="4" w:space="0" w:color="auto"/>
            </w:tcBorders>
          </w:tcPr>
          <w:p w:rsidR="002F07AF" w:rsidRPr="00F627B2" w:rsidRDefault="002F07AF">
            <w:pPr>
              <w:spacing w:line="240" w:lineRule="auto"/>
              <w:rPr>
                <w:rFonts w:ascii="Lato" w:hAnsi="Lato"/>
                <w:szCs w:val="22"/>
              </w:rPr>
            </w:pPr>
            <w:r w:rsidRPr="00F627B2">
              <w:rPr>
                <w:rFonts w:ascii="Lato" w:hAnsi="Lato"/>
                <w:szCs w:val="22"/>
              </w:rPr>
              <w:t>Disclose this clearly</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r w:rsidRPr="00F627B2">
              <w:rPr>
                <w:rFonts w:ascii="Lato" w:hAnsi="Lato"/>
                <w:szCs w:val="22"/>
              </w:rPr>
              <w:t>(ii)</w:t>
            </w:r>
          </w:p>
        </w:tc>
        <w:tc>
          <w:tcPr>
            <w:tcW w:w="5493" w:type="dxa"/>
            <w:tcBorders>
              <w:top w:val="nil"/>
              <w:left w:val="nil"/>
              <w:bottom w:val="nil"/>
              <w:right w:val="single" w:sz="4" w:space="0" w:color="auto"/>
            </w:tcBorders>
          </w:tcPr>
          <w:p w:rsidR="002F07AF" w:rsidRPr="00F627B2" w:rsidRDefault="002F07AF">
            <w:pPr>
              <w:spacing w:line="240" w:lineRule="auto"/>
              <w:rPr>
                <w:rFonts w:ascii="Lato" w:hAnsi="Lato"/>
                <w:szCs w:val="22"/>
              </w:rPr>
            </w:pPr>
            <w:r w:rsidRPr="00F627B2">
              <w:rPr>
                <w:rFonts w:ascii="Lato" w:hAnsi="Lato"/>
                <w:szCs w:val="22"/>
              </w:rPr>
              <w:t>Provide a description of the index.</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r w:rsidRPr="00F627B2">
              <w:rPr>
                <w:rFonts w:ascii="Lato" w:hAnsi="Lato"/>
                <w:szCs w:val="22"/>
              </w:rPr>
              <w:t>(Note: any change in the index is a change in policy and must be disclosed in the Prospectus)</w:t>
            </w:r>
          </w:p>
        </w:tc>
        <w:tc>
          <w:tcPr>
            <w:tcW w:w="1131" w:type="dxa"/>
            <w:gridSpan w:val="4"/>
            <w:tcBorders>
              <w:top w:val="single" w:sz="4" w:space="0" w:color="auto"/>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r w:rsidRPr="00F627B2">
              <w:rPr>
                <w:rFonts w:ascii="Lato" w:hAnsi="Lato"/>
                <w:szCs w:val="22"/>
              </w:rPr>
              <w:t>(iii)</w:t>
            </w:r>
          </w:p>
        </w:tc>
        <w:tc>
          <w:tcPr>
            <w:tcW w:w="5493" w:type="dxa"/>
            <w:tcBorders>
              <w:top w:val="nil"/>
              <w:left w:val="nil"/>
              <w:bottom w:val="nil"/>
              <w:right w:val="single" w:sz="4" w:space="0" w:color="auto"/>
            </w:tcBorders>
          </w:tcPr>
          <w:p w:rsidR="002F07AF" w:rsidRPr="00F627B2" w:rsidRDefault="002F07AF" w:rsidP="00B9512B">
            <w:pPr>
              <w:spacing w:line="240" w:lineRule="auto"/>
              <w:rPr>
                <w:rFonts w:ascii="Lato" w:hAnsi="Lato"/>
                <w:szCs w:val="22"/>
              </w:rPr>
            </w:pPr>
            <w:r w:rsidRPr="00F627B2">
              <w:rPr>
                <w:rFonts w:ascii="Lato" w:hAnsi="Lato"/>
                <w:szCs w:val="22"/>
              </w:rPr>
              <w:t xml:space="preserve">Outline the procedure to be adopted when the </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B9512B">
            <w:pPr>
              <w:spacing w:line="240" w:lineRule="auto"/>
              <w:rPr>
                <w:rFonts w:ascii="Lato" w:hAnsi="Lato"/>
                <w:szCs w:val="22"/>
              </w:rPr>
            </w:pPr>
            <w:r w:rsidRPr="00F627B2">
              <w:rPr>
                <w:rFonts w:ascii="Lato" w:hAnsi="Lato"/>
                <w:szCs w:val="22"/>
              </w:rPr>
              <w:t xml:space="preserve">weighting </w:t>
            </w:r>
            <w:r w:rsidR="002F07AF" w:rsidRPr="00F627B2">
              <w:rPr>
                <w:rFonts w:ascii="Lato" w:hAnsi="Lato"/>
                <w:szCs w:val="22"/>
              </w:rPr>
              <w:t xml:space="preserve">of any particular stock exceeds the permitted investment restrictions </w:t>
            </w:r>
          </w:p>
        </w:tc>
        <w:tc>
          <w:tcPr>
            <w:tcW w:w="1131" w:type="dxa"/>
            <w:gridSpan w:val="4"/>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r w:rsidRPr="00F627B2">
              <w:rPr>
                <w:rFonts w:ascii="Lato" w:hAnsi="Lato"/>
                <w:szCs w:val="22"/>
              </w:rPr>
              <w:t>f)</w:t>
            </w:r>
          </w:p>
        </w:tc>
        <w:tc>
          <w:tcPr>
            <w:tcW w:w="5493" w:type="dxa"/>
            <w:tcBorders>
              <w:top w:val="nil"/>
              <w:left w:val="nil"/>
              <w:bottom w:val="nil"/>
              <w:right w:val="single" w:sz="4" w:space="0" w:color="auto"/>
            </w:tcBorders>
          </w:tcPr>
          <w:p w:rsidR="002F07AF" w:rsidRPr="00F627B2" w:rsidRDefault="002F07AF" w:rsidP="00B9512B">
            <w:pPr>
              <w:spacing w:line="240" w:lineRule="auto"/>
              <w:rPr>
                <w:rFonts w:ascii="Lato" w:hAnsi="Lato"/>
                <w:szCs w:val="22"/>
              </w:rPr>
            </w:pPr>
            <w:r w:rsidRPr="00F627B2">
              <w:rPr>
                <w:rFonts w:ascii="Lato" w:hAnsi="Lato"/>
                <w:szCs w:val="22"/>
              </w:rPr>
              <w:t xml:space="preserve">Where a </w:t>
            </w:r>
            <w:r w:rsidR="00313EDC" w:rsidRPr="00F627B2">
              <w:rPr>
                <w:rFonts w:ascii="Lato" w:hAnsi="Lato"/>
                <w:szCs w:val="22"/>
              </w:rPr>
              <w:t>Retail Investor AIF</w:t>
            </w:r>
            <w:r w:rsidRPr="00F627B2">
              <w:rPr>
                <w:rFonts w:ascii="Lato" w:hAnsi="Lato"/>
                <w:szCs w:val="22"/>
              </w:rPr>
              <w:t xml:space="preserve"> intends to </w:t>
            </w:r>
            <w:r w:rsidR="002911EE" w:rsidRPr="00F627B2">
              <w:rPr>
                <w:rFonts w:ascii="Lato" w:hAnsi="Lato"/>
                <w:szCs w:val="22"/>
                <w:u w:val="single"/>
              </w:rPr>
              <w:t>measure its</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313EDC">
            <w:pPr>
              <w:spacing w:line="240" w:lineRule="auto"/>
              <w:rPr>
                <w:rFonts w:ascii="Lato" w:hAnsi="Lato"/>
                <w:szCs w:val="22"/>
              </w:rPr>
            </w:pPr>
            <w:r w:rsidRPr="00F627B2">
              <w:rPr>
                <w:rFonts w:ascii="Lato" w:hAnsi="Lato"/>
                <w:szCs w:val="22"/>
                <w:u w:val="single"/>
              </w:rPr>
              <w:t>performance</w:t>
            </w:r>
            <w:r w:rsidRPr="00F627B2">
              <w:rPr>
                <w:rFonts w:ascii="Lato" w:hAnsi="Lato"/>
                <w:szCs w:val="22"/>
              </w:rPr>
              <w:t xml:space="preserve"> against </w:t>
            </w:r>
            <w:r w:rsidR="002F07AF" w:rsidRPr="00F627B2">
              <w:rPr>
                <w:rFonts w:ascii="Lato" w:hAnsi="Lato"/>
                <w:szCs w:val="22"/>
              </w:rPr>
              <w:t>a particular index disclose a description of the index.  (Note: any change in the index must be disclosed in periodic reports)</w:t>
            </w:r>
          </w:p>
        </w:tc>
        <w:tc>
          <w:tcPr>
            <w:tcW w:w="1131" w:type="dxa"/>
            <w:gridSpan w:val="4"/>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2F07AF">
            <w:pPr>
              <w:spacing w:line="240" w:lineRule="auto"/>
              <w:rPr>
                <w:rFonts w:ascii="Lato" w:hAnsi="Lato"/>
                <w:szCs w:val="22"/>
              </w:rPr>
            </w:pPr>
            <w:r w:rsidRPr="00F627B2">
              <w:rPr>
                <w:rFonts w:ascii="Lato" w:hAnsi="Lato"/>
                <w:szCs w:val="22"/>
              </w:rPr>
              <w:t>2.2.4</w:t>
            </w:r>
          </w:p>
        </w:tc>
        <w:tc>
          <w:tcPr>
            <w:tcW w:w="5493" w:type="dxa"/>
            <w:tcBorders>
              <w:top w:val="nil"/>
              <w:left w:val="nil"/>
              <w:bottom w:val="nil"/>
              <w:right w:val="nil"/>
            </w:tcBorders>
          </w:tcPr>
          <w:p w:rsidR="002F07AF" w:rsidRPr="00F627B2" w:rsidRDefault="002F07AF">
            <w:pPr>
              <w:spacing w:line="240" w:lineRule="auto"/>
              <w:rPr>
                <w:rFonts w:ascii="Lato" w:hAnsi="Lato"/>
                <w:szCs w:val="22"/>
                <w:u w:val="single"/>
              </w:rPr>
            </w:pPr>
            <w:r w:rsidRPr="00F627B2">
              <w:rPr>
                <w:rFonts w:ascii="Lato" w:hAnsi="Lato"/>
                <w:szCs w:val="22"/>
                <w:u w:val="single"/>
              </w:rPr>
              <w:t>Investment in other investment funds</w:t>
            </w:r>
          </w:p>
        </w:tc>
        <w:tc>
          <w:tcPr>
            <w:tcW w:w="1131" w:type="dxa"/>
            <w:gridSpan w:val="4"/>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r w:rsidRPr="00F627B2">
              <w:rPr>
                <w:rFonts w:ascii="Lato" w:hAnsi="Lato"/>
                <w:szCs w:val="22"/>
              </w:rPr>
              <w:t>a)</w:t>
            </w:r>
          </w:p>
        </w:tc>
        <w:tc>
          <w:tcPr>
            <w:tcW w:w="5493" w:type="dxa"/>
            <w:tcBorders>
              <w:top w:val="nil"/>
              <w:left w:val="nil"/>
              <w:bottom w:val="nil"/>
              <w:right w:val="single" w:sz="4" w:space="0" w:color="auto"/>
            </w:tcBorders>
          </w:tcPr>
          <w:p w:rsidR="002F07AF" w:rsidRPr="00F627B2" w:rsidRDefault="002F07AF" w:rsidP="00B9512B">
            <w:pPr>
              <w:spacing w:line="240" w:lineRule="auto"/>
              <w:rPr>
                <w:rFonts w:ascii="Lato" w:hAnsi="Lato"/>
                <w:szCs w:val="22"/>
              </w:rPr>
            </w:pPr>
            <w:r w:rsidRPr="00F627B2">
              <w:rPr>
                <w:rFonts w:ascii="Lato" w:hAnsi="Lato"/>
                <w:szCs w:val="22"/>
              </w:rPr>
              <w:t xml:space="preserve">Clearly indicate the extent to which it is </w:t>
            </w:r>
            <w:r w:rsidR="002911EE" w:rsidRPr="00F627B2">
              <w:rPr>
                <w:rFonts w:ascii="Lato" w:hAnsi="Lato"/>
                <w:szCs w:val="22"/>
              </w:rPr>
              <w:t>intended to</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B9512B" w:rsidP="006C49ED">
            <w:pPr>
              <w:spacing w:line="240" w:lineRule="auto"/>
              <w:rPr>
                <w:rFonts w:ascii="Lato" w:hAnsi="Lato"/>
                <w:szCs w:val="22"/>
              </w:rPr>
            </w:pPr>
            <w:r w:rsidRPr="00F627B2">
              <w:rPr>
                <w:rFonts w:ascii="Lato" w:hAnsi="Lato"/>
                <w:szCs w:val="22"/>
              </w:rPr>
              <w:t xml:space="preserve">invest in </w:t>
            </w:r>
            <w:r w:rsidR="002F07AF" w:rsidRPr="00F627B2">
              <w:rPr>
                <w:rFonts w:ascii="Lato" w:hAnsi="Lato"/>
                <w:szCs w:val="22"/>
              </w:rPr>
              <w:t xml:space="preserve">underlying investment funds  </w:t>
            </w:r>
          </w:p>
        </w:tc>
        <w:tc>
          <w:tcPr>
            <w:tcW w:w="1131" w:type="dxa"/>
            <w:gridSpan w:val="4"/>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178C8" w:rsidRPr="00F627B2" w:rsidRDefault="006178C8">
            <w:pPr>
              <w:spacing w:line="240" w:lineRule="auto"/>
              <w:jc w:val="right"/>
              <w:rPr>
                <w:rFonts w:ascii="Lato" w:hAnsi="Lato"/>
                <w:szCs w:val="22"/>
              </w:rPr>
            </w:pPr>
          </w:p>
        </w:tc>
        <w:tc>
          <w:tcPr>
            <w:tcW w:w="5493" w:type="dxa"/>
            <w:tcBorders>
              <w:top w:val="nil"/>
              <w:left w:val="nil"/>
              <w:bottom w:val="nil"/>
              <w:right w:val="nil"/>
            </w:tcBorders>
          </w:tcPr>
          <w:p w:rsidR="006178C8" w:rsidRPr="00F627B2" w:rsidRDefault="006178C8" w:rsidP="006C49ED">
            <w:pPr>
              <w:spacing w:line="240" w:lineRule="auto"/>
              <w:rPr>
                <w:rFonts w:ascii="Lato" w:hAnsi="Lato"/>
                <w:szCs w:val="22"/>
              </w:rPr>
            </w:pPr>
          </w:p>
        </w:tc>
        <w:tc>
          <w:tcPr>
            <w:tcW w:w="1131" w:type="dxa"/>
            <w:gridSpan w:val="4"/>
            <w:tcBorders>
              <w:top w:val="nil"/>
              <w:left w:val="nil"/>
              <w:bottom w:val="nil"/>
              <w:right w:val="nil"/>
            </w:tcBorders>
          </w:tcPr>
          <w:p w:rsidR="006178C8" w:rsidRPr="00F627B2" w:rsidRDefault="006178C8">
            <w:pPr>
              <w:spacing w:line="240" w:lineRule="auto"/>
              <w:rPr>
                <w:rFonts w:ascii="Lato" w:hAnsi="Lato"/>
                <w:szCs w:val="22"/>
              </w:rPr>
            </w:pPr>
          </w:p>
        </w:tc>
        <w:tc>
          <w:tcPr>
            <w:tcW w:w="543" w:type="dxa"/>
            <w:gridSpan w:val="2"/>
            <w:tcBorders>
              <w:top w:val="nil"/>
              <w:left w:val="nil"/>
              <w:bottom w:val="nil"/>
              <w:right w:val="nil"/>
            </w:tcBorders>
          </w:tcPr>
          <w:p w:rsidR="006178C8" w:rsidRPr="00F627B2" w:rsidRDefault="006178C8">
            <w:pPr>
              <w:spacing w:line="240" w:lineRule="auto"/>
              <w:rPr>
                <w:rFonts w:ascii="Lato" w:hAnsi="Lato"/>
                <w:szCs w:val="22"/>
              </w:rPr>
            </w:pPr>
          </w:p>
        </w:tc>
        <w:tc>
          <w:tcPr>
            <w:tcW w:w="1305" w:type="dxa"/>
            <w:gridSpan w:val="6"/>
            <w:tcBorders>
              <w:top w:val="nil"/>
              <w:left w:val="nil"/>
              <w:bottom w:val="nil"/>
              <w:right w:val="nil"/>
            </w:tcBorders>
          </w:tcPr>
          <w:p w:rsidR="006178C8" w:rsidRPr="00F627B2" w:rsidRDefault="006178C8">
            <w:pPr>
              <w:spacing w:line="240" w:lineRule="auto"/>
              <w:rPr>
                <w:rFonts w:ascii="Lato" w:hAnsi="Lato"/>
                <w:szCs w:val="22"/>
              </w:rPr>
            </w:pPr>
          </w:p>
        </w:tc>
        <w:tc>
          <w:tcPr>
            <w:tcW w:w="273" w:type="dxa"/>
            <w:gridSpan w:val="6"/>
            <w:tcBorders>
              <w:top w:val="nil"/>
              <w:left w:val="nil"/>
              <w:bottom w:val="nil"/>
              <w:right w:val="nil"/>
            </w:tcBorders>
          </w:tcPr>
          <w:p w:rsidR="006178C8" w:rsidRPr="00F627B2" w:rsidRDefault="006178C8">
            <w:pPr>
              <w:spacing w:line="240" w:lineRule="auto"/>
              <w:rPr>
                <w:rFonts w:ascii="Lato" w:hAnsi="Lato"/>
                <w:szCs w:val="22"/>
              </w:rPr>
            </w:pPr>
          </w:p>
        </w:tc>
        <w:tc>
          <w:tcPr>
            <w:tcW w:w="765" w:type="dxa"/>
            <w:gridSpan w:val="7"/>
            <w:tcBorders>
              <w:top w:val="nil"/>
              <w:left w:val="nil"/>
              <w:bottom w:val="single" w:sz="4" w:space="0" w:color="auto"/>
              <w:right w:val="nil"/>
            </w:tcBorders>
          </w:tcPr>
          <w:p w:rsidR="006178C8" w:rsidRPr="00F627B2" w:rsidRDefault="006178C8">
            <w:pPr>
              <w:spacing w:line="240" w:lineRule="auto"/>
              <w:rPr>
                <w:rFonts w:ascii="Lato" w:hAnsi="Lato"/>
                <w:szCs w:val="22"/>
              </w:rPr>
            </w:pPr>
          </w:p>
        </w:tc>
        <w:tc>
          <w:tcPr>
            <w:tcW w:w="278" w:type="dxa"/>
            <w:gridSpan w:val="4"/>
            <w:tcBorders>
              <w:top w:val="nil"/>
              <w:left w:val="nil"/>
              <w:bottom w:val="nil"/>
              <w:right w:val="nil"/>
            </w:tcBorders>
          </w:tcPr>
          <w:p w:rsidR="006178C8" w:rsidRPr="00F627B2" w:rsidRDefault="006178C8">
            <w:pPr>
              <w:spacing w:line="240" w:lineRule="auto"/>
              <w:rPr>
                <w:rFonts w:ascii="Lato" w:hAnsi="Lato"/>
                <w:szCs w:val="22"/>
              </w:rPr>
            </w:pPr>
          </w:p>
        </w:tc>
        <w:tc>
          <w:tcPr>
            <w:tcW w:w="595" w:type="dxa"/>
            <w:gridSpan w:val="7"/>
            <w:tcBorders>
              <w:top w:val="nil"/>
              <w:left w:val="nil"/>
              <w:bottom w:val="nil"/>
              <w:right w:val="nil"/>
            </w:tcBorders>
          </w:tcPr>
          <w:p w:rsidR="006178C8" w:rsidRPr="00F627B2" w:rsidRDefault="006178C8">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178C8" w:rsidRPr="00F627B2" w:rsidRDefault="006178C8">
            <w:pPr>
              <w:spacing w:line="240" w:lineRule="auto"/>
              <w:jc w:val="right"/>
              <w:rPr>
                <w:rFonts w:ascii="Lato" w:hAnsi="Lato"/>
                <w:szCs w:val="22"/>
              </w:rPr>
            </w:pPr>
            <w:r w:rsidRPr="00F627B2">
              <w:rPr>
                <w:rFonts w:ascii="Lato" w:hAnsi="Lato"/>
                <w:szCs w:val="22"/>
              </w:rPr>
              <w:t>b)</w:t>
            </w:r>
          </w:p>
        </w:tc>
        <w:tc>
          <w:tcPr>
            <w:tcW w:w="5493" w:type="dxa"/>
            <w:tcBorders>
              <w:top w:val="nil"/>
              <w:left w:val="nil"/>
              <w:bottom w:val="nil"/>
              <w:right w:val="nil"/>
            </w:tcBorders>
          </w:tcPr>
          <w:p w:rsidR="006178C8" w:rsidRPr="00F627B2" w:rsidRDefault="006178C8" w:rsidP="00B9512B">
            <w:pPr>
              <w:spacing w:line="240" w:lineRule="auto"/>
              <w:rPr>
                <w:rFonts w:ascii="Lato" w:hAnsi="Lato"/>
                <w:szCs w:val="22"/>
              </w:rPr>
            </w:pPr>
            <w:r w:rsidRPr="00F627B2">
              <w:rPr>
                <w:rFonts w:ascii="Lato" w:hAnsi="Lato"/>
                <w:szCs w:val="22"/>
              </w:rPr>
              <w:t xml:space="preserve">Where this is the case, confirm Appendix 4 </w:t>
            </w:r>
            <w:r w:rsidR="002911EE" w:rsidRPr="00F627B2">
              <w:rPr>
                <w:rFonts w:ascii="Lato" w:hAnsi="Lato"/>
                <w:szCs w:val="22"/>
              </w:rPr>
              <w:t>and/or</w:t>
            </w:r>
          </w:p>
        </w:tc>
        <w:tc>
          <w:tcPr>
            <w:tcW w:w="1131" w:type="dxa"/>
            <w:gridSpan w:val="4"/>
            <w:tcBorders>
              <w:top w:val="nil"/>
              <w:left w:val="nil"/>
              <w:bottom w:val="nil"/>
              <w:right w:val="nil"/>
            </w:tcBorders>
          </w:tcPr>
          <w:p w:rsidR="006178C8" w:rsidRPr="00F627B2" w:rsidRDefault="006178C8">
            <w:pPr>
              <w:spacing w:line="240" w:lineRule="auto"/>
              <w:rPr>
                <w:rFonts w:ascii="Lato" w:hAnsi="Lato"/>
                <w:szCs w:val="22"/>
              </w:rPr>
            </w:pPr>
          </w:p>
        </w:tc>
        <w:tc>
          <w:tcPr>
            <w:tcW w:w="543" w:type="dxa"/>
            <w:gridSpan w:val="2"/>
            <w:tcBorders>
              <w:top w:val="nil"/>
              <w:left w:val="nil"/>
              <w:bottom w:val="nil"/>
              <w:right w:val="nil"/>
            </w:tcBorders>
          </w:tcPr>
          <w:p w:rsidR="006178C8" w:rsidRPr="00F627B2" w:rsidRDefault="006178C8">
            <w:pPr>
              <w:spacing w:line="240" w:lineRule="auto"/>
              <w:rPr>
                <w:rFonts w:ascii="Lato" w:hAnsi="Lato"/>
                <w:szCs w:val="22"/>
              </w:rPr>
            </w:pPr>
          </w:p>
        </w:tc>
        <w:tc>
          <w:tcPr>
            <w:tcW w:w="1305" w:type="dxa"/>
            <w:gridSpan w:val="6"/>
            <w:tcBorders>
              <w:top w:val="nil"/>
              <w:left w:val="nil"/>
              <w:bottom w:val="nil"/>
              <w:right w:val="nil"/>
            </w:tcBorders>
          </w:tcPr>
          <w:p w:rsidR="006178C8" w:rsidRPr="00F627B2" w:rsidRDefault="006178C8">
            <w:pPr>
              <w:spacing w:line="240" w:lineRule="auto"/>
              <w:rPr>
                <w:rFonts w:ascii="Lato" w:hAnsi="Lato"/>
                <w:szCs w:val="22"/>
              </w:rPr>
            </w:pPr>
          </w:p>
        </w:tc>
        <w:tc>
          <w:tcPr>
            <w:tcW w:w="273" w:type="dxa"/>
            <w:gridSpan w:val="6"/>
            <w:tcBorders>
              <w:top w:val="nil"/>
              <w:left w:val="nil"/>
              <w:bottom w:val="nil"/>
              <w:right w:val="single" w:sz="4" w:space="0" w:color="auto"/>
            </w:tcBorders>
          </w:tcPr>
          <w:p w:rsidR="006178C8" w:rsidRPr="00F627B2" w:rsidRDefault="006178C8">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6178C8" w:rsidRPr="00F627B2" w:rsidRDefault="006178C8">
            <w:pPr>
              <w:spacing w:line="240" w:lineRule="auto"/>
              <w:rPr>
                <w:rFonts w:ascii="Lato" w:hAnsi="Lato"/>
                <w:szCs w:val="22"/>
              </w:rPr>
            </w:pPr>
          </w:p>
        </w:tc>
        <w:tc>
          <w:tcPr>
            <w:tcW w:w="278" w:type="dxa"/>
            <w:gridSpan w:val="4"/>
            <w:tcBorders>
              <w:top w:val="nil"/>
              <w:left w:val="single" w:sz="4" w:space="0" w:color="auto"/>
              <w:bottom w:val="nil"/>
              <w:right w:val="nil"/>
            </w:tcBorders>
          </w:tcPr>
          <w:p w:rsidR="006178C8" w:rsidRPr="00F627B2" w:rsidRDefault="006178C8">
            <w:pPr>
              <w:spacing w:line="240" w:lineRule="auto"/>
              <w:rPr>
                <w:rFonts w:ascii="Lato" w:hAnsi="Lato"/>
                <w:szCs w:val="22"/>
              </w:rPr>
            </w:pPr>
          </w:p>
        </w:tc>
        <w:tc>
          <w:tcPr>
            <w:tcW w:w="595" w:type="dxa"/>
            <w:gridSpan w:val="7"/>
            <w:tcBorders>
              <w:top w:val="nil"/>
              <w:left w:val="nil"/>
              <w:bottom w:val="nil"/>
              <w:right w:val="nil"/>
            </w:tcBorders>
          </w:tcPr>
          <w:p w:rsidR="006178C8" w:rsidRPr="00F627B2" w:rsidRDefault="006178C8">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178C8" w:rsidRPr="00F627B2" w:rsidRDefault="006178C8">
            <w:pPr>
              <w:spacing w:line="240" w:lineRule="auto"/>
              <w:jc w:val="right"/>
              <w:rPr>
                <w:rFonts w:ascii="Lato" w:hAnsi="Lato"/>
                <w:szCs w:val="22"/>
              </w:rPr>
            </w:pPr>
          </w:p>
        </w:tc>
        <w:tc>
          <w:tcPr>
            <w:tcW w:w="5493" w:type="dxa"/>
            <w:tcBorders>
              <w:top w:val="nil"/>
              <w:left w:val="nil"/>
              <w:bottom w:val="nil"/>
              <w:right w:val="nil"/>
            </w:tcBorders>
          </w:tcPr>
          <w:p w:rsidR="006178C8" w:rsidRPr="00F627B2" w:rsidRDefault="00B9512B" w:rsidP="00B9512B">
            <w:pPr>
              <w:spacing w:line="240" w:lineRule="auto"/>
              <w:rPr>
                <w:rFonts w:ascii="Lato" w:hAnsi="Lato"/>
                <w:szCs w:val="22"/>
              </w:rPr>
            </w:pPr>
            <w:r w:rsidRPr="00F627B2">
              <w:rPr>
                <w:rFonts w:ascii="Lato" w:hAnsi="Lato"/>
                <w:szCs w:val="22"/>
              </w:rPr>
              <w:t xml:space="preserve">Appendix 5 is </w:t>
            </w:r>
            <w:r w:rsidR="006178C8" w:rsidRPr="00F627B2">
              <w:rPr>
                <w:rFonts w:ascii="Lato" w:hAnsi="Lato"/>
                <w:szCs w:val="22"/>
              </w:rPr>
              <w:t>attached</w:t>
            </w:r>
          </w:p>
        </w:tc>
        <w:tc>
          <w:tcPr>
            <w:tcW w:w="1131" w:type="dxa"/>
            <w:gridSpan w:val="4"/>
            <w:tcBorders>
              <w:top w:val="nil"/>
              <w:left w:val="nil"/>
              <w:bottom w:val="nil"/>
              <w:right w:val="nil"/>
            </w:tcBorders>
          </w:tcPr>
          <w:p w:rsidR="006178C8" w:rsidRPr="00F627B2" w:rsidRDefault="006178C8">
            <w:pPr>
              <w:spacing w:line="240" w:lineRule="auto"/>
              <w:rPr>
                <w:rFonts w:ascii="Lato" w:hAnsi="Lato"/>
                <w:szCs w:val="22"/>
              </w:rPr>
            </w:pPr>
          </w:p>
        </w:tc>
        <w:tc>
          <w:tcPr>
            <w:tcW w:w="543" w:type="dxa"/>
            <w:gridSpan w:val="2"/>
            <w:tcBorders>
              <w:top w:val="nil"/>
              <w:left w:val="nil"/>
              <w:bottom w:val="nil"/>
              <w:right w:val="nil"/>
            </w:tcBorders>
          </w:tcPr>
          <w:p w:rsidR="006178C8" w:rsidRPr="00F627B2" w:rsidRDefault="006178C8">
            <w:pPr>
              <w:spacing w:line="240" w:lineRule="auto"/>
              <w:rPr>
                <w:rFonts w:ascii="Lato" w:hAnsi="Lato"/>
                <w:szCs w:val="22"/>
              </w:rPr>
            </w:pPr>
          </w:p>
        </w:tc>
        <w:tc>
          <w:tcPr>
            <w:tcW w:w="1305" w:type="dxa"/>
            <w:gridSpan w:val="6"/>
            <w:tcBorders>
              <w:top w:val="nil"/>
              <w:left w:val="nil"/>
              <w:bottom w:val="nil"/>
              <w:right w:val="nil"/>
            </w:tcBorders>
          </w:tcPr>
          <w:p w:rsidR="006178C8" w:rsidRPr="00F627B2" w:rsidRDefault="006178C8">
            <w:pPr>
              <w:spacing w:line="240" w:lineRule="auto"/>
              <w:rPr>
                <w:rFonts w:ascii="Lato" w:hAnsi="Lato"/>
                <w:szCs w:val="22"/>
              </w:rPr>
            </w:pPr>
          </w:p>
        </w:tc>
        <w:tc>
          <w:tcPr>
            <w:tcW w:w="273" w:type="dxa"/>
            <w:gridSpan w:val="6"/>
            <w:tcBorders>
              <w:top w:val="nil"/>
              <w:left w:val="nil"/>
              <w:bottom w:val="nil"/>
              <w:right w:val="nil"/>
            </w:tcBorders>
          </w:tcPr>
          <w:p w:rsidR="006178C8" w:rsidRPr="00F627B2" w:rsidRDefault="006178C8">
            <w:pPr>
              <w:spacing w:line="240" w:lineRule="auto"/>
              <w:rPr>
                <w:rFonts w:ascii="Lato" w:hAnsi="Lato"/>
                <w:szCs w:val="22"/>
              </w:rPr>
            </w:pPr>
          </w:p>
        </w:tc>
        <w:tc>
          <w:tcPr>
            <w:tcW w:w="765" w:type="dxa"/>
            <w:gridSpan w:val="7"/>
            <w:tcBorders>
              <w:top w:val="single" w:sz="4" w:space="0" w:color="auto"/>
              <w:left w:val="nil"/>
              <w:bottom w:val="nil"/>
              <w:right w:val="nil"/>
            </w:tcBorders>
          </w:tcPr>
          <w:p w:rsidR="006178C8" w:rsidRPr="00F627B2" w:rsidRDefault="006178C8">
            <w:pPr>
              <w:spacing w:line="240" w:lineRule="auto"/>
              <w:rPr>
                <w:rFonts w:ascii="Lato" w:hAnsi="Lato"/>
                <w:szCs w:val="22"/>
              </w:rPr>
            </w:pPr>
          </w:p>
        </w:tc>
        <w:tc>
          <w:tcPr>
            <w:tcW w:w="278" w:type="dxa"/>
            <w:gridSpan w:val="4"/>
            <w:tcBorders>
              <w:top w:val="nil"/>
              <w:left w:val="nil"/>
              <w:bottom w:val="nil"/>
              <w:right w:val="nil"/>
            </w:tcBorders>
          </w:tcPr>
          <w:p w:rsidR="006178C8" w:rsidRPr="00F627B2" w:rsidRDefault="006178C8">
            <w:pPr>
              <w:spacing w:line="240" w:lineRule="auto"/>
              <w:rPr>
                <w:rFonts w:ascii="Lato" w:hAnsi="Lato"/>
                <w:szCs w:val="22"/>
              </w:rPr>
            </w:pPr>
          </w:p>
        </w:tc>
        <w:tc>
          <w:tcPr>
            <w:tcW w:w="595" w:type="dxa"/>
            <w:gridSpan w:val="7"/>
            <w:tcBorders>
              <w:top w:val="nil"/>
              <w:left w:val="nil"/>
              <w:bottom w:val="nil"/>
              <w:right w:val="nil"/>
            </w:tcBorders>
          </w:tcPr>
          <w:p w:rsidR="006178C8" w:rsidRPr="00F627B2" w:rsidRDefault="006178C8">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C49ED" w:rsidRPr="00F627B2" w:rsidRDefault="006C49ED">
            <w:pPr>
              <w:spacing w:line="240" w:lineRule="auto"/>
              <w:jc w:val="right"/>
              <w:rPr>
                <w:rFonts w:ascii="Lato" w:hAnsi="Lato"/>
                <w:szCs w:val="22"/>
              </w:rPr>
            </w:pPr>
          </w:p>
        </w:tc>
        <w:tc>
          <w:tcPr>
            <w:tcW w:w="5493" w:type="dxa"/>
            <w:tcBorders>
              <w:top w:val="nil"/>
              <w:left w:val="nil"/>
              <w:bottom w:val="nil"/>
              <w:right w:val="nil"/>
            </w:tcBorders>
          </w:tcPr>
          <w:p w:rsidR="006C49ED" w:rsidRPr="00F627B2" w:rsidRDefault="006C49ED" w:rsidP="006C49ED">
            <w:pPr>
              <w:spacing w:line="240" w:lineRule="auto"/>
              <w:rPr>
                <w:rFonts w:ascii="Lato" w:hAnsi="Lato"/>
                <w:szCs w:val="22"/>
              </w:rPr>
            </w:pPr>
          </w:p>
        </w:tc>
        <w:tc>
          <w:tcPr>
            <w:tcW w:w="1131" w:type="dxa"/>
            <w:gridSpan w:val="4"/>
            <w:tcBorders>
              <w:top w:val="nil"/>
              <w:left w:val="nil"/>
              <w:bottom w:val="single" w:sz="4" w:space="0" w:color="auto"/>
              <w:right w:val="nil"/>
            </w:tcBorders>
          </w:tcPr>
          <w:p w:rsidR="006C49ED" w:rsidRPr="00F627B2" w:rsidRDefault="006C49ED">
            <w:pPr>
              <w:spacing w:line="240" w:lineRule="auto"/>
              <w:rPr>
                <w:rFonts w:ascii="Lato" w:hAnsi="Lato"/>
                <w:szCs w:val="22"/>
              </w:rPr>
            </w:pPr>
          </w:p>
        </w:tc>
        <w:tc>
          <w:tcPr>
            <w:tcW w:w="543" w:type="dxa"/>
            <w:gridSpan w:val="2"/>
            <w:tcBorders>
              <w:top w:val="nil"/>
              <w:left w:val="nil"/>
              <w:bottom w:val="nil"/>
              <w:right w:val="nil"/>
            </w:tcBorders>
          </w:tcPr>
          <w:p w:rsidR="006C49ED" w:rsidRPr="00F627B2" w:rsidRDefault="006C49ED">
            <w:pPr>
              <w:spacing w:line="240" w:lineRule="auto"/>
              <w:rPr>
                <w:rFonts w:ascii="Lato" w:hAnsi="Lato"/>
                <w:szCs w:val="22"/>
              </w:rPr>
            </w:pPr>
          </w:p>
        </w:tc>
        <w:tc>
          <w:tcPr>
            <w:tcW w:w="1305" w:type="dxa"/>
            <w:gridSpan w:val="6"/>
            <w:tcBorders>
              <w:top w:val="nil"/>
              <w:left w:val="nil"/>
              <w:bottom w:val="single" w:sz="4" w:space="0" w:color="auto"/>
              <w:right w:val="nil"/>
            </w:tcBorders>
          </w:tcPr>
          <w:p w:rsidR="006C49ED" w:rsidRPr="00F627B2" w:rsidRDefault="006C49ED">
            <w:pPr>
              <w:spacing w:line="240" w:lineRule="auto"/>
              <w:rPr>
                <w:rFonts w:ascii="Lato" w:hAnsi="Lato"/>
                <w:szCs w:val="22"/>
              </w:rPr>
            </w:pPr>
          </w:p>
        </w:tc>
        <w:tc>
          <w:tcPr>
            <w:tcW w:w="273" w:type="dxa"/>
            <w:gridSpan w:val="6"/>
            <w:tcBorders>
              <w:top w:val="nil"/>
              <w:left w:val="nil"/>
              <w:bottom w:val="nil"/>
              <w:right w:val="nil"/>
            </w:tcBorders>
          </w:tcPr>
          <w:p w:rsidR="006C49ED" w:rsidRPr="00F627B2" w:rsidRDefault="006C49ED">
            <w:pPr>
              <w:spacing w:line="240" w:lineRule="auto"/>
              <w:rPr>
                <w:rFonts w:ascii="Lato" w:hAnsi="Lato"/>
                <w:szCs w:val="22"/>
              </w:rPr>
            </w:pPr>
          </w:p>
        </w:tc>
        <w:tc>
          <w:tcPr>
            <w:tcW w:w="765" w:type="dxa"/>
            <w:gridSpan w:val="7"/>
            <w:tcBorders>
              <w:top w:val="nil"/>
              <w:left w:val="nil"/>
              <w:bottom w:val="single" w:sz="4" w:space="0" w:color="auto"/>
              <w:right w:val="nil"/>
            </w:tcBorders>
          </w:tcPr>
          <w:p w:rsidR="006C49ED" w:rsidRPr="00F627B2" w:rsidRDefault="006C49ED">
            <w:pPr>
              <w:spacing w:line="240" w:lineRule="auto"/>
              <w:rPr>
                <w:rFonts w:ascii="Lato" w:hAnsi="Lato"/>
                <w:szCs w:val="22"/>
              </w:rPr>
            </w:pPr>
          </w:p>
        </w:tc>
        <w:tc>
          <w:tcPr>
            <w:tcW w:w="278" w:type="dxa"/>
            <w:gridSpan w:val="4"/>
            <w:tcBorders>
              <w:top w:val="nil"/>
              <w:left w:val="nil"/>
              <w:bottom w:val="nil"/>
              <w:right w:val="nil"/>
            </w:tcBorders>
          </w:tcPr>
          <w:p w:rsidR="006C49ED" w:rsidRPr="00F627B2" w:rsidRDefault="006C49ED">
            <w:pPr>
              <w:spacing w:line="240" w:lineRule="auto"/>
              <w:rPr>
                <w:rFonts w:ascii="Lato" w:hAnsi="Lato"/>
                <w:szCs w:val="22"/>
              </w:rPr>
            </w:pPr>
          </w:p>
        </w:tc>
        <w:tc>
          <w:tcPr>
            <w:tcW w:w="595" w:type="dxa"/>
            <w:gridSpan w:val="7"/>
            <w:tcBorders>
              <w:top w:val="nil"/>
              <w:left w:val="nil"/>
              <w:bottom w:val="nil"/>
              <w:right w:val="nil"/>
            </w:tcBorders>
          </w:tcPr>
          <w:p w:rsidR="006C49ED" w:rsidRPr="00F627B2" w:rsidRDefault="006C49ED">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313EDC" w:rsidRPr="00F627B2" w:rsidRDefault="006178C8">
            <w:pPr>
              <w:spacing w:line="240" w:lineRule="auto"/>
              <w:jc w:val="right"/>
              <w:rPr>
                <w:rFonts w:ascii="Lato" w:hAnsi="Lato"/>
                <w:szCs w:val="22"/>
              </w:rPr>
            </w:pPr>
            <w:r w:rsidRPr="00F627B2">
              <w:rPr>
                <w:rFonts w:ascii="Lato" w:hAnsi="Lato"/>
                <w:szCs w:val="22"/>
              </w:rPr>
              <w:t>c</w:t>
            </w:r>
            <w:r w:rsidR="006C49ED" w:rsidRPr="00F627B2">
              <w:rPr>
                <w:rFonts w:ascii="Lato" w:hAnsi="Lato"/>
                <w:szCs w:val="22"/>
              </w:rPr>
              <w:t>)</w:t>
            </w:r>
          </w:p>
        </w:tc>
        <w:tc>
          <w:tcPr>
            <w:tcW w:w="5493" w:type="dxa"/>
            <w:tcBorders>
              <w:top w:val="nil"/>
              <w:left w:val="nil"/>
              <w:bottom w:val="nil"/>
              <w:right w:val="single" w:sz="4" w:space="0" w:color="auto"/>
            </w:tcBorders>
          </w:tcPr>
          <w:p w:rsidR="00313EDC" w:rsidRPr="00F627B2" w:rsidRDefault="006178C8" w:rsidP="00A3401E">
            <w:pPr>
              <w:spacing w:line="240" w:lineRule="auto"/>
              <w:rPr>
                <w:rFonts w:ascii="Lato" w:hAnsi="Lato"/>
                <w:szCs w:val="22"/>
              </w:rPr>
            </w:pPr>
            <w:r w:rsidRPr="00F627B2">
              <w:rPr>
                <w:rFonts w:ascii="Lato" w:hAnsi="Lato"/>
                <w:szCs w:val="22"/>
              </w:rPr>
              <w:t>S</w:t>
            </w:r>
            <w:r w:rsidR="006C49ED" w:rsidRPr="00F627B2">
              <w:rPr>
                <w:rFonts w:ascii="Lato" w:hAnsi="Lato"/>
                <w:szCs w:val="22"/>
              </w:rPr>
              <w:t xml:space="preserve">tate that additional fees will arise from this </w:t>
            </w:r>
          </w:p>
        </w:tc>
        <w:tc>
          <w:tcPr>
            <w:tcW w:w="1131" w:type="dxa"/>
            <w:gridSpan w:val="4"/>
            <w:tcBorders>
              <w:top w:val="single" w:sz="4" w:space="0" w:color="auto"/>
              <w:left w:val="single" w:sz="4" w:space="0" w:color="auto"/>
              <w:bottom w:val="single" w:sz="4" w:space="0" w:color="auto"/>
              <w:right w:val="single" w:sz="4" w:space="0" w:color="auto"/>
            </w:tcBorders>
          </w:tcPr>
          <w:p w:rsidR="00313EDC" w:rsidRPr="00F627B2" w:rsidRDefault="00313EDC">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313EDC" w:rsidRPr="00F627B2" w:rsidRDefault="00313EDC">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313EDC" w:rsidRPr="00F627B2" w:rsidRDefault="00313EDC">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313EDC" w:rsidRPr="00F627B2" w:rsidRDefault="00313EDC">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313EDC" w:rsidRPr="00F627B2" w:rsidRDefault="00313EDC">
            <w:pPr>
              <w:spacing w:line="240" w:lineRule="auto"/>
              <w:rPr>
                <w:rFonts w:ascii="Lato" w:hAnsi="Lato"/>
                <w:szCs w:val="22"/>
              </w:rPr>
            </w:pPr>
          </w:p>
        </w:tc>
        <w:tc>
          <w:tcPr>
            <w:tcW w:w="278" w:type="dxa"/>
            <w:gridSpan w:val="4"/>
            <w:tcBorders>
              <w:top w:val="nil"/>
              <w:left w:val="single" w:sz="4" w:space="0" w:color="auto"/>
              <w:bottom w:val="nil"/>
              <w:right w:val="nil"/>
            </w:tcBorders>
          </w:tcPr>
          <w:p w:rsidR="00313EDC" w:rsidRPr="00F627B2" w:rsidRDefault="00313EDC">
            <w:pPr>
              <w:spacing w:line="240" w:lineRule="auto"/>
              <w:rPr>
                <w:rFonts w:ascii="Lato" w:hAnsi="Lato"/>
                <w:szCs w:val="22"/>
              </w:rPr>
            </w:pPr>
          </w:p>
        </w:tc>
        <w:tc>
          <w:tcPr>
            <w:tcW w:w="595" w:type="dxa"/>
            <w:gridSpan w:val="7"/>
            <w:tcBorders>
              <w:top w:val="nil"/>
              <w:left w:val="nil"/>
              <w:bottom w:val="nil"/>
              <w:right w:val="nil"/>
            </w:tcBorders>
          </w:tcPr>
          <w:p w:rsidR="00313EDC" w:rsidRPr="00F627B2" w:rsidRDefault="00313EDC">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B9512B" w:rsidRPr="00F627B2" w:rsidRDefault="00B9512B">
            <w:pPr>
              <w:spacing w:line="240" w:lineRule="auto"/>
              <w:jc w:val="right"/>
              <w:rPr>
                <w:rFonts w:ascii="Lato" w:hAnsi="Lato"/>
                <w:szCs w:val="22"/>
              </w:rPr>
            </w:pPr>
          </w:p>
        </w:tc>
        <w:tc>
          <w:tcPr>
            <w:tcW w:w="5493" w:type="dxa"/>
            <w:tcBorders>
              <w:top w:val="nil"/>
              <w:left w:val="nil"/>
              <w:bottom w:val="nil"/>
              <w:right w:val="nil"/>
            </w:tcBorders>
          </w:tcPr>
          <w:p w:rsidR="00B9512B" w:rsidRPr="00F627B2" w:rsidRDefault="004F01CA">
            <w:pPr>
              <w:spacing w:line="240" w:lineRule="auto"/>
              <w:rPr>
                <w:rFonts w:ascii="Lato" w:hAnsi="Lato"/>
                <w:szCs w:val="22"/>
              </w:rPr>
            </w:pPr>
            <w:r w:rsidRPr="001E4A73">
              <w:rPr>
                <w:rFonts w:ascii="Lato" w:hAnsi="Lato"/>
                <w:szCs w:val="22"/>
              </w:rPr>
              <w:t>investment</w:t>
            </w:r>
            <w:r w:rsidRPr="00A3401E">
              <w:rPr>
                <w:rFonts w:ascii="Lato" w:hAnsi="Lato"/>
                <w:szCs w:val="22"/>
              </w:rPr>
              <w:t xml:space="preserve"> </w:t>
            </w:r>
            <w:r w:rsidR="00B9512B" w:rsidRPr="00F627B2">
              <w:rPr>
                <w:rFonts w:ascii="Lato" w:hAnsi="Lato"/>
                <w:szCs w:val="22"/>
              </w:rPr>
              <w:t>policy</w:t>
            </w:r>
          </w:p>
        </w:tc>
        <w:tc>
          <w:tcPr>
            <w:tcW w:w="1131" w:type="dxa"/>
            <w:gridSpan w:val="4"/>
            <w:tcBorders>
              <w:top w:val="single" w:sz="4" w:space="0" w:color="auto"/>
              <w:left w:val="nil"/>
              <w:bottom w:val="nil"/>
              <w:right w:val="nil"/>
            </w:tcBorders>
          </w:tcPr>
          <w:p w:rsidR="00B9512B" w:rsidRPr="00F627B2" w:rsidRDefault="00B9512B">
            <w:pPr>
              <w:spacing w:line="240" w:lineRule="auto"/>
              <w:rPr>
                <w:rFonts w:ascii="Lato" w:hAnsi="Lato"/>
                <w:szCs w:val="22"/>
              </w:rPr>
            </w:pPr>
          </w:p>
        </w:tc>
        <w:tc>
          <w:tcPr>
            <w:tcW w:w="543" w:type="dxa"/>
            <w:gridSpan w:val="2"/>
            <w:tcBorders>
              <w:top w:val="nil"/>
              <w:left w:val="nil"/>
              <w:bottom w:val="nil"/>
              <w:right w:val="nil"/>
            </w:tcBorders>
          </w:tcPr>
          <w:p w:rsidR="00B9512B" w:rsidRPr="00F627B2" w:rsidRDefault="00B9512B">
            <w:pPr>
              <w:spacing w:line="240" w:lineRule="auto"/>
              <w:rPr>
                <w:rFonts w:ascii="Lato" w:hAnsi="Lato"/>
                <w:szCs w:val="22"/>
              </w:rPr>
            </w:pPr>
          </w:p>
        </w:tc>
        <w:tc>
          <w:tcPr>
            <w:tcW w:w="1305" w:type="dxa"/>
            <w:gridSpan w:val="6"/>
            <w:tcBorders>
              <w:top w:val="single" w:sz="4" w:space="0" w:color="auto"/>
              <w:left w:val="nil"/>
              <w:bottom w:val="nil"/>
              <w:right w:val="nil"/>
            </w:tcBorders>
          </w:tcPr>
          <w:p w:rsidR="00B9512B" w:rsidRPr="00F627B2" w:rsidRDefault="00B9512B">
            <w:pPr>
              <w:spacing w:line="240" w:lineRule="auto"/>
              <w:rPr>
                <w:rFonts w:ascii="Lato" w:hAnsi="Lato"/>
                <w:szCs w:val="22"/>
              </w:rPr>
            </w:pPr>
          </w:p>
        </w:tc>
        <w:tc>
          <w:tcPr>
            <w:tcW w:w="273" w:type="dxa"/>
            <w:gridSpan w:val="6"/>
            <w:tcBorders>
              <w:top w:val="nil"/>
              <w:left w:val="nil"/>
              <w:bottom w:val="nil"/>
              <w:right w:val="nil"/>
            </w:tcBorders>
          </w:tcPr>
          <w:p w:rsidR="00B9512B" w:rsidRPr="00F627B2" w:rsidRDefault="00B9512B">
            <w:pPr>
              <w:spacing w:line="240" w:lineRule="auto"/>
              <w:rPr>
                <w:rFonts w:ascii="Lato" w:hAnsi="Lato"/>
                <w:szCs w:val="22"/>
              </w:rPr>
            </w:pPr>
          </w:p>
        </w:tc>
        <w:tc>
          <w:tcPr>
            <w:tcW w:w="765" w:type="dxa"/>
            <w:gridSpan w:val="7"/>
            <w:tcBorders>
              <w:top w:val="single" w:sz="4" w:space="0" w:color="auto"/>
              <w:left w:val="nil"/>
              <w:bottom w:val="nil"/>
              <w:right w:val="nil"/>
            </w:tcBorders>
          </w:tcPr>
          <w:p w:rsidR="00B9512B" w:rsidRPr="00F627B2" w:rsidRDefault="00B9512B">
            <w:pPr>
              <w:spacing w:line="240" w:lineRule="auto"/>
              <w:rPr>
                <w:rFonts w:ascii="Lato" w:hAnsi="Lato"/>
                <w:szCs w:val="22"/>
              </w:rPr>
            </w:pPr>
          </w:p>
        </w:tc>
        <w:tc>
          <w:tcPr>
            <w:tcW w:w="278" w:type="dxa"/>
            <w:gridSpan w:val="4"/>
            <w:tcBorders>
              <w:top w:val="nil"/>
              <w:left w:val="nil"/>
              <w:bottom w:val="nil"/>
              <w:right w:val="nil"/>
            </w:tcBorders>
          </w:tcPr>
          <w:p w:rsidR="00B9512B" w:rsidRPr="00F627B2" w:rsidRDefault="00B9512B">
            <w:pPr>
              <w:spacing w:line="240" w:lineRule="auto"/>
              <w:rPr>
                <w:rFonts w:ascii="Lato" w:hAnsi="Lato"/>
                <w:szCs w:val="22"/>
              </w:rPr>
            </w:pPr>
          </w:p>
        </w:tc>
        <w:tc>
          <w:tcPr>
            <w:tcW w:w="595" w:type="dxa"/>
            <w:gridSpan w:val="7"/>
            <w:tcBorders>
              <w:top w:val="nil"/>
              <w:left w:val="nil"/>
              <w:bottom w:val="nil"/>
              <w:right w:val="nil"/>
            </w:tcBorders>
          </w:tcPr>
          <w:p w:rsidR="00B9512B" w:rsidRPr="00F627B2" w:rsidRDefault="00B9512B">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6178C8" w:rsidP="0068485A">
            <w:pPr>
              <w:spacing w:line="240" w:lineRule="auto"/>
              <w:jc w:val="right"/>
              <w:rPr>
                <w:rFonts w:ascii="Lato" w:hAnsi="Lato"/>
                <w:szCs w:val="22"/>
              </w:rPr>
            </w:pPr>
            <w:r w:rsidRPr="00F627B2">
              <w:rPr>
                <w:rFonts w:ascii="Lato" w:hAnsi="Lato"/>
                <w:szCs w:val="22"/>
              </w:rPr>
              <w:t>d</w:t>
            </w:r>
            <w:r w:rsidR="002F07AF" w:rsidRPr="00F627B2">
              <w:rPr>
                <w:rFonts w:ascii="Lato" w:hAnsi="Lato"/>
                <w:szCs w:val="22"/>
              </w:rPr>
              <w:t>)</w:t>
            </w:r>
          </w:p>
        </w:tc>
        <w:tc>
          <w:tcPr>
            <w:tcW w:w="5493" w:type="dxa"/>
            <w:tcBorders>
              <w:top w:val="nil"/>
              <w:left w:val="nil"/>
              <w:bottom w:val="nil"/>
              <w:right w:val="single" w:sz="4" w:space="0" w:color="auto"/>
            </w:tcBorders>
          </w:tcPr>
          <w:p w:rsidR="002F07AF" w:rsidRPr="00F627B2" w:rsidRDefault="002F07AF" w:rsidP="00A3401E">
            <w:pPr>
              <w:spacing w:line="240" w:lineRule="auto"/>
              <w:rPr>
                <w:rFonts w:ascii="Lato" w:hAnsi="Lato"/>
                <w:szCs w:val="22"/>
              </w:rPr>
            </w:pPr>
            <w:r w:rsidRPr="00F627B2">
              <w:rPr>
                <w:rFonts w:ascii="Lato" w:hAnsi="Lato"/>
                <w:szCs w:val="22"/>
              </w:rPr>
              <w:t xml:space="preserve">Disclose, and quantify to the extent possible, </w:t>
            </w:r>
            <w:r w:rsidR="002911EE" w:rsidRPr="00F627B2">
              <w:rPr>
                <w:rFonts w:ascii="Lato" w:hAnsi="Lato"/>
                <w:szCs w:val="22"/>
              </w:rPr>
              <w:t xml:space="preserve">the types </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4F01CA">
            <w:pPr>
              <w:spacing w:line="240" w:lineRule="auto"/>
              <w:rPr>
                <w:rFonts w:ascii="Lato" w:hAnsi="Lato"/>
                <w:szCs w:val="22"/>
              </w:rPr>
            </w:pPr>
            <w:r w:rsidRPr="001E4A73">
              <w:rPr>
                <w:rFonts w:ascii="Lato" w:hAnsi="Lato"/>
                <w:szCs w:val="22"/>
              </w:rPr>
              <w:t>of</w:t>
            </w:r>
            <w:r w:rsidRPr="00A3401E">
              <w:rPr>
                <w:rFonts w:ascii="Lato" w:hAnsi="Lato"/>
                <w:szCs w:val="22"/>
              </w:rPr>
              <w:t xml:space="preserve"> </w:t>
            </w:r>
            <w:r w:rsidR="002F07AF" w:rsidRPr="00F627B2">
              <w:rPr>
                <w:rFonts w:ascii="Lato" w:hAnsi="Lato"/>
                <w:szCs w:val="22"/>
              </w:rPr>
              <w:t>charges and other costs relating to the underlying investment funds which will be borne by the Retail Investor AIF.</w:t>
            </w:r>
          </w:p>
        </w:tc>
        <w:tc>
          <w:tcPr>
            <w:tcW w:w="1131" w:type="dxa"/>
            <w:gridSpan w:val="4"/>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6178C8">
            <w:pPr>
              <w:spacing w:line="240" w:lineRule="auto"/>
              <w:jc w:val="right"/>
              <w:rPr>
                <w:rFonts w:ascii="Lato" w:hAnsi="Lato"/>
                <w:szCs w:val="22"/>
              </w:rPr>
            </w:pPr>
            <w:r w:rsidRPr="00F627B2">
              <w:rPr>
                <w:rFonts w:ascii="Lato" w:hAnsi="Lato"/>
                <w:szCs w:val="22"/>
              </w:rPr>
              <w:t>e</w:t>
            </w:r>
            <w:r w:rsidR="002F07AF" w:rsidRPr="00F627B2">
              <w:rPr>
                <w:rFonts w:ascii="Lato" w:hAnsi="Lato"/>
                <w:szCs w:val="22"/>
              </w:rPr>
              <w:t>)</w:t>
            </w:r>
          </w:p>
        </w:tc>
        <w:tc>
          <w:tcPr>
            <w:tcW w:w="5493" w:type="dxa"/>
            <w:tcBorders>
              <w:top w:val="nil"/>
              <w:left w:val="nil"/>
              <w:bottom w:val="nil"/>
              <w:right w:val="single" w:sz="4" w:space="0" w:color="auto"/>
            </w:tcBorders>
          </w:tcPr>
          <w:p w:rsidR="002F07AF" w:rsidRPr="00F627B2" w:rsidRDefault="002F07AF" w:rsidP="00A3401E">
            <w:pPr>
              <w:spacing w:line="240" w:lineRule="auto"/>
              <w:rPr>
                <w:rFonts w:ascii="Lato" w:hAnsi="Lato"/>
                <w:szCs w:val="22"/>
              </w:rPr>
            </w:pPr>
            <w:r w:rsidRPr="00F627B2">
              <w:rPr>
                <w:rFonts w:ascii="Lato" w:hAnsi="Lato"/>
                <w:szCs w:val="22"/>
              </w:rPr>
              <w:t xml:space="preserve">Disclose, to the extent possible, the fees which </w:t>
            </w:r>
            <w:r w:rsidR="002911EE" w:rsidRPr="00F627B2">
              <w:rPr>
                <w:rFonts w:ascii="Lato" w:hAnsi="Lato"/>
                <w:szCs w:val="22"/>
              </w:rPr>
              <w:t xml:space="preserve">will </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4F01CA">
            <w:pPr>
              <w:spacing w:line="240" w:lineRule="auto"/>
              <w:rPr>
                <w:rFonts w:ascii="Lato" w:hAnsi="Lato"/>
                <w:szCs w:val="22"/>
              </w:rPr>
            </w:pPr>
            <w:r w:rsidRPr="001E4A73">
              <w:rPr>
                <w:rFonts w:ascii="Lato" w:hAnsi="Lato"/>
                <w:szCs w:val="22"/>
              </w:rPr>
              <w:t>arise</w:t>
            </w:r>
            <w:r w:rsidRPr="00A3401E">
              <w:rPr>
                <w:rFonts w:ascii="Lato" w:hAnsi="Lato"/>
                <w:szCs w:val="22"/>
              </w:rPr>
              <w:t xml:space="preserve"> </w:t>
            </w:r>
            <w:r w:rsidR="00B9512B" w:rsidRPr="00F627B2">
              <w:rPr>
                <w:rFonts w:ascii="Lato" w:hAnsi="Lato"/>
                <w:szCs w:val="22"/>
              </w:rPr>
              <w:t xml:space="preserve">at the </w:t>
            </w:r>
            <w:r w:rsidR="002F07AF" w:rsidRPr="00F627B2">
              <w:rPr>
                <w:rFonts w:ascii="Lato" w:hAnsi="Lato"/>
                <w:szCs w:val="22"/>
              </w:rPr>
              <w:t>level of the underlying investment funds.</w:t>
            </w:r>
          </w:p>
        </w:tc>
        <w:tc>
          <w:tcPr>
            <w:tcW w:w="1131" w:type="dxa"/>
            <w:gridSpan w:val="4"/>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6C49ED" w:rsidP="0068485A">
            <w:pPr>
              <w:spacing w:line="240" w:lineRule="auto"/>
              <w:jc w:val="right"/>
              <w:rPr>
                <w:rFonts w:ascii="Lato" w:hAnsi="Lato"/>
                <w:szCs w:val="22"/>
              </w:rPr>
            </w:pPr>
            <w:r w:rsidRPr="00F627B2">
              <w:rPr>
                <w:rFonts w:ascii="Lato" w:hAnsi="Lato"/>
                <w:szCs w:val="22"/>
              </w:rPr>
              <w:t>f</w:t>
            </w:r>
            <w:r w:rsidR="002F07AF" w:rsidRPr="00F627B2">
              <w:rPr>
                <w:rFonts w:ascii="Lato" w:hAnsi="Lato"/>
                <w:szCs w:val="22"/>
              </w:rPr>
              <w:t>)</w:t>
            </w:r>
          </w:p>
        </w:tc>
        <w:tc>
          <w:tcPr>
            <w:tcW w:w="5493" w:type="dxa"/>
            <w:tcBorders>
              <w:top w:val="nil"/>
              <w:left w:val="nil"/>
              <w:bottom w:val="nil"/>
              <w:right w:val="single" w:sz="4" w:space="0" w:color="auto"/>
            </w:tcBorders>
          </w:tcPr>
          <w:p w:rsidR="002F07AF" w:rsidRPr="00F627B2" w:rsidRDefault="002F07AF" w:rsidP="00B9512B">
            <w:pPr>
              <w:spacing w:line="240" w:lineRule="auto"/>
              <w:rPr>
                <w:rFonts w:ascii="Lato" w:hAnsi="Lato"/>
                <w:szCs w:val="22"/>
              </w:rPr>
            </w:pPr>
            <w:r w:rsidRPr="00F627B2">
              <w:rPr>
                <w:rFonts w:ascii="Lato" w:hAnsi="Lato"/>
                <w:szCs w:val="22"/>
              </w:rPr>
              <w:t xml:space="preserve">Disclose both the jurisdiction and type of </w:t>
            </w:r>
            <w:r w:rsidR="00DE5498" w:rsidRPr="00F627B2">
              <w:rPr>
                <w:rFonts w:ascii="Lato" w:hAnsi="Lato"/>
                <w:szCs w:val="22"/>
              </w:rPr>
              <w:t>underlying</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r w:rsidRPr="00F627B2">
              <w:rPr>
                <w:rFonts w:ascii="Lato" w:hAnsi="Lato"/>
                <w:szCs w:val="22"/>
              </w:rPr>
              <w:t>investment fund into which the Retail Investor AIF proposes to invest</w:t>
            </w:r>
          </w:p>
        </w:tc>
        <w:tc>
          <w:tcPr>
            <w:tcW w:w="1131" w:type="dxa"/>
            <w:gridSpan w:val="4"/>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810FEA" w:rsidP="009B0533">
            <w:pPr>
              <w:spacing w:line="240" w:lineRule="auto"/>
              <w:jc w:val="right"/>
              <w:rPr>
                <w:rFonts w:ascii="Lato" w:hAnsi="Lato"/>
                <w:szCs w:val="22"/>
              </w:rPr>
            </w:pPr>
            <w:r w:rsidRPr="00F627B2">
              <w:rPr>
                <w:rFonts w:ascii="Lato" w:hAnsi="Lato"/>
                <w:szCs w:val="22"/>
              </w:rPr>
              <w:t>g</w:t>
            </w:r>
            <w:r w:rsidR="002F07AF" w:rsidRPr="00F627B2">
              <w:rPr>
                <w:rFonts w:ascii="Lato" w:hAnsi="Lato"/>
                <w:szCs w:val="22"/>
              </w:rPr>
              <w:t>)</w:t>
            </w:r>
          </w:p>
        </w:tc>
        <w:tc>
          <w:tcPr>
            <w:tcW w:w="5493" w:type="dxa"/>
            <w:tcBorders>
              <w:top w:val="nil"/>
              <w:left w:val="nil"/>
              <w:bottom w:val="nil"/>
              <w:right w:val="single" w:sz="4" w:space="0" w:color="auto"/>
            </w:tcBorders>
          </w:tcPr>
          <w:p w:rsidR="002F07AF" w:rsidRPr="00F627B2" w:rsidRDefault="002F07AF" w:rsidP="00A3401E">
            <w:pPr>
              <w:spacing w:line="240" w:lineRule="auto"/>
              <w:rPr>
                <w:rFonts w:ascii="Lato" w:hAnsi="Lato"/>
                <w:szCs w:val="22"/>
              </w:rPr>
            </w:pPr>
            <w:r w:rsidRPr="00F627B2">
              <w:rPr>
                <w:rFonts w:ascii="Lato" w:hAnsi="Lato"/>
                <w:szCs w:val="22"/>
              </w:rPr>
              <w:t xml:space="preserve">If it is intended to invest in unregulated </w:t>
            </w:r>
            <w:r w:rsidR="002911EE" w:rsidRPr="00F627B2">
              <w:rPr>
                <w:rFonts w:ascii="Lato" w:hAnsi="Lato"/>
                <w:szCs w:val="22"/>
              </w:rPr>
              <w:t xml:space="preserve">investment </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178C8" w:rsidRPr="00F627B2" w:rsidRDefault="006178C8" w:rsidP="009B0533">
            <w:pPr>
              <w:spacing w:line="240" w:lineRule="auto"/>
              <w:jc w:val="right"/>
              <w:rPr>
                <w:rFonts w:ascii="Lato" w:hAnsi="Lato"/>
                <w:szCs w:val="22"/>
              </w:rPr>
            </w:pPr>
          </w:p>
        </w:tc>
        <w:tc>
          <w:tcPr>
            <w:tcW w:w="5493" w:type="dxa"/>
            <w:tcBorders>
              <w:top w:val="nil"/>
              <w:left w:val="nil"/>
              <w:bottom w:val="nil"/>
              <w:right w:val="nil"/>
            </w:tcBorders>
          </w:tcPr>
          <w:p w:rsidR="006178C8" w:rsidRPr="00F627B2" w:rsidRDefault="004F01CA" w:rsidP="002F07AF">
            <w:pPr>
              <w:spacing w:line="240" w:lineRule="auto"/>
              <w:rPr>
                <w:rFonts w:ascii="Lato" w:hAnsi="Lato"/>
                <w:szCs w:val="22"/>
              </w:rPr>
            </w:pPr>
            <w:r w:rsidRPr="001E4A73">
              <w:rPr>
                <w:rFonts w:ascii="Lato" w:hAnsi="Lato"/>
                <w:szCs w:val="22"/>
              </w:rPr>
              <w:t>funds,</w:t>
            </w:r>
            <w:r w:rsidR="006178C8" w:rsidRPr="00F627B2">
              <w:rPr>
                <w:rFonts w:ascii="Lato" w:hAnsi="Lato"/>
                <w:szCs w:val="22"/>
              </w:rPr>
              <w:t>disclose the nature of the underlying investment fund and information on whether the underlying investment fund may be leveraged and the attendant risks</w:t>
            </w:r>
          </w:p>
        </w:tc>
        <w:tc>
          <w:tcPr>
            <w:tcW w:w="1131" w:type="dxa"/>
            <w:gridSpan w:val="4"/>
            <w:tcBorders>
              <w:top w:val="single" w:sz="4" w:space="0" w:color="auto"/>
              <w:left w:val="nil"/>
              <w:bottom w:val="nil"/>
              <w:right w:val="nil"/>
            </w:tcBorders>
          </w:tcPr>
          <w:p w:rsidR="006178C8" w:rsidRPr="00F627B2" w:rsidRDefault="006178C8">
            <w:pPr>
              <w:spacing w:line="240" w:lineRule="auto"/>
              <w:rPr>
                <w:rFonts w:ascii="Lato" w:hAnsi="Lato"/>
                <w:szCs w:val="22"/>
              </w:rPr>
            </w:pPr>
          </w:p>
        </w:tc>
        <w:tc>
          <w:tcPr>
            <w:tcW w:w="543" w:type="dxa"/>
            <w:gridSpan w:val="2"/>
            <w:tcBorders>
              <w:top w:val="nil"/>
              <w:left w:val="nil"/>
              <w:bottom w:val="nil"/>
              <w:right w:val="nil"/>
            </w:tcBorders>
          </w:tcPr>
          <w:p w:rsidR="006178C8" w:rsidRPr="00F627B2" w:rsidRDefault="006178C8">
            <w:pPr>
              <w:spacing w:line="240" w:lineRule="auto"/>
              <w:rPr>
                <w:rFonts w:ascii="Lato" w:hAnsi="Lato"/>
                <w:szCs w:val="22"/>
              </w:rPr>
            </w:pPr>
          </w:p>
        </w:tc>
        <w:tc>
          <w:tcPr>
            <w:tcW w:w="1305" w:type="dxa"/>
            <w:gridSpan w:val="6"/>
            <w:tcBorders>
              <w:top w:val="single" w:sz="4" w:space="0" w:color="auto"/>
              <w:left w:val="nil"/>
              <w:bottom w:val="nil"/>
              <w:right w:val="nil"/>
            </w:tcBorders>
          </w:tcPr>
          <w:p w:rsidR="006178C8" w:rsidRPr="00F627B2" w:rsidRDefault="006178C8">
            <w:pPr>
              <w:spacing w:line="240" w:lineRule="auto"/>
              <w:rPr>
                <w:rFonts w:ascii="Lato" w:hAnsi="Lato"/>
                <w:szCs w:val="22"/>
              </w:rPr>
            </w:pPr>
          </w:p>
        </w:tc>
        <w:tc>
          <w:tcPr>
            <w:tcW w:w="273" w:type="dxa"/>
            <w:gridSpan w:val="6"/>
            <w:tcBorders>
              <w:top w:val="nil"/>
              <w:left w:val="nil"/>
              <w:bottom w:val="nil"/>
              <w:right w:val="nil"/>
            </w:tcBorders>
          </w:tcPr>
          <w:p w:rsidR="006178C8" w:rsidRPr="00F627B2" w:rsidRDefault="006178C8">
            <w:pPr>
              <w:spacing w:line="240" w:lineRule="auto"/>
              <w:rPr>
                <w:rFonts w:ascii="Lato" w:hAnsi="Lato"/>
                <w:szCs w:val="22"/>
              </w:rPr>
            </w:pPr>
          </w:p>
        </w:tc>
        <w:tc>
          <w:tcPr>
            <w:tcW w:w="765" w:type="dxa"/>
            <w:gridSpan w:val="7"/>
            <w:tcBorders>
              <w:top w:val="single" w:sz="4" w:space="0" w:color="auto"/>
              <w:left w:val="nil"/>
              <w:bottom w:val="nil"/>
              <w:right w:val="nil"/>
            </w:tcBorders>
          </w:tcPr>
          <w:p w:rsidR="006178C8" w:rsidRPr="00F627B2" w:rsidRDefault="006178C8">
            <w:pPr>
              <w:spacing w:line="240" w:lineRule="auto"/>
              <w:rPr>
                <w:rFonts w:ascii="Lato" w:hAnsi="Lato"/>
                <w:szCs w:val="22"/>
              </w:rPr>
            </w:pPr>
          </w:p>
        </w:tc>
        <w:tc>
          <w:tcPr>
            <w:tcW w:w="278" w:type="dxa"/>
            <w:gridSpan w:val="4"/>
            <w:tcBorders>
              <w:top w:val="nil"/>
              <w:left w:val="nil"/>
              <w:bottom w:val="nil"/>
              <w:right w:val="nil"/>
            </w:tcBorders>
          </w:tcPr>
          <w:p w:rsidR="006178C8" w:rsidRPr="00F627B2" w:rsidRDefault="006178C8">
            <w:pPr>
              <w:spacing w:line="240" w:lineRule="auto"/>
              <w:rPr>
                <w:rFonts w:ascii="Lato" w:hAnsi="Lato"/>
                <w:szCs w:val="22"/>
              </w:rPr>
            </w:pPr>
          </w:p>
        </w:tc>
        <w:tc>
          <w:tcPr>
            <w:tcW w:w="595" w:type="dxa"/>
            <w:gridSpan w:val="7"/>
            <w:tcBorders>
              <w:top w:val="nil"/>
              <w:left w:val="nil"/>
              <w:bottom w:val="nil"/>
              <w:right w:val="nil"/>
            </w:tcBorders>
          </w:tcPr>
          <w:p w:rsidR="006178C8" w:rsidRPr="00F627B2" w:rsidRDefault="006178C8">
            <w:pPr>
              <w:spacing w:line="240" w:lineRule="auto"/>
              <w:rPr>
                <w:rFonts w:ascii="Lato" w:hAnsi="Lato"/>
                <w:szCs w:val="22"/>
              </w:rPr>
            </w:pPr>
          </w:p>
        </w:tc>
      </w:tr>
      <w:tr w:rsidR="004F52B0" w:rsidRPr="00F627B2" w:rsidTr="00F627B2">
        <w:tc>
          <w:tcPr>
            <w:tcW w:w="1107" w:type="dxa"/>
            <w:tcBorders>
              <w:top w:val="nil"/>
              <w:left w:val="nil"/>
              <w:bottom w:val="nil"/>
              <w:right w:val="nil"/>
            </w:tcBorders>
          </w:tcPr>
          <w:p w:rsidR="004F52B0" w:rsidRPr="00F627B2" w:rsidRDefault="004F52B0" w:rsidP="009B0533">
            <w:pPr>
              <w:spacing w:line="240" w:lineRule="auto"/>
              <w:jc w:val="right"/>
              <w:rPr>
                <w:rFonts w:ascii="Lato" w:hAnsi="Lato"/>
                <w:szCs w:val="22"/>
              </w:rPr>
            </w:pPr>
          </w:p>
        </w:tc>
        <w:tc>
          <w:tcPr>
            <w:tcW w:w="5493" w:type="dxa"/>
            <w:tcBorders>
              <w:top w:val="nil"/>
              <w:left w:val="nil"/>
              <w:bottom w:val="nil"/>
              <w:right w:val="nil"/>
            </w:tcBorders>
          </w:tcPr>
          <w:p w:rsidR="004F52B0" w:rsidRPr="00F627B2" w:rsidRDefault="004F52B0" w:rsidP="002F07AF">
            <w:pPr>
              <w:spacing w:line="240" w:lineRule="auto"/>
              <w:rPr>
                <w:rFonts w:ascii="Lato" w:hAnsi="Lato"/>
                <w:szCs w:val="22"/>
              </w:rPr>
            </w:pPr>
          </w:p>
        </w:tc>
        <w:tc>
          <w:tcPr>
            <w:tcW w:w="1131" w:type="dxa"/>
            <w:gridSpan w:val="4"/>
            <w:tcBorders>
              <w:top w:val="nil"/>
              <w:left w:val="nil"/>
              <w:bottom w:val="single" w:sz="4" w:space="0" w:color="auto"/>
              <w:right w:val="nil"/>
            </w:tcBorders>
          </w:tcPr>
          <w:p w:rsidR="004F52B0" w:rsidRPr="00F627B2" w:rsidRDefault="004F52B0">
            <w:pPr>
              <w:spacing w:line="240" w:lineRule="auto"/>
              <w:rPr>
                <w:rFonts w:ascii="Lato" w:hAnsi="Lato"/>
                <w:szCs w:val="22"/>
              </w:rPr>
            </w:pPr>
          </w:p>
        </w:tc>
        <w:tc>
          <w:tcPr>
            <w:tcW w:w="543" w:type="dxa"/>
            <w:gridSpan w:val="2"/>
            <w:tcBorders>
              <w:top w:val="nil"/>
              <w:left w:val="nil"/>
              <w:bottom w:val="nil"/>
              <w:right w:val="nil"/>
            </w:tcBorders>
          </w:tcPr>
          <w:p w:rsidR="004F52B0" w:rsidRPr="00F627B2" w:rsidRDefault="004F52B0">
            <w:pPr>
              <w:spacing w:line="240" w:lineRule="auto"/>
              <w:rPr>
                <w:rFonts w:ascii="Lato" w:hAnsi="Lato"/>
                <w:szCs w:val="22"/>
              </w:rPr>
            </w:pPr>
          </w:p>
        </w:tc>
        <w:tc>
          <w:tcPr>
            <w:tcW w:w="1305" w:type="dxa"/>
            <w:gridSpan w:val="6"/>
            <w:tcBorders>
              <w:top w:val="nil"/>
              <w:left w:val="nil"/>
              <w:bottom w:val="single" w:sz="4" w:space="0" w:color="auto"/>
              <w:right w:val="nil"/>
            </w:tcBorders>
          </w:tcPr>
          <w:p w:rsidR="004F52B0" w:rsidRPr="00F627B2" w:rsidRDefault="004F52B0">
            <w:pPr>
              <w:spacing w:line="240" w:lineRule="auto"/>
              <w:rPr>
                <w:rFonts w:ascii="Lato" w:hAnsi="Lato"/>
                <w:szCs w:val="22"/>
              </w:rPr>
            </w:pPr>
          </w:p>
        </w:tc>
        <w:tc>
          <w:tcPr>
            <w:tcW w:w="273" w:type="dxa"/>
            <w:gridSpan w:val="6"/>
            <w:tcBorders>
              <w:top w:val="nil"/>
              <w:left w:val="nil"/>
              <w:bottom w:val="nil"/>
              <w:right w:val="nil"/>
            </w:tcBorders>
          </w:tcPr>
          <w:p w:rsidR="004F52B0" w:rsidRPr="00F627B2" w:rsidRDefault="004F52B0">
            <w:pPr>
              <w:spacing w:line="240" w:lineRule="auto"/>
              <w:rPr>
                <w:rFonts w:ascii="Lato" w:hAnsi="Lato"/>
                <w:szCs w:val="22"/>
              </w:rPr>
            </w:pPr>
          </w:p>
        </w:tc>
        <w:tc>
          <w:tcPr>
            <w:tcW w:w="765" w:type="dxa"/>
            <w:gridSpan w:val="7"/>
            <w:tcBorders>
              <w:top w:val="nil"/>
              <w:left w:val="nil"/>
              <w:bottom w:val="single" w:sz="4" w:space="0" w:color="auto"/>
              <w:right w:val="nil"/>
            </w:tcBorders>
          </w:tcPr>
          <w:p w:rsidR="004F52B0" w:rsidRPr="00F627B2" w:rsidRDefault="004F52B0">
            <w:pPr>
              <w:spacing w:line="240" w:lineRule="auto"/>
              <w:rPr>
                <w:rFonts w:ascii="Lato" w:hAnsi="Lato"/>
                <w:szCs w:val="22"/>
              </w:rPr>
            </w:pPr>
          </w:p>
        </w:tc>
        <w:tc>
          <w:tcPr>
            <w:tcW w:w="278" w:type="dxa"/>
            <w:gridSpan w:val="4"/>
            <w:tcBorders>
              <w:top w:val="nil"/>
              <w:left w:val="nil"/>
              <w:bottom w:val="nil"/>
              <w:right w:val="nil"/>
            </w:tcBorders>
          </w:tcPr>
          <w:p w:rsidR="004F52B0" w:rsidRPr="00F627B2" w:rsidRDefault="004F52B0">
            <w:pPr>
              <w:spacing w:line="240" w:lineRule="auto"/>
              <w:rPr>
                <w:rFonts w:ascii="Lato" w:hAnsi="Lato"/>
                <w:szCs w:val="22"/>
              </w:rPr>
            </w:pPr>
          </w:p>
        </w:tc>
        <w:tc>
          <w:tcPr>
            <w:tcW w:w="595" w:type="dxa"/>
            <w:gridSpan w:val="7"/>
            <w:tcBorders>
              <w:top w:val="nil"/>
              <w:left w:val="nil"/>
              <w:bottom w:val="nil"/>
              <w:right w:val="nil"/>
            </w:tcBorders>
          </w:tcPr>
          <w:p w:rsidR="004F52B0" w:rsidRPr="00F627B2" w:rsidRDefault="004F52B0">
            <w:pPr>
              <w:spacing w:line="240" w:lineRule="auto"/>
              <w:rPr>
                <w:rFonts w:ascii="Lato" w:hAnsi="Lato"/>
                <w:szCs w:val="22"/>
              </w:rPr>
            </w:pPr>
          </w:p>
        </w:tc>
      </w:tr>
      <w:tr w:rsidR="004F52B0" w:rsidRPr="00F627B2" w:rsidTr="00F627B2">
        <w:tc>
          <w:tcPr>
            <w:tcW w:w="1107" w:type="dxa"/>
            <w:tcBorders>
              <w:top w:val="nil"/>
              <w:left w:val="nil"/>
              <w:bottom w:val="nil"/>
              <w:right w:val="nil"/>
            </w:tcBorders>
          </w:tcPr>
          <w:p w:rsidR="004F52B0" w:rsidRPr="00F627B2" w:rsidRDefault="007A45D1" w:rsidP="009B0533">
            <w:pPr>
              <w:spacing w:line="240" w:lineRule="auto"/>
              <w:jc w:val="right"/>
              <w:rPr>
                <w:rFonts w:ascii="Lato" w:hAnsi="Lato"/>
                <w:szCs w:val="22"/>
              </w:rPr>
            </w:pPr>
            <w:r w:rsidRPr="00F627B2">
              <w:rPr>
                <w:rFonts w:ascii="Lato" w:hAnsi="Lato"/>
                <w:szCs w:val="22"/>
              </w:rPr>
              <w:t>h)</w:t>
            </w:r>
          </w:p>
        </w:tc>
        <w:tc>
          <w:tcPr>
            <w:tcW w:w="5493" w:type="dxa"/>
            <w:tcBorders>
              <w:top w:val="nil"/>
              <w:left w:val="nil"/>
              <w:bottom w:val="nil"/>
              <w:right w:val="single" w:sz="4" w:space="0" w:color="auto"/>
            </w:tcBorders>
          </w:tcPr>
          <w:p w:rsidR="004F52B0" w:rsidRPr="00F627B2" w:rsidRDefault="004F52B0" w:rsidP="00A3401E">
            <w:pPr>
              <w:spacing w:line="240" w:lineRule="auto"/>
              <w:rPr>
                <w:rFonts w:ascii="Lato" w:hAnsi="Lato"/>
                <w:szCs w:val="22"/>
              </w:rPr>
            </w:pPr>
            <w:r w:rsidRPr="00F627B2">
              <w:rPr>
                <w:rFonts w:ascii="Lato" w:hAnsi="Lato"/>
              </w:rPr>
              <w:t xml:space="preserve">Where the Retail Investor Fund invests more than 30% </w:t>
            </w:r>
          </w:p>
        </w:tc>
        <w:tc>
          <w:tcPr>
            <w:tcW w:w="1131" w:type="dxa"/>
            <w:gridSpan w:val="4"/>
            <w:tcBorders>
              <w:top w:val="single" w:sz="4" w:space="0" w:color="auto"/>
              <w:left w:val="single" w:sz="4" w:space="0" w:color="auto"/>
              <w:bottom w:val="single" w:sz="4" w:space="0" w:color="auto"/>
              <w:right w:val="single" w:sz="4" w:space="0" w:color="auto"/>
            </w:tcBorders>
          </w:tcPr>
          <w:p w:rsidR="004F52B0" w:rsidRPr="00F627B2" w:rsidRDefault="004F52B0">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4F52B0" w:rsidRPr="00F627B2" w:rsidRDefault="004F52B0">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4F52B0" w:rsidRPr="00F627B2" w:rsidRDefault="004F52B0">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4F52B0" w:rsidRPr="00F627B2" w:rsidRDefault="004F52B0">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4F52B0" w:rsidRPr="00F627B2" w:rsidRDefault="004F52B0">
            <w:pPr>
              <w:spacing w:line="240" w:lineRule="auto"/>
              <w:rPr>
                <w:rFonts w:ascii="Lato" w:hAnsi="Lato"/>
                <w:szCs w:val="22"/>
              </w:rPr>
            </w:pPr>
          </w:p>
        </w:tc>
        <w:tc>
          <w:tcPr>
            <w:tcW w:w="278" w:type="dxa"/>
            <w:gridSpan w:val="4"/>
            <w:tcBorders>
              <w:top w:val="nil"/>
              <w:left w:val="single" w:sz="4" w:space="0" w:color="auto"/>
              <w:bottom w:val="nil"/>
              <w:right w:val="nil"/>
            </w:tcBorders>
          </w:tcPr>
          <w:p w:rsidR="004F52B0" w:rsidRPr="00F627B2" w:rsidRDefault="004F52B0">
            <w:pPr>
              <w:spacing w:line="240" w:lineRule="auto"/>
              <w:rPr>
                <w:rFonts w:ascii="Lato" w:hAnsi="Lato"/>
                <w:szCs w:val="22"/>
              </w:rPr>
            </w:pPr>
          </w:p>
        </w:tc>
        <w:tc>
          <w:tcPr>
            <w:tcW w:w="595" w:type="dxa"/>
            <w:gridSpan w:val="7"/>
            <w:tcBorders>
              <w:top w:val="nil"/>
              <w:left w:val="nil"/>
              <w:bottom w:val="nil"/>
              <w:right w:val="nil"/>
            </w:tcBorders>
          </w:tcPr>
          <w:p w:rsidR="004F52B0" w:rsidRPr="00F627B2" w:rsidRDefault="004F52B0">
            <w:pPr>
              <w:spacing w:line="240" w:lineRule="auto"/>
              <w:rPr>
                <w:rFonts w:ascii="Lato" w:hAnsi="Lato"/>
                <w:szCs w:val="22"/>
              </w:rPr>
            </w:pPr>
          </w:p>
        </w:tc>
      </w:tr>
      <w:tr w:rsidR="007A45D1" w:rsidRPr="00F627B2" w:rsidTr="00F627B2">
        <w:tc>
          <w:tcPr>
            <w:tcW w:w="1107" w:type="dxa"/>
            <w:tcBorders>
              <w:top w:val="nil"/>
              <w:left w:val="nil"/>
              <w:bottom w:val="nil"/>
              <w:right w:val="nil"/>
            </w:tcBorders>
          </w:tcPr>
          <w:p w:rsidR="007A45D1" w:rsidRPr="00F627B2" w:rsidRDefault="007A45D1" w:rsidP="009B0533">
            <w:pPr>
              <w:spacing w:line="240" w:lineRule="auto"/>
              <w:jc w:val="right"/>
              <w:rPr>
                <w:rFonts w:ascii="Lato" w:hAnsi="Lato"/>
                <w:szCs w:val="22"/>
              </w:rPr>
            </w:pPr>
          </w:p>
        </w:tc>
        <w:tc>
          <w:tcPr>
            <w:tcW w:w="5493" w:type="dxa"/>
            <w:tcBorders>
              <w:top w:val="nil"/>
              <w:left w:val="nil"/>
              <w:bottom w:val="nil"/>
              <w:right w:val="nil"/>
            </w:tcBorders>
          </w:tcPr>
          <w:p w:rsidR="007A45D1" w:rsidRPr="00F627B2" w:rsidRDefault="004F01CA" w:rsidP="002F07AF">
            <w:pPr>
              <w:spacing w:line="240" w:lineRule="auto"/>
              <w:rPr>
                <w:rFonts w:ascii="Lato" w:hAnsi="Lato"/>
              </w:rPr>
            </w:pPr>
            <w:r w:rsidRPr="001E4A73">
              <w:rPr>
                <w:rFonts w:ascii="Lato" w:hAnsi="Lato"/>
              </w:rPr>
              <w:t xml:space="preserve">of </w:t>
            </w:r>
            <w:r w:rsidR="007A45D1" w:rsidRPr="00F627B2">
              <w:rPr>
                <w:rFonts w:ascii="Lato" w:hAnsi="Lato"/>
              </w:rPr>
              <w:t>net assets in other investment funds, it must ensure that the investment funds in which it invests are prohibited from investing more than 30% of net assets in other investment funds</w:t>
            </w:r>
          </w:p>
        </w:tc>
        <w:tc>
          <w:tcPr>
            <w:tcW w:w="1131" w:type="dxa"/>
            <w:gridSpan w:val="4"/>
            <w:tcBorders>
              <w:top w:val="single" w:sz="4" w:space="0" w:color="auto"/>
              <w:left w:val="nil"/>
              <w:bottom w:val="nil"/>
              <w:right w:val="nil"/>
            </w:tcBorders>
          </w:tcPr>
          <w:p w:rsidR="007A45D1" w:rsidRPr="00F627B2" w:rsidRDefault="007A45D1">
            <w:pPr>
              <w:spacing w:line="240" w:lineRule="auto"/>
              <w:rPr>
                <w:rFonts w:ascii="Lato" w:hAnsi="Lato"/>
                <w:szCs w:val="22"/>
              </w:rPr>
            </w:pPr>
          </w:p>
        </w:tc>
        <w:tc>
          <w:tcPr>
            <w:tcW w:w="543" w:type="dxa"/>
            <w:gridSpan w:val="2"/>
            <w:tcBorders>
              <w:top w:val="nil"/>
              <w:left w:val="nil"/>
              <w:bottom w:val="nil"/>
              <w:right w:val="nil"/>
            </w:tcBorders>
          </w:tcPr>
          <w:p w:rsidR="007A45D1" w:rsidRPr="00F627B2" w:rsidRDefault="007A45D1">
            <w:pPr>
              <w:spacing w:line="240" w:lineRule="auto"/>
              <w:rPr>
                <w:rFonts w:ascii="Lato" w:hAnsi="Lato"/>
                <w:szCs w:val="22"/>
              </w:rPr>
            </w:pPr>
          </w:p>
        </w:tc>
        <w:tc>
          <w:tcPr>
            <w:tcW w:w="1305" w:type="dxa"/>
            <w:gridSpan w:val="6"/>
            <w:tcBorders>
              <w:top w:val="single" w:sz="4" w:space="0" w:color="auto"/>
              <w:left w:val="nil"/>
              <w:bottom w:val="nil"/>
              <w:right w:val="nil"/>
            </w:tcBorders>
          </w:tcPr>
          <w:p w:rsidR="007A45D1" w:rsidRPr="00F627B2" w:rsidRDefault="007A45D1">
            <w:pPr>
              <w:spacing w:line="240" w:lineRule="auto"/>
              <w:rPr>
                <w:rFonts w:ascii="Lato" w:hAnsi="Lato"/>
                <w:szCs w:val="22"/>
              </w:rPr>
            </w:pPr>
          </w:p>
        </w:tc>
        <w:tc>
          <w:tcPr>
            <w:tcW w:w="273" w:type="dxa"/>
            <w:gridSpan w:val="6"/>
            <w:tcBorders>
              <w:top w:val="nil"/>
              <w:left w:val="nil"/>
              <w:bottom w:val="nil"/>
              <w:right w:val="nil"/>
            </w:tcBorders>
          </w:tcPr>
          <w:p w:rsidR="007A45D1" w:rsidRPr="00F627B2" w:rsidRDefault="007A45D1">
            <w:pPr>
              <w:spacing w:line="240" w:lineRule="auto"/>
              <w:rPr>
                <w:rFonts w:ascii="Lato" w:hAnsi="Lato"/>
                <w:szCs w:val="22"/>
              </w:rPr>
            </w:pPr>
          </w:p>
        </w:tc>
        <w:tc>
          <w:tcPr>
            <w:tcW w:w="765" w:type="dxa"/>
            <w:gridSpan w:val="7"/>
            <w:tcBorders>
              <w:top w:val="single" w:sz="4" w:space="0" w:color="auto"/>
              <w:left w:val="nil"/>
              <w:bottom w:val="nil"/>
              <w:right w:val="nil"/>
            </w:tcBorders>
          </w:tcPr>
          <w:p w:rsidR="007A45D1" w:rsidRPr="00F627B2" w:rsidRDefault="007A45D1">
            <w:pPr>
              <w:spacing w:line="240" w:lineRule="auto"/>
              <w:rPr>
                <w:rFonts w:ascii="Lato" w:hAnsi="Lato"/>
                <w:szCs w:val="22"/>
              </w:rPr>
            </w:pPr>
          </w:p>
        </w:tc>
        <w:tc>
          <w:tcPr>
            <w:tcW w:w="278" w:type="dxa"/>
            <w:gridSpan w:val="4"/>
            <w:tcBorders>
              <w:top w:val="nil"/>
              <w:left w:val="nil"/>
              <w:bottom w:val="nil"/>
              <w:right w:val="nil"/>
            </w:tcBorders>
          </w:tcPr>
          <w:p w:rsidR="007A45D1" w:rsidRPr="00F627B2" w:rsidRDefault="007A45D1">
            <w:pPr>
              <w:spacing w:line="240" w:lineRule="auto"/>
              <w:rPr>
                <w:rFonts w:ascii="Lato" w:hAnsi="Lato"/>
                <w:szCs w:val="22"/>
              </w:rPr>
            </w:pPr>
          </w:p>
        </w:tc>
        <w:tc>
          <w:tcPr>
            <w:tcW w:w="595" w:type="dxa"/>
            <w:gridSpan w:val="7"/>
            <w:tcBorders>
              <w:top w:val="nil"/>
              <w:left w:val="nil"/>
              <w:bottom w:val="nil"/>
              <w:right w:val="nil"/>
            </w:tcBorders>
          </w:tcPr>
          <w:p w:rsidR="007A45D1" w:rsidRPr="00F627B2" w:rsidRDefault="007A45D1">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D008B2">
            <w:pPr>
              <w:spacing w:line="240" w:lineRule="auto"/>
              <w:rPr>
                <w:rFonts w:ascii="Lato" w:hAnsi="Lato"/>
                <w:szCs w:val="22"/>
              </w:rPr>
            </w:pPr>
            <w:r w:rsidRPr="00F627B2">
              <w:rPr>
                <w:rFonts w:ascii="Lato" w:hAnsi="Lato"/>
                <w:szCs w:val="22"/>
              </w:rPr>
              <w:t>2.2.</w:t>
            </w:r>
            <w:r w:rsidR="00D008B2" w:rsidRPr="00F627B2">
              <w:rPr>
                <w:rFonts w:ascii="Lato" w:hAnsi="Lato"/>
                <w:szCs w:val="22"/>
              </w:rPr>
              <w:t>5</w:t>
            </w:r>
          </w:p>
        </w:tc>
        <w:tc>
          <w:tcPr>
            <w:tcW w:w="5493" w:type="dxa"/>
            <w:tcBorders>
              <w:top w:val="nil"/>
              <w:left w:val="nil"/>
              <w:bottom w:val="nil"/>
              <w:right w:val="nil"/>
            </w:tcBorders>
          </w:tcPr>
          <w:p w:rsidR="002F07AF" w:rsidRPr="00F627B2" w:rsidRDefault="002F07AF" w:rsidP="00245C63">
            <w:pPr>
              <w:spacing w:line="240" w:lineRule="auto"/>
              <w:rPr>
                <w:rFonts w:ascii="Lato" w:hAnsi="Lato"/>
                <w:szCs w:val="22"/>
              </w:rPr>
            </w:pPr>
            <w:r w:rsidRPr="00F627B2">
              <w:rPr>
                <w:rFonts w:ascii="Lato" w:hAnsi="Lato"/>
                <w:szCs w:val="22"/>
              </w:rPr>
              <w:t xml:space="preserve">A structured </w:t>
            </w:r>
            <w:r w:rsidR="00245C63" w:rsidRPr="00F627B2">
              <w:rPr>
                <w:rFonts w:ascii="Lato" w:hAnsi="Lato"/>
                <w:szCs w:val="22"/>
              </w:rPr>
              <w:t xml:space="preserve">Retail Investor AIF </w:t>
            </w:r>
            <w:r w:rsidRPr="00F627B2">
              <w:rPr>
                <w:rFonts w:ascii="Lato" w:hAnsi="Lato"/>
                <w:szCs w:val="22"/>
              </w:rPr>
              <w:t>must disclose:</w:t>
            </w:r>
          </w:p>
        </w:tc>
        <w:tc>
          <w:tcPr>
            <w:tcW w:w="1131" w:type="dxa"/>
            <w:gridSpan w:val="4"/>
            <w:tcBorders>
              <w:top w:val="nil"/>
              <w:left w:val="nil"/>
              <w:bottom w:val="single" w:sz="4" w:space="0" w:color="auto"/>
              <w:right w:val="nil"/>
            </w:tcBorders>
          </w:tcPr>
          <w:p w:rsidR="002F07AF" w:rsidRPr="00F627B2" w:rsidRDefault="002F07AF" w:rsidP="00C05324">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rsidP="00C05324">
            <w:pPr>
              <w:spacing w:line="240" w:lineRule="auto"/>
              <w:rPr>
                <w:rFonts w:ascii="Lato" w:hAnsi="Lato"/>
                <w:szCs w:val="22"/>
              </w:rPr>
            </w:pPr>
          </w:p>
        </w:tc>
        <w:tc>
          <w:tcPr>
            <w:tcW w:w="1305" w:type="dxa"/>
            <w:gridSpan w:val="6"/>
            <w:tcBorders>
              <w:top w:val="nil"/>
              <w:left w:val="nil"/>
              <w:bottom w:val="single" w:sz="4" w:space="0" w:color="auto"/>
              <w:right w:val="nil"/>
            </w:tcBorders>
          </w:tcPr>
          <w:p w:rsidR="002F07AF" w:rsidRPr="00F627B2" w:rsidRDefault="002F07AF" w:rsidP="00C05324">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rsidP="00C05324">
            <w:pPr>
              <w:spacing w:line="240" w:lineRule="auto"/>
              <w:rPr>
                <w:rFonts w:ascii="Lato" w:hAnsi="Lato"/>
                <w:szCs w:val="22"/>
              </w:rPr>
            </w:pPr>
          </w:p>
        </w:tc>
        <w:tc>
          <w:tcPr>
            <w:tcW w:w="765" w:type="dxa"/>
            <w:gridSpan w:val="7"/>
            <w:tcBorders>
              <w:top w:val="nil"/>
              <w:left w:val="nil"/>
              <w:bottom w:val="single" w:sz="4" w:space="0" w:color="auto"/>
              <w:right w:val="nil"/>
            </w:tcBorders>
          </w:tcPr>
          <w:p w:rsidR="002F07AF" w:rsidRPr="00F627B2" w:rsidRDefault="002F07AF" w:rsidP="00C05324">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rsidP="00C05324">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rsidP="00C05324">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r w:rsidRPr="00F627B2">
              <w:rPr>
                <w:rFonts w:ascii="Lato" w:hAnsi="Lato"/>
                <w:szCs w:val="22"/>
              </w:rPr>
              <w:t>(i)</w:t>
            </w:r>
          </w:p>
        </w:tc>
        <w:tc>
          <w:tcPr>
            <w:tcW w:w="5493" w:type="dxa"/>
            <w:tcBorders>
              <w:top w:val="nil"/>
              <w:left w:val="nil"/>
              <w:bottom w:val="nil"/>
              <w:right w:val="single" w:sz="4" w:space="0" w:color="auto"/>
            </w:tcBorders>
          </w:tcPr>
          <w:p w:rsidR="002F07AF" w:rsidRPr="00F627B2" w:rsidRDefault="002F07AF" w:rsidP="00C05324">
            <w:pPr>
              <w:spacing w:line="240" w:lineRule="auto"/>
              <w:rPr>
                <w:rFonts w:ascii="Lato" w:hAnsi="Lato"/>
                <w:szCs w:val="22"/>
              </w:rPr>
            </w:pPr>
            <w:r w:rsidRPr="00F627B2">
              <w:rPr>
                <w:rFonts w:ascii="Lato" w:hAnsi="Lato"/>
                <w:szCs w:val="22"/>
              </w:rPr>
              <w:t>full details regarding the investment policy;</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rsidP="00C05324">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rsidP="00C05324">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rsidP="00C05324">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rsidP="00C05324">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rsidP="00C05324">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rsidP="00C05324">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rsidP="00C05324">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036CBB">
            <w:pPr>
              <w:spacing w:line="240" w:lineRule="auto"/>
              <w:jc w:val="right"/>
              <w:rPr>
                <w:rFonts w:ascii="Lato" w:hAnsi="Lato"/>
                <w:szCs w:val="22"/>
              </w:rPr>
            </w:pPr>
            <w:r w:rsidRPr="00F627B2">
              <w:rPr>
                <w:rFonts w:ascii="Lato" w:hAnsi="Lato"/>
                <w:szCs w:val="22"/>
              </w:rPr>
              <w:t>(ii)</w:t>
            </w:r>
          </w:p>
        </w:tc>
        <w:tc>
          <w:tcPr>
            <w:tcW w:w="5493" w:type="dxa"/>
            <w:tcBorders>
              <w:top w:val="nil"/>
              <w:left w:val="nil"/>
              <w:bottom w:val="nil"/>
              <w:right w:val="single" w:sz="4" w:space="0" w:color="auto"/>
            </w:tcBorders>
          </w:tcPr>
          <w:p w:rsidR="002F07AF" w:rsidRPr="00F627B2" w:rsidRDefault="002F07AF" w:rsidP="00C05324">
            <w:pPr>
              <w:spacing w:line="240" w:lineRule="auto"/>
              <w:rPr>
                <w:rFonts w:ascii="Lato" w:hAnsi="Lato"/>
                <w:szCs w:val="22"/>
              </w:rPr>
            </w:pPr>
            <w:r w:rsidRPr="00F627B2">
              <w:rPr>
                <w:rFonts w:ascii="Lato" w:hAnsi="Lato"/>
                <w:szCs w:val="22"/>
              </w:rPr>
              <w:t>the underlying exposure;</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rsidP="00C05324">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rsidP="00C05324">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rsidP="00C05324">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rsidP="00C05324">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rsidP="00C05324">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rsidP="00C05324">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rsidP="00C05324">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r w:rsidRPr="00F627B2">
              <w:rPr>
                <w:rFonts w:ascii="Lato" w:hAnsi="Lato"/>
                <w:szCs w:val="22"/>
              </w:rPr>
              <w:t>(iii)</w:t>
            </w:r>
          </w:p>
        </w:tc>
        <w:tc>
          <w:tcPr>
            <w:tcW w:w="5493" w:type="dxa"/>
            <w:tcBorders>
              <w:top w:val="nil"/>
              <w:left w:val="nil"/>
              <w:bottom w:val="nil"/>
              <w:right w:val="single" w:sz="4" w:space="0" w:color="auto"/>
            </w:tcBorders>
          </w:tcPr>
          <w:p w:rsidR="002F07AF" w:rsidRPr="00F627B2" w:rsidRDefault="002F07AF" w:rsidP="00B9512B">
            <w:pPr>
              <w:spacing w:line="240" w:lineRule="auto"/>
              <w:rPr>
                <w:rFonts w:ascii="Lato" w:hAnsi="Lato"/>
                <w:szCs w:val="22"/>
              </w:rPr>
            </w:pPr>
            <w:r w:rsidRPr="00F627B2">
              <w:rPr>
                <w:rFonts w:ascii="Lato" w:hAnsi="Lato"/>
                <w:szCs w:val="22"/>
              </w:rPr>
              <w:t xml:space="preserve">payoff formulas in clear language which can </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rsidP="00C05324">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rsidP="00C05324">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rsidP="00C05324">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rsidP="00C05324">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rsidP="00C05324">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rsidP="00C05324">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rsidP="00C05324">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036CBB">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B9512B" w:rsidP="00C05324">
            <w:pPr>
              <w:spacing w:line="240" w:lineRule="auto"/>
              <w:rPr>
                <w:rFonts w:ascii="Lato" w:hAnsi="Lato"/>
                <w:szCs w:val="22"/>
              </w:rPr>
            </w:pPr>
            <w:r w:rsidRPr="00F627B2">
              <w:rPr>
                <w:rFonts w:ascii="Lato" w:hAnsi="Lato"/>
                <w:szCs w:val="22"/>
              </w:rPr>
              <w:t xml:space="preserve">be easily </w:t>
            </w:r>
            <w:r w:rsidR="002F07AF" w:rsidRPr="00F627B2">
              <w:rPr>
                <w:rFonts w:ascii="Lato" w:hAnsi="Lato"/>
                <w:szCs w:val="22"/>
              </w:rPr>
              <w:t>understood by the retail investor; and</w:t>
            </w:r>
          </w:p>
        </w:tc>
        <w:tc>
          <w:tcPr>
            <w:tcW w:w="1131" w:type="dxa"/>
            <w:gridSpan w:val="4"/>
            <w:tcBorders>
              <w:top w:val="single" w:sz="4" w:space="0" w:color="auto"/>
              <w:left w:val="nil"/>
              <w:bottom w:val="single" w:sz="4" w:space="0" w:color="auto"/>
              <w:right w:val="nil"/>
            </w:tcBorders>
          </w:tcPr>
          <w:p w:rsidR="002F07AF" w:rsidRPr="00F627B2" w:rsidRDefault="002F07AF" w:rsidP="00C05324">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rsidP="00C05324">
            <w:pPr>
              <w:spacing w:line="240" w:lineRule="auto"/>
              <w:rPr>
                <w:rFonts w:ascii="Lato" w:hAnsi="Lato"/>
                <w:szCs w:val="22"/>
              </w:rPr>
            </w:pPr>
          </w:p>
        </w:tc>
        <w:tc>
          <w:tcPr>
            <w:tcW w:w="1305" w:type="dxa"/>
            <w:gridSpan w:val="6"/>
            <w:tcBorders>
              <w:top w:val="single" w:sz="4" w:space="0" w:color="auto"/>
              <w:left w:val="nil"/>
              <w:bottom w:val="single" w:sz="4" w:space="0" w:color="auto"/>
              <w:right w:val="nil"/>
            </w:tcBorders>
          </w:tcPr>
          <w:p w:rsidR="002F07AF" w:rsidRPr="00F627B2" w:rsidRDefault="002F07AF" w:rsidP="00C05324">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rsidP="00C05324">
            <w:pPr>
              <w:spacing w:line="240" w:lineRule="auto"/>
              <w:rPr>
                <w:rFonts w:ascii="Lato" w:hAnsi="Lato"/>
                <w:szCs w:val="22"/>
              </w:rPr>
            </w:pPr>
          </w:p>
        </w:tc>
        <w:tc>
          <w:tcPr>
            <w:tcW w:w="765" w:type="dxa"/>
            <w:gridSpan w:val="7"/>
            <w:tcBorders>
              <w:top w:val="single" w:sz="4" w:space="0" w:color="auto"/>
              <w:left w:val="nil"/>
              <w:bottom w:val="single" w:sz="4" w:space="0" w:color="auto"/>
              <w:right w:val="nil"/>
            </w:tcBorders>
          </w:tcPr>
          <w:p w:rsidR="002F07AF" w:rsidRPr="00F627B2" w:rsidRDefault="002F07AF" w:rsidP="00C05324">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rsidP="00C05324">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rsidP="00C05324">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r w:rsidRPr="00F627B2">
              <w:rPr>
                <w:rFonts w:ascii="Lato" w:hAnsi="Lato"/>
                <w:szCs w:val="22"/>
              </w:rPr>
              <w:t>(iv)</w:t>
            </w:r>
          </w:p>
        </w:tc>
        <w:tc>
          <w:tcPr>
            <w:tcW w:w="5493" w:type="dxa"/>
            <w:tcBorders>
              <w:top w:val="nil"/>
              <w:left w:val="nil"/>
              <w:bottom w:val="nil"/>
              <w:right w:val="single" w:sz="4" w:space="0" w:color="auto"/>
            </w:tcBorders>
          </w:tcPr>
          <w:p w:rsidR="002F07AF" w:rsidRPr="00F627B2" w:rsidRDefault="002F07AF" w:rsidP="00B9512B">
            <w:pPr>
              <w:spacing w:line="240" w:lineRule="auto"/>
              <w:rPr>
                <w:rFonts w:ascii="Lato" w:hAnsi="Lato"/>
                <w:szCs w:val="22"/>
              </w:rPr>
            </w:pPr>
            <w:r w:rsidRPr="00F627B2">
              <w:rPr>
                <w:rFonts w:ascii="Lato" w:hAnsi="Lato"/>
                <w:szCs w:val="22"/>
              </w:rPr>
              <w:t xml:space="preserve">a prominent risk warning informing </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rsidP="00C05324">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rsidP="00C05324">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rsidP="00C05324">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rsidP="00C05324">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rsidP="00C05324">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rsidP="00C05324">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rsidP="00C05324">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B9512B" w:rsidP="00C05324">
            <w:pPr>
              <w:spacing w:line="240" w:lineRule="auto"/>
              <w:rPr>
                <w:rFonts w:ascii="Lato" w:hAnsi="Lato"/>
                <w:szCs w:val="22"/>
              </w:rPr>
            </w:pPr>
            <w:r w:rsidRPr="00F627B2">
              <w:rPr>
                <w:rFonts w:ascii="Lato" w:hAnsi="Lato"/>
                <w:szCs w:val="22"/>
              </w:rPr>
              <w:t xml:space="preserve">unitholders who redeem </w:t>
            </w:r>
            <w:r w:rsidR="002F07AF" w:rsidRPr="00F627B2">
              <w:rPr>
                <w:rFonts w:ascii="Lato" w:hAnsi="Lato"/>
                <w:szCs w:val="22"/>
              </w:rPr>
              <w:t>their investment prior to maturity that they do not benefit from the pre-defined payoff and may suffer significant losses</w:t>
            </w:r>
          </w:p>
        </w:tc>
        <w:tc>
          <w:tcPr>
            <w:tcW w:w="1131" w:type="dxa"/>
            <w:gridSpan w:val="4"/>
            <w:tcBorders>
              <w:top w:val="single" w:sz="4" w:space="0" w:color="auto"/>
              <w:left w:val="nil"/>
              <w:bottom w:val="nil"/>
              <w:right w:val="nil"/>
            </w:tcBorders>
          </w:tcPr>
          <w:p w:rsidR="002F07AF" w:rsidRPr="00F627B2" w:rsidRDefault="002F07AF" w:rsidP="00C05324">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rsidP="00C05324">
            <w:pPr>
              <w:spacing w:line="240" w:lineRule="auto"/>
              <w:rPr>
                <w:rFonts w:ascii="Lato" w:hAnsi="Lato"/>
                <w:szCs w:val="22"/>
              </w:rPr>
            </w:pPr>
          </w:p>
        </w:tc>
        <w:tc>
          <w:tcPr>
            <w:tcW w:w="1305" w:type="dxa"/>
            <w:gridSpan w:val="6"/>
            <w:tcBorders>
              <w:top w:val="single" w:sz="4" w:space="0" w:color="auto"/>
              <w:left w:val="nil"/>
              <w:bottom w:val="nil"/>
              <w:right w:val="nil"/>
            </w:tcBorders>
          </w:tcPr>
          <w:p w:rsidR="002F07AF" w:rsidRPr="00F627B2" w:rsidRDefault="002F07AF" w:rsidP="00C05324">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rsidP="00C05324">
            <w:pPr>
              <w:spacing w:line="240" w:lineRule="auto"/>
              <w:rPr>
                <w:rFonts w:ascii="Lato" w:hAnsi="Lato"/>
                <w:szCs w:val="22"/>
              </w:rPr>
            </w:pPr>
          </w:p>
        </w:tc>
        <w:tc>
          <w:tcPr>
            <w:tcW w:w="765" w:type="dxa"/>
            <w:gridSpan w:val="7"/>
            <w:tcBorders>
              <w:top w:val="single" w:sz="4" w:space="0" w:color="auto"/>
              <w:left w:val="nil"/>
              <w:bottom w:val="nil"/>
              <w:right w:val="nil"/>
            </w:tcBorders>
          </w:tcPr>
          <w:p w:rsidR="002F07AF" w:rsidRPr="00F627B2" w:rsidRDefault="002F07AF" w:rsidP="00C05324">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rsidP="00C05324">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rsidP="00C05324">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D008B2">
            <w:pPr>
              <w:spacing w:line="240" w:lineRule="auto"/>
              <w:rPr>
                <w:rFonts w:ascii="Lato" w:hAnsi="Lato"/>
                <w:szCs w:val="22"/>
              </w:rPr>
            </w:pPr>
            <w:r w:rsidRPr="00F627B2">
              <w:rPr>
                <w:rFonts w:ascii="Lato" w:hAnsi="Lato"/>
                <w:szCs w:val="22"/>
              </w:rPr>
              <w:t>2.2.</w:t>
            </w:r>
            <w:r w:rsidR="00D008B2" w:rsidRPr="00F627B2">
              <w:rPr>
                <w:rFonts w:ascii="Lato" w:hAnsi="Lato"/>
                <w:szCs w:val="22"/>
              </w:rPr>
              <w:t>6</w:t>
            </w:r>
          </w:p>
        </w:tc>
        <w:tc>
          <w:tcPr>
            <w:tcW w:w="5493" w:type="dxa"/>
            <w:tcBorders>
              <w:top w:val="nil"/>
              <w:left w:val="nil"/>
              <w:bottom w:val="nil"/>
              <w:right w:val="nil"/>
            </w:tcBorders>
          </w:tcPr>
          <w:p w:rsidR="002F07AF" w:rsidRPr="00F627B2" w:rsidRDefault="00A31D8D">
            <w:pPr>
              <w:spacing w:line="240" w:lineRule="auto"/>
              <w:rPr>
                <w:rFonts w:ascii="Lato" w:hAnsi="Lato"/>
                <w:szCs w:val="22"/>
                <w:u w:val="single"/>
              </w:rPr>
            </w:pPr>
            <w:r w:rsidRPr="00F627B2">
              <w:rPr>
                <w:rFonts w:ascii="Lato" w:hAnsi="Lato"/>
                <w:szCs w:val="22"/>
                <w:u w:val="single"/>
              </w:rPr>
              <w:t>Leverage</w:t>
            </w:r>
          </w:p>
        </w:tc>
        <w:tc>
          <w:tcPr>
            <w:tcW w:w="1131"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rPr>
          <w:gridAfter w:val="2"/>
          <w:wAfter w:w="15" w:type="dxa"/>
          <w:trHeight w:val="263"/>
        </w:trPr>
        <w:tc>
          <w:tcPr>
            <w:tcW w:w="1107" w:type="dxa"/>
            <w:tcBorders>
              <w:top w:val="nil"/>
              <w:left w:val="nil"/>
              <w:bottom w:val="nil"/>
              <w:right w:val="nil"/>
            </w:tcBorders>
          </w:tcPr>
          <w:p w:rsidR="002F07AF" w:rsidRPr="00F627B2" w:rsidRDefault="002F07AF" w:rsidP="0068485A">
            <w:pPr>
              <w:numPr>
                <w:ilvl w:val="0"/>
                <w:numId w:val="22"/>
              </w:numPr>
              <w:spacing w:line="240" w:lineRule="auto"/>
              <w:jc w:val="right"/>
              <w:rPr>
                <w:rFonts w:ascii="Lato" w:hAnsi="Lato"/>
                <w:szCs w:val="22"/>
              </w:rPr>
            </w:pPr>
          </w:p>
        </w:tc>
        <w:tc>
          <w:tcPr>
            <w:tcW w:w="5493" w:type="dxa"/>
            <w:tcBorders>
              <w:top w:val="nil"/>
              <w:left w:val="nil"/>
              <w:bottom w:val="nil"/>
              <w:right w:val="single" w:sz="4" w:space="0" w:color="auto"/>
            </w:tcBorders>
          </w:tcPr>
          <w:p w:rsidR="002F07AF" w:rsidRPr="00F627B2" w:rsidDel="00307718" w:rsidRDefault="00F355A5" w:rsidP="00F355A5">
            <w:pPr>
              <w:spacing w:line="240" w:lineRule="auto"/>
              <w:rPr>
                <w:rFonts w:ascii="Lato" w:hAnsi="Lato"/>
                <w:szCs w:val="22"/>
              </w:rPr>
            </w:pPr>
            <w:r w:rsidRPr="00F627B2">
              <w:rPr>
                <w:rFonts w:ascii="Lato" w:hAnsi="Lato"/>
                <w:szCs w:val="22"/>
              </w:rPr>
              <w:t>Disclose the</w:t>
            </w:r>
            <w:r w:rsidR="002F07AF" w:rsidRPr="00F627B2">
              <w:rPr>
                <w:rFonts w:ascii="Lato" w:hAnsi="Lato"/>
                <w:szCs w:val="22"/>
              </w:rPr>
              <w:t xml:space="preserve"> quantitative parameters on the extent of </w:t>
            </w:r>
          </w:p>
        </w:tc>
        <w:tc>
          <w:tcPr>
            <w:tcW w:w="1120" w:type="dxa"/>
            <w:gridSpan w:val="3"/>
            <w:tcBorders>
              <w:top w:val="single" w:sz="4" w:space="0" w:color="auto"/>
              <w:left w:val="single" w:sz="4" w:space="0" w:color="auto"/>
              <w:bottom w:val="single" w:sz="4" w:space="0" w:color="auto"/>
              <w:right w:val="single" w:sz="4" w:space="0" w:color="auto"/>
            </w:tcBorders>
          </w:tcPr>
          <w:p w:rsidR="002F07AF" w:rsidRPr="00F627B2" w:rsidRDefault="002F07AF" w:rsidP="00450459">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2F07AF" w:rsidRPr="00F627B2" w:rsidRDefault="002F07AF" w:rsidP="00450459">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2F07AF" w:rsidRPr="00F627B2" w:rsidRDefault="002F07AF" w:rsidP="0045045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2F07AF" w:rsidRPr="00F627B2" w:rsidRDefault="002F07AF" w:rsidP="00450459">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2F07AF" w:rsidRPr="00F627B2" w:rsidRDefault="002F07AF" w:rsidP="00450459">
            <w:pPr>
              <w:spacing w:line="240" w:lineRule="auto"/>
              <w:rPr>
                <w:rFonts w:ascii="Lato" w:hAnsi="Lato"/>
                <w:szCs w:val="22"/>
              </w:rPr>
            </w:pPr>
          </w:p>
        </w:tc>
        <w:tc>
          <w:tcPr>
            <w:tcW w:w="240" w:type="dxa"/>
            <w:gridSpan w:val="4"/>
            <w:tcBorders>
              <w:top w:val="nil"/>
              <w:left w:val="single" w:sz="4" w:space="0" w:color="auto"/>
              <w:bottom w:val="nil"/>
              <w:right w:val="nil"/>
            </w:tcBorders>
          </w:tcPr>
          <w:p w:rsidR="002F07AF" w:rsidRPr="00F627B2" w:rsidRDefault="002F07AF" w:rsidP="00450459">
            <w:pPr>
              <w:spacing w:line="240" w:lineRule="auto"/>
              <w:rPr>
                <w:rFonts w:ascii="Lato" w:hAnsi="Lato"/>
                <w:szCs w:val="22"/>
              </w:rPr>
            </w:pPr>
          </w:p>
        </w:tc>
        <w:tc>
          <w:tcPr>
            <w:tcW w:w="636" w:type="dxa"/>
            <w:gridSpan w:val="7"/>
            <w:tcBorders>
              <w:top w:val="nil"/>
              <w:left w:val="nil"/>
              <w:bottom w:val="nil"/>
              <w:right w:val="nil"/>
            </w:tcBorders>
          </w:tcPr>
          <w:p w:rsidR="002F07AF" w:rsidRPr="00F627B2" w:rsidRDefault="002F07AF" w:rsidP="00450459">
            <w:pPr>
              <w:spacing w:line="240" w:lineRule="auto"/>
              <w:rPr>
                <w:rFonts w:ascii="Lato" w:hAnsi="Lato"/>
                <w:szCs w:val="22"/>
              </w:rPr>
            </w:pPr>
          </w:p>
        </w:tc>
      </w:tr>
      <w:tr w:rsidR="00AC467B" w:rsidRPr="00F627B2" w:rsidTr="00F627B2">
        <w:trPr>
          <w:gridAfter w:val="2"/>
          <w:wAfter w:w="15" w:type="dxa"/>
          <w:trHeight w:val="299"/>
        </w:trPr>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F355A5" w:rsidP="00450459">
            <w:pPr>
              <w:spacing w:line="240" w:lineRule="auto"/>
              <w:rPr>
                <w:rFonts w:ascii="Lato" w:hAnsi="Lato"/>
                <w:szCs w:val="22"/>
              </w:rPr>
            </w:pPr>
            <w:r w:rsidRPr="00F627B2">
              <w:rPr>
                <w:rFonts w:ascii="Lato" w:hAnsi="Lato"/>
                <w:szCs w:val="22"/>
              </w:rPr>
              <w:t xml:space="preserve">leverage </w:t>
            </w:r>
            <w:r w:rsidR="002F07AF" w:rsidRPr="00F627B2">
              <w:rPr>
                <w:rFonts w:ascii="Lato" w:hAnsi="Lato"/>
                <w:szCs w:val="22"/>
              </w:rPr>
              <w:t xml:space="preserve">which will be engaged in by the </w:t>
            </w:r>
            <w:r w:rsidR="006C49ED" w:rsidRPr="00F627B2">
              <w:rPr>
                <w:rFonts w:ascii="Lato" w:hAnsi="Lato"/>
                <w:szCs w:val="22"/>
              </w:rPr>
              <w:t>Retail Investor AIF</w:t>
            </w:r>
          </w:p>
        </w:tc>
        <w:tc>
          <w:tcPr>
            <w:tcW w:w="1120" w:type="dxa"/>
            <w:gridSpan w:val="3"/>
            <w:tcBorders>
              <w:top w:val="single" w:sz="4" w:space="0" w:color="auto"/>
              <w:left w:val="nil"/>
              <w:bottom w:val="nil"/>
              <w:right w:val="nil"/>
            </w:tcBorders>
          </w:tcPr>
          <w:p w:rsidR="002F07AF" w:rsidRPr="00F627B2" w:rsidRDefault="002F07AF" w:rsidP="00450459">
            <w:pPr>
              <w:spacing w:line="240" w:lineRule="auto"/>
              <w:rPr>
                <w:rFonts w:ascii="Lato" w:hAnsi="Lato"/>
                <w:szCs w:val="22"/>
              </w:rPr>
            </w:pPr>
          </w:p>
        </w:tc>
        <w:tc>
          <w:tcPr>
            <w:tcW w:w="554" w:type="dxa"/>
            <w:gridSpan w:val="3"/>
            <w:tcBorders>
              <w:top w:val="nil"/>
              <w:left w:val="nil"/>
              <w:bottom w:val="nil"/>
              <w:right w:val="nil"/>
            </w:tcBorders>
          </w:tcPr>
          <w:p w:rsidR="002F07AF" w:rsidRPr="00F627B2" w:rsidRDefault="002F07AF" w:rsidP="00450459">
            <w:pPr>
              <w:spacing w:line="240" w:lineRule="auto"/>
              <w:rPr>
                <w:rFonts w:ascii="Lato" w:hAnsi="Lato"/>
                <w:szCs w:val="22"/>
              </w:rPr>
            </w:pPr>
          </w:p>
        </w:tc>
        <w:tc>
          <w:tcPr>
            <w:tcW w:w="1321" w:type="dxa"/>
            <w:gridSpan w:val="7"/>
            <w:tcBorders>
              <w:top w:val="single" w:sz="4" w:space="0" w:color="auto"/>
              <w:left w:val="nil"/>
              <w:bottom w:val="nil"/>
              <w:right w:val="nil"/>
            </w:tcBorders>
          </w:tcPr>
          <w:p w:rsidR="002F07AF" w:rsidRPr="00F627B2" w:rsidRDefault="002F07AF" w:rsidP="00450459">
            <w:pPr>
              <w:spacing w:line="240" w:lineRule="auto"/>
              <w:rPr>
                <w:rFonts w:ascii="Lato" w:hAnsi="Lato"/>
                <w:szCs w:val="22"/>
              </w:rPr>
            </w:pPr>
          </w:p>
        </w:tc>
        <w:tc>
          <w:tcPr>
            <w:tcW w:w="287" w:type="dxa"/>
            <w:gridSpan w:val="6"/>
            <w:tcBorders>
              <w:top w:val="nil"/>
              <w:left w:val="nil"/>
              <w:bottom w:val="nil"/>
              <w:right w:val="nil"/>
            </w:tcBorders>
          </w:tcPr>
          <w:p w:rsidR="002F07AF" w:rsidRPr="00F627B2" w:rsidRDefault="002F07AF" w:rsidP="00450459">
            <w:pPr>
              <w:spacing w:line="240" w:lineRule="auto"/>
              <w:rPr>
                <w:rFonts w:ascii="Lato" w:hAnsi="Lato"/>
                <w:szCs w:val="22"/>
              </w:rPr>
            </w:pPr>
          </w:p>
        </w:tc>
        <w:tc>
          <w:tcPr>
            <w:tcW w:w="717" w:type="dxa"/>
            <w:gridSpan w:val="4"/>
            <w:tcBorders>
              <w:top w:val="single" w:sz="4" w:space="0" w:color="auto"/>
              <w:left w:val="nil"/>
              <w:bottom w:val="nil"/>
              <w:right w:val="nil"/>
            </w:tcBorders>
          </w:tcPr>
          <w:p w:rsidR="002F07AF" w:rsidRPr="00F627B2" w:rsidRDefault="002F07AF" w:rsidP="00450459">
            <w:pPr>
              <w:spacing w:line="240" w:lineRule="auto"/>
              <w:rPr>
                <w:rFonts w:ascii="Lato" w:hAnsi="Lato"/>
                <w:szCs w:val="22"/>
              </w:rPr>
            </w:pPr>
          </w:p>
        </w:tc>
        <w:tc>
          <w:tcPr>
            <w:tcW w:w="240" w:type="dxa"/>
            <w:gridSpan w:val="4"/>
            <w:tcBorders>
              <w:top w:val="nil"/>
              <w:left w:val="nil"/>
              <w:bottom w:val="nil"/>
              <w:right w:val="nil"/>
            </w:tcBorders>
          </w:tcPr>
          <w:p w:rsidR="002F07AF" w:rsidRPr="00F627B2" w:rsidRDefault="002F07AF" w:rsidP="00450459">
            <w:pPr>
              <w:spacing w:line="240" w:lineRule="auto"/>
              <w:rPr>
                <w:rFonts w:ascii="Lato" w:hAnsi="Lato"/>
                <w:szCs w:val="22"/>
              </w:rPr>
            </w:pPr>
          </w:p>
        </w:tc>
        <w:tc>
          <w:tcPr>
            <w:tcW w:w="636" w:type="dxa"/>
            <w:gridSpan w:val="7"/>
            <w:tcBorders>
              <w:top w:val="nil"/>
              <w:left w:val="nil"/>
              <w:bottom w:val="nil"/>
              <w:right w:val="nil"/>
            </w:tcBorders>
          </w:tcPr>
          <w:p w:rsidR="002F07AF" w:rsidRPr="00F627B2" w:rsidRDefault="002F07AF" w:rsidP="00450459">
            <w:pPr>
              <w:spacing w:line="240" w:lineRule="auto"/>
              <w:rPr>
                <w:rFonts w:ascii="Lato" w:hAnsi="Lato"/>
                <w:szCs w:val="22"/>
              </w:rPr>
            </w:pPr>
          </w:p>
        </w:tc>
      </w:tr>
      <w:tr w:rsidR="00AC467B" w:rsidRPr="00F627B2" w:rsidTr="00F627B2">
        <w:trPr>
          <w:gridAfter w:val="2"/>
          <w:wAfter w:w="15" w:type="dxa"/>
          <w:trHeight w:val="299"/>
        </w:trPr>
        <w:tc>
          <w:tcPr>
            <w:tcW w:w="1107" w:type="dxa"/>
            <w:tcBorders>
              <w:top w:val="nil"/>
              <w:left w:val="nil"/>
              <w:bottom w:val="nil"/>
              <w:right w:val="nil"/>
            </w:tcBorders>
          </w:tcPr>
          <w:p w:rsidR="002F07AF" w:rsidRPr="00F627B2" w:rsidRDefault="002F07AF" w:rsidP="0068485A">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2F07AF" w:rsidP="00450459">
            <w:pPr>
              <w:spacing w:line="240" w:lineRule="auto"/>
              <w:rPr>
                <w:rFonts w:ascii="Lato" w:hAnsi="Lato"/>
                <w:szCs w:val="22"/>
              </w:rPr>
            </w:pPr>
          </w:p>
        </w:tc>
        <w:tc>
          <w:tcPr>
            <w:tcW w:w="1120" w:type="dxa"/>
            <w:gridSpan w:val="3"/>
            <w:tcBorders>
              <w:top w:val="nil"/>
              <w:left w:val="nil"/>
              <w:bottom w:val="single" w:sz="4" w:space="0" w:color="auto"/>
              <w:right w:val="nil"/>
            </w:tcBorders>
          </w:tcPr>
          <w:p w:rsidR="002F07AF" w:rsidRPr="00F627B2" w:rsidRDefault="002F07AF" w:rsidP="00450459">
            <w:pPr>
              <w:spacing w:line="240" w:lineRule="auto"/>
              <w:rPr>
                <w:rFonts w:ascii="Lato" w:hAnsi="Lato"/>
                <w:szCs w:val="22"/>
              </w:rPr>
            </w:pPr>
          </w:p>
        </w:tc>
        <w:tc>
          <w:tcPr>
            <w:tcW w:w="554" w:type="dxa"/>
            <w:gridSpan w:val="3"/>
            <w:tcBorders>
              <w:top w:val="nil"/>
              <w:left w:val="nil"/>
              <w:bottom w:val="nil"/>
              <w:right w:val="nil"/>
            </w:tcBorders>
          </w:tcPr>
          <w:p w:rsidR="002F07AF" w:rsidRPr="00F627B2" w:rsidRDefault="002F07AF" w:rsidP="00450459">
            <w:pPr>
              <w:spacing w:line="240" w:lineRule="auto"/>
              <w:rPr>
                <w:rFonts w:ascii="Lato" w:hAnsi="Lato"/>
                <w:szCs w:val="22"/>
              </w:rPr>
            </w:pPr>
          </w:p>
        </w:tc>
        <w:tc>
          <w:tcPr>
            <w:tcW w:w="1321" w:type="dxa"/>
            <w:gridSpan w:val="7"/>
            <w:tcBorders>
              <w:top w:val="nil"/>
              <w:left w:val="nil"/>
              <w:bottom w:val="single" w:sz="4" w:space="0" w:color="auto"/>
              <w:right w:val="nil"/>
            </w:tcBorders>
          </w:tcPr>
          <w:p w:rsidR="002F07AF" w:rsidRPr="00F627B2" w:rsidRDefault="002F07AF" w:rsidP="00450459">
            <w:pPr>
              <w:spacing w:line="240" w:lineRule="auto"/>
              <w:rPr>
                <w:rFonts w:ascii="Lato" w:hAnsi="Lato"/>
                <w:szCs w:val="22"/>
              </w:rPr>
            </w:pPr>
          </w:p>
        </w:tc>
        <w:tc>
          <w:tcPr>
            <w:tcW w:w="287" w:type="dxa"/>
            <w:gridSpan w:val="6"/>
            <w:tcBorders>
              <w:top w:val="nil"/>
              <w:left w:val="nil"/>
              <w:bottom w:val="nil"/>
              <w:right w:val="nil"/>
            </w:tcBorders>
          </w:tcPr>
          <w:p w:rsidR="002F07AF" w:rsidRPr="00F627B2" w:rsidRDefault="002F07AF" w:rsidP="00450459">
            <w:pPr>
              <w:spacing w:line="240" w:lineRule="auto"/>
              <w:rPr>
                <w:rFonts w:ascii="Lato" w:hAnsi="Lato"/>
                <w:szCs w:val="22"/>
              </w:rPr>
            </w:pPr>
          </w:p>
        </w:tc>
        <w:tc>
          <w:tcPr>
            <w:tcW w:w="717" w:type="dxa"/>
            <w:gridSpan w:val="4"/>
            <w:tcBorders>
              <w:top w:val="nil"/>
              <w:left w:val="nil"/>
              <w:bottom w:val="single" w:sz="4" w:space="0" w:color="auto"/>
              <w:right w:val="nil"/>
            </w:tcBorders>
          </w:tcPr>
          <w:p w:rsidR="002F07AF" w:rsidRPr="00F627B2" w:rsidRDefault="002F07AF" w:rsidP="00450459">
            <w:pPr>
              <w:spacing w:line="240" w:lineRule="auto"/>
              <w:rPr>
                <w:rFonts w:ascii="Lato" w:hAnsi="Lato"/>
                <w:szCs w:val="22"/>
              </w:rPr>
            </w:pPr>
          </w:p>
        </w:tc>
        <w:tc>
          <w:tcPr>
            <w:tcW w:w="240" w:type="dxa"/>
            <w:gridSpan w:val="4"/>
            <w:tcBorders>
              <w:top w:val="nil"/>
              <w:left w:val="nil"/>
              <w:bottom w:val="nil"/>
              <w:right w:val="nil"/>
            </w:tcBorders>
          </w:tcPr>
          <w:p w:rsidR="002F07AF" w:rsidRPr="00F627B2" w:rsidRDefault="002F07AF" w:rsidP="00450459">
            <w:pPr>
              <w:spacing w:line="240" w:lineRule="auto"/>
              <w:rPr>
                <w:rFonts w:ascii="Lato" w:hAnsi="Lato"/>
                <w:szCs w:val="22"/>
              </w:rPr>
            </w:pPr>
          </w:p>
        </w:tc>
        <w:tc>
          <w:tcPr>
            <w:tcW w:w="636" w:type="dxa"/>
            <w:gridSpan w:val="7"/>
            <w:tcBorders>
              <w:top w:val="nil"/>
              <w:left w:val="nil"/>
              <w:bottom w:val="nil"/>
              <w:right w:val="nil"/>
            </w:tcBorders>
          </w:tcPr>
          <w:p w:rsidR="002F07AF" w:rsidRPr="00F627B2" w:rsidRDefault="002F07AF" w:rsidP="00450459">
            <w:pPr>
              <w:spacing w:line="240" w:lineRule="auto"/>
              <w:rPr>
                <w:rFonts w:ascii="Lato" w:hAnsi="Lato"/>
                <w:szCs w:val="22"/>
              </w:rPr>
            </w:pPr>
          </w:p>
        </w:tc>
      </w:tr>
      <w:tr w:rsidR="00AC467B" w:rsidRPr="00F627B2" w:rsidTr="00F627B2">
        <w:trPr>
          <w:gridAfter w:val="2"/>
          <w:wAfter w:w="15" w:type="dxa"/>
          <w:trHeight w:val="299"/>
        </w:trPr>
        <w:tc>
          <w:tcPr>
            <w:tcW w:w="1107" w:type="dxa"/>
            <w:tcBorders>
              <w:top w:val="nil"/>
              <w:left w:val="nil"/>
              <w:bottom w:val="nil"/>
              <w:right w:val="nil"/>
            </w:tcBorders>
          </w:tcPr>
          <w:p w:rsidR="002F07AF" w:rsidRPr="00F627B2" w:rsidRDefault="002F07AF" w:rsidP="00EF4BC6">
            <w:pPr>
              <w:numPr>
                <w:ilvl w:val="0"/>
                <w:numId w:val="22"/>
              </w:numPr>
              <w:spacing w:line="240" w:lineRule="auto"/>
              <w:ind w:hanging="544"/>
              <w:jc w:val="right"/>
              <w:rPr>
                <w:rFonts w:ascii="Lato" w:hAnsi="Lato"/>
                <w:szCs w:val="22"/>
              </w:rPr>
            </w:pPr>
          </w:p>
        </w:tc>
        <w:tc>
          <w:tcPr>
            <w:tcW w:w="5493" w:type="dxa"/>
            <w:tcBorders>
              <w:top w:val="nil"/>
              <w:left w:val="nil"/>
              <w:bottom w:val="nil"/>
              <w:right w:val="single" w:sz="4" w:space="0" w:color="auto"/>
            </w:tcBorders>
          </w:tcPr>
          <w:p w:rsidR="002F07AF" w:rsidRPr="00F627B2" w:rsidRDefault="002F07AF" w:rsidP="00A3401E">
            <w:pPr>
              <w:spacing w:line="240" w:lineRule="auto"/>
              <w:rPr>
                <w:rFonts w:ascii="Lato" w:hAnsi="Lato"/>
                <w:szCs w:val="22"/>
              </w:rPr>
            </w:pPr>
            <w:r w:rsidRPr="00F627B2">
              <w:rPr>
                <w:rFonts w:ascii="Lato" w:hAnsi="Lato"/>
                <w:szCs w:val="22"/>
              </w:rPr>
              <w:t xml:space="preserve">Disclose the method </w:t>
            </w:r>
            <w:r w:rsidR="00624D79" w:rsidRPr="00F627B2">
              <w:rPr>
                <w:rFonts w:ascii="Lato" w:hAnsi="Lato"/>
                <w:szCs w:val="22"/>
              </w:rPr>
              <w:t>(i.e. commitment/VaR)</w:t>
            </w:r>
            <w:r w:rsidRPr="00F627B2">
              <w:rPr>
                <w:rFonts w:ascii="Lato" w:hAnsi="Lato"/>
                <w:szCs w:val="22"/>
              </w:rPr>
              <w:t xml:space="preserve">of </w:t>
            </w:r>
          </w:p>
        </w:tc>
        <w:tc>
          <w:tcPr>
            <w:tcW w:w="1120" w:type="dxa"/>
            <w:gridSpan w:val="3"/>
            <w:tcBorders>
              <w:top w:val="single" w:sz="4" w:space="0" w:color="auto"/>
              <w:left w:val="single" w:sz="4" w:space="0" w:color="auto"/>
              <w:bottom w:val="single" w:sz="4" w:space="0" w:color="auto"/>
              <w:right w:val="single" w:sz="4" w:space="0" w:color="auto"/>
            </w:tcBorders>
          </w:tcPr>
          <w:p w:rsidR="002F07AF" w:rsidRPr="00F627B2" w:rsidRDefault="002F07AF" w:rsidP="00450459">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2F07AF" w:rsidRPr="00F627B2" w:rsidRDefault="002F07AF" w:rsidP="00450459">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2F07AF" w:rsidRPr="00F627B2" w:rsidRDefault="002F07AF" w:rsidP="0045045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2F07AF" w:rsidRPr="00F627B2" w:rsidRDefault="002F07AF" w:rsidP="00450459">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2F07AF" w:rsidRPr="00F627B2" w:rsidRDefault="002F07AF" w:rsidP="00450459">
            <w:pPr>
              <w:spacing w:line="240" w:lineRule="auto"/>
              <w:rPr>
                <w:rFonts w:ascii="Lato" w:hAnsi="Lato"/>
                <w:szCs w:val="22"/>
              </w:rPr>
            </w:pPr>
          </w:p>
        </w:tc>
        <w:tc>
          <w:tcPr>
            <w:tcW w:w="240" w:type="dxa"/>
            <w:gridSpan w:val="4"/>
            <w:tcBorders>
              <w:top w:val="nil"/>
              <w:left w:val="single" w:sz="4" w:space="0" w:color="auto"/>
              <w:bottom w:val="nil"/>
              <w:right w:val="nil"/>
            </w:tcBorders>
          </w:tcPr>
          <w:p w:rsidR="002F07AF" w:rsidRPr="00F627B2" w:rsidRDefault="002F07AF" w:rsidP="00450459">
            <w:pPr>
              <w:spacing w:line="240" w:lineRule="auto"/>
              <w:rPr>
                <w:rFonts w:ascii="Lato" w:hAnsi="Lato"/>
                <w:szCs w:val="22"/>
              </w:rPr>
            </w:pPr>
          </w:p>
        </w:tc>
        <w:tc>
          <w:tcPr>
            <w:tcW w:w="636" w:type="dxa"/>
            <w:gridSpan w:val="7"/>
            <w:tcBorders>
              <w:top w:val="nil"/>
              <w:left w:val="nil"/>
              <w:bottom w:val="nil"/>
              <w:right w:val="nil"/>
            </w:tcBorders>
          </w:tcPr>
          <w:p w:rsidR="002F07AF" w:rsidRPr="00F627B2" w:rsidRDefault="002F07AF" w:rsidP="00450459">
            <w:pPr>
              <w:spacing w:line="240" w:lineRule="auto"/>
              <w:rPr>
                <w:rFonts w:ascii="Lato" w:hAnsi="Lato"/>
                <w:szCs w:val="22"/>
              </w:rPr>
            </w:pPr>
          </w:p>
        </w:tc>
      </w:tr>
      <w:tr w:rsidR="00AC467B" w:rsidRPr="00F627B2" w:rsidTr="00F627B2">
        <w:trPr>
          <w:gridAfter w:val="2"/>
          <w:wAfter w:w="15" w:type="dxa"/>
          <w:trHeight w:val="299"/>
        </w:trPr>
        <w:tc>
          <w:tcPr>
            <w:tcW w:w="1107" w:type="dxa"/>
            <w:tcBorders>
              <w:top w:val="nil"/>
              <w:left w:val="nil"/>
              <w:bottom w:val="nil"/>
              <w:right w:val="nil"/>
            </w:tcBorders>
          </w:tcPr>
          <w:p w:rsidR="002F07AF" w:rsidRPr="00F627B2" w:rsidRDefault="002F07AF" w:rsidP="00450459">
            <w:pPr>
              <w:spacing w:line="240" w:lineRule="auto"/>
              <w:rPr>
                <w:rFonts w:ascii="Lato" w:hAnsi="Lato"/>
                <w:szCs w:val="22"/>
              </w:rPr>
            </w:pPr>
          </w:p>
        </w:tc>
        <w:tc>
          <w:tcPr>
            <w:tcW w:w="5493" w:type="dxa"/>
            <w:tcBorders>
              <w:top w:val="nil"/>
              <w:left w:val="nil"/>
              <w:bottom w:val="nil"/>
              <w:right w:val="nil"/>
            </w:tcBorders>
          </w:tcPr>
          <w:p w:rsidR="00734E18" w:rsidRPr="00F627B2" w:rsidRDefault="004F01CA" w:rsidP="00624D79">
            <w:pPr>
              <w:spacing w:line="240" w:lineRule="auto"/>
              <w:rPr>
                <w:rFonts w:ascii="Lato" w:hAnsi="Lato"/>
                <w:szCs w:val="22"/>
              </w:rPr>
            </w:pPr>
            <w:r w:rsidRPr="001E4A73">
              <w:rPr>
                <w:rFonts w:ascii="Lato" w:hAnsi="Lato"/>
                <w:szCs w:val="22"/>
              </w:rPr>
              <w:t>calculating</w:t>
            </w:r>
            <w:r w:rsidRPr="00A3401E">
              <w:rPr>
                <w:rFonts w:ascii="Lato" w:hAnsi="Lato"/>
                <w:szCs w:val="22"/>
              </w:rPr>
              <w:t xml:space="preserve"> </w:t>
            </w:r>
            <w:r w:rsidR="00B9512B" w:rsidRPr="00F627B2">
              <w:rPr>
                <w:rFonts w:ascii="Lato" w:hAnsi="Lato"/>
                <w:szCs w:val="22"/>
              </w:rPr>
              <w:t xml:space="preserve">the </w:t>
            </w:r>
            <w:r w:rsidR="00624D79" w:rsidRPr="00F627B2">
              <w:rPr>
                <w:rFonts w:ascii="Lato" w:hAnsi="Lato"/>
                <w:szCs w:val="22"/>
              </w:rPr>
              <w:t xml:space="preserve">Retail Investor AIF’s </w:t>
            </w:r>
            <w:r w:rsidR="006C49ED" w:rsidRPr="00F627B2">
              <w:rPr>
                <w:rFonts w:ascii="Lato" w:hAnsi="Lato"/>
                <w:szCs w:val="22"/>
              </w:rPr>
              <w:t xml:space="preserve">global </w:t>
            </w:r>
            <w:r w:rsidR="00A31D8D" w:rsidRPr="00F627B2">
              <w:rPr>
                <w:rFonts w:ascii="Lato" w:hAnsi="Lato"/>
                <w:szCs w:val="22"/>
              </w:rPr>
              <w:t>e</w:t>
            </w:r>
            <w:r w:rsidR="002F07AF" w:rsidRPr="00F627B2">
              <w:rPr>
                <w:rFonts w:ascii="Lato" w:hAnsi="Lato"/>
                <w:szCs w:val="22"/>
              </w:rPr>
              <w:t xml:space="preserve">xposure.  </w:t>
            </w:r>
          </w:p>
          <w:p w:rsidR="002F07AF" w:rsidRPr="00F627B2" w:rsidRDefault="002F07AF" w:rsidP="00EF4BC6">
            <w:pPr>
              <w:spacing w:line="240" w:lineRule="auto"/>
              <w:ind w:left="720"/>
              <w:rPr>
                <w:rFonts w:ascii="Lato" w:hAnsi="Lato"/>
                <w:szCs w:val="22"/>
              </w:rPr>
            </w:pPr>
          </w:p>
        </w:tc>
        <w:tc>
          <w:tcPr>
            <w:tcW w:w="1120" w:type="dxa"/>
            <w:gridSpan w:val="3"/>
            <w:tcBorders>
              <w:top w:val="single" w:sz="4" w:space="0" w:color="auto"/>
              <w:left w:val="nil"/>
              <w:bottom w:val="single" w:sz="4" w:space="0" w:color="auto"/>
              <w:right w:val="nil"/>
            </w:tcBorders>
          </w:tcPr>
          <w:p w:rsidR="002F07AF" w:rsidRPr="00F627B2" w:rsidRDefault="002F07AF" w:rsidP="00450459">
            <w:pPr>
              <w:spacing w:line="240" w:lineRule="auto"/>
              <w:rPr>
                <w:rFonts w:ascii="Lato" w:hAnsi="Lato"/>
                <w:szCs w:val="22"/>
              </w:rPr>
            </w:pPr>
          </w:p>
        </w:tc>
        <w:tc>
          <w:tcPr>
            <w:tcW w:w="554" w:type="dxa"/>
            <w:gridSpan w:val="3"/>
            <w:tcBorders>
              <w:top w:val="nil"/>
              <w:left w:val="nil"/>
              <w:bottom w:val="nil"/>
              <w:right w:val="nil"/>
            </w:tcBorders>
          </w:tcPr>
          <w:p w:rsidR="002F07AF" w:rsidRPr="00F627B2" w:rsidRDefault="002F07AF" w:rsidP="00450459">
            <w:pPr>
              <w:spacing w:line="240" w:lineRule="auto"/>
              <w:rPr>
                <w:rFonts w:ascii="Lato" w:hAnsi="Lato"/>
                <w:szCs w:val="22"/>
              </w:rPr>
            </w:pPr>
          </w:p>
        </w:tc>
        <w:tc>
          <w:tcPr>
            <w:tcW w:w="1321" w:type="dxa"/>
            <w:gridSpan w:val="7"/>
            <w:tcBorders>
              <w:top w:val="single" w:sz="4" w:space="0" w:color="auto"/>
              <w:left w:val="nil"/>
              <w:bottom w:val="single" w:sz="4" w:space="0" w:color="auto"/>
              <w:right w:val="nil"/>
            </w:tcBorders>
          </w:tcPr>
          <w:p w:rsidR="002F07AF" w:rsidRPr="00F627B2" w:rsidRDefault="002F07AF" w:rsidP="00450459">
            <w:pPr>
              <w:spacing w:line="240" w:lineRule="auto"/>
              <w:rPr>
                <w:rFonts w:ascii="Lato" w:hAnsi="Lato"/>
                <w:szCs w:val="22"/>
              </w:rPr>
            </w:pPr>
          </w:p>
        </w:tc>
        <w:tc>
          <w:tcPr>
            <w:tcW w:w="287" w:type="dxa"/>
            <w:gridSpan w:val="6"/>
            <w:tcBorders>
              <w:top w:val="nil"/>
              <w:left w:val="nil"/>
              <w:bottom w:val="nil"/>
              <w:right w:val="nil"/>
            </w:tcBorders>
          </w:tcPr>
          <w:p w:rsidR="002F07AF" w:rsidRPr="00F627B2" w:rsidRDefault="002F07AF" w:rsidP="00450459">
            <w:pPr>
              <w:spacing w:line="240" w:lineRule="auto"/>
              <w:rPr>
                <w:rFonts w:ascii="Lato" w:hAnsi="Lato"/>
                <w:szCs w:val="22"/>
              </w:rPr>
            </w:pPr>
          </w:p>
        </w:tc>
        <w:tc>
          <w:tcPr>
            <w:tcW w:w="717" w:type="dxa"/>
            <w:gridSpan w:val="4"/>
            <w:tcBorders>
              <w:top w:val="single" w:sz="4" w:space="0" w:color="auto"/>
              <w:left w:val="nil"/>
              <w:bottom w:val="single" w:sz="4" w:space="0" w:color="auto"/>
              <w:right w:val="nil"/>
            </w:tcBorders>
          </w:tcPr>
          <w:p w:rsidR="002F07AF" w:rsidRPr="00F627B2" w:rsidRDefault="002F07AF" w:rsidP="00450459">
            <w:pPr>
              <w:spacing w:line="240" w:lineRule="auto"/>
              <w:rPr>
                <w:rFonts w:ascii="Lato" w:hAnsi="Lato"/>
                <w:szCs w:val="22"/>
              </w:rPr>
            </w:pPr>
          </w:p>
        </w:tc>
        <w:tc>
          <w:tcPr>
            <w:tcW w:w="240" w:type="dxa"/>
            <w:gridSpan w:val="4"/>
            <w:tcBorders>
              <w:top w:val="nil"/>
              <w:left w:val="nil"/>
              <w:bottom w:val="nil"/>
              <w:right w:val="nil"/>
            </w:tcBorders>
          </w:tcPr>
          <w:p w:rsidR="002F07AF" w:rsidRPr="00F627B2" w:rsidRDefault="002F07AF" w:rsidP="00450459">
            <w:pPr>
              <w:spacing w:line="240" w:lineRule="auto"/>
              <w:rPr>
                <w:rFonts w:ascii="Lato" w:hAnsi="Lato"/>
                <w:szCs w:val="22"/>
              </w:rPr>
            </w:pPr>
          </w:p>
        </w:tc>
        <w:tc>
          <w:tcPr>
            <w:tcW w:w="636" w:type="dxa"/>
            <w:gridSpan w:val="7"/>
            <w:tcBorders>
              <w:top w:val="nil"/>
              <w:left w:val="nil"/>
              <w:bottom w:val="nil"/>
              <w:right w:val="nil"/>
            </w:tcBorders>
          </w:tcPr>
          <w:p w:rsidR="002F07AF" w:rsidRPr="00F627B2" w:rsidRDefault="002F07AF" w:rsidP="00450459">
            <w:pPr>
              <w:spacing w:line="240" w:lineRule="auto"/>
              <w:rPr>
                <w:rFonts w:ascii="Lato" w:hAnsi="Lato"/>
                <w:szCs w:val="22"/>
              </w:rPr>
            </w:pPr>
          </w:p>
        </w:tc>
      </w:tr>
      <w:tr w:rsidR="00EF4BC6" w:rsidRPr="00F627B2" w:rsidTr="00F627B2">
        <w:trPr>
          <w:gridAfter w:val="2"/>
          <w:wAfter w:w="15" w:type="dxa"/>
          <w:trHeight w:val="299"/>
        </w:trPr>
        <w:tc>
          <w:tcPr>
            <w:tcW w:w="1107" w:type="dxa"/>
            <w:tcBorders>
              <w:top w:val="nil"/>
              <w:left w:val="nil"/>
              <w:bottom w:val="nil"/>
              <w:right w:val="nil"/>
            </w:tcBorders>
          </w:tcPr>
          <w:p w:rsidR="00EF4BC6" w:rsidRPr="00F627B2" w:rsidRDefault="00EF4BC6" w:rsidP="00EF4BC6">
            <w:pPr>
              <w:numPr>
                <w:ilvl w:val="0"/>
                <w:numId w:val="22"/>
              </w:numPr>
              <w:spacing w:line="240" w:lineRule="auto"/>
              <w:rPr>
                <w:rFonts w:ascii="Lato" w:hAnsi="Lato"/>
                <w:szCs w:val="22"/>
              </w:rPr>
            </w:pPr>
          </w:p>
        </w:tc>
        <w:tc>
          <w:tcPr>
            <w:tcW w:w="5493" w:type="dxa"/>
            <w:tcBorders>
              <w:top w:val="nil"/>
              <w:left w:val="nil"/>
              <w:bottom w:val="nil"/>
              <w:right w:val="single" w:sz="4" w:space="0" w:color="auto"/>
            </w:tcBorders>
          </w:tcPr>
          <w:p w:rsidR="00EF4BC6" w:rsidRPr="00F627B2" w:rsidRDefault="00EF4BC6" w:rsidP="00A3401E">
            <w:pPr>
              <w:spacing w:line="240" w:lineRule="auto"/>
              <w:rPr>
                <w:rFonts w:ascii="Lato" w:hAnsi="Lato"/>
                <w:szCs w:val="22"/>
              </w:rPr>
            </w:pPr>
            <w:r w:rsidRPr="00F627B2">
              <w:rPr>
                <w:rFonts w:ascii="Lato" w:hAnsi="Lato"/>
                <w:szCs w:val="22"/>
              </w:rPr>
              <w:t xml:space="preserve">Where the commitment method is used state that the </w:t>
            </w:r>
          </w:p>
        </w:tc>
        <w:tc>
          <w:tcPr>
            <w:tcW w:w="1120" w:type="dxa"/>
            <w:gridSpan w:val="3"/>
            <w:tcBorders>
              <w:top w:val="single" w:sz="4" w:space="0" w:color="auto"/>
              <w:left w:val="single" w:sz="4" w:space="0" w:color="auto"/>
              <w:bottom w:val="single" w:sz="4" w:space="0" w:color="auto"/>
              <w:right w:val="single" w:sz="4" w:space="0" w:color="auto"/>
            </w:tcBorders>
          </w:tcPr>
          <w:p w:rsidR="00EF4BC6" w:rsidRPr="00F627B2" w:rsidRDefault="00EF4BC6" w:rsidP="00450459">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EF4BC6" w:rsidRPr="00F627B2" w:rsidRDefault="00EF4BC6" w:rsidP="00450459">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EF4BC6" w:rsidRPr="00F627B2" w:rsidRDefault="00EF4BC6" w:rsidP="0045045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EF4BC6" w:rsidRPr="00F627B2" w:rsidRDefault="00EF4BC6" w:rsidP="00450459">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EF4BC6" w:rsidRPr="00F627B2" w:rsidRDefault="00EF4BC6" w:rsidP="00450459">
            <w:pPr>
              <w:spacing w:line="240" w:lineRule="auto"/>
              <w:rPr>
                <w:rFonts w:ascii="Lato" w:hAnsi="Lato"/>
                <w:szCs w:val="22"/>
              </w:rPr>
            </w:pPr>
          </w:p>
        </w:tc>
        <w:tc>
          <w:tcPr>
            <w:tcW w:w="240" w:type="dxa"/>
            <w:gridSpan w:val="4"/>
            <w:tcBorders>
              <w:top w:val="nil"/>
              <w:left w:val="single" w:sz="4" w:space="0" w:color="auto"/>
              <w:bottom w:val="nil"/>
              <w:right w:val="nil"/>
            </w:tcBorders>
          </w:tcPr>
          <w:p w:rsidR="00EF4BC6" w:rsidRPr="00F627B2" w:rsidRDefault="00EF4BC6" w:rsidP="00450459">
            <w:pPr>
              <w:spacing w:line="240" w:lineRule="auto"/>
              <w:rPr>
                <w:rFonts w:ascii="Lato" w:hAnsi="Lato"/>
                <w:szCs w:val="22"/>
              </w:rPr>
            </w:pPr>
          </w:p>
        </w:tc>
        <w:tc>
          <w:tcPr>
            <w:tcW w:w="636" w:type="dxa"/>
            <w:gridSpan w:val="7"/>
            <w:tcBorders>
              <w:top w:val="nil"/>
              <w:left w:val="nil"/>
              <w:bottom w:val="nil"/>
              <w:right w:val="nil"/>
            </w:tcBorders>
          </w:tcPr>
          <w:p w:rsidR="00EF4BC6" w:rsidRPr="00F627B2" w:rsidRDefault="00EF4BC6" w:rsidP="00450459">
            <w:pPr>
              <w:spacing w:line="240" w:lineRule="auto"/>
              <w:rPr>
                <w:rFonts w:ascii="Lato" w:hAnsi="Lato"/>
                <w:szCs w:val="22"/>
              </w:rPr>
            </w:pPr>
          </w:p>
        </w:tc>
      </w:tr>
      <w:tr w:rsidR="00EF4BC6" w:rsidRPr="00F627B2" w:rsidTr="00F627B2">
        <w:trPr>
          <w:gridAfter w:val="2"/>
          <w:wAfter w:w="15" w:type="dxa"/>
          <w:trHeight w:val="299"/>
        </w:trPr>
        <w:tc>
          <w:tcPr>
            <w:tcW w:w="1107" w:type="dxa"/>
            <w:tcBorders>
              <w:top w:val="nil"/>
              <w:left w:val="nil"/>
              <w:bottom w:val="nil"/>
              <w:right w:val="nil"/>
            </w:tcBorders>
          </w:tcPr>
          <w:p w:rsidR="00EF4BC6" w:rsidRPr="00F627B2" w:rsidRDefault="00EF4BC6" w:rsidP="00450459">
            <w:pPr>
              <w:spacing w:line="240" w:lineRule="auto"/>
              <w:rPr>
                <w:rFonts w:ascii="Lato" w:hAnsi="Lato"/>
                <w:szCs w:val="22"/>
              </w:rPr>
            </w:pPr>
          </w:p>
        </w:tc>
        <w:tc>
          <w:tcPr>
            <w:tcW w:w="5493" w:type="dxa"/>
            <w:tcBorders>
              <w:top w:val="nil"/>
              <w:left w:val="nil"/>
              <w:bottom w:val="nil"/>
              <w:right w:val="nil"/>
            </w:tcBorders>
          </w:tcPr>
          <w:p w:rsidR="00EF4BC6" w:rsidRPr="00F627B2" w:rsidRDefault="004F01CA" w:rsidP="00624D79">
            <w:pPr>
              <w:spacing w:line="240" w:lineRule="auto"/>
              <w:rPr>
                <w:rFonts w:ascii="Lato" w:hAnsi="Lato"/>
                <w:szCs w:val="22"/>
              </w:rPr>
            </w:pPr>
            <w:r w:rsidRPr="001E4A73">
              <w:rPr>
                <w:rFonts w:ascii="Lato" w:hAnsi="Lato"/>
                <w:szCs w:val="22"/>
              </w:rPr>
              <w:t>Retail</w:t>
            </w:r>
            <w:r w:rsidRPr="00A3401E">
              <w:rPr>
                <w:rFonts w:ascii="Lato" w:hAnsi="Lato"/>
                <w:szCs w:val="22"/>
              </w:rPr>
              <w:t xml:space="preserve"> </w:t>
            </w:r>
            <w:r w:rsidR="00EF4BC6" w:rsidRPr="00F627B2">
              <w:rPr>
                <w:rFonts w:ascii="Lato" w:hAnsi="Lato"/>
                <w:szCs w:val="22"/>
              </w:rPr>
              <w:t>Investor AIF shall ensure that its global exposure does not exceed its total net asset value.  The retail investor AIF may not therefore  be leveraged in excess of 100% of NAV</w:t>
            </w:r>
          </w:p>
        </w:tc>
        <w:tc>
          <w:tcPr>
            <w:tcW w:w="1120" w:type="dxa"/>
            <w:gridSpan w:val="3"/>
            <w:tcBorders>
              <w:top w:val="single" w:sz="4" w:space="0" w:color="auto"/>
              <w:left w:val="nil"/>
              <w:bottom w:val="nil"/>
              <w:right w:val="nil"/>
            </w:tcBorders>
          </w:tcPr>
          <w:p w:rsidR="00EF4BC6" w:rsidRPr="00F627B2" w:rsidRDefault="00EF4BC6" w:rsidP="00450459">
            <w:pPr>
              <w:spacing w:line="240" w:lineRule="auto"/>
              <w:rPr>
                <w:rFonts w:ascii="Lato" w:hAnsi="Lato"/>
                <w:szCs w:val="22"/>
              </w:rPr>
            </w:pPr>
          </w:p>
        </w:tc>
        <w:tc>
          <w:tcPr>
            <w:tcW w:w="554" w:type="dxa"/>
            <w:gridSpan w:val="3"/>
            <w:tcBorders>
              <w:top w:val="nil"/>
              <w:left w:val="nil"/>
              <w:bottom w:val="nil"/>
              <w:right w:val="nil"/>
            </w:tcBorders>
          </w:tcPr>
          <w:p w:rsidR="00EF4BC6" w:rsidRPr="00F627B2" w:rsidRDefault="00EF4BC6" w:rsidP="00450459">
            <w:pPr>
              <w:spacing w:line="240" w:lineRule="auto"/>
              <w:rPr>
                <w:rFonts w:ascii="Lato" w:hAnsi="Lato"/>
                <w:szCs w:val="22"/>
              </w:rPr>
            </w:pPr>
          </w:p>
        </w:tc>
        <w:tc>
          <w:tcPr>
            <w:tcW w:w="1321" w:type="dxa"/>
            <w:gridSpan w:val="7"/>
            <w:tcBorders>
              <w:top w:val="single" w:sz="4" w:space="0" w:color="auto"/>
              <w:left w:val="nil"/>
              <w:bottom w:val="nil"/>
              <w:right w:val="nil"/>
            </w:tcBorders>
          </w:tcPr>
          <w:p w:rsidR="00EF4BC6" w:rsidRPr="00F627B2" w:rsidRDefault="00EF4BC6" w:rsidP="00450459">
            <w:pPr>
              <w:spacing w:line="240" w:lineRule="auto"/>
              <w:rPr>
                <w:rFonts w:ascii="Lato" w:hAnsi="Lato"/>
                <w:szCs w:val="22"/>
              </w:rPr>
            </w:pPr>
          </w:p>
        </w:tc>
        <w:tc>
          <w:tcPr>
            <w:tcW w:w="287" w:type="dxa"/>
            <w:gridSpan w:val="6"/>
            <w:tcBorders>
              <w:top w:val="nil"/>
              <w:left w:val="nil"/>
              <w:bottom w:val="nil"/>
              <w:right w:val="nil"/>
            </w:tcBorders>
          </w:tcPr>
          <w:p w:rsidR="00EF4BC6" w:rsidRPr="00F627B2" w:rsidRDefault="00EF4BC6" w:rsidP="00450459">
            <w:pPr>
              <w:spacing w:line="240" w:lineRule="auto"/>
              <w:rPr>
                <w:rFonts w:ascii="Lato" w:hAnsi="Lato"/>
                <w:szCs w:val="22"/>
              </w:rPr>
            </w:pPr>
          </w:p>
        </w:tc>
        <w:tc>
          <w:tcPr>
            <w:tcW w:w="717" w:type="dxa"/>
            <w:gridSpan w:val="4"/>
            <w:tcBorders>
              <w:top w:val="single" w:sz="4" w:space="0" w:color="auto"/>
              <w:left w:val="nil"/>
              <w:bottom w:val="nil"/>
              <w:right w:val="nil"/>
            </w:tcBorders>
          </w:tcPr>
          <w:p w:rsidR="00EF4BC6" w:rsidRPr="00F627B2" w:rsidRDefault="00EF4BC6" w:rsidP="00450459">
            <w:pPr>
              <w:spacing w:line="240" w:lineRule="auto"/>
              <w:rPr>
                <w:rFonts w:ascii="Lato" w:hAnsi="Lato"/>
                <w:szCs w:val="22"/>
              </w:rPr>
            </w:pPr>
          </w:p>
        </w:tc>
        <w:tc>
          <w:tcPr>
            <w:tcW w:w="240" w:type="dxa"/>
            <w:gridSpan w:val="4"/>
            <w:tcBorders>
              <w:top w:val="nil"/>
              <w:left w:val="nil"/>
              <w:bottom w:val="nil"/>
              <w:right w:val="nil"/>
            </w:tcBorders>
          </w:tcPr>
          <w:p w:rsidR="00EF4BC6" w:rsidRPr="00F627B2" w:rsidRDefault="00EF4BC6" w:rsidP="00450459">
            <w:pPr>
              <w:spacing w:line="240" w:lineRule="auto"/>
              <w:rPr>
                <w:rFonts w:ascii="Lato" w:hAnsi="Lato"/>
                <w:szCs w:val="22"/>
              </w:rPr>
            </w:pPr>
          </w:p>
        </w:tc>
        <w:tc>
          <w:tcPr>
            <w:tcW w:w="636" w:type="dxa"/>
            <w:gridSpan w:val="7"/>
            <w:tcBorders>
              <w:top w:val="nil"/>
              <w:left w:val="nil"/>
              <w:bottom w:val="nil"/>
              <w:right w:val="nil"/>
            </w:tcBorders>
          </w:tcPr>
          <w:p w:rsidR="00EF4BC6" w:rsidRPr="00F627B2" w:rsidRDefault="00EF4BC6" w:rsidP="00450459">
            <w:pPr>
              <w:spacing w:line="240" w:lineRule="auto"/>
              <w:rPr>
                <w:rFonts w:ascii="Lato" w:hAnsi="Lato"/>
                <w:szCs w:val="22"/>
              </w:rPr>
            </w:pPr>
          </w:p>
        </w:tc>
      </w:tr>
      <w:tr w:rsidR="00AC467B" w:rsidRPr="00F627B2" w:rsidTr="00F627B2">
        <w:trPr>
          <w:gridAfter w:val="2"/>
          <w:wAfter w:w="15" w:type="dxa"/>
          <w:trHeight w:val="111"/>
        </w:trPr>
        <w:tc>
          <w:tcPr>
            <w:tcW w:w="1107" w:type="dxa"/>
            <w:tcBorders>
              <w:top w:val="nil"/>
              <w:left w:val="nil"/>
              <w:bottom w:val="nil"/>
              <w:right w:val="nil"/>
            </w:tcBorders>
          </w:tcPr>
          <w:p w:rsidR="002F07AF" w:rsidRPr="00F627B2" w:rsidRDefault="002F07AF" w:rsidP="00450459">
            <w:pPr>
              <w:spacing w:line="240" w:lineRule="auto"/>
              <w:rPr>
                <w:rFonts w:ascii="Lato" w:hAnsi="Lato"/>
                <w:szCs w:val="22"/>
              </w:rPr>
            </w:pPr>
          </w:p>
        </w:tc>
        <w:tc>
          <w:tcPr>
            <w:tcW w:w="5493" w:type="dxa"/>
            <w:tcBorders>
              <w:top w:val="nil"/>
              <w:left w:val="nil"/>
              <w:bottom w:val="nil"/>
              <w:right w:val="nil"/>
            </w:tcBorders>
          </w:tcPr>
          <w:p w:rsidR="002F07AF" w:rsidRPr="00F627B2" w:rsidDel="00307718" w:rsidRDefault="002F07AF" w:rsidP="00450459">
            <w:pPr>
              <w:spacing w:line="240" w:lineRule="auto"/>
              <w:rPr>
                <w:rFonts w:ascii="Lato" w:hAnsi="Lato"/>
                <w:szCs w:val="22"/>
              </w:rPr>
            </w:pPr>
          </w:p>
        </w:tc>
        <w:tc>
          <w:tcPr>
            <w:tcW w:w="1120" w:type="dxa"/>
            <w:gridSpan w:val="3"/>
            <w:tcBorders>
              <w:top w:val="nil"/>
              <w:left w:val="nil"/>
              <w:bottom w:val="single" w:sz="4" w:space="0" w:color="auto"/>
              <w:right w:val="nil"/>
            </w:tcBorders>
          </w:tcPr>
          <w:p w:rsidR="002F07AF" w:rsidRPr="00F627B2" w:rsidRDefault="002F07AF" w:rsidP="00450459">
            <w:pPr>
              <w:spacing w:line="240" w:lineRule="auto"/>
              <w:rPr>
                <w:rFonts w:ascii="Lato" w:hAnsi="Lato"/>
                <w:szCs w:val="22"/>
              </w:rPr>
            </w:pPr>
          </w:p>
        </w:tc>
        <w:tc>
          <w:tcPr>
            <w:tcW w:w="554" w:type="dxa"/>
            <w:gridSpan w:val="3"/>
            <w:tcBorders>
              <w:top w:val="nil"/>
              <w:left w:val="nil"/>
              <w:bottom w:val="nil"/>
              <w:right w:val="nil"/>
            </w:tcBorders>
          </w:tcPr>
          <w:p w:rsidR="002F07AF" w:rsidRPr="00F627B2" w:rsidRDefault="002F07AF" w:rsidP="00450459">
            <w:pPr>
              <w:spacing w:line="240" w:lineRule="auto"/>
              <w:rPr>
                <w:rFonts w:ascii="Lato" w:hAnsi="Lato"/>
                <w:szCs w:val="22"/>
              </w:rPr>
            </w:pPr>
          </w:p>
        </w:tc>
        <w:tc>
          <w:tcPr>
            <w:tcW w:w="1321" w:type="dxa"/>
            <w:gridSpan w:val="7"/>
            <w:tcBorders>
              <w:top w:val="nil"/>
              <w:left w:val="nil"/>
              <w:bottom w:val="single" w:sz="4" w:space="0" w:color="auto"/>
              <w:right w:val="nil"/>
            </w:tcBorders>
          </w:tcPr>
          <w:p w:rsidR="002F07AF" w:rsidRPr="00F627B2" w:rsidRDefault="002F07AF" w:rsidP="00450459">
            <w:pPr>
              <w:spacing w:line="240" w:lineRule="auto"/>
              <w:rPr>
                <w:rFonts w:ascii="Lato" w:hAnsi="Lato"/>
                <w:szCs w:val="22"/>
              </w:rPr>
            </w:pPr>
          </w:p>
        </w:tc>
        <w:tc>
          <w:tcPr>
            <w:tcW w:w="287" w:type="dxa"/>
            <w:gridSpan w:val="6"/>
            <w:tcBorders>
              <w:top w:val="nil"/>
              <w:left w:val="nil"/>
              <w:bottom w:val="nil"/>
              <w:right w:val="nil"/>
            </w:tcBorders>
          </w:tcPr>
          <w:p w:rsidR="002F07AF" w:rsidRPr="00F627B2" w:rsidRDefault="002F07AF" w:rsidP="00450459">
            <w:pPr>
              <w:spacing w:line="240" w:lineRule="auto"/>
              <w:rPr>
                <w:rFonts w:ascii="Lato" w:hAnsi="Lato"/>
                <w:szCs w:val="22"/>
              </w:rPr>
            </w:pPr>
          </w:p>
        </w:tc>
        <w:tc>
          <w:tcPr>
            <w:tcW w:w="717" w:type="dxa"/>
            <w:gridSpan w:val="4"/>
            <w:tcBorders>
              <w:top w:val="nil"/>
              <w:left w:val="nil"/>
              <w:bottom w:val="single" w:sz="4" w:space="0" w:color="auto"/>
              <w:right w:val="nil"/>
            </w:tcBorders>
          </w:tcPr>
          <w:p w:rsidR="002F07AF" w:rsidRPr="00F627B2" w:rsidRDefault="002F07AF" w:rsidP="00450459">
            <w:pPr>
              <w:spacing w:line="240" w:lineRule="auto"/>
              <w:rPr>
                <w:rFonts w:ascii="Lato" w:hAnsi="Lato"/>
                <w:szCs w:val="22"/>
              </w:rPr>
            </w:pPr>
          </w:p>
        </w:tc>
        <w:tc>
          <w:tcPr>
            <w:tcW w:w="240" w:type="dxa"/>
            <w:gridSpan w:val="4"/>
            <w:tcBorders>
              <w:top w:val="nil"/>
              <w:left w:val="nil"/>
              <w:bottom w:val="nil"/>
              <w:right w:val="nil"/>
            </w:tcBorders>
          </w:tcPr>
          <w:p w:rsidR="002F07AF" w:rsidRPr="00F627B2" w:rsidRDefault="002F07AF" w:rsidP="00450459">
            <w:pPr>
              <w:spacing w:line="240" w:lineRule="auto"/>
              <w:rPr>
                <w:rFonts w:ascii="Lato" w:hAnsi="Lato"/>
                <w:szCs w:val="22"/>
              </w:rPr>
            </w:pPr>
          </w:p>
        </w:tc>
        <w:tc>
          <w:tcPr>
            <w:tcW w:w="636" w:type="dxa"/>
            <w:gridSpan w:val="7"/>
            <w:tcBorders>
              <w:top w:val="nil"/>
              <w:left w:val="nil"/>
              <w:bottom w:val="nil"/>
              <w:right w:val="nil"/>
            </w:tcBorders>
          </w:tcPr>
          <w:p w:rsidR="002F07AF" w:rsidRPr="00F627B2" w:rsidRDefault="002F07AF" w:rsidP="00450459">
            <w:pPr>
              <w:spacing w:line="240" w:lineRule="auto"/>
              <w:rPr>
                <w:rFonts w:ascii="Lato" w:hAnsi="Lato"/>
                <w:szCs w:val="22"/>
              </w:rPr>
            </w:pPr>
          </w:p>
        </w:tc>
      </w:tr>
      <w:tr w:rsidR="006B6A22" w:rsidRPr="00F627B2" w:rsidTr="00F627B2">
        <w:trPr>
          <w:gridAfter w:val="2"/>
          <w:wAfter w:w="15" w:type="dxa"/>
          <w:trHeight w:val="111"/>
        </w:trPr>
        <w:tc>
          <w:tcPr>
            <w:tcW w:w="1107" w:type="dxa"/>
            <w:tcBorders>
              <w:top w:val="nil"/>
              <w:left w:val="nil"/>
              <w:bottom w:val="nil"/>
              <w:right w:val="nil"/>
            </w:tcBorders>
          </w:tcPr>
          <w:p w:rsidR="006B6A22" w:rsidRPr="00F627B2" w:rsidRDefault="006B6A22" w:rsidP="00891A66">
            <w:pPr>
              <w:numPr>
                <w:ilvl w:val="0"/>
                <w:numId w:val="22"/>
              </w:numPr>
              <w:spacing w:line="240" w:lineRule="auto"/>
              <w:rPr>
                <w:rFonts w:ascii="Lato" w:hAnsi="Lato"/>
                <w:szCs w:val="22"/>
              </w:rPr>
            </w:pPr>
          </w:p>
        </w:tc>
        <w:tc>
          <w:tcPr>
            <w:tcW w:w="5493" w:type="dxa"/>
            <w:tcBorders>
              <w:top w:val="nil"/>
              <w:left w:val="nil"/>
              <w:bottom w:val="nil"/>
              <w:right w:val="single" w:sz="4" w:space="0" w:color="auto"/>
            </w:tcBorders>
          </w:tcPr>
          <w:p w:rsidR="006B6A22" w:rsidRPr="00F627B2" w:rsidDel="00307718" w:rsidRDefault="006B6A22" w:rsidP="00A3401E">
            <w:pPr>
              <w:spacing w:line="240" w:lineRule="auto"/>
              <w:rPr>
                <w:rFonts w:ascii="Lato" w:hAnsi="Lato"/>
                <w:szCs w:val="22"/>
              </w:rPr>
            </w:pPr>
            <w:r w:rsidRPr="00F627B2">
              <w:rPr>
                <w:rFonts w:ascii="Lato" w:hAnsi="Lato"/>
                <w:szCs w:val="22"/>
              </w:rPr>
              <w:t xml:space="preserve">Disclose the circumstances in which the Retail Investor </w:t>
            </w:r>
          </w:p>
        </w:tc>
        <w:tc>
          <w:tcPr>
            <w:tcW w:w="1120" w:type="dxa"/>
            <w:gridSpan w:val="3"/>
            <w:tcBorders>
              <w:top w:val="single" w:sz="4" w:space="0" w:color="auto"/>
              <w:left w:val="single" w:sz="4" w:space="0" w:color="auto"/>
              <w:bottom w:val="single" w:sz="4" w:space="0" w:color="auto"/>
              <w:right w:val="single" w:sz="4" w:space="0" w:color="auto"/>
            </w:tcBorders>
          </w:tcPr>
          <w:p w:rsidR="006B6A22" w:rsidRPr="00F627B2" w:rsidRDefault="006B6A22" w:rsidP="00450459">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6B6A22" w:rsidRPr="00F627B2" w:rsidRDefault="006B6A22" w:rsidP="00450459">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6B6A22" w:rsidRPr="00F627B2" w:rsidRDefault="006B6A22" w:rsidP="0045045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6A22" w:rsidRPr="00F627B2" w:rsidRDefault="006B6A22" w:rsidP="00450459">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6B6A22" w:rsidRPr="00F627B2" w:rsidRDefault="006B6A22" w:rsidP="00450459">
            <w:pPr>
              <w:spacing w:line="240" w:lineRule="auto"/>
              <w:rPr>
                <w:rFonts w:ascii="Lato" w:hAnsi="Lato"/>
                <w:szCs w:val="22"/>
              </w:rPr>
            </w:pPr>
          </w:p>
        </w:tc>
        <w:tc>
          <w:tcPr>
            <w:tcW w:w="240" w:type="dxa"/>
            <w:gridSpan w:val="4"/>
            <w:tcBorders>
              <w:top w:val="nil"/>
              <w:left w:val="single" w:sz="4" w:space="0" w:color="auto"/>
              <w:bottom w:val="nil"/>
              <w:right w:val="nil"/>
            </w:tcBorders>
          </w:tcPr>
          <w:p w:rsidR="006B6A22" w:rsidRPr="00F627B2" w:rsidRDefault="006B6A22" w:rsidP="00450459">
            <w:pPr>
              <w:spacing w:line="240" w:lineRule="auto"/>
              <w:rPr>
                <w:rFonts w:ascii="Lato" w:hAnsi="Lato"/>
                <w:szCs w:val="22"/>
              </w:rPr>
            </w:pPr>
          </w:p>
        </w:tc>
        <w:tc>
          <w:tcPr>
            <w:tcW w:w="636" w:type="dxa"/>
            <w:gridSpan w:val="7"/>
            <w:tcBorders>
              <w:top w:val="nil"/>
              <w:left w:val="nil"/>
              <w:bottom w:val="nil"/>
              <w:right w:val="nil"/>
            </w:tcBorders>
          </w:tcPr>
          <w:p w:rsidR="006B6A22" w:rsidRPr="00F627B2" w:rsidRDefault="006B6A22" w:rsidP="00450459">
            <w:pPr>
              <w:spacing w:line="240" w:lineRule="auto"/>
              <w:rPr>
                <w:rFonts w:ascii="Lato" w:hAnsi="Lato"/>
                <w:szCs w:val="22"/>
              </w:rPr>
            </w:pPr>
          </w:p>
        </w:tc>
      </w:tr>
      <w:tr w:rsidR="006B6A22" w:rsidRPr="00F627B2" w:rsidTr="00F627B2">
        <w:trPr>
          <w:gridAfter w:val="2"/>
          <w:wAfter w:w="15" w:type="dxa"/>
          <w:trHeight w:val="111"/>
        </w:trPr>
        <w:tc>
          <w:tcPr>
            <w:tcW w:w="1107" w:type="dxa"/>
            <w:tcBorders>
              <w:top w:val="nil"/>
              <w:left w:val="nil"/>
              <w:bottom w:val="nil"/>
              <w:right w:val="nil"/>
            </w:tcBorders>
          </w:tcPr>
          <w:p w:rsidR="006B6A22" w:rsidRPr="00F627B2" w:rsidRDefault="006B6A22" w:rsidP="00450459">
            <w:pPr>
              <w:spacing w:line="240" w:lineRule="auto"/>
              <w:rPr>
                <w:rFonts w:ascii="Lato" w:hAnsi="Lato"/>
                <w:szCs w:val="22"/>
              </w:rPr>
            </w:pPr>
          </w:p>
        </w:tc>
        <w:tc>
          <w:tcPr>
            <w:tcW w:w="5493" w:type="dxa"/>
            <w:tcBorders>
              <w:top w:val="nil"/>
              <w:left w:val="nil"/>
              <w:bottom w:val="nil"/>
              <w:right w:val="nil"/>
            </w:tcBorders>
          </w:tcPr>
          <w:p w:rsidR="006B6A22" w:rsidRPr="00F627B2" w:rsidDel="00307718" w:rsidRDefault="004F01CA" w:rsidP="00450459">
            <w:pPr>
              <w:spacing w:line="240" w:lineRule="auto"/>
              <w:rPr>
                <w:rFonts w:ascii="Lato" w:hAnsi="Lato"/>
                <w:szCs w:val="22"/>
              </w:rPr>
            </w:pPr>
            <w:r w:rsidRPr="001E4A73">
              <w:rPr>
                <w:rFonts w:ascii="Lato" w:hAnsi="Lato"/>
                <w:szCs w:val="22"/>
              </w:rPr>
              <w:t>AIF</w:t>
            </w:r>
            <w:r w:rsidRPr="00A3401E">
              <w:rPr>
                <w:rFonts w:ascii="Lato" w:hAnsi="Lato"/>
                <w:szCs w:val="22"/>
              </w:rPr>
              <w:t xml:space="preserve"> </w:t>
            </w:r>
            <w:r w:rsidR="006B6A22" w:rsidRPr="00F627B2">
              <w:rPr>
                <w:rFonts w:ascii="Lato" w:hAnsi="Lato"/>
                <w:szCs w:val="22"/>
              </w:rPr>
              <w:t>may use leverage</w:t>
            </w:r>
          </w:p>
        </w:tc>
        <w:tc>
          <w:tcPr>
            <w:tcW w:w="1120" w:type="dxa"/>
            <w:gridSpan w:val="3"/>
            <w:tcBorders>
              <w:top w:val="single" w:sz="4" w:space="0" w:color="auto"/>
              <w:left w:val="nil"/>
              <w:bottom w:val="nil"/>
              <w:right w:val="nil"/>
            </w:tcBorders>
          </w:tcPr>
          <w:p w:rsidR="006B6A22" w:rsidRPr="00F627B2" w:rsidRDefault="006B6A22" w:rsidP="00450459">
            <w:pPr>
              <w:spacing w:line="240" w:lineRule="auto"/>
              <w:rPr>
                <w:rFonts w:ascii="Lato" w:hAnsi="Lato"/>
                <w:szCs w:val="22"/>
              </w:rPr>
            </w:pPr>
          </w:p>
        </w:tc>
        <w:tc>
          <w:tcPr>
            <w:tcW w:w="554" w:type="dxa"/>
            <w:gridSpan w:val="3"/>
            <w:tcBorders>
              <w:top w:val="nil"/>
              <w:left w:val="nil"/>
              <w:bottom w:val="nil"/>
              <w:right w:val="nil"/>
            </w:tcBorders>
          </w:tcPr>
          <w:p w:rsidR="006B6A22" w:rsidRPr="00F627B2" w:rsidRDefault="006B6A22" w:rsidP="00450459">
            <w:pPr>
              <w:spacing w:line="240" w:lineRule="auto"/>
              <w:rPr>
                <w:rFonts w:ascii="Lato" w:hAnsi="Lato"/>
                <w:szCs w:val="22"/>
              </w:rPr>
            </w:pPr>
          </w:p>
        </w:tc>
        <w:tc>
          <w:tcPr>
            <w:tcW w:w="1321" w:type="dxa"/>
            <w:gridSpan w:val="7"/>
            <w:tcBorders>
              <w:top w:val="single" w:sz="4" w:space="0" w:color="auto"/>
              <w:left w:val="nil"/>
              <w:bottom w:val="nil"/>
              <w:right w:val="nil"/>
            </w:tcBorders>
          </w:tcPr>
          <w:p w:rsidR="006B6A22" w:rsidRPr="00F627B2" w:rsidRDefault="006B6A22" w:rsidP="00450459">
            <w:pPr>
              <w:spacing w:line="240" w:lineRule="auto"/>
              <w:rPr>
                <w:rFonts w:ascii="Lato" w:hAnsi="Lato"/>
                <w:szCs w:val="22"/>
              </w:rPr>
            </w:pPr>
          </w:p>
        </w:tc>
        <w:tc>
          <w:tcPr>
            <w:tcW w:w="287" w:type="dxa"/>
            <w:gridSpan w:val="6"/>
            <w:tcBorders>
              <w:top w:val="nil"/>
              <w:left w:val="nil"/>
              <w:bottom w:val="nil"/>
              <w:right w:val="nil"/>
            </w:tcBorders>
          </w:tcPr>
          <w:p w:rsidR="006B6A22" w:rsidRPr="00F627B2" w:rsidRDefault="006B6A22" w:rsidP="00450459">
            <w:pPr>
              <w:spacing w:line="240" w:lineRule="auto"/>
              <w:rPr>
                <w:rFonts w:ascii="Lato" w:hAnsi="Lato"/>
                <w:szCs w:val="22"/>
              </w:rPr>
            </w:pPr>
          </w:p>
        </w:tc>
        <w:tc>
          <w:tcPr>
            <w:tcW w:w="717" w:type="dxa"/>
            <w:gridSpan w:val="4"/>
            <w:tcBorders>
              <w:top w:val="single" w:sz="4" w:space="0" w:color="auto"/>
              <w:left w:val="nil"/>
              <w:bottom w:val="nil"/>
              <w:right w:val="nil"/>
            </w:tcBorders>
          </w:tcPr>
          <w:p w:rsidR="006B6A22" w:rsidRPr="00F627B2" w:rsidRDefault="006B6A22" w:rsidP="00450459">
            <w:pPr>
              <w:spacing w:line="240" w:lineRule="auto"/>
              <w:rPr>
                <w:rFonts w:ascii="Lato" w:hAnsi="Lato"/>
                <w:szCs w:val="22"/>
              </w:rPr>
            </w:pPr>
          </w:p>
        </w:tc>
        <w:tc>
          <w:tcPr>
            <w:tcW w:w="240" w:type="dxa"/>
            <w:gridSpan w:val="4"/>
            <w:tcBorders>
              <w:top w:val="nil"/>
              <w:left w:val="nil"/>
              <w:bottom w:val="nil"/>
              <w:right w:val="nil"/>
            </w:tcBorders>
          </w:tcPr>
          <w:p w:rsidR="006B6A22" w:rsidRPr="00F627B2" w:rsidRDefault="006B6A22" w:rsidP="00450459">
            <w:pPr>
              <w:spacing w:line="240" w:lineRule="auto"/>
              <w:rPr>
                <w:rFonts w:ascii="Lato" w:hAnsi="Lato"/>
                <w:szCs w:val="22"/>
              </w:rPr>
            </w:pPr>
          </w:p>
        </w:tc>
        <w:tc>
          <w:tcPr>
            <w:tcW w:w="636" w:type="dxa"/>
            <w:gridSpan w:val="7"/>
            <w:tcBorders>
              <w:top w:val="nil"/>
              <w:left w:val="nil"/>
              <w:bottom w:val="nil"/>
              <w:right w:val="nil"/>
            </w:tcBorders>
          </w:tcPr>
          <w:p w:rsidR="006B6A22" w:rsidRPr="00F627B2" w:rsidRDefault="006B6A22" w:rsidP="00450459">
            <w:pPr>
              <w:spacing w:line="240" w:lineRule="auto"/>
              <w:rPr>
                <w:rFonts w:ascii="Lato" w:hAnsi="Lato"/>
                <w:szCs w:val="22"/>
              </w:rPr>
            </w:pPr>
          </w:p>
        </w:tc>
      </w:tr>
      <w:tr w:rsidR="006B6A22" w:rsidRPr="00F627B2" w:rsidTr="00F627B2">
        <w:trPr>
          <w:gridAfter w:val="2"/>
          <w:wAfter w:w="15" w:type="dxa"/>
          <w:trHeight w:val="111"/>
        </w:trPr>
        <w:tc>
          <w:tcPr>
            <w:tcW w:w="1107" w:type="dxa"/>
            <w:tcBorders>
              <w:top w:val="nil"/>
              <w:left w:val="nil"/>
              <w:bottom w:val="nil"/>
              <w:right w:val="nil"/>
            </w:tcBorders>
          </w:tcPr>
          <w:p w:rsidR="006B6A22" w:rsidRPr="00F627B2" w:rsidRDefault="006B6A22" w:rsidP="00450459">
            <w:pPr>
              <w:spacing w:line="240" w:lineRule="auto"/>
              <w:rPr>
                <w:rFonts w:ascii="Lato" w:hAnsi="Lato"/>
                <w:szCs w:val="22"/>
              </w:rPr>
            </w:pPr>
          </w:p>
        </w:tc>
        <w:tc>
          <w:tcPr>
            <w:tcW w:w="5493" w:type="dxa"/>
            <w:tcBorders>
              <w:top w:val="nil"/>
              <w:left w:val="nil"/>
              <w:bottom w:val="nil"/>
              <w:right w:val="nil"/>
            </w:tcBorders>
          </w:tcPr>
          <w:p w:rsidR="006B6A22" w:rsidRPr="00F627B2" w:rsidDel="00307718" w:rsidRDefault="006B6A22" w:rsidP="00450459">
            <w:pPr>
              <w:spacing w:line="240" w:lineRule="auto"/>
              <w:rPr>
                <w:rFonts w:ascii="Lato" w:hAnsi="Lato"/>
                <w:szCs w:val="22"/>
              </w:rPr>
            </w:pPr>
          </w:p>
        </w:tc>
        <w:tc>
          <w:tcPr>
            <w:tcW w:w="1120" w:type="dxa"/>
            <w:gridSpan w:val="3"/>
            <w:tcBorders>
              <w:top w:val="nil"/>
              <w:left w:val="nil"/>
              <w:bottom w:val="single" w:sz="4" w:space="0" w:color="auto"/>
              <w:right w:val="nil"/>
            </w:tcBorders>
          </w:tcPr>
          <w:p w:rsidR="006B6A22" w:rsidRPr="00F627B2" w:rsidRDefault="006B6A22" w:rsidP="00450459">
            <w:pPr>
              <w:spacing w:line="240" w:lineRule="auto"/>
              <w:rPr>
                <w:rFonts w:ascii="Lato" w:hAnsi="Lato"/>
                <w:szCs w:val="22"/>
              </w:rPr>
            </w:pPr>
          </w:p>
        </w:tc>
        <w:tc>
          <w:tcPr>
            <w:tcW w:w="554" w:type="dxa"/>
            <w:gridSpan w:val="3"/>
            <w:tcBorders>
              <w:top w:val="nil"/>
              <w:left w:val="nil"/>
              <w:bottom w:val="nil"/>
              <w:right w:val="nil"/>
            </w:tcBorders>
          </w:tcPr>
          <w:p w:rsidR="006B6A22" w:rsidRPr="00F627B2" w:rsidRDefault="006B6A22" w:rsidP="00450459">
            <w:pPr>
              <w:spacing w:line="240" w:lineRule="auto"/>
              <w:rPr>
                <w:rFonts w:ascii="Lato" w:hAnsi="Lato"/>
                <w:szCs w:val="22"/>
              </w:rPr>
            </w:pPr>
          </w:p>
        </w:tc>
        <w:tc>
          <w:tcPr>
            <w:tcW w:w="1321" w:type="dxa"/>
            <w:gridSpan w:val="7"/>
            <w:tcBorders>
              <w:top w:val="nil"/>
              <w:left w:val="nil"/>
              <w:bottom w:val="single" w:sz="4" w:space="0" w:color="auto"/>
              <w:right w:val="nil"/>
            </w:tcBorders>
          </w:tcPr>
          <w:p w:rsidR="006B6A22" w:rsidRPr="00F627B2" w:rsidRDefault="006B6A22" w:rsidP="00450459">
            <w:pPr>
              <w:spacing w:line="240" w:lineRule="auto"/>
              <w:rPr>
                <w:rFonts w:ascii="Lato" w:hAnsi="Lato"/>
                <w:szCs w:val="22"/>
              </w:rPr>
            </w:pPr>
          </w:p>
        </w:tc>
        <w:tc>
          <w:tcPr>
            <w:tcW w:w="287" w:type="dxa"/>
            <w:gridSpan w:val="6"/>
            <w:tcBorders>
              <w:top w:val="nil"/>
              <w:left w:val="nil"/>
              <w:bottom w:val="nil"/>
              <w:right w:val="nil"/>
            </w:tcBorders>
          </w:tcPr>
          <w:p w:rsidR="006B6A22" w:rsidRPr="00F627B2" w:rsidRDefault="006B6A22" w:rsidP="00450459">
            <w:pPr>
              <w:spacing w:line="240" w:lineRule="auto"/>
              <w:rPr>
                <w:rFonts w:ascii="Lato" w:hAnsi="Lato"/>
                <w:szCs w:val="22"/>
              </w:rPr>
            </w:pPr>
          </w:p>
        </w:tc>
        <w:tc>
          <w:tcPr>
            <w:tcW w:w="717" w:type="dxa"/>
            <w:gridSpan w:val="4"/>
            <w:tcBorders>
              <w:top w:val="nil"/>
              <w:left w:val="nil"/>
              <w:bottom w:val="single" w:sz="4" w:space="0" w:color="auto"/>
              <w:right w:val="nil"/>
            </w:tcBorders>
          </w:tcPr>
          <w:p w:rsidR="006B6A22" w:rsidRPr="00F627B2" w:rsidRDefault="006B6A22" w:rsidP="00450459">
            <w:pPr>
              <w:spacing w:line="240" w:lineRule="auto"/>
              <w:rPr>
                <w:rFonts w:ascii="Lato" w:hAnsi="Lato"/>
                <w:szCs w:val="22"/>
              </w:rPr>
            </w:pPr>
          </w:p>
        </w:tc>
        <w:tc>
          <w:tcPr>
            <w:tcW w:w="240" w:type="dxa"/>
            <w:gridSpan w:val="4"/>
            <w:tcBorders>
              <w:top w:val="nil"/>
              <w:left w:val="nil"/>
              <w:bottom w:val="nil"/>
              <w:right w:val="nil"/>
            </w:tcBorders>
          </w:tcPr>
          <w:p w:rsidR="006B6A22" w:rsidRPr="00F627B2" w:rsidRDefault="006B6A22" w:rsidP="00450459">
            <w:pPr>
              <w:spacing w:line="240" w:lineRule="auto"/>
              <w:rPr>
                <w:rFonts w:ascii="Lato" w:hAnsi="Lato"/>
                <w:szCs w:val="22"/>
              </w:rPr>
            </w:pPr>
          </w:p>
        </w:tc>
        <w:tc>
          <w:tcPr>
            <w:tcW w:w="636" w:type="dxa"/>
            <w:gridSpan w:val="7"/>
            <w:tcBorders>
              <w:top w:val="nil"/>
              <w:left w:val="nil"/>
              <w:bottom w:val="nil"/>
              <w:right w:val="nil"/>
            </w:tcBorders>
          </w:tcPr>
          <w:p w:rsidR="006B6A22" w:rsidRPr="00F627B2" w:rsidRDefault="006B6A22" w:rsidP="00450459">
            <w:pPr>
              <w:spacing w:line="240" w:lineRule="auto"/>
              <w:rPr>
                <w:rFonts w:ascii="Lato" w:hAnsi="Lato"/>
                <w:szCs w:val="22"/>
              </w:rPr>
            </w:pPr>
          </w:p>
        </w:tc>
      </w:tr>
      <w:tr w:rsidR="006B6A22" w:rsidRPr="00F627B2" w:rsidTr="00F627B2">
        <w:trPr>
          <w:gridAfter w:val="2"/>
          <w:wAfter w:w="15" w:type="dxa"/>
          <w:trHeight w:val="111"/>
        </w:trPr>
        <w:tc>
          <w:tcPr>
            <w:tcW w:w="1107" w:type="dxa"/>
            <w:tcBorders>
              <w:top w:val="nil"/>
              <w:left w:val="nil"/>
              <w:bottom w:val="nil"/>
              <w:right w:val="nil"/>
            </w:tcBorders>
          </w:tcPr>
          <w:p w:rsidR="006B6A22" w:rsidRPr="00F627B2" w:rsidRDefault="006B6A22" w:rsidP="00891A66">
            <w:pPr>
              <w:numPr>
                <w:ilvl w:val="0"/>
                <w:numId w:val="22"/>
              </w:numPr>
              <w:spacing w:line="240" w:lineRule="auto"/>
              <w:rPr>
                <w:rFonts w:ascii="Lato" w:hAnsi="Lato"/>
                <w:szCs w:val="22"/>
              </w:rPr>
            </w:pPr>
          </w:p>
        </w:tc>
        <w:tc>
          <w:tcPr>
            <w:tcW w:w="5493" w:type="dxa"/>
            <w:tcBorders>
              <w:top w:val="nil"/>
              <w:left w:val="nil"/>
              <w:bottom w:val="nil"/>
              <w:right w:val="single" w:sz="4" w:space="0" w:color="auto"/>
            </w:tcBorders>
          </w:tcPr>
          <w:p w:rsidR="006B6A22" w:rsidRPr="00F627B2" w:rsidDel="00307718" w:rsidRDefault="006B6A22" w:rsidP="00A3401E">
            <w:pPr>
              <w:spacing w:line="240" w:lineRule="auto"/>
              <w:rPr>
                <w:rFonts w:ascii="Lato" w:hAnsi="Lato"/>
                <w:szCs w:val="22"/>
              </w:rPr>
            </w:pPr>
            <w:r w:rsidRPr="00F627B2">
              <w:rPr>
                <w:rFonts w:ascii="Lato" w:hAnsi="Lato"/>
                <w:szCs w:val="22"/>
              </w:rPr>
              <w:t xml:space="preserve">Disclose the types and sources of leverage permitted </w:t>
            </w:r>
          </w:p>
        </w:tc>
        <w:tc>
          <w:tcPr>
            <w:tcW w:w="1120" w:type="dxa"/>
            <w:gridSpan w:val="3"/>
            <w:tcBorders>
              <w:top w:val="single" w:sz="4" w:space="0" w:color="auto"/>
              <w:left w:val="single" w:sz="4" w:space="0" w:color="auto"/>
              <w:bottom w:val="single" w:sz="4" w:space="0" w:color="auto"/>
              <w:right w:val="single" w:sz="4" w:space="0" w:color="auto"/>
            </w:tcBorders>
          </w:tcPr>
          <w:p w:rsidR="006B6A22" w:rsidRPr="00F627B2" w:rsidRDefault="006B6A22" w:rsidP="00450459">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6B6A22" w:rsidRPr="00F627B2" w:rsidRDefault="006B6A22" w:rsidP="00450459">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6B6A22" w:rsidRPr="00F627B2" w:rsidRDefault="006B6A22" w:rsidP="0045045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6A22" w:rsidRPr="00F627B2" w:rsidRDefault="006B6A22" w:rsidP="00450459">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6B6A22" w:rsidRPr="00F627B2" w:rsidRDefault="006B6A22" w:rsidP="00450459">
            <w:pPr>
              <w:spacing w:line="240" w:lineRule="auto"/>
              <w:rPr>
                <w:rFonts w:ascii="Lato" w:hAnsi="Lato"/>
                <w:szCs w:val="22"/>
              </w:rPr>
            </w:pPr>
          </w:p>
        </w:tc>
        <w:tc>
          <w:tcPr>
            <w:tcW w:w="240" w:type="dxa"/>
            <w:gridSpan w:val="4"/>
            <w:tcBorders>
              <w:top w:val="nil"/>
              <w:left w:val="single" w:sz="4" w:space="0" w:color="auto"/>
              <w:bottom w:val="nil"/>
              <w:right w:val="nil"/>
            </w:tcBorders>
          </w:tcPr>
          <w:p w:rsidR="006B6A22" w:rsidRPr="00F627B2" w:rsidRDefault="006B6A22" w:rsidP="00450459">
            <w:pPr>
              <w:spacing w:line="240" w:lineRule="auto"/>
              <w:rPr>
                <w:rFonts w:ascii="Lato" w:hAnsi="Lato"/>
                <w:szCs w:val="22"/>
              </w:rPr>
            </w:pPr>
          </w:p>
        </w:tc>
        <w:tc>
          <w:tcPr>
            <w:tcW w:w="636" w:type="dxa"/>
            <w:gridSpan w:val="7"/>
            <w:tcBorders>
              <w:top w:val="nil"/>
              <w:left w:val="nil"/>
              <w:bottom w:val="nil"/>
              <w:right w:val="nil"/>
            </w:tcBorders>
          </w:tcPr>
          <w:p w:rsidR="006B6A22" w:rsidRPr="00F627B2" w:rsidRDefault="006B6A22" w:rsidP="00450459">
            <w:pPr>
              <w:spacing w:line="240" w:lineRule="auto"/>
              <w:rPr>
                <w:rFonts w:ascii="Lato" w:hAnsi="Lato"/>
                <w:szCs w:val="22"/>
              </w:rPr>
            </w:pPr>
          </w:p>
        </w:tc>
      </w:tr>
      <w:tr w:rsidR="006B6A22" w:rsidRPr="00F627B2" w:rsidTr="00F627B2">
        <w:trPr>
          <w:gridAfter w:val="2"/>
          <w:wAfter w:w="15" w:type="dxa"/>
          <w:trHeight w:val="111"/>
        </w:trPr>
        <w:tc>
          <w:tcPr>
            <w:tcW w:w="1107" w:type="dxa"/>
            <w:tcBorders>
              <w:top w:val="nil"/>
              <w:left w:val="nil"/>
              <w:bottom w:val="nil"/>
              <w:right w:val="nil"/>
            </w:tcBorders>
          </w:tcPr>
          <w:p w:rsidR="006B6A22" w:rsidRPr="00F627B2" w:rsidRDefault="006B6A22" w:rsidP="00450459">
            <w:pPr>
              <w:spacing w:line="240" w:lineRule="auto"/>
              <w:rPr>
                <w:rFonts w:ascii="Lato" w:hAnsi="Lato"/>
                <w:szCs w:val="22"/>
              </w:rPr>
            </w:pPr>
          </w:p>
        </w:tc>
        <w:tc>
          <w:tcPr>
            <w:tcW w:w="5493" w:type="dxa"/>
            <w:tcBorders>
              <w:top w:val="nil"/>
              <w:left w:val="nil"/>
              <w:bottom w:val="nil"/>
              <w:right w:val="nil"/>
            </w:tcBorders>
          </w:tcPr>
          <w:p w:rsidR="006B6A22" w:rsidRPr="00F627B2" w:rsidDel="00307718" w:rsidRDefault="004F01CA" w:rsidP="00450459">
            <w:pPr>
              <w:spacing w:line="240" w:lineRule="auto"/>
              <w:rPr>
                <w:rFonts w:ascii="Lato" w:hAnsi="Lato"/>
                <w:szCs w:val="22"/>
              </w:rPr>
            </w:pPr>
            <w:r w:rsidRPr="001E4A73">
              <w:rPr>
                <w:rFonts w:ascii="Lato" w:hAnsi="Lato"/>
                <w:szCs w:val="22"/>
              </w:rPr>
              <w:t xml:space="preserve">and </w:t>
            </w:r>
            <w:r w:rsidR="006B6A22" w:rsidRPr="00F627B2">
              <w:rPr>
                <w:rFonts w:ascii="Lato" w:hAnsi="Lato"/>
                <w:szCs w:val="22"/>
              </w:rPr>
              <w:t>the associated risks</w:t>
            </w:r>
          </w:p>
        </w:tc>
        <w:tc>
          <w:tcPr>
            <w:tcW w:w="1120" w:type="dxa"/>
            <w:gridSpan w:val="3"/>
            <w:tcBorders>
              <w:top w:val="single" w:sz="4" w:space="0" w:color="auto"/>
              <w:left w:val="nil"/>
              <w:bottom w:val="nil"/>
              <w:right w:val="nil"/>
            </w:tcBorders>
          </w:tcPr>
          <w:p w:rsidR="006B6A22" w:rsidRPr="00F627B2" w:rsidRDefault="006B6A22" w:rsidP="00450459">
            <w:pPr>
              <w:spacing w:line="240" w:lineRule="auto"/>
              <w:rPr>
                <w:rFonts w:ascii="Lato" w:hAnsi="Lato"/>
                <w:szCs w:val="22"/>
              </w:rPr>
            </w:pPr>
          </w:p>
        </w:tc>
        <w:tc>
          <w:tcPr>
            <w:tcW w:w="554" w:type="dxa"/>
            <w:gridSpan w:val="3"/>
            <w:tcBorders>
              <w:top w:val="nil"/>
              <w:left w:val="nil"/>
              <w:bottom w:val="nil"/>
              <w:right w:val="nil"/>
            </w:tcBorders>
          </w:tcPr>
          <w:p w:rsidR="006B6A22" w:rsidRPr="00F627B2" w:rsidRDefault="006B6A22" w:rsidP="00450459">
            <w:pPr>
              <w:spacing w:line="240" w:lineRule="auto"/>
              <w:rPr>
                <w:rFonts w:ascii="Lato" w:hAnsi="Lato"/>
                <w:szCs w:val="22"/>
              </w:rPr>
            </w:pPr>
          </w:p>
        </w:tc>
        <w:tc>
          <w:tcPr>
            <w:tcW w:w="1321" w:type="dxa"/>
            <w:gridSpan w:val="7"/>
            <w:tcBorders>
              <w:top w:val="single" w:sz="4" w:space="0" w:color="auto"/>
              <w:left w:val="nil"/>
              <w:bottom w:val="nil"/>
              <w:right w:val="nil"/>
            </w:tcBorders>
          </w:tcPr>
          <w:p w:rsidR="006B6A22" w:rsidRPr="00F627B2" w:rsidRDefault="006B6A22" w:rsidP="00450459">
            <w:pPr>
              <w:spacing w:line="240" w:lineRule="auto"/>
              <w:rPr>
                <w:rFonts w:ascii="Lato" w:hAnsi="Lato"/>
                <w:szCs w:val="22"/>
              </w:rPr>
            </w:pPr>
          </w:p>
        </w:tc>
        <w:tc>
          <w:tcPr>
            <w:tcW w:w="287" w:type="dxa"/>
            <w:gridSpan w:val="6"/>
            <w:tcBorders>
              <w:top w:val="nil"/>
              <w:left w:val="nil"/>
              <w:bottom w:val="nil"/>
              <w:right w:val="nil"/>
            </w:tcBorders>
          </w:tcPr>
          <w:p w:rsidR="006B6A22" w:rsidRPr="00F627B2" w:rsidRDefault="006B6A22" w:rsidP="00450459">
            <w:pPr>
              <w:spacing w:line="240" w:lineRule="auto"/>
              <w:rPr>
                <w:rFonts w:ascii="Lato" w:hAnsi="Lato"/>
                <w:szCs w:val="22"/>
              </w:rPr>
            </w:pPr>
          </w:p>
        </w:tc>
        <w:tc>
          <w:tcPr>
            <w:tcW w:w="717" w:type="dxa"/>
            <w:gridSpan w:val="4"/>
            <w:tcBorders>
              <w:top w:val="single" w:sz="4" w:space="0" w:color="auto"/>
              <w:left w:val="nil"/>
              <w:bottom w:val="nil"/>
              <w:right w:val="nil"/>
            </w:tcBorders>
          </w:tcPr>
          <w:p w:rsidR="006B6A22" w:rsidRPr="00F627B2" w:rsidRDefault="006B6A22" w:rsidP="00450459">
            <w:pPr>
              <w:spacing w:line="240" w:lineRule="auto"/>
              <w:rPr>
                <w:rFonts w:ascii="Lato" w:hAnsi="Lato"/>
                <w:szCs w:val="22"/>
              </w:rPr>
            </w:pPr>
          </w:p>
        </w:tc>
        <w:tc>
          <w:tcPr>
            <w:tcW w:w="240" w:type="dxa"/>
            <w:gridSpan w:val="4"/>
            <w:tcBorders>
              <w:top w:val="nil"/>
              <w:left w:val="nil"/>
              <w:bottom w:val="nil"/>
              <w:right w:val="nil"/>
            </w:tcBorders>
          </w:tcPr>
          <w:p w:rsidR="006B6A22" w:rsidRPr="00F627B2" w:rsidRDefault="006B6A22" w:rsidP="00450459">
            <w:pPr>
              <w:spacing w:line="240" w:lineRule="auto"/>
              <w:rPr>
                <w:rFonts w:ascii="Lato" w:hAnsi="Lato"/>
                <w:szCs w:val="22"/>
              </w:rPr>
            </w:pPr>
          </w:p>
        </w:tc>
        <w:tc>
          <w:tcPr>
            <w:tcW w:w="636" w:type="dxa"/>
            <w:gridSpan w:val="7"/>
            <w:tcBorders>
              <w:top w:val="nil"/>
              <w:left w:val="nil"/>
              <w:bottom w:val="nil"/>
              <w:right w:val="nil"/>
            </w:tcBorders>
          </w:tcPr>
          <w:p w:rsidR="006B6A22" w:rsidRPr="00F627B2" w:rsidRDefault="006B6A22" w:rsidP="00450459">
            <w:pPr>
              <w:spacing w:line="240" w:lineRule="auto"/>
              <w:rPr>
                <w:rFonts w:ascii="Lato" w:hAnsi="Lato"/>
                <w:szCs w:val="22"/>
              </w:rPr>
            </w:pPr>
          </w:p>
        </w:tc>
      </w:tr>
      <w:tr w:rsidR="006B6A22" w:rsidRPr="00F627B2" w:rsidTr="00F627B2">
        <w:trPr>
          <w:gridAfter w:val="2"/>
          <w:wAfter w:w="15" w:type="dxa"/>
          <w:trHeight w:val="111"/>
        </w:trPr>
        <w:tc>
          <w:tcPr>
            <w:tcW w:w="1107" w:type="dxa"/>
            <w:tcBorders>
              <w:top w:val="nil"/>
              <w:left w:val="nil"/>
              <w:bottom w:val="nil"/>
              <w:right w:val="nil"/>
            </w:tcBorders>
          </w:tcPr>
          <w:p w:rsidR="006B6A22" w:rsidRPr="00F627B2" w:rsidRDefault="006B6A22" w:rsidP="00450459">
            <w:pPr>
              <w:spacing w:line="240" w:lineRule="auto"/>
              <w:rPr>
                <w:rFonts w:ascii="Lato" w:hAnsi="Lato"/>
                <w:szCs w:val="22"/>
              </w:rPr>
            </w:pPr>
          </w:p>
        </w:tc>
        <w:tc>
          <w:tcPr>
            <w:tcW w:w="5493" w:type="dxa"/>
            <w:tcBorders>
              <w:top w:val="nil"/>
              <w:left w:val="nil"/>
              <w:bottom w:val="nil"/>
              <w:right w:val="nil"/>
            </w:tcBorders>
          </w:tcPr>
          <w:p w:rsidR="006B6A22" w:rsidRPr="00F627B2" w:rsidDel="00307718" w:rsidRDefault="006B6A22" w:rsidP="00450459">
            <w:pPr>
              <w:spacing w:line="240" w:lineRule="auto"/>
              <w:rPr>
                <w:rFonts w:ascii="Lato" w:hAnsi="Lato"/>
                <w:szCs w:val="22"/>
              </w:rPr>
            </w:pPr>
          </w:p>
        </w:tc>
        <w:tc>
          <w:tcPr>
            <w:tcW w:w="1120" w:type="dxa"/>
            <w:gridSpan w:val="3"/>
            <w:tcBorders>
              <w:top w:val="nil"/>
              <w:left w:val="nil"/>
              <w:bottom w:val="single" w:sz="4" w:space="0" w:color="auto"/>
              <w:right w:val="nil"/>
            </w:tcBorders>
          </w:tcPr>
          <w:p w:rsidR="006B6A22" w:rsidRPr="00F627B2" w:rsidRDefault="006B6A22" w:rsidP="00450459">
            <w:pPr>
              <w:spacing w:line="240" w:lineRule="auto"/>
              <w:rPr>
                <w:rFonts w:ascii="Lato" w:hAnsi="Lato"/>
                <w:szCs w:val="22"/>
              </w:rPr>
            </w:pPr>
          </w:p>
        </w:tc>
        <w:tc>
          <w:tcPr>
            <w:tcW w:w="554" w:type="dxa"/>
            <w:gridSpan w:val="3"/>
            <w:tcBorders>
              <w:top w:val="nil"/>
              <w:left w:val="nil"/>
              <w:bottom w:val="nil"/>
              <w:right w:val="nil"/>
            </w:tcBorders>
          </w:tcPr>
          <w:p w:rsidR="006B6A22" w:rsidRPr="00F627B2" w:rsidRDefault="006B6A22" w:rsidP="00450459">
            <w:pPr>
              <w:spacing w:line="240" w:lineRule="auto"/>
              <w:rPr>
                <w:rFonts w:ascii="Lato" w:hAnsi="Lato"/>
                <w:szCs w:val="22"/>
              </w:rPr>
            </w:pPr>
          </w:p>
        </w:tc>
        <w:tc>
          <w:tcPr>
            <w:tcW w:w="1321" w:type="dxa"/>
            <w:gridSpan w:val="7"/>
            <w:tcBorders>
              <w:top w:val="nil"/>
              <w:left w:val="nil"/>
              <w:bottom w:val="single" w:sz="4" w:space="0" w:color="auto"/>
              <w:right w:val="nil"/>
            </w:tcBorders>
          </w:tcPr>
          <w:p w:rsidR="006B6A22" w:rsidRPr="00F627B2" w:rsidRDefault="006B6A22" w:rsidP="00450459">
            <w:pPr>
              <w:spacing w:line="240" w:lineRule="auto"/>
              <w:rPr>
                <w:rFonts w:ascii="Lato" w:hAnsi="Lato"/>
                <w:szCs w:val="22"/>
              </w:rPr>
            </w:pPr>
          </w:p>
        </w:tc>
        <w:tc>
          <w:tcPr>
            <w:tcW w:w="287" w:type="dxa"/>
            <w:gridSpan w:val="6"/>
            <w:tcBorders>
              <w:top w:val="nil"/>
              <w:left w:val="nil"/>
              <w:bottom w:val="nil"/>
              <w:right w:val="nil"/>
            </w:tcBorders>
          </w:tcPr>
          <w:p w:rsidR="006B6A22" w:rsidRPr="00F627B2" w:rsidRDefault="006B6A22" w:rsidP="00450459">
            <w:pPr>
              <w:spacing w:line="240" w:lineRule="auto"/>
              <w:rPr>
                <w:rFonts w:ascii="Lato" w:hAnsi="Lato"/>
                <w:szCs w:val="22"/>
              </w:rPr>
            </w:pPr>
          </w:p>
        </w:tc>
        <w:tc>
          <w:tcPr>
            <w:tcW w:w="717" w:type="dxa"/>
            <w:gridSpan w:val="4"/>
            <w:tcBorders>
              <w:top w:val="nil"/>
              <w:left w:val="nil"/>
              <w:bottom w:val="single" w:sz="4" w:space="0" w:color="auto"/>
              <w:right w:val="nil"/>
            </w:tcBorders>
          </w:tcPr>
          <w:p w:rsidR="006B6A22" w:rsidRPr="00F627B2" w:rsidRDefault="006B6A22" w:rsidP="00450459">
            <w:pPr>
              <w:spacing w:line="240" w:lineRule="auto"/>
              <w:rPr>
                <w:rFonts w:ascii="Lato" w:hAnsi="Lato"/>
                <w:szCs w:val="22"/>
              </w:rPr>
            </w:pPr>
          </w:p>
        </w:tc>
        <w:tc>
          <w:tcPr>
            <w:tcW w:w="240" w:type="dxa"/>
            <w:gridSpan w:val="4"/>
            <w:tcBorders>
              <w:top w:val="nil"/>
              <w:left w:val="nil"/>
              <w:bottom w:val="nil"/>
              <w:right w:val="nil"/>
            </w:tcBorders>
          </w:tcPr>
          <w:p w:rsidR="006B6A22" w:rsidRPr="00F627B2" w:rsidRDefault="006B6A22" w:rsidP="00450459">
            <w:pPr>
              <w:spacing w:line="240" w:lineRule="auto"/>
              <w:rPr>
                <w:rFonts w:ascii="Lato" w:hAnsi="Lato"/>
                <w:szCs w:val="22"/>
              </w:rPr>
            </w:pPr>
          </w:p>
        </w:tc>
        <w:tc>
          <w:tcPr>
            <w:tcW w:w="636" w:type="dxa"/>
            <w:gridSpan w:val="7"/>
            <w:tcBorders>
              <w:top w:val="nil"/>
              <w:left w:val="nil"/>
              <w:bottom w:val="nil"/>
              <w:right w:val="nil"/>
            </w:tcBorders>
          </w:tcPr>
          <w:p w:rsidR="006B6A22" w:rsidRPr="00F627B2" w:rsidRDefault="006B6A22" w:rsidP="00450459">
            <w:pPr>
              <w:spacing w:line="240" w:lineRule="auto"/>
              <w:rPr>
                <w:rFonts w:ascii="Lato" w:hAnsi="Lato"/>
                <w:szCs w:val="22"/>
              </w:rPr>
            </w:pPr>
          </w:p>
        </w:tc>
      </w:tr>
      <w:tr w:rsidR="006B6A22" w:rsidRPr="00F627B2" w:rsidTr="00F627B2">
        <w:trPr>
          <w:gridAfter w:val="2"/>
          <w:wAfter w:w="15" w:type="dxa"/>
          <w:trHeight w:val="111"/>
        </w:trPr>
        <w:tc>
          <w:tcPr>
            <w:tcW w:w="1107" w:type="dxa"/>
            <w:tcBorders>
              <w:top w:val="nil"/>
              <w:left w:val="nil"/>
              <w:bottom w:val="nil"/>
              <w:right w:val="nil"/>
            </w:tcBorders>
          </w:tcPr>
          <w:p w:rsidR="006B6A22" w:rsidRPr="00F627B2" w:rsidRDefault="006B6A22" w:rsidP="00891A66">
            <w:pPr>
              <w:numPr>
                <w:ilvl w:val="0"/>
                <w:numId w:val="22"/>
              </w:numPr>
              <w:spacing w:line="240" w:lineRule="auto"/>
              <w:rPr>
                <w:rFonts w:ascii="Lato" w:hAnsi="Lato"/>
                <w:szCs w:val="22"/>
              </w:rPr>
            </w:pPr>
          </w:p>
        </w:tc>
        <w:tc>
          <w:tcPr>
            <w:tcW w:w="5493" w:type="dxa"/>
            <w:tcBorders>
              <w:top w:val="nil"/>
              <w:left w:val="nil"/>
              <w:bottom w:val="nil"/>
              <w:right w:val="single" w:sz="4" w:space="0" w:color="auto"/>
            </w:tcBorders>
          </w:tcPr>
          <w:p w:rsidR="006B6A22" w:rsidRPr="00F627B2" w:rsidDel="00307718" w:rsidRDefault="006B6A22" w:rsidP="006B6A22">
            <w:pPr>
              <w:spacing w:line="240" w:lineRule="auto"/>
              <w:rPr>
                <w:rFonts w:ascii="Lato" w:hAnsi="Lato"/>
                <w:szCs w:val="22"/>
              </w:rPr>
            </w:pPr>
            <w:r w:rsidRPr="00F627B2">
              <w:rPr>
                <w:rFonts w:ascii="Lato" w:hAnsi="Lato"/>
                <w:szCs w:val="22"/>
              </w:rPr>
              <w:t xml:space="preserve">Disclose any restrictions on the use of leverage and any </w:t>
            </w:r>
          </w:p>
        </w:tc>
        <w:tc>
          <w:tcPr>
            <w:tcW w:w="1120" w:type="dxa"/>
            <w:gridSpan w:val="3"/>
            <w:tcBorders>
              <w:top w:val="single" w:sz="4" w:space="0" w:color="auto"/>
              <w:left w:val="single" w:sz="4" w:space="0" w:color="auto"/>
              <w:bottom w:val="single" w:sz="4" w:space="0" w:color="auto"/>
              <w:right w:val="single" w:sz="4" w:space="0" w:color="auto"/>
            </w:tcBorders>
          </w:tcPr>
          <w:p w:rsidR="006B6A22" w:rsidRPr="00F627B2" w:rsidRDefault="006B6A22" w:rsidP="00450459">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6B6A22" w:rsidRPr="00F627B2" w:rsidRDefault="006B6A22" w:rsidP="00450459">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6B6A22" w:rsidRPr="00F627B2" w:rsidRDefault="006B6A22" w:rsidP="0045045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6A22" w:rsidRPr="00F627B2" w:rsidRDefault="006B6A22" w:rsidP="00450459">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6B6A22" w:rsidRPr="00F627B2" w:rsidRDefault="006B6A22" w:rsidP="00450459">
            <w:pPr>
              <w:spacing w:line="240" w:lineRule="auto"/>
              <w:rPr>
                <w:rFonts w:ascii="Lato" w:hAnsi="Lato"/>
                <w:szCs w:val="22"/>
              </w:rPr>
            </w:pPr>
          </w:p>
        </w:tc>
        <w:tc>
          <w:tcPr>
            <w:tcW w:w="240" w:type="dxa"/>
            <w:gridSpan w:val="4"/>
            <w:tcBorders>
              <w:top w:val="nil"/>
              <w:left w:val="single" w:sz="4" w:space="0" w:color="auto"/>
              <w:bottom w:val="nil"/>
              <w:right w:val="nil"/>
            </w:tcBorders>
          </w:tcPr>
          <w:p w:rsidR="006B6A22" w:rsidRPr="00F627B2" w:rsidRDefault="006B6A22" w:rsidP="00450459">
            <w:pPr>
              <w:spacing w:line="240" w:lineRule="auto"/>
              <w:rPr>
                <w:rFonts w:ascii="Lato" w:hAnsi="Lato"/>
                <w:szCs w:val="22"/>
              </w:rPr>
            </w:pPr>
          </w:p>
        </w:tc>
        <w:tc>
          <w:tcPr>
            <w:tcW w:w="636" w:type="dxa"/>
            <w:gridSpan w:val="7"/>
            <w:tcBorders>
              <w:top w:val="nil"/>
              <w:left w:val="nil"/>
              <w:bottom w:val="nil"/>
              <w:right w:val="nil"/>
            </w:tcBorders>
          </w:tcPr>
          <w:p w:rsidR="006B6A22" w:rsidRPr="00F627B2" w:rsidRDefault="006B6A22" w:rsidP="00450459">
            <w:pPr>
              <w:spacing w:line="240" w:lineRule="auto"/>
              <w:rPr>
                <w:rFonts w:ascii="Lato" w:hAnsi="Lato"/>
                <w:szCs w:val="22"/>
              </w:rPr>
            </w:pPr>
          </w:p>
        </w:tc>
      </w:tr>
      <w:tr w:rsidR="006B6A22" w:rsidRPr="00F627B2" w:rsidTr="00F627B2">
        <w:trPr>
          <w:gridAfter w:val="2"/>
          <w:wAfter w:w="15" w:type="dxa"/>
          <w:trHeight w:val="111"/>
        </w:trPr>
        <w:tc>
          <w:tcPr>
            <w:tcW w:w="1107" w:type="dxa"/>
            <w:tcBorders>
              <w:top w:val="nil"/>
              <w:left w:val="nil"/>
              <w:bottom w:val="nil"/>
              <w:right w:val="nil"/>
            </w:tcBorders>
          </w:tcPr>
          <w:p w:rsidR="006B6A22" w:rsidRPr="00F627B2" w:rsidRDefault="006B6A22" w:rsidP="00450459">
            <w:pPr>
              <w:spacing w:line="240" w:lineRule="auto"/>
              <w:rPr>
                <w:rFonts w:ascii="Lato" w:hAnsi="Lato"/>
                <w:szCs w:val="22"/>
              </w:rPr>
            </w:pPr>
          </w:p>
        </w:tc>
        <w:tc>
          <w:tcPr>
            <w:tcW w:w="5493" w:type="dxa"/>
            <w:tcBorders>
              <w:top w:val="nil"/>
              <w:left w:val="nil"/>
              <w:bottom w:val="nil"/>
              <w:right w:val="nil"/>
            </w:tcBorders>
          </w:tcPr>
          <w:p w:rsidR="006B6A22" w:rsidRPr="00F627B2" w:rsidDel="00307718" w:rsidRDefault="006B6A22" w:rsidP="00450459">
            <w:pPr>
              <w:spacing w:line="240" w:lineRule="auto"/>
              <w:rPr>
                <w:rFonts w:ascii="Lato" w:hAnsi="Lato"/>
                <w:szCs w:val="22"/>
              </w:rPr>
            </w:pPr>
            <w:r w:rsidRPr="00F627B2">
              <w:rPr>
                <w:rFonts w:ascii="Lato" w:hAnsi="Lato"/>
                <w:szCs w:val="22"/>
              </w:rPr>
              <w:t>collateral and asset reuse arrangements</w:t>
            </w:r>
          </w:p>
        </w:tc>
        <w:tc>
          <w:tcPr>
            <w:tcW w:w="1120" w:type="dxa"/>
            <w:gridSpan w:val="3"/>
            <w:tcBorders>
              <w:top w:val="single" w:sz="4" w:space="0" w:color="auto"/>
              <w:left w:val="nil"/>
              <w:bottom w:val="nil"/>
              <w:right w:val="nil"/>
            </w:tcBorders>
          </w:tcPr>
          <w:p w:rsidR="006B6A22" w:rsidRPr="00F627B2" w:rsidRDefault="006B6A22" w:rsidP="00450459">
            <w:pPr>
              <w:spacing w:line="240" w:lineRule="auto"/>
              <w:rPr>
                <w:rFonts w:ascii="Lato" w:hAnsi="Lato"/>
                <w:szCs w:val="22"/>
              </w:rPr>
            </w:pPr>
          </w:p>
        </w:tc>
        <w:tc>
          <w:tcPr>
            <w:tcW w:w="554" w:type="dxa"/>
            <w:gridSpan w:val="3"/>
            <w:tcBorders>
              <w:top w:val="nil"/>
              <w:left w:val="nil"/>
              <w:bottom w:val="nil"/>
              <w:right w:val="nil"/>
            </w:tcBorders>
          </w:tcPr>
          <w:p w:rsidR="006B6A22" w:rsidRPr="00F627B2" w:rsidRDefault="006B6A22" w:rsidP="00450459">
            <w:pPr>
              <w:spacing w:line="240" w:lineRule="auto"/>
              <w:rPr>
                <w:rFonts w:ascii="Lato" w:hAnsi="Lato"/>
                <w:szCs w:val="22"/>
              </w:rPr>
            </w:pPr>
          </w:p>
        </w:tc>
        <w:tc>
          <w:tcPr>
            <w:tcW w:w="1321" w:type="dxa"/>
            <w:gridSpan w:val="7"/>
            <w:tcBorders>
              <w:top w:val="single" w:sz="4" w:space="0" w:color="auto"/>
              <w:left w:val="nil"/>
              <w:bottom w:val="nil"/>
              <w:right w:val="nil"/>
            </w:tcBorders>
          </w:tcPr>
          <w:p w:rsidR="006B6A22" w:rsidRPr="00F627B2" w:rsidRDefault="006B6A22" w:rsidP="00450459">
            <w:pPr>
              <w:spacing w:line="240" w:lineRule="auto"/>
              <w:rPr>
                <w:rFonts w:ascii="Lato" w:hAnsi="Lato"/>
                <w:szCs w:val="22"/>
              </w:rPr>
            </w:pPr>
          </w:p>
        </w:tc>
        <w:tc>
          <w:tcPr>
            <w:tcW w:w="287" w:type="dxa"/>
            <w:gridSpan w:val="6"/>
            <w:tcBorders>
              <w:top w:val="nil"/>
              <w:left w:val="nil"/>
              <w:bottom w:val="nil"/>
              <w:right w:val="nil"/>
            </w:tcBorders>
          </w:tcPr>
          <w:p w:rsidR="006B6A22" w:rsidRPr="00F627B2" w:rsidRDefault="006B6A22" w:rsidP="00450459">
            <w:pPr>
              <w:spacing w:line="240" w:lineRule="auto"/>
              <w:rPr>
                <w:rFonts w:ascii="Lato" w:hAnsi="Lato"/>
                <w:szCs w:val="22"/>
              </w:rPr>
            </w:pPr>
          </w:p>
        </w:tc>
        <w:tc>
          <w:tcPr>
            <w:tcW w:w="717" w:type="dxa"/>
            <w:gridSpan w:val="4"/>
            <w:tcBorders>
              <w:top w:val="single" w:sz="4" w:space="0" w:color="auto"/>
              <w:left w:val="nil"/>
              <w:bottom w:val="nil"/>
              <w:right w:val="nil"/>
            </w:tcBorders>
          </w:tcPr>
          <w:p w:rsidR="006B6A22" w:rsidRPr="00F627B2" w:rsidRDefault="006B6A22" w:rsidP="00450459">
            <w:pPr>
              <w:spacing w:line="240" w:lineRule="auto"/>
              <w:rPr>
                <w:rFonts w:ascii="Lato" w:hAnsi="Lato"/>
                <w:szCs w:val="22"/>
              </w:rPr>
            </w:pPr>
          </w:p>
        </w:tc>
        <w:tc>
          <w:tcPr>
            <w:tcW w:w="240" w:type="dxa"/>
            <w:gridSpan w:val="4"/>
            <w:tcBorders>
              <w:top w:val="nil"/>
              <w:left w:val="nil"/>
              <w:bottom w:val="nil"/>
              <w:right w:val="nil"/>
            </w:tcBorders>
          </w:tcPr>
          <w:p w:rsidR="006B6A22" w:rsidRPr="00F627B2" w:rsidRDefault="006B6A22" w:rsidP="00450459">
            <w:pPr>
              <w:spacing w:line="240" w:lineRule="auto"/>
              <w:rPr>
                <w:rFonts w:ascii="Lato" w:hAnsi="Lato"/>
                <w:szCs w:val="22"/>
              </w:rPr>
            </w:pPr>
          </w:p>
        </w:tc>
        <w:tc>
          <w:tcPr>
            <w:tcW w:w="636" w:type="dxa"/>
            <w:gridSpan w:val="7"/>
            <w:tcBorders>
              <w:top w:val="nil"/>
              <w:left w:val="nil"/>
              <w:bottom w:val="nil"/>
              <w:right w:val="nil"/>
            </w:tcBorders>
          </w:tcPr>
          <w:p w:rsidR="006B6A22" w:rsidRPr="00F627B2" w:rsidRDefault="006B6A22" w:rsidP="00450459">
            <w:pPr>
              <w:spacing w:line="240" w:lineRule="auto"/>
              <w:rPr>
                <w:rFonts w:ascii="Lato" w:hAnsi="Lato"/>
                <w:szCs w:val="22"/>
              </w:rPr>
            </w:pPr>
          </w:p>
        </w:tc>
      </w:tr>
      <w:tr w:rsidR="006B6A22" w:rsidRPr="00F627B2" w:rsidTr="00F627B2">
        <w:trPr>
          <w:gridAfter w:val="2"/>
          <w:wAfter w:w="15" w:type="dxa"/>
          <w:trHeight w:val="111"/>
        </w:trPr>
        <w:tc>
          <w:tcPr>
            <w:tcW w:w="1107" w:type="dxa"/>
            <w:tcBorders>
              <w:top w:val="nil"/>
              <w:left w:val="nil"/>
              <w:bottom w:val="nil"/>
              <w:right w:val="nil"/>
            </w:tcBorders>
          </w:tcPr>
          <w:p w:rsidR="006B6A22" w:rsidRPr="00F627B2" w:rsidRDefault="006B6A22" w:rsidP="00450459">
            <w:pPr>
              <w:spacing w:line="240" w:lineRule="auto"/>
              <w:rPr>
                <w:rFonts w:ascii="Lato" w:hAnsi="Lato"/>
                <w:szCs w:val="22"/>
              </w:rPr>
            </w:pPr>
          </w:p>
        </w:tc>
        <w:tc>
          <w:tcPr>
            <w:tcW w:w="5493" w:type="dxa"/>
            <w:tcBorders>
              <w:top w:val="nil"/>
              <w:left w:val="nil"/>
              <w:bottom w:val="nil"/>
              <w:right w:val="nil"/>
            </w:tcBorders>
          </w:tcPr>
          <w:p w:rsidR="006B6A22" w:rsidRPr="00F627B2" w:rsidDel="00307718" w:rsidRDefault="006B6A22" w:rsidP="00450459">
            <w:pPr>
              <w:spacing w:line="240" w:lineRule="auto"/>
              <w:rPr>
                <w:rFonts w:ascii="Lato" w:hAnsi="Lato"/>
                <w:szCs w:val="22"/>
              </w:rPr>
            </w:pPr>
          </w:p>
        </w:tc>
        <w:tc>
          <w:tcPr>
            <w:tcW w:w="1120" w:type="dxa"/>
            <w:gridSpan w:val="3"/>
            <w:tcBorders>
              <w:top w:val="nil"/>
              <w:left w:val="nil"/>
              <w:bottom w:val="single" w:sz="4" w:space="0" w:color="auto"/>
              <w:right w:val="nil"/>
            </w:tcBorders>
          </w:tcPr>
          <w:p w:rsidR="006B6A22" w:rsidRPr="00F627B2" w:rsidRDefault="006B6A22" w:rsidP="00450459">
            <w:pPr>
              <w:spacing w:line="240" w:lineRule="auto"/>
              <w:rPr>
                <w:rFonts w:ascii="Lato" w:hAnsi="Lato"/>
                <w:szCs w:val="22"/>
              </w:rPr>
            </w:pPr>
          </w:p>
        </w:tc>
        <w:tc>
          <w:tcPr>
            <w:tcW w:w="554" w:type="dxa"/>
            <w:gridSpan w:val="3"/>
            <w:tcBorders>
              <w:top w:val="nil"/>
              <w:left w:val="nil"/>
              <w:bottom w:val="nil"/>
              <w:right w:val="nil"/>
            </w:tcBorders>
          </w:tcPr>
          <w:p w:rsidR="006B6A22" w:rsidRPr="00F627B2" w:rsidRDefault="006B6A22" w:rsidP="00450459">
            <w:pPr>
              <w:spacing w:line="240" w:lineRule="auto"/>
              <w:rPr>
                <w:rFonts w:ascii="Lato" w:hAnsi="Lato"/>
                <w:szCs w:val="22"/>
              </w:rPr>
            </w:pPr>
          </w:p>
        </w:tc>
        <w:tc>
          <w:tcPr>
            <w:tcW w:w="1321" w:type="dxa"/>
            <w:gridSpan w:val="7"/>
            <w:tcBorders>
              <w:top w:val="nil"/>
              <w:left w:val="nil"/>
              <w:bottom w:val="single" w:sz="4" w:space="0" w:color="auto"/>
              <w:right w:val="nil"/>
            </w:tcBorders>
          </w:tcPr>
          <w:p w:rsidR="006B6A22" w:rsidRPr="00F627B2" w:rsidRDefault="006B6A22" w:rsidP="00450459">
            <w:pPr>
              <w:spacing w:line="240" w:lineRule="auto"/>
              <w:rPr>
                <w:rFonts w:ascii="Lato" w:hAnsi="Lato"/>
                <w:szCs w:val="22"/>
              </w:rPr>
            </w:pPr>
          </w:p>
        </w:tc>
        <w:tc>
          <w:tcPr>
            <w:tcW w:w="287" w:type="dxa"/>
            <w:gridSpan w:val="6"/>
            <w:tcBorders>
              <w:top w:val="nil"/>
              <w:left w:val="nil"/>
              <w:bottom w:val="nil"/>
              <w:right w:val="nil"/>
            </w:tcBorders>
          </w:tcPr>
          <w:p w:rsidR="006B6A22" w:rsidRPr="00F627B2" w:rsidRDefault="006B6A22" w:rsidP="00450459">
            <w:pPr>
              <w:spacing w:line="240" w:lineRule="auto"/>
              <w:rPr>
                <w:rFonts w:ascii="Lato" w:hAnsi="Lato"/>
                <w:szCs w:val="22"/>
              </w:rPr>
            </w:pPr>
          </w:p>
        </w:tc>
        <w:tc>
          <w:tcPr>
            <w:tcW w:w="717" w:type="dxa"/>
            <w:gridSpan w:val="4"/>
            <w:tcBorders>
              <w:top w:val="nil"/>
              <w:left w:val="nil"/>
              <w:bottom w:val="single" w:sz="4" w:space="0" w:color="auto"/>
              <w:right w:val="nil"/>
            </w:tcBorders>
          </w:tcPr>
          <w:p w:rsidR="006B6A22" w:rsidRPr="00F627B2" w:rsidRDefault="006B6A22" w:rsidP="00450459">
            <w:pPr>
              <w:spacing w:line="240" w:lineRule="auto"/>
              <w:rPr>
                <w:rFonts w:ascii="Lato" w:hAnsi="Lato"/>
                <w:szCs w:val="22"/>
              </w:rPr>
            </w:pPr>
          </w:p>
        </w:tc>
        <w:tc>
          <w:tcPr>
            <w:tcW w:w="240" w:type="dxa"/>
            <w:gridSpan w:val="4"/>
            <w:tcBorders>
              <w:top w:val="nil"/>
              <w:left w:val="nil"/>
              <w:bottom w:val="nil"/>
              <w:right w:val="nil"/>
            </w:tcBorders>
          </w:tcPr>
          <w:p w:rsidR="006B6A22" w:rsidRPr="00F627B2" w:rsidRDefault="006B6A22" w:rsidP="00450459">
            <w:pPr>
              <w:spacing w:line="240" w:lineRule="auto"/>
              <w:rPr>
                <w:rFonts w:ascii="Lato" w:hAnsi="Lato"/>
                <w:szCs w:val="22"/>
              </w:rPr>
            </w:pPr>
          </w:p>
        </w:tc>
        <w:tc>
          <w:tcPr>
            <w:tcW w:w="636" w:type="dxa"/>
            <w:gridSpan w:val="7"/>
            <w:tcBorders>
              <w:top w:val="nil"/>
              <w:left w:val="nil"/>
              <w:bottom w:val="nil"/>
              <w:right w:val="nil"/>
            </w:tcBorders>
          </w:tcPr>
          <w:p w:rsidR="006B6A22" w:rsidRPr="00F627B2" w:rsidRDefault="006B6A22" w:rsidP="00450459">
            <w:pPr>
              <w:spacing w:line="240" w:lineRule="auto"/>
              <w:rPr>
                <w:rFonts w:ascii="Lato" w:hAnsi="Lato"/>
                <w:szCs w:val="22"/>
              </w:rPr>
            </w:pPr>
          </w:p>
        </w:tc>
      </w:tr>
      <w:tr w:rsidR="006B6A22" w:rsidRPr="00F627B2" w:rsidTr="00F627B2">
        <w:trPr>
          <w:gridAfter w:val="2"/>
          <w:wAfter w:w="15" w:type="dxa"/>
          <w:trHeight w:val="111"/>
        </w:trPr>
        <w:tc>
          <w:tcPr>
            <w:tcW w:w="1107" w:type="dxa"/>
            <w:tcBorders>
              <w:top w:val="nil"/>
              <w:left w:val="nil"/>
              <w:bottom w:val="nil"/>
              <w:right w:val="nil"/>
            </w:tcBorders>
          </w:tcPr>
          <w:p w:rsidR="006B6A22" w:rsidRPr="00F627B2" w:rsidRDefault="006B6A22" w:rsidP="00891A66">
            <w:pPr>
              <w:numPr>
                <w:ilvl w:val="0"/>
                <w:numId w:val="22"/>
              </w:numPr>
              <w:spacing w:line="240" w:lineRule="auto"/>
              <w:rPr>
                <w:rFonts w:ascii="Lato" w:hAnsi="Lato"/>
                <w:szCs w:val="22"/>
              </w:rPr>
            </w:pPr>
          </w:p>
        </w:tc>
        <w:tc>
          <w:tcPr>
            <w:tcW w:w="5493" w:type="dxa"/>
            <w:tcBorders>
              <w:top w:val="nil"/>
              <w:left w:val="nil"/>
              <w:bottom w:val="nil"/>
              <w:right w:val="single" w:sz="4" w:space="0" w:color="auto"/>
            </w:tcBorders>
          </w:tcPr>
          <w:p w:rsidR="006B6A22" w:rsidRPr="00F627B2" w:rsidDel="00307718" w:rsidRDefault="006B6A22" w:rsidP="00A3401E">
            <w:pPr>
              <w:spacing w:line="240" w:lineRule="auto"/>
              <w:rPr>
                <w:rFonts w:ascii="Lato" w:hAnsi="Lato"/>
                <w:szCs w:val="22"/>
              </w:rPr>
            </w:pPr>
            <w:r w:rsidRPr="00F627B2">
              <w:rPr>
                <w:rFonts w:ascii="Lato" w:hAnsi="Lato"/>
                <w:szCs w:val="22"/>
              </w:rPr>
              <w:t xml:space="preserve">Disclose the maximum level of leverage which the </w:t>
            </w:r>
          </w:p>
        </w:tc>
        <w:tc>
          <w:tcPr>
            <w:tcW w:w="1120" w:type="dxa"/>
            <w:gridSpan w:val="3"/>
            <w:tcBorders>
              <w:top w:val="single" w:sz="4" w:space="0" w:color="auto"/>
              <w:left w:val="single" w:sz="4" w:space="0" w:color="auto"/>
              <w:bottom w:val="single" w:sz="4" w:space="0" w:color="auto"/>
              <w:right w:val="single" w:sz="4" w:space="0" w:color="auto"/>
            </w:tcBorders>
          </w:tcPr>
          <w:p w:rsidR="006B6A22" w:rsidRPr="00F627B2" w:rsidRDefault="006B6A22" w:rsidP="00450459">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6B6A22" w:rsidRPr="00F627B2" w:rsidRDefault="006B6A22" w:rsidP="00450459">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6B6A22" w:rsidRPr="00F627B2" w:rsidRDefault="006B6A22" w:rsidP="0045045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6A22" w:rsidRPr="00F627B2" w:rsidRDefault="006B6A22" w:rsidP="00450459">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6B6A22" w:rsidRPr="00F627B2" w:rsidRDefault="006B6A22" w:rsidP="00450459">
            <w:pPr>
              <w:spacing w:line="240" w:lineRule="auto"/>
              <w:rPr>
                <w:rFonts w:ascii="Lato" w:hAnsi="Lato"/>
                <w:szCs w:val="22"/>
              </w:rPr>
            </w:pPr>
          </w:p>
        </w:tc>
        <w:tc>
          <w:tcPr>
            <w:tcW w:w="240" w:type="dxa"/>
            <w:gridSpan w:val="4"/>
            <w:tcBorders>
              <w:top w:val="nil"/>
              <w:left w:val="single" w:sz="4" w:space="0" w:color="auto"/>
              <w:bottom w:val="nil"/>
              <w:right w:val="nil"/>
            </w:tcBorders>
          </w:tcPr>
          <w:p w:rsidR="006B6A22" w:rsidRPr="00F627B2" w:rsidRDefault="006B6A22" w:rsidP="00450459">
            <w:pPr>
              <w:spacing w:line="240" w:lineRule="auto"/>
              <w:rPr>
                <w:rFonts w:ascii="Lato" w:hAnsi="Lato"/>
                <w:szCs w:val="22"/>
              </w:rPr>
            </w:pPr>
          </w:p>
        </w:tc>
        <w:tc>
          <w:tcPr>
            <w:tcW w:w="636" w:type="dxa"/>
            <w:gridSpan w:val="7"/>
            <w:tcBorders>
              <w:top w:val="nil"/>
              <w:left w:val="nil"/>
              <w:bottom w:val="nil"/>
              <w:right w:val="nil"/>
            </w:tcBorders>
          </w:tcPr>
          <w:p w:rsidR="006B6A22" w:rsidRPr="00F627B2" w:rsidRDefault="006B6A22" w:rsidP="00450459">
            <w:pPr>
              <w:spacing w:line="240" w:lineRule="auto"/>
              <w:rPr>
                <w:rFonts w:ascii="Lato" w:hAnsi="Lato"/>
                <w:szCs w:val="22"/>
              </w:rPr>
            </w:pPr>
          </w:p>
        </w:tc>
      </w:tr>
      <w:tr w:rsidR="006B6A22" w:rsidRPr="00F627B2" w:rsidTr="00F627B2">
        <w:trPr>
          <w:gridAfter w:val="2"/>
          <w:wAfter w:w="15" w:type="dxa"/>
          <w:trHeight w:val="111"/>
        </w:trPr>
        <w:tc>
          <w:tcPr>
            <w:tcW w:w="1107" w:type="dxa"/>
            <w:tcBorders>
              <w:top w:val="nil"/>
              <w:left w:val="nil"/>
              <w:bottom w:val="nil"/>
              <w:right w:val="nil"/>
            </w:tcBorders>
          </w:tcPr>
          <w:p w:rsidR="006B6A22" w:rsidRPr="00F627B2" w:rsidRDefault="006B6A22" w:rsidP="00450459">
            <w:pPr>
              <w:spacing w:line="240" w:lineRule="auto"/>
              <w:rPr>
                <w:rFonts w:ascii="Lato" w:hAnsi="Lato"/>
                <w:szCs w:val="22"/>
              </w:rPr>
            </w:pPr>
          </w:p>
        </w:tc>
        <w:tc>
          <w:tcPr>
            <w:tcW w:w="5493" w:type="dxa"/>
            <w:tcBorders>
              <w:top w:val="nil"/>
              <w:left w:val="nil"/>
              <w:bottom w:val="nil"/>
              <w:right w:val="nil"/>
            </w:tcBorders>
          </w:tcPr>
          <w:p w:rsidR="006B6A22" w:rsidRPr="00F627B2" w:rsidRDefault="004F01CA" w:rsidP="00450459">
            <w:pPr>
              <w:spacing w:line="240" w:lineRule="auto"/>
              <w:rPr>
                <w:rFonts w:ascii="Lato" w:hAnsi="Lato"/>
                <w:szCs w:val="22"/>
              </w:rPr>
            </w:pPr>
            <w:r w:rsidRPr="001E4A73">
              <w:rPr>
                <w:rFonts w:ascii="Lato" w:hAnsi="Lato"/>
                <w:szCs w:val="22"/>
              </w:rPr>
              <w:t xml:space="preserve">AIFM </w:t>
            </w:r>
            <w:r w:rsidR="006B6A22" w:rsidRPr="00F627B2">
              <w:rPr>
                <w:rFonts w:ascii="Lato" w:hAnsi="Lato"/>
                <w:szCs w:val="22"/>
              </w:rPr>
              <w:t>are entitled to employ on behalf of the Retail Investor AIF</w:t>
            </w:r>
          </w:p>
        </w:tc>
        <w:tc>
          <w:tcPr>
            <w:tcW w:w="1120" w:type="dxa"/>
            <w:gridSpan w:val="3"/>
            <w:tcBorders>
              <w:top w:val="single" w:sz="4" w:space="0" w:color="auto"/>
              <w:left w:val="nil"/>
              <w:bottom w:val="nil"/>
              <w:right w:val="nil"/>
            </w:tcBorders>
          </w:tcPr>
          <w:p w:rsidR="006B6A22" w:rsidRPr="00F627B2" w:rsidRDefault="006B6A22" w:rsidP="00450459">
            <w:pPr>
              <w:spacing w:line="240" w:lineRule="auto"/>
              <w:rPr>
                <w:rFonts w:ascii="Lato" w:hAnsi="Lato"/>
                <w:szCs w:val="22"/>
              </w:rPr>
            </w:pPr>
          </w:p>
        </w:tc>
        <w:tc>
          <w:tcPr>
            <w:tcW w:w="554" w:type="dxa"/>
            <w:gridSpan w:val="3"/>
            <w:tcBorders>
              <w:top w:val="nil"/>
              <w:left w:val="nil"/>
              <w:bottom w:val="nil"/>
              <w:right w:val="nil"/>
            </w:tcBorders>
          </w:tcPr>
          <w:p w:rsidR="006B6A22" w:rsidRPr="00F627B2" w:rsidRDefault="006B6A22" w:rsidP="00450459">
            <w:pPr>
              <w:spacing w:line="240" w:lineRule="auto"/>
              <w:rPr>
                <w:rFonts w:ascii="Lato" w:hAnsi="Lato"/>
                <w:szCs w:val="22"/>
              </w:rPr>
            </w:pPr>
          </w:p>
        </w:tc>
        <w:tc>
          <w:tcPr>
            <w:tcW w:w="1321" w:type="dxa"/>
            <w:gridSpan w:val="7"/>
            <w:tcBorders>
              <w:top w:val="single" w:sz="4" w:space="0" w:color="auto"/>
              <w:left w:val="nil"/>
              <w:bottom w:val="nil"/>
              <w:right w:val="nil"/>
            </w:tcBorders>
          </w:tcPr>
          <w:p w:rsidR="006B6A22" w:rsidRPr="00F627B2" w:rsidRDefault="006B6A22" w:rsidP="00450459">
            <w:pPr>
              <w:spacing w:line="240" w:lineRule="auto"/>
              <w:rPr>
                <w:rFonts w:ascii="Lato" w:hAnsi="Lato"/>
                <w:szCs w:val="22"/>
              </w:rPr>
            </w:pPr>
          </w:p>
        </w:tc>
        <w:tc>
          <w:tcPr>
            <w:tcW w:w="287" w:type="dxa"/>
            <w:gridSpan w:val="6"/>
            <w:tcBorders>
              <w:top w:val="nil"/>
              <w:left w:val="nil"/>
              <w:bottom w:val="nil"/>
              <w:right w:val="nil"/>
            </w:tcBorders>
          </w:tcPr>
          <w:p w:rsidR="006B6A22" w:rsidRPr="00F627B2" w:rsidRDefault="006B6A22" w:rsidP="00450459">
            <w:pPr>
              <w:spacing w:line="240" w:lineRule="auto"/>
              <w:rPr>
                <w:rFonts w:ascii="Lato" w:hAnsi="Lato"/>
                <w:szCs w:val="22"/>
              </w:rPr>
            </w:pPr>
          </w:p>
        </w:tc>
        <w:tc>
          <w:tcPr>
            <w:tcW w:w="717" w:type="dxa"/>
            <w:gridSpan w:val="4"/>
            <w:tcBorders>
              <w:top w:val="single" w:sz="4" w:space="0" w:color="auto"/>
              <w:left w:val="nil"/>
              <w:bottom w:val="nil"/>
              <w:right w:val="nil"/>
            </w:tcBorders>
          </w:tcPr>
          <w:p w:rsidR="006B6A22" w:rsidRPr="00F627B2" w:rsidRDefault="006B6A22" w:rsidP="00450459">
            <w:pPr>
              <w:spacing w:line="240" w:lineRule="auto"/>
              <w:rPr>
                <w:rFonts w:ascii="Lato" w:hAnsi="Lato"/>
                <w:szCs w:val="22"/>
              </w:rPr>
            </w:pPr>
          </w:p>
        </w:tc>
        <w:tc>
          <w:tcPr>
            <w:tcW w:w="240" w:type="dxa"/>
            <w:gridSpan w:val="4"/>
            <w:tcBorders>
              <w:top w:val="nil"/>
              <w:left w:val="nil"/>
              <w:bottom w:val="nil"/>
              <w:right w:val="nil"/>
            </w:tcBorders>
          </w:tcPr>
          <w:p w:rsidR="006B6A22" w:rsidRPr="00F627B2" w:rsidRDefault="006B6A22" w:rsidP="00450459">
            <w:pPr>
              <w:spacing w:line="240" w:lineRule="auto"/>
              <w:rPr>
                <w:rFonts w:ascii="Lato" w:hAnsi="Lato"/>
                <w:szCs w:val="22"/>
              </w:rPr>
            </w:pPr>
          </w:p>
        </w:tc>
        <w:tc>
          <w:tcPr>
            <w:tcW w:w="636" w:type="dxa"/>
            <w:gridSpan w:val="7"/>
            <w:tcBorders>
              <w:top w:val="nil"/>
              <w:left w:val="nil"/>
              <w:bottom w:val="nil"/>
              <w:right w:val="nil"/>
            </w:tcBorders>
          </w:tcPr>
          <w:p w:rsidR="006B6A22" w:rsidRPr="00F627B2" w:rsidRDefault="006B6A22" w:rsidP="00450459">
            <w:pPr>
              <w:spacing w:line="240" w:lineRule="auto"/>
              <w:rPr>
                <w:rFonts w:ascii="Lato" w:hAnsi="Lato"/>
                <w:szCs w:val="22"/>
              </w:rPr>
            </w:pPr>
          </w:p>
        </w:tc>
      </w:tr>
      <w:tr w:rsidR="006B6A22" w:rsidRPr="00F627B2" w:rsidTr="00F627B2">
        <w:trPr>
          <w:gridAfter w:val="2"/>
          <w:wAfter w:w="15" w:type="dxa"/>
          <w:trHeight w:val="111"/>
        </w:trPr>
        <w:tc>
          <w:tcPr>
            <w:tcW w:w="1107" w:type="dxa"/>
            <w:tcBorders>
              <w:top w:val="nil"/>
              <w:left w:val="nil"/>
              <w:bottom w:val="nil"/>
              <w:right w:val="nil"/>
            </w:tcBorders>
          </w:tcPr>
          <w:p w:rsidR="006B6A22" w:rsidRPr="00F627B2" w:rsidRDefault="006B6A22" w:rsidP="00450459">
            <w:pPr>
              <w:spacing w:line="240" w:lineRule="auto"/>
              <w:rPr>
                <w:rFonts w:ascii="Lato" w:hAnsi="Lato"/>
                <w:szCs w:val="22"/>
              </w:rPr>
            </w:pPr>
          </w:p>
        </w:tc>
        <w:tc>
          <w:tcPr>
            <w:tcW w:w="5493" w:type="dxa"/>
            <w:tcBorders>
              <w:top w:val="nil"/>
              <w:left w:val="nil"/>
              <w:bottom w:val="nil"/>
              <w:right w:val="nil"/>
            </w:tcBorders>
          </w:tcPr>
          <w:p w:rsidR="006B6A22" w:rsidRPr="00F627B2" w:rsidDel="00307718" w:rsidRDefault="006B6A22" w:rsidP="00450459">
            <w:pPr>
              <w:spacing w:line="240" w:lineRule="auto"/>
              <w:rPr>
                <w:rFonts w:ascii="Lato" w:hAnsi="Lato"/>
                <w:szCs w:val="22"/>
              </w:rPr>
            </w:pPr>
          </w:p>
        </w:tc>
        <w:tc>
          <w:tcPr>
            <w:tcW w:w="1120" w:type="dxa"/>
            <w:gridSpan w:val="3"/>
            <w:tcBorders>
              <w:top w:val="nil"/>
              <w:left w:val="nil"/>
              <w:bottom w:val="nil"/>
              <w:right w:val="nil"/>
            </w:tcBorders>
          </w:tcPr>
          <w:p w:rsidR="006B6A22" w:rsidRPr="00F627B2" w:rsidRDefault="006B6A22" w:rsidP="00450459">
            <w:pPr>
              <w:spacing w:line="240" w:lineRule="auto"/>
              <w:rPr>
                <w:rFonts w:ascii="Lato" w:hAnsi="Lato"/>
                <w:szCs w:val="22"/>
              </w:rPr>
            </w:pPr>
          </w:p>
        </w:tc>
        <w:tc>
          <w:tcPr>
            <w:tcW w:w="554" w:type="dxa"/>
            <w:gridSpan w:val="3"/>
            <w:tcBorders>
              <w:top w:val="nil"/>
              <w:left w:val="nil"/>
              <w:bottom w:val="nil"/>
              <w:right w:val="nil"/>
            </w:tcBorders>
          </w:tcPr>
          <w:p w:rsidR="006B6A22" w:rsidRPr="00F627B2" w:rsidRDefault="006B6A22" w:rsidP="00450459">
            <w:pPr>
              <w:spacing w:line="240" w:lineRule="auto"/>
              <w:rPr>
                <w:rFonts w:ascii="Lato" w:hAnsi="Lato"/>
                <w:szCs w:val="22"/>
              </w:rPr>
            </w:pPr>
          </w:p>
        </w:tc>
        <w:tc>
          <w:tcPr>
            <w:tcW w:w="1321" w:type="dxa"/>
            <w:gridSpan w:val="7"/>
            <w:tcBorders>
              <w:top w:val="nil"/>
              <w:left w:val="nil"/>
              <w:bottom w:val="nil"/>
              <w:right w:val="nil"/>
            </w:tcBorders>
          </w:tcPr>
          <w:p w:rsidR="006B6A22" w:rsidRPr="00F627B2" w:rsidRDefault="006B6A22" w:rsidP="00450459">
            <w:pPr>
              <w:spacing w:line="240" w:lineRule="auto"/>
              <w:rPr>
                <w:rFonts w:ascii="Lato" w:hAnsi="Lato"/>
                <w:szCs w:val="22"/>
              </w:rPr>
            </w:pPr>
          </w:p>
        </w:tc>
        <w:tc>
          <w:tcPr>
            <w:tcW w:w="287" w:type="dxa"/>
            <w:gridSpan w:val="6"/>
            <w:tcBorders>
              <w:top w:val="nil"/>
              <w:left w:val="nil"/>
              <w:bottom w:val="nil"/>
              <w:right w:val="nil"/>
            </w:tcBorders>
          </w:tcPr>
          <w:p w:rsidR="006B6A22" w:rsidRPr="00F627B2" w:rsidRDefault="006B6A22" w:rsidP="00450459">
            <w:pPr>
              <w:spacing w:line="240" w:lineRule="auto"/>
              <w:rPr>
                <w:rFonts w:ascii="Lato" w:hAnsi="Lato"/>
                <w:szCs w:val="22"/>
              </w:rPr>
            </w:pPr>
          </w:p>
        </w:tc>
        <w:tc>
          <w:tcPr>
            <w:tcW w:w="717" w:type="dxa"/>
            <w:gridSpan w:val="4"/>
            <w:tcBorders>
              <w:top w:val="nil"/>
              <w:left w:val="nil"/>
              <w:bottom w:val="nil"/>
              <w:right w:val="nil"/>
            </w:tcBorders>
          </w:tcPr>
          <w:p w:rsidR="006B6A22" w:rsidRPr="00F627B2" w:rsidRDefault="006B6A22" w:rsidP="00450459">
            <w:pPr>
              <w:spacing w:line="240" w:lineRule="auto"/>
              <w:rPr>
                <w:rFonts w:ascii="Lato" w:hAnsi="Lato"/>
                <w:szCs w:val="22"/>
              </w:rPr>
            </w:pPr>
          </w:p>
        </w:tc>
        <w:tc>
          <w:tcPr>
            <w:tcW w:w="240" w:type="dxa"/>
            <w:gridSpan w:val="4"/>
            <w:tcBorders>
              <w:top w:val="nil"/>
              <w:left w:val="nil"/>
              <w:bottom w:val="nil"/>
              <w:right w:val="nil"/>
            </w:tcBorders>
          </w:tcPr>
          <w:p w:rsidR="006B6A22" w:rsidRPr="00F627B2" w:rsidRDefault="006B6A22" w:rsidP="00450459">
            <w:pPr>
              <w:spacing w:line="240" w:lineRule="auto"/>
              <w:rPr>
                <w:rFonts w:ascii="Lato" w:hAnsi="Lato"/>
                <w:szCs w:val="22"/>
              </w:rPr>
            </w:pPr>
          </w:p>
        </w:tc>
        <w:tc>
          <w:tcPr>
            <w:tcW w:w="636" w:type="dxa"/>
            <w:gridSpan w:val="7"/>
            <w:tcBorders>
              <w:top w:val="nil"/>
              <w:left w:val="nil"/>
              <w:bottom w:val="nil"/>
              <w:right w:val="nil"/>
            </w:tcBorders>
          </w:tcPr>
          <w:p w:rsidR="006B6A22" w:rsidRPr="00F627B2" w:rsidRDefault="006B6A22" w:rsidP="00450459">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p>
        </w:tc>
        <w:tc>
          <w:tcPr>
            <w:tcW w:w="5493" w:type="dxa"/>
            <w:tcBorders>
              <w:top w:val="nil"/>
              <w:left w:val="nil"/>
              <w:bottom w:val="nil"/>
              <w:right w:val="nil"/>
            </w:tcBorders>
          </w:tcPr>
          <w:p w:rsidR="002F07AF" w:rsidRPr="00F627B2" w:rsidRDefault="002F07AF">
            <w:pPr>
              <w:pStyle w:val="Heading6"/>
              <w:rPr>
                <w:rFonts w:ascii="Lato" w:hAnsi="Lato"/>
                <w:b w:val="0"/>
                <w:bCs w:val="0"/>
                <w:szCs w:val="22"/>
              </w:rPr>
            </w:pPr>
            <w:r w:rsidRPr="00F627B2">
              <w:rPr>
                <w:rFonts w:ascii="Lato" w:hAnsi="Lato"/>
                <w:b w:val="0"/>
                <w:bCs w:val="0"/>
                <w:szCs w:val="22"/>
              </w:rPr>
              <w:t>Markets/Exchanges</w:t>
            </w:r>
          </w:p>
        </w:tc>
        <w:tc>
          <w:tcPr>
            <w:tcW w:w="1131" w:type="dxa"/>
            <w:gridSpan w:val="4"/>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D008B2">
            <w:pPr>
              <w:spacing w:line="240" w:lineRule="auto"/>
              <w:rPr>
                <w:rFonts w:ascii="Lato" w:hAnsi="Lato"/>
                <w:szCs w:val="22"/>
              </w:rPr>
            </w:pPr>
            <w:r w:rsidRPr="00F627B2">
              <w:rPr>
                <w:rFonts w:ascii="Lato" w:hAnsi="Lato"/>
                <w:szCs w:val="22"/>
              </w:rPr>
              <w:t>2.2.</w:t>
            </w:r>
            <w:r w:rsidR="00D008B2" w:rsidRPr="00F627B2">
              <w:rPr>
                <w:rFonts w:ascii="Lato" w:hAnsi="Lato"/>
                <w:szCs w:val="22"/>
              </w:rPr>
              <w:t>7</w:t>
            </w:r>
          </w:p>
        </w:tc>
        <w:tc>
          <w:tcPr>
            <w:tcW w:w="5493" w:type="dxa"/>
            <w:tcBorders>
              <w:top w:val="nil"/>
              <w:left w:val="nil"/>
              <w:bottom w:val="nil"/>
              <w:right w:val="single" w:sz="4" w:space="0" w:color="auto"/>
            </w:tcBorders>
          </w:tcPr>
          <w:p w:rsidR="002F07AF" w:rsidRPr="00F627B2" w:rsidRDefault="002F07AF" w:rsidP="00A3401E">
            <w:pPr>
              <w:spacing w:line="240" w:lineRule="auto"/>
              <w:rPr>
                <w:rFonts w:ascii="Lato" w:hAnsi="Lato"/>
                <w:szCs w:val="22"/>
              </w:rPr>
            </w:pPr>
            <w:r w:rsidRPr="00F627B2">
              <w:rPr>
                <w:rFonts w:ascii="Lato" w:hAnsi="Lato"/>
                <w:szCs w:val="22"/>
              </w:rPr>
              <w:t xml:space="preserve">Disclose, in the policy section, on which </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p>
        </w:tc>
        <w:tc>
          <w:tcPr>
            <w:tcW w:w="5493" w:type="dxa"/>
            <w:tcBorders>
              <w:top w:val="nil"/>
              <w:left w:val="nil"/>
              <w:bottom w:val="nil"/>
              <w:right w:val="nil"/>
            </w:tcBorders>
          </w:tcPr>
          <w:p w:rsidR="002F07AF" w:rsidRPr="00F627B2" w:rsidRDefault="004F01CA" w:rsidP="00392FFD">
            <w:pPr>
              <w:spacing w:line="240" w:lineRule="auto"/>
              <w:rPr>
                <w:rFonts w:ascii="Lato" w:hAnsi="Lato"/>
                <w:szCs w:val="22"/>
              </w:rPr>
            </w:pPr>
            <w:r w:rsidRPr="001E4A73">
              <w:rPr>
                <w:rFonts w:ascii="Lato" w:hAnsi="Lato"/>
                <w:szCs w:val="22"/>
              </w:rPr>
              <w:t>exchanges/markets</w:t>
            </w:r>
            <w:r w:rsidRPr="00A3401E">
              <w:rPr>
                <w:rFonts w:ascii="Lato" w:hAnsi="Lato"/>
                <w:szCs w:val="22"/>
              </w:rPr>
              <w:t xml:space="preserve"> </w:t>
            </w:r>
            <w:r w:rsidR="002F07AF" w:rsidRPr="00F627B2">
              <w:rPr>
                <w:rFonts w:ascii="Lato" w:hAnsi="Lato"/>
                <w:szCs w:val="22"/>
              </w:rPr>
              <w:t xml:space="preserve">the Retail Investor AIF’s investments in securities (other than permitted </w:t>
            </w:r>
            <w:r w:rsidR="002F07AF" w:rsidRPr="00F627B2">
              <w:rPr>
                <w:rFonts w:ascii="Lato" w:hAnsi="Lato"/>
                <w:szCs w:val="22"/>
              </w:rPr>
              <w:lastRenderedPageBreak/>
              <w:t xml:space="preserve">investments in unlisted investments) will be listed or traded  (This should include any short term securities held for temporary defensive/ancillary liquid asset purposes.)  </w:t>
            </w:r>
          </w:p>
        </w:tc>
        <w:tc>
          <w:tcPr>
            <w:tcW w:w="1131" w:type="dxa"/>
            <w:gridSpan w:val="4"/>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rsidP="00D008B2">
            <w:pPr>
              <w:spacing w:line="240" w:lineRule="auto"/>
              <w:rPr>
                <w:rFonts w:ascii="Lato" w:hAnsi="Lato"/>
                <w:szCs w:val="22"/>
              </w:rPr>
            </w:pPr>
            <w:r w:rsidRPr="00F627B2">
              <w:rPr>
                <w:rFonts w:ascii="Lato" w:hAnsi="Lato"/>
                <w:szCs w:val="22"/>
              </w:rPr>
              <w:t>2.2.</w:t>
            </w:r>
            <w:r w:rsidR="00D008B2" w:rsidRPr="00F627B2">
              <w:rPr>
                <w:rFonts w:ascii="Lato" w:hAnsi="Lato"/>
                <w:szCs w:val="22"/>
              </w:rPr>
              <w:t>8</w:t>
            </w:r>
          </w:p>
        </w:tc>
        <w:tc>
          <w:tcPr>
            <w:tcW w:w="5493" w:type="dxa"/>
            <w:tcBorders>
              <w:top w:val="nil"/>
              <w:left w:val="nil"/>
              <w:bottom w:val="nil"/>
              <w:right w:val="single" w:sz="4" w:space="0" w:color="auto"/>
            </w:tcBorders>
          </w:tcPr>
          <w:p w:rsidR="002F07AF" w:rsidRPr="00F627B2" w:rsidRDefault="002F07AF" w:rsidP="00A3401E">
            <w:pPr>
              <w:spacing w:line="240" w:lineRule="auto"/>
              <w:rPr>
                <w:rFonts w:ascii="Lato" w:hAnsi="Lato"/>
                <w:szCs w:val="22"/>
              </w:rPr>
            </w:pPr>
            <w:r w:rsidRPr="00F627B2">
              <w:rPr>
                <w:rFonts w:ascii="Lato" w:hAnsi="Lato"/>
                <w:szCs w:val="22"/>
              </w:rPr>
              <w:t xml:space="preserve">Where it is the intention to seek exposure to a </w:t>
            </w:r>
            <w:r w:rsidR="002911EE" w:rsidRPr="00F627B2">
              <w:rPr>
                <w:rFonts w:ascii="Lato" w:hAnsi="Lato"/>
                <w:szCs w:val="22"/>
              </w:rPr>
              <w:t xml:space="preserve">country </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p>
        </w:tc>
        <w:tc>
          <w:tcPr>
            <w:tcW w:w="5493" w:type="dxa"/>
            <w:tcBorders>
              <w:top w:val="nil"/>
              <w:left w:val="nil"/>
              <w:bottom w:val="nil"/>
              <w:right w:val="nil"/>
            </w:tcBorders>
          </w:tcPr>
          <w:p w:rsidR="002F07AF" w:rsidRPr="00F627B2" w:rsidRDefault="004F01CA">
            <w:pPr>
              <w:spacing w:line="240" w:lineRule="auto"/>
              <w:rPr>
                <w:rFonts w:ascii="Lato" w:hAnsi="Lato"/>
                <w:szCs w:val="22"/>
              </w:rPr>
            </w:pPr>
            <w:r w:rsidRPr="001E4A73">
              <w:rPr>
                <w:rFonts w:ascii="Lato" w:hAnsi="Lato"/>
                <w:szCs w:val="22"/>
              </w:rPr>
              <w:t>or</w:t>
            </w:r>
            <w:r w:rsidRPr="00A3401E">
              <w:rPr>
                <w:rFonts w:ascii="Lato" w:hAnsi="Lato"/>
                <w:szCs w:val="22"/>
              </w:rPr>
              <w:t xml:space="preserve"> </w:t>
            </w:r>
            <w:r w:rsidR="002F07AF" w:rsidRPr="00F627B2">
              <w:rPr>
                <w:rFonts w:ascii="Lato" w:hAnsi="Lato"/>
                <w:szCs w:val="22"/>
              </w:rPr>
              <w:t>region through investment in companies/instruments traded on stock exchanges or markets located in other jurisdictions, disclose this</w:t>
            </w:r>
          </w:p>
        </w:tc>
        <w:tc>
          <w:tcPr>
            <w:tcW w:w="1131" w:type="dxa"/>
            <w:gridSpan w:val="4"/>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rPr>
          <w:trHeight w:val="267"/>
        </w:trPr>
        <w:tc>
          <w:tcPr>
            <w:tcW w:w="1107" w:type="dxa"/>
            <w:tcBorders>
              <w:top w:val="nil"/>
              <w:left w:val="nil"/>
              <w:bottom w:val="nil"/>
              <w:right w:val="nil"/>
            </w:tcBorders>
          </w:tcPr>
          <w:p w:rsidR="002F07AF" w:rsidRPr="00F627B2" w:rsidRDefault="002F07AF" w:rsidP="00D008B2">
            <w:pPr>
              <w:spacing w:line="240" w:lineRule="auto"/>
              <w:rPr>
                <w:rFonts w:ascii="Lato" w:hAnsi="Lato"/>
                <w:szCs w:val="22"/>
              </w:rPr>
            </w:pPr>
            <w:r w:rsidRPr="00F627B2">
              <w:rPr>
                <w:rFonts w:ascii="Lato" w:hAnsi="Lato"/>
                <w:szCs w:val="22"/>
              </w:rPr>
              <w:t>2.2.</w:t>
            </w:r>
            <w:r w:rsidR="00D008B2" w:rsidRPr="00F627B2">
              <w:rPr>
                <w:rFonts w:ascii="Lato" w:hAnsi="Lato"/>
                <w:szCs w:val="22"/>
              </w:rPr>
              <w:t>9</w:t>
            </w:r>
          </w:p>
        </w:tc>
        <w:tc>
          <w:tcPr>
            <w:tcW w:w="5493" w:type="dxa"/>
            <w:tcBorders>
              <w:top w:val="nil"/>
              <w:left w:val="nil"/>
              <w:bottom w:val="nil"/>
              <w:right w:val="single" w:sz="4" w:space="0" w:color="auto"/>
            </w:tcBorders>
          </w:tcPr>
          <w:p w:rsidR="002F07AF" w:rsidRPr="00F627B2" w:rsidRDefault="002F07AF" w:rsidP="00A3401E">
            <w:pPr>
              <w:spacing w:line="240" w:lineRule="auto"/>
              <w:rPr>
                <w:rFonts w:ascii="Lato" w:hAnsi="Lato"/>
                <w:szCs w:val="22"/>
              </w:rPr>
            </w:pPr>
            <w:r w:rsidRPr="00F627B2">
              <w:rPr>
                <w:rFonts w:ascii="Lato" w:hAnsi="Lato"/>
                <w:szCs w:val="22"/>
              </w:rPr>
              <w:t xml:space="preserve">List the markets and stock exchanges </w:t>
            </w:r>
            <w:r w:rsidR="002911EE" w:rsidRPr="00F627B2">
              <w:rPr>
                <w:rFonts w:ascii="Lato" w:hAnsi="Lato"/>
                <w:szCs w:val="22"/>
              </w:rPr>
              <w:t xml:space="preserve">(including </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rPr>
          <w:trHeight w:val="516"/>
        </w:trPr>
        <w:tc>
          <w:tcPr>
            <w:tcW w:w="1107" w:type="dxa"/>
            <w:tcBorders>
              <w:top w:val="nil"/>
              <w:left w:val="nil"/>
              <w:bottom w:val="nil"/>
              <w:right w:val="nil"/>
            </w:tcBorders>
          </w:tcPr>
          <w:p w:rsidR="002F07AF" w:rsidRPr="00F627B2" w:rsidRDefault="002F07AF">
            <w:pPr>
              <w:spacing w:line="240" w:lineRule="auto"/>
              <w:rPr>
                <w:rFonts w:ascii="Lato" w:hAnsi="Lato"/>
                <w:szCs w:val="22"/>
              </w:rPr>
            </w:pPr>
          </w:p>
        </w:tc>
        <w:tc>
          <w:tcPr>
            <w:tcW w:w="5493" w:type="dxa"/>
            <w:tcBorders>
              <w:top w:val="nil"/>
              <w:left w:val="nil"/>
              <w:bottom w:val="nil"/>
              <w:right w:val="nil"/>
            </w:tcBorders>
          </w:tcPr>
          <w:p w:rsidR="002F07AF" w:rsidRPr="00F627B2" w:rsidRDefault="004F01CA" w:rsidP="00865AAF">
            <w:pPr>
              <w:spacing w:line="240" w:lineRule="auto"/>
              <w:rPr>
                <w:rFonts w:ascii="Lato" w:hAnsi="Lato"/>
                <w:szCs w:val="22"/>
              </w:rPr>
            </w:pPr>
            <w:r w:rsidRPr="001E4A73">
              <w:rPr>
                <w:rFonts w:ascii="Lato" w:hAnsi="Lato"/>
                <w:szCs w:val="22"/>
              </w:rPr>
              <w:t>derivative</w:t>
            </w:r>
            <w:r w:rsidRPr="00A3401E">
              <w:rPr>
                <w:rFonts w:ascii="Lato" w:hAnsi="Lato"/>
                <w:szCs w:val="22"/>
              </w:rPr>
              <w:t xml:space="preserve"> </w:t>
            </w:r>
            <w:r w:rsidR="002F07AF" w:rsidRPr="00F627B2">
              <w:rPr>
                <w:rFonts w:ascii="Lato" w:hAnsi="Lato"/>
                <w:szCs w:val="22"/>
              </w:rPr>
              <w:t xml:space="preserve">markets) on which securities or financial derivative instruments of the Retail Investor AIF are listed or traded. </w:t>
            </w:r>
          </w:p>
        </w:tc>
        <w:tc>
          <w:tcPr>
            <w:tcW w:w="1131" w:type="dxa"/>
            <w:gridSpan w:val="4"/>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r w:rsidRPr="00F627B2">
              <w:rPr>
                <w:rFonts w:ascii="Lato" w:hAnsi="Lato"/>
                <w:szCs w:val="22"/>
              </w:rPr>
              <w:t>a)</w:t>
            </w:r>
          </w:p>
        </w:tc>
        <w:tc>
          <w:tcPr>
            <w:tcW w:w="5493" w:type="dxa"/>
            <w:tcBorders>
              <w:top w:val="nil"/>
              <w:left w:val="nil"/>
              <w:bottom w:val="nil"/>
              <w:right w:val="nil"/>
            </w:tcBorders>
          </w:tcPr>
          <w:p w:rsidR="002F07AF" w:rsidRPr="00F627B2" w:rsidRDefault="004C6D95" w:rsidP="00A3401E">
            <w:pPr>
              <w:spacing w:line="240" w:lineRule="auto"/>
              <w:rPr>
                <w:rFonts w:ascii="Lato" w:hAnsi="Lato"/>
                <w:szCs w:val="22"/>
              </w:rPr>
            </w:pPr>
            <w:r w:rsidRPr="00F627B2">
              <w:rPr>
                <w:rFonts w:ascii="Lato" w:hAnsi="Lato"/>
                <w:szCs w:val="22"/>
              </w:rPr>
              <w:t>Where relevant, c</w:t>
            </w:r>
            <w:r w:rsidR="002F07AF" w:rsidRPr="00F627B2">
              <w:rPr>
                <w:rFonts w:ascii="Lato" w:hAnsi="Lato"/>
                <w:szCs w:val="22"/>
              </w:rPr>
              <w:t xml:space="preserve">onfirm that all these markets </w:t>
            </w:r>
            <w:r w:rsidR="002911EE" w:rsidRPr="00F627B2">
              <w:rPr>
                <w:rFonts w:ascii="Lato" w:hAnsi="Lato"/>
                <w:szCs w:val="22"/>
              </w:rPr>
              <w:t xml:space="preserve">and </w:t>
            </w:r>
          </w:p>
        </w:tc>
        <w:tc>
          <w:tcPr>
            <w:tcW w:w="1131"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p>
        </w:tc>
        <w:tc>
          <w:tcPr>
            <w:tcW w:w="5493" w:type="dxa"/>
            <w:tcBorders>
              <w:top w:val="nil"/>
              <w:left w:val="nil"/>
              <w:bottom w:val="nil"/>
              <w:right w:val="nil"/>
            </w:tcBorders>
          </w:tcPr>
          <w:p w:rsidR="002F07AF" w:rsidRPr="00F627B2" w:rsidRDefault="004F01CA">
            <w:pPr>
              <w:spacing w:line="240" w:lineRule="auto"/>
              <w:rPr>
                <w:rFonts w:ascii="Lato" w:hAnsi="Lato"/>
                <w:szCs w:val="22"/>
              </w:rPr>
            </w:pPr>
            <w:r w:rsidRPr="001E4A73">
              <w:rPr>
                <w:rFonts w:ascii="Lato" w:hAnsi="Lato"/>
                <w:szCs w:val="22"/>
              </w:rPr>
              <w:t>stock</w:t>
            </w:r>
            <w:r w:rsidRPr="00A3401E">
              <w:rPr>
                <w:rFonts w:ascii="Lato" w:hAnsi="Lato"/>
                <w:szCs w:val="22"/>
              </w:rPr>
              <w:t xml:space="preserve"> </w:t>
            </w:r>
            <w:r w:rsidR="004C6D95" w:rsidRPr="00F627B2">
              <w:rPr>
                <w:rFonts w:ascii="Lato" w:hAnsi="Lato"/>
                <w:szCs w:val="22"/>
              </w:rPr>
              <w:t xml:space="preserve">exchanges are </w:t>
            </w:r>
            <w:r w:rsidR="002F07AF" w:rsidRPr="00F627B2">
              <w:rPr>
                <w:rFonts w:ascii="Lato" w:hAnsi="Lato"/>
                <w:szCs w:val="22"/>
              </w:rPr>
              <w:t>drawn from the list in the constitutional document (if such markets and exchanges are drawn from the constitutional document)</w:t>
            </w:r>
          </w:p>
        </w:tc>
        <w:tc>
          <w:tcPr>
            <w:tcW w:w="1131"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r w:rsidRPr="00F627B2">
              <w:rPr>
                <w:rFonts w:ascii="Lato" w:hAnsi="Lato"/>
                <w:szCs w:val="22"/>
              </w:rPr>
              <w:t>b)</w:t>
            </w:r>
          </w:p>
        </w:tc>
        <w:tc>
          <w:tcPr>
            <w:tcW w:w="5493" w:type="dxa"/>
            <w:tcBorders>
              <w:top w:val="nil"/>
              <w:left w:val="nil"/>
              <w:bottom w:val="nil"/>
              <w:right w:val="nil"/>
            </w:tcBorders>
          </w:tcPr>
          <w:p w:rsidR="002F07AF" w:rsidRPr="00F627B2" w:rsidRDefault="002F07AF" w:rsidP="00A3401E">
            <w:pPr>
              <w:spacing w:line="240" w:lineRule="auto"/>
              <w:rPr>
                <w:rFonts w:ascii="Lato" w:hAnsi="Lato"/>
                <w:szCs w:val="22"/>
              </w:rPr>
            </w:pPr>
            <w:r w:rsidRPr="00F627B2">
              <w:rPr>
                <w:rFonts w:ascii="Lato" w:hAnsi="Lato"/>
                <w:szCs w:val="22"/>
              </w:rPr>
              <w:t>Insert the following statements with the list of</w:t>
            </w:r>
            <w:r w:rsidR="002911EE" w:rsidRPr="00F627B2">
              <w:rPr>
                <w:rFonts w:ascii="Lato" w:hAnsi="Lato"/>
                <w:szCs w:val="22"/>
              </w:rPr>
              <w:t xml:space="preserve"> </w:t>
            </w:r>
          </w:p>
        </w:tc>
        <w:tc>
          <w:tcPr>
            <w:tcW w:w="1131"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p>
        </w:tc>
        <w:tc>
          <w:tcPr>
            <w:tcW w:w="5493" w:type="dxa"/>
            <w:tcBorders>
              <w:top w:val="nil"/>
              <w:left w:val="nil"/>
              <w:bottom w:val="nil"/>
              <w:right w:val="nil"/>
            </w:tcBorders>
          </w:tcPr>
          <w:p w:rsidR="002F07AF" w:rsidRPr="00F627B2" w:rsidRDefault="004F01CA" w:rsidP="006929C5">
            <w:pPr>
              <w:spacing w:line="240" w:lineRule="auto"/>
              <w:rPr>
                <w:rFonts w:ascii="Lato" w:hAnsi="Lato"/>
                <w:szCs w:val="22"/>
              </w:rPr>
            </w:pPr>
            <w:r w:rsidRPr="001E4A73">
              <w:rPr>
                <w:rFonts w:ascii="Lato" w:hAnsi="Lato"/>
                <w:szCs w:val="22"/>
              </w:rPr>
              <w:t>exchanges/</w:t>
            </w:r>
            <w:r w:rsidR="002F07AF" w:rsidRPr="00F627B2">
              <w:rPr>
                <w:rFonts w:ascii="Lato" w:hAnsi="Lato"/>
                <w:szCs w:val="22"/>
              </w:rPr>
              <w:t>markets (including derivative markets) on which securities or financial derivative instruments of the Retail Investor AIF are listed or traded</w:t>
            </w:r>
            <w:r w:rsidR="00527E56" w:rsidRPr="00F627B2">
              <w:rPr>
                <w:rFonts w:ascii="Lato" w:hAnsi="Lato"/>
                <w:szCs w:val="22"/>
              </w:rPr>
              <w:t>:</w:t>
            </w:r>
          </w:p>
        </w:tc>
        <w:tc>
          <w:tcPr>
            <w:tcW w:w="1131"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numPr>
                <w:ilvl w:val="0"/>
                <w:numId w:val="2"/>
              </w:numPr>
              <w:spacing w:line="240" w:lineRule="auto"/>
              <w:rPr>
                <w:rFonts w:ascii="Lato" w:hAnsi="Lato"/>
                <w:szCs w:val="22"/>
              </w:rPr>
            </w:pPr>
          </w:p>
        </w:tc>
        <w:tc>
          <w:tcPr>
            <w:tcW w:w="5493" w:type="dxa"/>
            <w:tcBorders>
              <w:top w:val="nil"/>
              <w:left w:val="nil"/>
              <w:bottom w:val="nil"/>
              <w:right w:val="single" w:sz="4" w:space="0" w:color="auto"/>
            </w:tcBorders>
          </w:tcPr>
          <w:p w:rsidR="002F07AF" w:rsidRPr="00F627B2" w:rsidRDefault="002F07AF" w:rsidP="00A3401E">
            <w:pPr>
              <w:spacing w:line="240" w:lineRule="auto"/>
              <w:rPr>
                <w:rFonts w:ascii="Lato" w:hAnsi="Lato"/>
                <w:szCs w:val="22"/>
              </w:rPr>
            </w:pPr>
            <w:r w:rsidRPr="00F627B2">
              <w:rPr>
                <w:rFonts w:ascii="Lato" w:hAnsi="Lato"/>
                <w:szCs w:val="22"/>
              </w:rPr>
              <w:t xml:space="preserve">The exchanges and markets are listed in </w:t>
            </w:r>
            <w:r w:rsidR="002911EE" w:rsidRPr="00F627B2">
              <w:rPr>
                <w:rFonts w:ascii="Lato" w:hAnsi="Lato"/>
                <w:szCs w:val="22"/>
              </w:rPr>
              <w:t xml:space="preserve">accordance </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4F01CA">
            <w:pPr>
              <w:spacing w:line="240" w:lineRule="auto"/>
              <w:rPr>
                <w:rFonts w:ascii="Lato" w:hAnsi="Lato"/>
                <w:szCs w:val="22"/>
              </w:rPr>
            </w:pPr>
            <w:r w:rsidRPr="001E4A73">
              <w:rPr>
                <w:rFonts w:ascii="Lato" w:hAnsi="Lato"/>
                <w:szCs w:val="22"/>
              </w:rPr>
              <w:t>with</w:t>
            </w:r>
            <w:r w:rsidRPr="00A3401E">
              <w:rPr>
                <w:rFonts w:ascii="Lato" w:hAnsi="Lato"/>
                <w:szCs w:val="22"/>
              </w:rPr>
              <w:t xml:space="preserve"> </w:t>
            </w:r>
            <w:r w:rsidR="002F07AF" w:rsidRPr="00F627B2">
              <w:rPr>
                <w:rFonts w:ascii="Lato" w:hAnsi="Lato"/>
                <w:szCs w:val="22"/>
              </w:rPr>
              <w:t>the requirements of the Central Bank;</w:t>
            </w:r>
          </w:p>
        </w:tc>
        <w:tc>
          <w:tcPr>
            <w:tcW w:w="1131" w:type="dxa"/>
            <w:gridSpan w:val="4"/>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jc w:val="right"/>
              <w:rPr>
                <w:rFonts w:ascii="Lato" w:hAnsi="Lato"/>
                <w:szCs w:val="22"/>
              </w:rPr>
            </w:pPr>
          </w:p>
        </w:tc>
        <w:tc>
          <w:tcPr>
            <w:tcW w:w="5493" w:type="dxa"/>
            <w:tcBorders>
              <w:top w:val="nil"/>
              <w:left w:val="nil"/>
              <w:bottom w:val="nil"/>
              <w:right w:val="nil"/>
            </w:tcBorders>
          </w:tcPr>
          <w:p w:rsidR="002F07AF" w:rsidRPr="00F627B2" w:rsidRDefault="002F07AF">
            <w:pPr>
              <w:spacing w:line="240" w:lineRule="auto"/>
              <w:rPr>
                <w:rFonts w:ascii="Lato" w:hAnsi="Lato"/>
                <w:szCs w:val="22"/>
              </w:rPr>
            </w:pPr>
          </w:p>
        </w:tc>
        <w:tc>
          <w:tcPr>
            <w:tcW w:w="1131" w:type="dxa"/>
            <w:gridSpan w:val="4"/>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single" w:sz="4" w:space="0" w:color="auto"/>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numPr>
                <w:ilvl w:val="0"/>
                <w:numId w:val="2"/>
              </w:numPr>
              <w:spacing w:line="240" w:lineRule="auto"/>
              <w:rPr>
                <w:rFonts w:ascii="Lato" w:hAnsi="Lato"/>
                <w:szCs w:val="22"/>
              </w:rPr>
            </w:pPr>
          </w:p>
        </w:tc>
        <w:tc>
          <w:tcPr>
            <w:tcW w:w="5493" w:type="dxa"/>
            <w:tcBorders>
              <w:top w:val="nil"/>
              <w:left w:val="nil"/>
              <w:bottom w:val="nil"/>
              <w:right w:val="single" w:sz="4" w:space="0" w:color="auto"/>
            </w:tcBorders>
          </w:tcPr>
          <w:p w:rsidR="002F07AF" w:rsidRPr="00F627B2" w:rsidRDefault="002F07AF" w:rsidP="00EF4BC6">
            <w:pPr>
              <w:spacing w:line="240" w:lineRule="auto"/>
              <w:rPr>
                <w:rFonts w:ascii="Lato" w:hAnsi="Lato"/>
                <w:szCs w:val="22"/>
              </w:rPr>
            </w:pPr>
            <w:r w:rsidRPr="00F627B2">
              <w:rPr>
                <w:rFonts w:ascii="Lato" w:hAnsi="Lato"/>
                <w:szCs w:val="22"/>
              </w:rPr>
              <w:t xml:space="preserve">The Central Bank does not issue a list of </w:t>
            </w:r>
            <w:r w:rsidR="002911EE" w:rsidRPr="00F627B2">
              <w:rPr>
                <w:rFonts w:ascii="Lato" w:hAnsi="Lato"/>
                <w:szCs w:val="22"/>
              </w:rPr>
              <w:t xml:space="preserve">approved </w:t>
            </w:r>
            <w:r w:rsidR="00EF4BC6" w:rsidRPr="00F627B2">
              <w:rPr>
                <w:rFonts w:ascii="Lato" w:hAnsi="Lato"/>
                <w:szCs w:val="22"/>
              </w:rPr>
              <w:t>markets</w:t>
            </w:r>
          </w:p>
        </w:tc>
        <w:tc>
          <w:tcPr>
            <w:tcW w:w="1131" w:type="dxa"/>
            <w:gridSpan w:val="4"/>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2F07AF" w:rsidRPr="00F627B2" w:rsidRDefault="002F07AF">
            <w:pPr>
              <w:spacing w:line="240" w:lineRule="auto"/>
              <w:rPr>
                <w:rFonts w:ascii="Lato" w:hAnsi="Lato"/>
                <w:szCs w:val="22"/>
              </w:rPr>
            </w:pPr>
          </w:p>
        </w:tc>
        <w:tc>
          <w:tcPr>
            <w:tcW w:w="278" w:type="dxa"/>
            <w:gridSpan w:val="4"/>
            <w:tcBorders>
              <w:top w:val="nil"/>
              <w:left w:val="single" w:sz="4" w:space="0" w:color="auto"/>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p>
        </w:tc>
        <w:tc>
          <w:tcPr>
            <w:tcW w:w="5493" w:type="dxa"/>
            <w:tcBorders>
              <w:top w:val="nil"/>
              <w:left w:val="nil"/>
              <w:bottom w:val="nil"/>
              <w:right w:val="nil"/>
            </w:tcBorders>
          </w:tcPr>
          <w:p w:rsidR="002F07AF" w:rsidRPr="00F627B2" w:rsidRDefault="002F07AF" w:rsidP="00D74909">
            <w:pPr>
              <w:spacing w:line="240" w:lineRule="auto"/>
              <w:rPr>
                <w:rFonts w:ascii="Lato" w:hAnsi="Lato"/>
                <w:szCs w:val="22"/>
              </w:rPr>
            </w:pPr>
          </w:p>
        </w:tc>
        <w:tc>
          <w:tcPr>
            <w:tcW w:w="1131" w:type="dxa"/>
            <w:gridSpan w:val="4"/>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single" w:sz="4" w:space="0" w:color="auto"/>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2F07AF" w:rsidRPr="00F627B2" w:rsidRDefault="002F07AF">
            <w:pPr>
              <w:spacing w:line="240" w:lineRule="auto"/>
              <w:rPr>
                <w:rFonts w:ascii="Lato" w:hAnsi="Lato"/>
                <w:szCs w:val="22"/>
              </w:rPr>
            </w:pPr>
          </w:p>
        </w:tc>
        <w:tc>
          <w:tcPr>
            <w:tcW w:w="5493" w:type="dxa"/>
            <w:tcBorders>
              <w:top w:val="nil"/>
              <w:left w:val="nil"/>
              <w:bottom w:val="nil"/>
              <w:right w:val="nil"/>
            </w:tcBorders>
          </w:tcPr>
          <w:p w:rsidR="002F07AF" w:rsidRPr="00F627B2" w:rsidRDefault="002F07AF" w:rsidP="006929C5">
            <w:pPr>
              <w:spacing w:line="240" w:lineRule="auto"/>
              <w:rPr>
                <w:rFonts w:ascii="Lato" w:hAnsi="Lato"/>
                <w:szCs w:val="22"/>
              </w:rPr>
            </w:pPr>
            <w:r w:rsidRPr="00F627B2">
              <w:rPr>
                <w:rFonts w:ascii="Lato" w:hAnsi="Lato"/>
                <w:szCs w:val="22"/>
              </w:rPr>
              <w:t>Note: Only those stock exchanges and markets which meet with the regulatory criteria (i.e. regulated, operate regularly, be recognised and open to the public) at the date of the prospectus, may be included.</w:t>
            </w:r>
          </w:p>
        </w:tc>
        <w:tc>
          <w:tcPr>
            <w:tcW w:w="1131"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43" w:type="dxa"/>
            <w:gridSpan w:val="2"/>
            <w:tcBorders>
              <w:top w:val="nil"/>
              <w:left w:val="nil"/>
              <w:bottom w:val="nil"/>
              <w:right w:val="nil"/>
            </w:tcBorders>
          </w:tcPr>
          <w:p w:rsidR="002F07AF" w:rsidRPr="00F627B2" w:rsidRDefault="002F07AF">
            <w:pPr>
              <w:spacing w:line="240" w:lineRule="auto"/>
              <w:rPr>
                <w:rFonts w:ascii="Lato" w:hAnsi="Lato"/>
                <w:szCs w:val="22"/>
              </w:rPr>
            </w:pPr>
          </w:p>
        </w:tc>
        <w:tc>
          <w:tcPr>
            <w:tcW w:w="1305"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273" w:type="dxa"/>
            <w:gridSpan w:val="6"/>
            <w:tcBorders>
              <w:top w:val="nil"/>
              <w:left w:val="nil"/>
              <w:bottom w:val="nil"/>
              <w:right w:val="nil"/>
            </w:tcBorders>
          </w:tcPr>
          <w:p w:rsidR="002F07AF" w:rsidRPr="00F627B2" w:rsidRDefault="002F07AF">
            <w:pPr>
              <w:spacing w:line="240" w:lineRule="auto"/>
              <w:rPr>
                <w:rFonts w:ascii="Lato" w:hAnsi="Lato"/>
                <w:szCs w:val="22"/>
              </w:rPr>
            </w:pPr>
          </w:p>
        </w:tc>
        <w:tc>
          <w:tcPr>
            <w:tcW w:w="765" w:type="dxa"/>
            <w:gridSpan w:val="7"/>
            <w:tcBorders>
              <w:top w:val="nil"/>
              <w:left w:val="nil"/>
              <w:bottom w:val="nil"/>
              <w:right w:val="nil"/>
            </w:tcBorders>
          </w:tcPr>
          <w:p w:rsidR="002F07AF" w:rsidRPr="00F627B2" w:rsidRDefault="002F07AF">
            <w:pPr>
              <w:spacing w:line="240" w:lineRule="auto"/>
              <w:rPr>
                <w:rFonts w:ascii="Lato" w:hAnsi="Lato"/>
                <w:szCs w:val="22"/>
              </w:rPr>
            </w:pPr>
          </w:p>
        </w:tc>
        <w:tc>
          <w:tcPr>
            <w:tcW w:w="278" w:type="dxa"/>
            <w:gridSpan w:val="4"/>
            <w:tcBorders>
              <w:top w:val="nil"/>
              <w:left w:val="nil"/>
              <w:bottom w:val="nil"/>
              <w:right w:val="nil"/>
            </w:tcBorders>
          </w:tcPr>
          <w:p w:rsidR="002F07AF" w:rsidRPr="00F627B2" w:rsidRDefault="002F07AF">
            <w:pPr>
              <w:spacing w:line="240" w:lineRule="auto"/>
              <w:rPr>
                <w:rFonts w:ascii="Lato" w:hAnsi="Lato"/>
                <w:szCs w:val="22"/>
              </w:rPr>
            </w:pPr>
          </w:p>
        </w:tc>
        <w:tc>
          <w:tcPr>
            <w:tcW w:w="595" w:type="dxa"/>
            <w:gridSpan w:val="7"/>
            <w:tcBorders>
              <w:top w:val="nil"/>
              <w:left w:val="nil"/>
              <w:bottom w:val="nil"/>
              <w:right w:val="nil"/>
            </w:tcBorders>
          </w:tcPr>
          <w:p w:rsidR="002F07AF" w:rsidRPr="00F627B2" w:rsidRDefault="002F07A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6F4FA2" w:rsidP="006929C5">
            <w:pPr>
              <w:spacing w:line="240" w:lineRule="auto"/>
              <w:rPr>
                <w:rFonts w:ascii="Lato" w:hAnsi="Lato"/>
                <w:szCs w:val="22"/>
              </w:rPr>
            </w:pPr>
          </w:p>
        </w:tc>
        <w:tc>
          <w:tcPr>
            <w:tcW w:w="1131"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nil"/>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832B0F">
            <w:pPr>
              <w:spacing w:line="240" w:lineRule="auto"/>
              <w:rPr>
                <w:rFonts w:ascii="Lato" w:hAnsi="Lato"/>
                <w:szCs w:val="22"/>
              </w:rPr>
            </w:pPr>
            <w:r w:rsidRPr="00F627B2">
              <w:rPr>
                <w:rFonts w:ascii="Lato" w:hAnsi="Lato"/>
                <w:szCs w:val="22"/>
              </w:rPr>
              <w:t>2.2.10</w:t>
            </w:r>
          </w:p>
        </w:tc>
        <w:tc>
          <w:tcPr>
            <w:tcW w:w="5493" w:type="dxa"/>
            <w:tcBorders>
              <w:top w:val="nil"/>
              <w:left w:val="nil"/>
              <w:bottom w:val="nil"/>
              <w:right w:val="nil"/>
            </w:tcBorders>
          </w:tcPr>
          <w:p w:rsidR="006F4FA2" w:rsidRPr="00F627B2" w:rsidRDefault="006F4FA2" w:rsidP="006F4FA2">
            <w:pPr>
              <w:spacing w:line="240" w:lineRule="auto"/>
              <w:rPr>
                <w:rFonts w:ascii="Lato" w:hAnsi="Lato"/>
                <w:szCs w:val="22"/>
                <w:u w:val="single"/>
              </w:rPr>
            </w:pPr>
            <w:r w:rsidRPr="00F627B2">
              <w:rPr>
                <w:rFonts w:ascii="Lato" w:hAnsi="Lato"/>
                <w:szCs w:val="22"/>
                <w:u w:val="single"/>
              </w:rPr>
              <w:t xml:space="preserve">Retail Investor AIF with higher than normal risk </w:t>
            </w:r>
          </w:p>
        </w:tc>
        <w:tc>
          <w:tcPr>
            <w:tcW w:w="1131" w:type="dxa"/>
            <w:gridSpan w:val="4"/>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832B0F">
            <w:pPr>
              <w:spacing w:line="240" w:lineRule="auto"/>
              <w:rPr>
                <w:rFonts w:ascii="Lato" w:hAnsi="Lato"/>
                <w:szCs w:val="22"/>
              </w:rPr>
            </w:pPr>
            <w:r w:rsidRPr="00F627B2">
              <w:rPr>
                <w:rFonts w:ascii="Lato" w:hAnsi="Lato"/>
                <w:szCs w:val="22"/>
              </w:rPr>
              <w:t>a)</w:t>
            </w:r>
          </w:p>
        </w:tc>
        <w:tc>
          <w:tcPr>
            <w:tcW w:w="5493" w:type="dxa"/>
            <w:tcBorders>
              <w:top w:val="nil"/>
              <w:left w:val="nil"/>
              <w:bottom w:val="nil"/>
              <w:right w:val="single" w:sz="4" w:space="0" w:color="auto"/>
            </w:tcBorders>
          </w:tcPr>
          <w:p w:rsidR="006F4FA2" w:rsidRPr="00F627B2" w:rsidRDefault="006F4FA2" w:rsidP="00B9512B">
            <w:pPr>
              <w:spacing w:line="240" w:lineRule="auto"/>
              <w:rPr>
                <w:rFonts w:ascii="Lato" w:hAnsi="Lato"/>
                <w:szCs w:val="22"/>
              </w:rPr>
            </w:pPr>
            <w:r w:rsidRPr="00F627B2">
              <w:rPr>
                <w:rFonts w:ascii="Lato" w:hAnsi="Lato"/>
                <w:szCs w:val="22"/>
              </w:rPr>
              <w:t xml:space="preserve">Does the investment policy of the Retail </w:t>
            </w:r>
            <w:r w:rsidR="002911EE" w:rsidRPr="00F627B2">
              <w:rPr>
                <w:rFonts w:ascii="Lato" w:hAnsi="Lato"/>
                <w:szCs w:val="22"/>
              </w:rPr>
              <w:t>Investor AIF</w:t>
            </w:r>
          </w:p>
        </w:tc>
        <w:tc>
          <w:tcPr>
            <w:tcW w:w="1131"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8"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B9512B" w:rsidP="006929C5">
            <w:pPr>
              <w:spacing w:line="240" w:lineRule="auto"/>
              <w:rPr>
                <w:rFonts w:ascii="Lato" w:hAnsi="Lato"/>
                <w:szCs w:val="22"/>
              </w:rPr>
            </w:pPr>
            <w:r w:rsidRPr="00F627B2">
              <w:rPr>
                <w:rFonts w:ascii="Lato" w:hAnsi="Lato"/>
                <w:szCs w:val="22"/>
              </w:rPr>
              <w:t xml:space="preserve">involve a higher </w:t>
            </w:r>
            <w:r w:rsidR="006F4FA2" w:rsidRPr="00F627B2">
              <w:rPr>
                <w:rFonts w:ascii="Lato" w:hAnsi="Lato"/>
                <w:szCs w:val="22"/>
              </w:rPr>
              <w:t>than normal level of risk, i.e. invest more than</w:t>
            </w:r>
            <w:r w:rsidR="002911EE" w:rsidRPr="00F627B2">
              <w:rPr>
                <w:rFonts w:ascii="Lato" w:hAnsi="Lato"/>
                <w:szCs w:val="22"/>
              </w:rPr>
              <w:t>:</w:t>
            </w:r>
          </w:p>
        </w:tc>
        <w:tc>
          <w:tcPr>
            <w:tcW w:w="1131" w:type="dxa"/>
            <w:gridSpan w:val="4"/>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nil"/>
              <w:bottom w:val="single" w:sz="4" w:space="0" w:color="auto"/>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832B0F">
            <w:pPr>
              <w:spacing w:line="240" w:lineRule="auto"/>
              <w:rPr>
                <w:rFonts w:ascii="Lato" w:hAnsi="Lato"/>
                <w:szCs w:val="22"/>
              </w:rPr>
            </w:pPr>
            <w:r w:rsidRPr="00F627B2">
              <w:rPr>
                <w:rFonts w:ascii="Lato" w:hAnsi="Lato"/>
                <w:szCs w:val="22"/>
              </w:rPr>
              <w:t>(i)</w:t>
            </w:r>
          </w:p>
        </w:tc>
        <w:tc>
          <w:tcPr>
            <w:tcW w:w="5493" w:type="dxa"/>
            <w:tcBorders>
              <w:top w:val="nil"/>
              <w:left w:val="nil"/>
              <w:bottom w:val="nil"/>
              <w:right w:val="nil"/>
            </w:tcBorders>
          </w:tcPr>
          <w:p w:rsidR="006F4FA2" w:rsidRPr="00F627B2" w:rsidRDefault="006F4FA2" w:rsidP="00832B0F">
            <w:pPr>
              <w:spacing w:line="240" w:lineRule="auto"/>
              <w:rPr>
                <w:rFonts w:ascii="Lato" w:hAnsi="Lato"/>
                <w:szCs w:val="22"/>
              </w:rPr>
            </w:pPr>
            <w:r w:rsidRPr="00F627B2">
              <w:rPr>
                <w:rFonts w:ascii="Lato" w:hAnsi="Lato"/>
                <w:szCs w:val="22"/>
              </w:rPr>
              <w:t xml:space="preserve">20% in emerging markets (“Emerging Markets </w:t>
            </w:r>
          </w:p>
        </w:tc>
        <w:tc>
          <w:tcPr>
            <w:tcW w:w="1131"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nil"/>
              <w:right w:val="nil"/>
            </w:tcBorders>
          </w:tcPr>
          <w:p w:rsidR="006F4FA2" w:rsidRPr="00F627B2" w:rsidRDefault="00832B0F">
            <w:pPr>
              <w:spacing w:line="240" w:lineRule="auto"/>
              <w:rPr>
                <w:rFonts w:ascii="Lato" w:hAnsi="Lato"/>
                <w:szCs w:val="22"/>
              </w:rPr>
            </w:pPr>
            <w:r w:rsidRPr="00F627B2">
              <w:rPr>
                <w:rFonts w:ascii="Lato" w:hAnsi="Lato"/>
                <w:szCs w:val="22"/>
              </w:rPr>
              <w:t>Yes/No</w:t>
            </w:r>
          </w:p>
        </w:tc>
        <w:tc>
          <w:tcPr>
            <w:tcW w:w="273" w:type="dxa"/>
            <w:gridSpan w:val="6"/>
            <w:tcBorders>
              <w:top w:val="nil"/>
              <w:left w:val="nil"/>
              <w:bottom w:val="nil"/>
              <w:right w:val="single" w:sz="4" w:space="0" w:color="auto"/>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8"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832B0F" w:rsidRPr="00F627B2" w:rsidRDefault="00832B0F">
            <w:pPr>
              <w:spacing w:line="240" w:lineRule="auto"/>
              <w:rPr>
                <w:rFonts w:ascii="Lato" w:hAnsi="Lato"/>
                <w:szCs w:val="22"/>
              </w:rPr>
            </w:pPr>
          </w:p>
        </w:tc>
        <w:tc>
          <w:tcPr>
            <w:tcW w:w="5493" w:type="dxa"/>
            <w:tcBorders>
              <w:top w:val="nil"/>
              <w:left w:val="nil"/>
              <w:bottom w:val="nil"/>
              <w:right w:val="nil"/>
            </w:tcBorders>
          </w:tcPr>
          <w:p w:rsidR="00832B0F" w:rsidRPr="00F627B2" w:rsidRDefault="00832B0F" w:rsidP="006929C5">
            <w:pPr>
              <w:spacing w:line="240" w:lineRule="auto"/>
              <w:rPr>
                <w:rFonts w:ascii="Lato" w:hAnsi="Lato"/>
                <w:szCs w:val="22"/>
              </w:rPr>
            </w:pPr>
            <w:r w:rsidRPr="00F627B2">
              <w:rPr>
                <w:rFonts w:ascii="Lato" w:hAnsi="Lato"/>
                <w:szCs w:val="22"/>
              </w:rPr>
              <w:t>Retail Investor AIF”)?</w:t>
            </w:r>
          </w:p>
        </w:tc>
        <w:tc>
          <w:tcPr>
            <w:tcW w:w="1131" w:type="dxa"/>
            <w:gridSpan w:val="4"/>
            <w:tcBorders>
              <w:top w:val="nil"/>
              <w:left w:val="nil"/>
              <w:bottom w:val="nil"/>
              <w:right w:val="nil"/>
            </w:tcBorders>
          </w:tcPr>
          <w:p w:rsidR="00832B0F" w:rsidRPr="00F627B2" w:rsidRDefault="00832B0F">
            <w:pPr>
              <w:spacing w:line="240" w:lineRule="auto"/>
              <w:rPr>
                <w:rFonts w:ascii="Lato" w:hAnsi="Lato"/>
                <w:szCs w:val="22"/>
              </w:rPr>
            </w:pPr>
          </w:p>
        </w:tc>
        <w:tc>
          <w:tcPr>
            <w:tcW w:w="543" w:type="dxa"/>
            <w:gridSpan w:val="2"/>
            <w:tcBorders>
              <w:top w:val="nil"/>
              <w:left w:val="nil"/>
              <w:bottom w:val="nil"/>
              <w:right w:val="nil"/>
            </w:tcBorders>
          </w:tcPr>
          <w:p w:rsidR="00832B0F" w:rsidRPr="00F627B2" w:rsidRDefault="00832B0F">
            <w:pPr>
              <w:spacing w:line="240" w:lineRule="auto"/>
              <w:rPr>
                <w:rFonts w:ascii="Lato" w:hAnsi="Lato"/>
                <w:szCs w:val="22"/>
              </w:rPr>
            </w:pPr>
          </w:p>
        </w:tc>
        <w:tc>
          <w:tcPr>
            <w:tcW w:w="1305" w:type="dxa"/>
            <w:gridSpan w:val="6"/>
            <w:tcBorders>
              <w:top w:val="nil"/>
              <w:left w:val="nil"/>
              <w:bottom w:val="nil"/>
              <w:right w:val="nil"/>
            </w:tcBorders>
          </w:tcPr>
          <w:p w:rsidR="00832B0F" w:rsidRPr="00F627B2" w:rsidRDefault="00832B0F">
            <w:pPr>
              <w:spacing w:line="240" w:lineRule="auto"/>
              <w:rPr>
                <w:rFonts w:ascii="Lato" w:hAnsi="Lato"/>
                <w:szCs w:val="22"/>
              </w:rPr>
            </w:pPr>
          </w:p>
        </w:tc>
        <w:tc>
          <w:tcPr>
            <w:tcW w:w="273" w:type="dxa"/>
            <w:gridSpan w:val="6"/>
            <w:tcBorders>
              <w:top w:val="nil"/>
              <w:left w:val="nil"/>
              <w:bottom w:val="nil"/>
              <w:right w:val="nil"/>
            </w:tcBorders>
          </w:tcPr>
          <w:p w:rsidR="00832B0F" w:rsidRPr="00F627B2" w:rsidRDefault="00832B0F">
            <w:pPr>
              <w:spacing w:line="240" w:lineRule="auto"/>
              <w:rPr>
                <w:rFonts w:ascii="Lato" w:hAnsi="Lato"/>
                <w:szCs w:val="22"/>
              </w:rPr>
            </w:pPr>
          </w:p>
        </w:tc>
        <w:tc>
          <w:tcPr>
            <w:tcW w:w="765" w:type="dxa"/>
            <w:gridSpan w:val="7"/>
            <w:tcBorders>
              <w:top w:val="single" w:sz="4" w:space="0" w:color="auto"/>
              <w:left w:val="nil"/>
              <w:bottom w:val="nil"/>
              <w:right w:val="nil"/>
            </w:tcBorders>
          </w:tcPr>
          <w:p w:rsidR="00832B0F" w:rsidRPr="00F627B2" w:rsidRDefault="00832B0F">
            <w:pPr>
              <w:spacing w:line="240" w:lineRule="auto"/>
              <w:rPr>
                <w:rFonts w:ascii="Lato" w:hAnsi="Lato"/>
                <w:szCs w:val="22"/>
              </w:rPr>
            </w:pPr>
          </w:p>
        </w:tc>
        <w:tc>
          <w:tcPr>
            <w:tcW w:w="278" w:type="dxa"/>
            <w:gridSpan w:val="4"/>
            <w:tcBorders>
              <w:top w:val="nil"/>
              <w:left w:val="nil"/>
              <w:bottom w:val="nil"/>
              <w:right w:val="nil"/>
            </w:tcBorders>
          </w:tcPr>
          <w:p w:rsidR="00832B0F" w:rsidRPr="00F627B2" w:rsidRDefault="00832B0F">
            <w:pPr>
              <w:spacing w:line="240" w:lineRule="auto"/>
              <w:rPr>
                <w:rFonts w:ascii="Lato" w:hAnsi="Lato"/>
                <w:szCs w:val="22"/>
              </w:rPr>
            </w:pPr>
          </w:p>
        </w:tc>
        <w:tc>
          <w:tcPr>
            <w:tcW w:w="595" w:type="dxa"/>
            <w:gridSpan w:val="7"/>
            <w:tcBorders>
              <w:top w:val="nil"/>
              <w:left w:val="nil"/>
              <w:bottom w:val="nil"/>
              <w:right w:val="nil"/>
            </w:tcBorders>
          </w:tcPr>
          <w:p w:rsidR="00832B0F" w:rsidRPr="00F627B2" w:rsidRDefault="00832B0F">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B9512B" w:rsidP="006929C5">
            <w:pPr>
              <w:spacing w:line="240" w:lineRule="auto"/>
              <w:rPr>
                <w:rFonts w:ascii="Lato" w:hAnsi="Lato"/>
                <w:szCs w:val="22"/>
              </w:rPr>
            </w:pPr>
            <w:r w:rsidRPr="00F627B2">
              <w:rPr>
                <w:rFonts w:ascii="Lato" w:hAnsi="Lato"/>
                <w:szCs w:val="22"/>
              </w:rPr>
              <w:t>Or</w:t>
            </w:r>
          </w:p>
        </w:tc>
        <w:tc>
          <w:tcPr>
            <w:tcW w:w="1131"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832B0F">
            <w:pPr>
              <w:spacing w:line="240" w:lineRule="auto"/>
              <w:rPr>
                <w:rFonts w:ascii="Lato" w:hAnsi="Lato"/>
                <w:szCs w:val="22"/>
              </w:rPr>
            </w:pPr>
            <w:r w:rsidRPr="00F627B2">
              <w:rPr>
                <w:rFonts w:ascii="Lato" w:hAnsi="Lato"/>
                <w:szCs w:val="22"/>
              </w:rPr>
              <w:t>(ii)</w:t>
            </w:r>
          </w:p>
        </w:tc>
        <w:tc>
          <w:tcPr>
            <w:tcW w:w="5493" w:type="dxa"/>
            <w:tcBorders>
              <w:top w:val="nil"/>
              <w:left w:val="nil"/>
              <w:bottom w:val="nil"/>
              <w:right w:val="nil"/>
            </w:tcBorders>
          </w:tcPr>
          <w:p w:rsidR="006F4FA2" w:rsidRPr="00F627B2" w:rsidRDefault="006F4FA2" w:rsidP="00B9512B">
            <w:pPr>
              <w:spacing w:line="240" w:lineRule="auto"/>
              <w:rPr>
                <w:rFonts w:ascii="Lato" w:hAnsi="Lato"/>
                <w:szCs w:val="22"/>
              </w:rPr>
            </w:pPr>
            <w:r w:rsidRPr="00F627B2">
              <w:rPr>
                <w:rFonts w:ascii="Lato" w:hAnsi="Lato"/>
                <w:szCs w:val="22"/>
              </w:rPr>
              <w:t xml:space="preserve">30% in below investment grade securities </w:t>
            </w:r>
          </w:p>
        </w:tc>
        <w:tc>
          <w:tcPr>
            <w:tcW w:w="1131"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nil"/>
              <w:right w:val="nil"/>
            </w:tcBorders>
          </w:tcPr>
          <w:p w:rsidR="006F4FA2" w:rsidRPr="00F627B2" w:rsidRDefault="00832B0F">
            <w:pPr>
              <w:spacing w:line="240" w:lineRule="auto"/>
              <w:rPr>
                <w:rFonts w:ascii="Lato" w:hAnsi="Lato"/>
                <w:szCs w:val="22"/>
              </w:rPr>
            </w:pPr>
            <w:r w:rsidRPr="00F627B2">
              <w:rPr>
                <w:rFonts w:ascii="Lato" w:hAnsi="Lato"/>
                <w:szCs w:val="22"/>
              </w:rPr>
              <w:t>Yes/No</w:t>
            </w:r>
          </w:p>
        </w:tc>
        <w:tc>
          <w:tcPr>
            <w:tcW w:w="273" w:type="dxa"/>
            <w:gridSpan w:val="6"/>
            <w:tcBorders>
              <w:top w:val="nil"/>
              <w:left w:val="nil"/>
              <w:bottom w:val="nil"/>
              <w:right w:val="single" w:sz="4" w:space="0" w:color="auto"/>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8"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B9512B" w:rsidP="006929C5">
            <w:pPr>
              <w:spacing w:line="240" w:lineRule="auto"/>
              <w:rPr>
                <w:rFonts w:ascii="Lato" w:hAnsi="Lato"/>
                <w:szCs w:val="22"/>
              </w:rPr>
            </w:pPr>
            <w:r w:rsidRPr="00F627B2">
              <w:rPr>
                <w:rFonts w:ascii="Lato" w:hAnsi="Lato"/>
                <w:szCs w:val="22"/>
              </w:rPr>
              <w:t>(“Sub-</w:t>
            </w:r>
            <w:r w:rsidR="006F4FA2" w:rsidRPr="00F627B2">
              <w:rPr>
                <w:rFonts w:ascii="Lato" w:hAnsi="Lato"/>
                <w:szCs w:val="22"/>
              </w:rPr>
              <w:t>Investment Grade Bond Retail Investor AIF”)</w:t>
            </w:r>
            <w:r w:rsidRPr="00F627B2">
              <w:rPr>
                <w:rFonts w:ascii="Lato" w:hAnsi="Lato"/>
                <w:szCs w:val="22"/>
              </w:rPr>
              <w:t>?</w:t>
            </w:r>
          </w:p>
        </w:tc>
        <w:tc>
          <w:tcPr>
            <w:tcW w:w="1131"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6F4FA2">
            <w:pPr>
              <w:spacing w:line="240" w:lineRule="auto"/>
              <w:rPr>
                <w:rFonts w:ascii="Lato" w:hAnsi="Lato"/>
                <w:szCs w:val="22"/>
              </w:rPr>
            </w:pPr>
          </w:p>
        </w:tc>
        <w:tc>
          <w:tcPr>
            <w:tcW w:w="1131"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nil"/>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Del="00075CE7" w:rsidRDefault="00832B0F">
            <w:pPr>
              <w:spacing w:line="240" w:lineRule="auto"/>
              <w:rPr>
                <w:rFonts w:ascii="Lato" w:hAnsi="Lato"/>
                <w:szCs w:val="22"/>
              </w:rPr>
            </w:pPr>
            <w:r w:rsidRPr="00F627B2">
              <w:rPr>
                <w:rFonts w:ascii="Lato" w:hAnsi="Lato"/>
                <w:szCs w:val="22"/>
              </w:rPr>
              <w:t>b)</w:t>
            </w:r>
          </w:p>
        </w:tc>
        <w:tc>
          <w:tcPr>
            <w:tcW w:w="5493" w:type="dxa"/>
            <w:tcBorders>
              <w:top w:val="nil"/>
              <w:left w:val="nil"/>
              <w:bottom w:val="nil"/>
              <w:right w:val="nil"/>
            </w:tcBorders>
          </w:tcPr>
          <w:p w:rsidR="006F4FA2" w:rsidRPr="00F627B2" w:rsidDel="00075CE7" w:rsidRDefault="006F4FA2">
            <w:pPr>
              <w:spacing w:line="240" w:lineRule="auto"/>
              <w:rPr>
                <w:rFonts w:ascii="Lato" w:hAnsi="Lato"/>
                <w:szCs w:val="22"/>
              </w:rPr>
            </w:pPr>
            <w:r w:rsidRPr="00F627B2">
              <w:rPr>
                <w:rFonts w:ascii="Lato" w:hAnsi="Lato"/>
                <w:szCs w:val="22"/>
              </w:rPr>
              <w:t>If yes disclose in bold text in a prominent position in the prospectus:</w:t>
            </w:r>
          </w:p>
        </w:tc>
        <w:tc>
          <w:tcPr>
            <w:tcW w:w="1131" w:type="dxa"/>
            <w:gridSpan w:val="4"/>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Del="00075CE7" w:rsidRDefault="00832B0F">
            <w:pPr>
              <w:spacing w:line="240" w:lineRule="auto"/>
              <w:rPr>
                <w:rFonts w:ascii="Lato" w:hAnsi="Lato"/>
                <w:szCs w:val="22"/>
              </w:rPr>
            </w:pPr>
            <w:r w:rsidRPr="00F627B2">
              <w:rPr>
                <w:rFonts w:ascii="Lato" w:hAnsi="Lato"/>
                <w:szCs w:val="22"/>
              </w:rPr>
              <w:t>(i)</w:t>
            </w:r>
          </w:p>
        </w:tc>
        <w:tc>
          <w:tcPr>
            <w:tcW w:w="5493" w:type="dxa"/>
            <w:tcBorders>
              <w:top w:val="nil"/>
              <w:left w:val="nil"/>
              <w:bottom w:val="nil"/>
              <w:right w:val="single" w:sz="4" w:space="0" w:color="auto"/>
            </w:tcBorders>
          </w:tcPr>
          <w:p w:rsidR="006F4FA2" w:rsidRPr="00F627B2" w:rsidDel="00075CE7" w:rsidRDefault="006F4FA2" w:rsidP="00B9512B">
            <w:pPr>
              <w:spacing w:line="240" w:lineRule="auto"/>
              <w:rPr>
                <w:rFonts w:ascii="Lato" w:hAnsi="Lato"/>
                <w:szCs w:val="22"/>
              </w:rPr>
            </w:pPr>
            <w:r w:rsidRPr="00F627B2">
              <w:rPr>
                <w:rFonts w:ascii="Lato" w:hAnsi="Lato"/>
                <w:szCs w:val="22"/>
              </w:rPr>
              <w:t xml:space="preserve">An investment in the Retail Investor AIF </w:t>
            </w:r>
            <w:r w:rsidR="002911EE" w:rsidRPr="00F627B2">
              <w:rPr>
                <w:rFonts w:ascii="Lato" w:hAnsi="Lato"/>
                <w:szCs w:val="22"/>
              </w:rPr>
              <w:t>should not</w:t>
            </w:r>
          </w:p>
        </w:tc>
        <w:tc>
          <w:tcPr>
            <w:tcW w:w="1131"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8"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Del="00075CE7"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Del="00075CE7" w:rsidRDefault="006F4FA2">
            <w:pPr>
              <w:spacing w:line="240" w:lineRule="auto"/>
              <w:rPr>
                <w:rFonts w:ascii="Lato" w:hAnsi="Lato"/>
                <w:szCs w:val="22"/>
              </w:rPr>
            </w:pPr>
            <w:r w:rsidRPr="00F627B2">
              <w:rPr>
                <w:rFonts w:ascii="Lato" w:hAnsi="Lato"/>
                <w:szCs w:val="22"/>
              </w:rPr>
              <w:t>constitute a substantial proportion of an investment portfolio and may not be appropriate for all investors.</w:t>
            </w:r>
          </w:p>
        </w:tc>
        <w:tc>
          <w:tcPr>
            <w:tcW w:w="1131" w:type="dxa"/>
            <w:gridSpan w:val="4"/>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Del="00075CE7"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Del="00075CE7" w:rsidRDefault="006F4FA2">
            <w:pPr>
              <w:spacing w:line="240" w:lineRule="auto"/>
              <w:rPr>
                <w:rFonts w:ascii="Lato" w:hAnsi="Lato"/>
                <w:szCs w:val="22"/>
              </w:rPr>
            </w:pPr>
          </w:p>
        </w:tc>
        <w:tc>
          <w:tcPr>
            <w:tcW w:w="1131"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nil"/>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Del="00075CE7" w:rsidRDefault="00832B0F">
            <w:pPr>
              <w:spacing w:line="240" w:lineRule="auto"/>
              <w:rPr>
                <w:rFonts w:ascii="Lato" w:hAnsi="Lato"/>
                <w:szCs w:val="22"/>
              </w:rPr>
            </w:pPr>
            <w:r w:rsidRPr="00F627B2">
              <w:rPr>
                <w:rFonts w:ascii="Lato" w:hAnsi="Lato"/>
                <w:szCs w:val="22"/>
              </w:rPr>
              <w:t>(ii)</w:t>
            </w:r>
          </w:p>
        </w:tc>
        <w:tc>
          <w:tcPr>
            <w:tcW w:w="5493" w:type="dxa"/>
            <w:tcBorders>
              <w:top w:val="nil"/>
              <w:left w:val="nil"/>
              <w:bottom w:val="nil"/>
              <w:right w:val="nil"/>
            </w:tcBorders>
          </w:tcPr>
          <w:p w:rsidR="006F4FA2" w:rsidRPr="00F627B2" w:rsidDel="00075CE7" w:rsidRDefault="00657D34" w:rsidP="00A3401E">
            <w:pPr>
              <w:spacing w:line="240" w:lineRule="auto"/>
              <w:rPr>
                <w:rFonts w:ascii="Lato" w:hAnsi="Lato"/>
                <w:szCs w:val="22"/>
              </w:rPr>
            </w:pPr>
            <w:r w:rsidRPr="00F627B2">
              <w:rPr>
                <w:rFonts w:ascii="Lato" w:hAnsi="Lato"/>
                <w:szCs w:val="22"/>
              </w:rPr>
              <w:t>The Retail Investor AIFs must identify, and</w:t>
            </w:r>
            <w:r w:rsidR="002911EE" w:rsidRPr="00F627B2">
              <w:rPr>
                <w:rFonts w:ascii="Lato" w:hAnsi="Lato"/>
                <w:szCs w:val="22"/>
              </w:rPr>
              <w:t xml:space="preserve"> describe in </w:t>
            </w:r>
          </w:p>
        </w:tc>
        <w:tc>
          <w:tcPr>
            <w:tcW w:w="1131"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nil"/>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Del="00075CE7"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Del="00075CE7" w:rsidRDefault="004F01CA" w:rsidP="00657D34">
            <w:pPr>
              <w:spacing w:line="240" w:lineRule="auto"/>
              <w:rPr>
                <w:rFonts w:ascii="Lato" w:hAnsi="Lato"/>
                <w:szCs w:val="22"/>
              </w:rPr>
            </w:pPr>
            <w:r w:rsidRPr="001E4A73">
              <w:rPr>
                <w:rFonts w:ascii="Lato" w:hAnsi="Lato"/>
                <w:szCs w:val="22"/>
              </w:rPr>
              <w:t>a</w:t>
            </w:r>
            <w:r w:rsidRPr="00A3401E">
              <w:rPr>
                <w:rFonts w:ascii="Lato" w:hAnsi="Lato"/>
                <w:szCs w:val="22"/>
              </w:rPr>
              <w:t xml:space="preserve"> </w:t>
            </w:r>
            <w:r w:rsidR="00657D34" w:rsidRPr="00F627B2">
              <w:rPr>
                <w:rFonts w:ascii="Lato" w:hAnsi="Lato"/>
                <w:szCs w:val="22"/>
              </w:rPr>
              <w:t>comprehensive manner, the risks applicable to investing in that particular Retail Investor AIF. In particular the Retail Investor AIF should make reference to:</w:t>
            </w:r>
          </w:p>
        </w:tc>
        <w:tc>
          <w:tcPr>
            <w:tcW w:w="1131" w:type="dxa"/>
            <w:gridSpan w:val="4"/>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Del="00075CE7" w:rsidRDefault="006F4FA2">
            <w:pPr>
              <w:spacing w:line="240" w:lineRule="auto"/>
              <w:rPr>
                <w:rFonts w:ascii="Lato" w:hAnsi="Lato"/>
                <w:szCs w:val="22"/>
              </w:rPr>
            </w:pPr>
          </w:p>
        </w:tc>
        <w:tc>
          <w:tcPr>
            <w:tcW w:w="5493" w:type="dxa"/>
            <w:tcBorders>
              <w:top w:val="nil"/>
              <w:left w:val="nil"/>
              <w:bottom w:val="nil"/>
              <w:right w:val="single" w:sz="4" w:space="0" w:color="auto"/>
            </w:tcBorders>
          </w:tcPr>
          <w:p w:rsidR="006F4FA2" w:rsidRPr="00F627B2" w:rsidDel="00075CE7" w:rsidRDefault="00657D34" w:rsidP="00B9512B">
            <w:pPr>
              <w:spacing w:line="240" w:lineRule="auto"/>
              <w:rPr>
                <w:rFonts w:ascii="Lato" w:hAnsi="Lato"/>
                <w:szCs w:val="22"/>
              </w:rPr>
            </w:pPr>
            <w:r w:rsidRPr="00F627B2">
              <w:rPr>
                <w:rFonts w:ascii="Lato" w:hAnsi="Lato"/>
                <w:szCs w:val="22"/>
              </w:rPr>
              <w:t xml:space="preserve">(a) the fact that prices of units may fall as well </w:t>
            </w:r>
            <w:r w:rsidR="002911EE" w:rsidRPr="00F627B2">
              <w:rPr>
                <w:rFonts w:ascii="Lato" w:hAnsi="Lato"/>
                <w:szCs w:val="22"/>
              </w:rPr>
              <w:t>as rise;</w:t>
            </w:r>
          </w:p>
        </w:tc>
        <w:tc>
          <w:tcPr>
            <w:tcW w:w="1131"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8"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Del="00075CE7" w:rsidRDefault="006F4FA2">
            <w:pPr>
              <w:spacing w:line="240" w:lineRule="auto"/>
              <w:rPr>
                <w:rFonts w:ascii="Lato" w:hAnsi="Lato"/>
                <w:szCs w:val="22"/>
              </w:rPr>
            </w:pPr>
          </w:p>
        </w:tc>
        <w:tc>
          <w:tcPr>
            <w:tcW w:w="5493" w:type="dxa"/>
            <w:tcBorders>
              <w:top w:val="nil"/>
              <w:left w:val="nil"/>
              <w:bottom w:val="nil"/>
              <w:right w:val="single" w:sz="4" w:space="0" w:color="auto"/>
            </w:tcBorders>
          </w:tcPr>
          <w:p w:rsidR="006F4FA2" w:rsidRPr="00F627B2" w:rsidDel="00075CE7" w:rsidRDefault="00657D34" w:rsidP="00A3401E">
            <w:pPr>
              <w:spacing w:line="240" w:lineRule="auto"/>
              <w:rPr>
                <w:rFonts w:ascii="Lato" w:hAnsi="Lato"/>
                <w:szCs w:val="22"/>
              </w:rPr>
            </w:pPr>
            <w:r w:rsidRPr="00F627B2">
              <w:rPr>
                <w:rFonts w:ascii="Lato" w:hAnsi="Lato"/>
                <w:szCs w:val="22"/>
              </w:rPr>
              <w:t xml:space="preserve">(b) the desirability of consulting a stockbroker </w:t>
            </w:r>
            <w:r w:rsidR="002911EE" w:rsidRPr="00F627B2">
              <w:rPr>
                <w:rFonts w:ascii="Lato" w:hAnsi="Lato"/>
                <w:szCs w:val="22"/>
              </w:rPr>
              <w:t xml:space="preserve">or </w:t>
            </w:r>
          </w:p>
        </w:tc>
        <w:tc>
          <w:tcPr>
            <w:tcW w:w="1131"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8"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Del="00075CE7"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Del="00075CE7" w:rsidRDefault="004F01CA">
            <w:pPr>
              <w:spacing w:line="240" w:lineRule="auto"/>
              <w:rPr>
                <w:rFonts w:ascii="Lato" w:hAnsi="Lato"/>
                <w:szCs w:val="22"/>
              </w:rPr>
            </w:pPr>
            <w:r w:rsidRPr="001E4A73">
              <w:rPr>
                <w:rFonts w:ascii="Lato" w:hAnsi="Lato"/>
                <w:szCs w:val="22"/>
              </w:rPr>
              <w:t>financial</w:t>
            </w:r>
            <w:r w:rsidRPr="00A3401E">
              <w:rPr>
                <w:rFonts w:ascii="Lato" w:hAnsi="Lato"/>
                <w:szCs w:val="22"/>
              </w:rPr>
              <w:t xml:space="preserve"> </w:t>
            </w:r>
            <w:r w:rsidR="00657D34" w:rsidRPr="00F627B2">
              <w:rPr>
                <w:rFonts w:ascii="Lato" w:hAnsi="Lato"/>
                <w:szCs w:val="22"/>
              </w:rPr>
              <w:t>adviser about the contents of the prospectus; and</w:t>
            </w:r>
          </w:p>
        </w:tc>
        <w:tc>
          <w:tcPr>
            <w:tcW w:w="1131" w:type="dxa"/>
            <w:gridSpan w:val="4"/>
            <w:tcBorders>
              <w:top w:val="single" w:sz="4" w:space="0" w:color="auto"/>
              <w:left w:val="nil"/>
              <w:bottom w:val="single" w:sz="4" w:space="0" w:color="auto"/>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nil"/>
              <w:bottom w:val="single" w:sz="4" w:space="0" w:color="auto"/>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nil"/>
              <w:bottom w:val="single" w:sz="4" w:space="0" w:color="auto"/>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Del="00075CE7" w:rsidRDefault="006F4FA2">
            <w:pPr>
              <w:spacing w:line="240" w:lineRule="auto"/>
              <w:rPr>
                <w:rFonts w:ascii="Lato" w:hAnsi="Lato"/>
                <w:szCs w:val="22"/>
              </w:rPr>
            </w:pPr>
          </w:p>
        </w:tc>
        <w:tc>
          <w:tcPr>
            <w:tcW w:w="5493" w:type="dxa"/>
            <w:tcBorders>
              <w:top w:val="nil"/>
              <w:left w:val="nil"/>
              <w:bottom w:val="nil"/>
              <w:right w:val="single" w:sz="4" w:space="0" w:color="auto"/>
            </w:tcBorders>
          </w:tcPr>
          <w:p w:rsidR="006F4FA2" w:rsidRPr="00F627B2" w:rsidDel="00075CE7" w:rsidRDefault="00657D34" w:rsidP="00A3401E">
            <w:pPr>
              <w:spacing w:line="240" w:lineRule="auto"/>
              <w:rPr>
                <w:rFonts w:ascii="Lato" w:hAnsi="Lato"/>
                <w:szCs w:val="22"/>
              </w:rPr>
            </w:pPr>
            <w:r w:rsidRPr="00F627B2">
              <w:rPr>
                <w:rFonts w:ascii="Lato" w:hAnsi="Lato"/>
                <w:szCs w:val="22"/>
              </w:rPr>
              <w:t xml:space="preserve">(c) where relevant, the fact that the difference </w:t>
            </w:r>
            <w:r w:rsidR="002911EE" w:rsidRPr="00F627B2">
              <w:rPr>
                <w:rFonts w:ascii="Lato" w:hAnsi="Lato"/>
                <w:szCs w:val="22"/>
              </w:rPr>
              <w:t xml:space="preserve">at any </w:t>
            </w:r>
          </w:p>
        </w:tc>
        <w:tc>
          <w:tcPr>
            <w:tcW w:w="1131"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8"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Del="00075CE7"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Del="00075CE7" w:rsidRDefault="004F01CA">
            <w:pPr>
              <w:spacing w:line="240" w:lineRule="auto"/>
              <w:rPr>
                <w:rFonts w:ascii="Lato" w:hAnsi="Lato"/>
                <w:szCs w:val="22"/>
              </w:rPr>
            </w:pPr>
            <w:r w:rsidRPr="001E4A73">
              <w:rPr>
                <w:rFonts w:ascii="Lato" w:hAnsi="Lato"/>
                <w:szCs w:val="22"/>
              </w:rPr>
              <w:t>one</w:t>
            </w:r>
            <w:r w:rsidRPr="00A3401E">
              <w:rPr>
                <w:rFonts w:ascii="Lato" w:hAnsi="Lato"/>
                <w:szCs w:val="22"/>
              </w:rPr>
              <w:t xml:space="preserve"> </w:t>
            </w:r>
            <w:r w:rsidR="00657D34" w:rsidRPr="00F627B2">
              <w:rPr>
                <w:rFonts w:ascii="Lato" w:hAnsi="Lato"/>
                <w:szCs w:val="22"/>
              </w:rPr>
              <w:t>time between the sale and repurchase price of units in the Retail Investor AIF means that the investment must be viewed as medium to long term.</w:t>
            </w:r>
          </w:p>
        </w:tc>
        <w:tc>
          <w:tcPr>
            <w:tcW w:w="1131" w:type="dxa"/>
            <w:gridSpan w:val="4"/>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6F4FA2">
            <w:pPr>
              <w:pStyle w:val="Heading3"/>
              <w:spacing w:before="0" w:after="0" w:line="240" w:lineRule="auto"/>
              <w:rPr>
                <w:rFonts w:ascii="Lato" w:hAnsi="Lato"/>
                <w:color w:val="auto"/>
                <w:sz w:val="22"/>
                <w:szCs w:val="22"/>
              </w:rPr>
            </w:pPr>
          </w:p>
        </w:tc>
        <w:tc>
          <w:tcPr>
            <w:tcW w:w="1131"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nil"/>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rsidP="00832B0F">
            <w:pPr>
              <w:spacing w:line="240" w:lineRule="auto"/>
              <w:rPr>
                <w:rFonts w:ascii="Lato" w:hAnsi="Lato"/>
                <w:szCs w:val="22"/>
              </w:rPr>
            </w:pPr>
            <w:r w:rsidRPr="00F627B2">
              <w:rPr>
                <w:rFonts w:ascii="Lato" w:hAnsi="Lato"/>
                <w:szCs w:val="22"/>
              </w:rPr>
              <w:t>2.2.</w:t>
            </w:r>
            <w:r w:rsidR="00832B0F" w:rsidRPr="00F627B2">
              <w:rPr>
                <w:rFonts w:ascii="Lato" w:hAnsi="Lato"/>
                <w:szCs w:val="22"/>
              </w:rPr>
              <w:t>11</w:t>
            </w:r>
          </w:p>
        </w:tc>
        <w:tc>
          <w:tcPr>
            <w:tcW w:w="5493" w:type="dxa"/>
            <w:tcBorders>
              <w:top w:val="nil"/>
              <w:left w:val="nil"/>
              <w:bottom w:val="nil"/>
              <w:right w:val="nil"/>
            </w:tcBorders>
          </w:tcPr>
          <w:p w:rsidR="006F4FA2" w:rsidRPr="00F627B2" w:rsidRDefault="006F4FA2">
            <w:pPr>
              <w:spacing w:line="240" w:lineRule="auto"/>
              <w:rPr>
                <w:rFonts w:ascii="Lato" w:hAnsi="Lato"/>
                <w:szCs w:val="22"/>
              </w:rPr>
            </w:pPr>
            <w:r w:rsidRPr="00F627B2">
              <w:rPr>
                <w:rFonts w:ascii="Lato" w:hAnsi="Lato"/>
                <w:bCs/>
                <w:szCs w:val="22"/>
                <w:u w:val="single"/>
              </w:rPr>
              <w:t>Techniques and instruments for the purpose of efficient portfolio management</w:t>
            </w:r>
          </w:p>
        </w:tc>
        <w:tc>
          <w:tcPr>
            <w:tcW w:w="1131"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nil"/>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6F4FA2">
            <w:pPr>
              <w:spacing w:line="240" w:lineRule="auto"/>
              <w:rPr>
                <w:rFonts w:ascii="Lato" w:hAnsi="Lato"/>
                <w:szCs w:val="22"/>
              </w:rPr>
            </w:pPr>
          </w:p>
        </w:tc>
        <w:tc>
          <w:tcPr>
            <w:tcW w:w="1131"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nil"/>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rsidP="00450459">
            <w:pPr>
              <w:spacing w:line="240" w:lineRule="auto"/>
              <w:rPr>
                <w:rFonts w:ascii="Lato" w:hAnsi="Lato"/>
                <w:szCs w:val="22"/>
              </w:rPr>
            </w:pPr>
            <w:r w:rsidRPr="00F627B2">
              <w:rPr>
                <w:rFonts w:ascii="Lato" w:hAnsi="Lato"/>
                <w:szCs w:val="22"/>
              </w:rPr>
              <w:t xml:space="preserve">a) </w:t>
            </w:r>
            <w:r w:rsidR="00A12E7F" w:rsidRPr="00F627B2">
              <w:rPr>
                <w:rFonts w:ascii="Lato" w:hAnsi="Lato"/>
                <w:szCs w:val="22"/>
              </w:rPr>
              <w:t xml:space="preserve">        </w:t>
            </w:r>
            <w:r w:rsidRPr="00F627B2">
              <w:rPr>
                <w:rFonts w:ascii="Lato" w:hAnsi="Lato"/>
                <w:szCs w:val="22"/>
              </w:rPr>
              <w:t>(i)</w:t>
            </w:r>
          </w:p>
        </w:tc>
        <w:tc>
          <w:tcPr>
            <w:tcW w:w="5493" w:type="dxa"/>
            <w:tcBorders>
              <w:top w:val="nil"/>
              <w:left w:val="nil"/>
              <w:bottom w:val="nil"/>
              <w:right w:val="single" w:sz="4" w:space="0" w:color="auto"/>
            </w:tcBorders>
          </w:tcPr>
          <w:p w:rsidR="006F4FA2" w:rsidRPr="00F627B2" w:rsidRDefault="006F4FA2" w:rsidP="00AC467B">
            <w:pPr>
              <w:spacing w:line="240" w:lineRule="auto"/>
              <w:rPr>
                <w:rFonts w:ascii="Lato" w:hAnsi="Lato"/>
                <w:szCs w:val="22"/>
              </w:rPr>
            </w:pPr>
            <w:r w:rsidRPr="00F627B2">
              <w:rPr>
                <w:rFonts w:ascii="Lato" w:hAnsi="Lato"/>
                <w:szCs w:val="22"/>
              </w:rPr>
              <w:t xml:space="preserve">Disclose if it is the Retail Investor AIF’s intention to use </w:t>
            </w:r>
          </w:p>
        </w:tc>
        <w:tc>
          <w:tcPr>
            <w:tcW w:w="1131"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8"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AC467B" w:rsidP="006C49ED">
            <w:pPr>
              <w:spacing w:line="240" w:lineRule="auto"/>
              <w:rPr>
                <w:rFonts w:ascii="Lato" w:hAnsi="Lato"/>
                <w:szCs w:val="22"/>
              </w:rPr>
            </w:pPr>
            <w:r w:rsidRPr="00F627B2">
              <w:rPr>
                <w:rFonts w:ascii="Lato" w:hAnsi="Lato"/>
                <w:szCs w:val="22"/>
              </w:rPr>
              <w:t xml:space="preserve">the </w:t>
            </w:r>
            <w:r w:rsidR="006F4FA2" w:rsidRPr="00F627B2">
              <w:rPr>
                <w:rFonts w:ascii="Lato" w:hAnsi="Lato"/>
                <w:szCs w:val="22"/>
              </w:rPr>
              <w:t xml:space="preserve">techniques and instruments for efficient portfolio management purposes and state that these are subject to the conditions and limits applicable to Retail Investor AIFs as laid down in the AIF </w:t>
            </w:r>
            <w:r w:rsidR="00816A1D" w:rsidRPr="00F627B2">
              <w:rPr>
                <w:rFonts w:ascii="Lato" w:hAnsi="Lato"/>
                <w:szCs w:val="22"/>
              </w:rPr>
              <w:t>Rulebook</w:t>
            </w:r>
            <w:r w:rsidR="006F4FA2" w:rsidRPr="00F627B2">
              <w:rPr>
                <w:rFonts w:ascii="Lato" w:hAnsi="Lato"/>
                <w:szCs w:val="22"/>
              </w:rPr>
              <w:t>.</w:t>
            </w:r>
          </w:p>
        </w:tc>
        <w:tc>
          <w:tcPr>
            <w:tcW w:w="1131" w:type="dxa"/>
            <w:gridSpan w:val="4"/>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6F4FA2" w:rsidP="00ED183C">
            <w:pPr>
              <w:spacing w:line="240" w:lineRule="auto"/>
              <w:rPr>
                <w:rFonts w:ascii="Lato" w:hAnsi="Lato"/>
                <w:szCs w:val="22"/>
              </w:rPr>
            </w:pPr>
          </w:p>
        </w:tc>
        <w:tc>
          <w:tcPr>
            <w:tcW w:w="1131" w:type="dxa"/>
            <w:gridSpan w:val="4"/>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rsidP="00994B90">
            <w:pPr>
              <w:spacing w:line="240" w:lineRule="auto"/>
              <w:jc w:val="right"/>
              <w:rPr>
                <w:rFonts w:ascii="Lato" w:hAnsi="Lato"/>
                <w:szCs w:val="22"/>
              </w:rPr>
            </w:pPr>
            <w:r w:rsidRPr="00F627B2">
              <w:rPr>
                <w:rFonts w:ascii="Lato" w:hAnsi="Lato"/>
                <w:szCs w:val="22"/>
              </w:rPr>
              <w:t>(ii)</w:t>
            </w:r>
          </w:p>
        </w:tc>
        <w:tc>
          <w:tcPr>
            <w:tcW w:w="5493" w:type="dxa"/>
            <w:tcBorders>
              <w:top w:val="nil"/>
              <w:left w:val="nil"/>
              <w:bottom w:val="nil"/>
              <w:right w:val="single" w:sz="4" w:space="0" w:color="auto"/>
            </w:tcBorders>
          </w:tcPr>
          <w:p w:rsidR="006F4FA2" w:rsidRPr="00F627B2" w:rsidRDefault="002911EE" w:rsidP="00A3401E">
            <w:pPr>
              <w:spacing w:line="240" w:lineRule="auto"/>
              <w:rPr>
                <w:rFonts w:ascii="Lato" w:hAnsi="Lato"/>
                <w:szCs w:val="22"/>
              </w:rPr>
            </w:pPr>
            <w:r w:rsidRPr="00F627B2">
              <w:rPr>
                <w:rFonts w:ascii="Lato" w:hAnsi="Lato"/>
                <w:szCs w:val="22"/>
              </w:rPr>
              <w:t>Disclose t</w:t>
            </w:r>
            <w:r w:rsidR="006F4FA2" w:rsidRPr="00F627B2">
              <w:rPr>
                <w:rFonts w:ascii="Lato" w:hAnsi="Lato"/>
                <w:szCs w:val="22"/>
              </w:rPr>
              <w:t xml:space="preserve">he different techniques and instruments </w:t>
            </w:r>
          </w:p>
        </w:tc>
        <w:tc>
          <w:tcPr>
            <w:tcW w:w="1131"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8"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4F01CA" w:rsidP="002911EE">
            <w:pPr>
              <w:spacing w:line="240" w:lineRule="auto"/>
              <w:rPr>
                <w:rFonts w:ascii="Lato" w:hAnsi="Lato"/>
                <w:szCs w:val="22"/>
              </w:rPr>
            </w:pPr>
            <w:r w:rsidRPr="001E4A73">
              <w:rPr>
                <w:rFonts w:ascii="Lato" w:hAnsi="Lato"/>
                <w:szCs w:val="22"/>
              </w:rPr>
              <w:t>which</w:t>
            </w:r>
            <w:r w:rsidRPr="00A3401E">
              <w:rPr>
                <w:rFonts w:ascii="Lato" w:hAnsi="Lato"/>
                <w:szCs w:val="22"/>
              </w:rPr>
              <w:t xml:space="preserve"> </w:t>
            </w:r>
            <w:r w:rsidR="002911EE" w:rsidRPr="00F627B2">
              <w:rPr>
                <w:rFonts w:ascii="Lato" w:hAnsi="Lato"/>
                <w:szCs w:val="22"/>
              </w:rPr>
              <w:t xml:space="preserve">can be </w:t>
            </w:r>
            <w:r w:rsidR="006F4FA2" w:rsidRPr="00F627B2">
              <w:rPr>
                <w:rFonts w:ascii="Lato" w:hAnsi="Lato"/>
                <w:szCs w:val="22"/>
              </w:rPr>
              <w:t>utilised</w:t>
            </w:r>
          </w:p>
        </w:tc>
        <w:tc>
          <w:tcPr>
            <w:tcW w:w="1131" w:type="dxa"/>
            <w:gridSpan w:val="4"/>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pPr>
              <w:spacing w:line="240" w:lineRule="auto"/>
              <w:jc w:val="right"/>
              <w:rPr>
                <w:rFonts w:ascii="Lato" w:hAnsi="Lato"/>
                <w:szCs w:val="22"/>
              </w:rPr>
            </w:pPr>
          </w:p>
        </w:tc>
        <w:tc>
          <w:tcPr>
            <w:tcW w:w="5493" w:type="dxa"/>
            <w:tcBorders>
              <w:top w:val="nil"/>
              <w:left w:val="nil"/>
              <w:bottom w:val="nil"/>
              <w:right w:val="nil"/>
            </w:tcBorders>
          </w:tcPr>
          <w:p w:rsidR="006F4FA2" w:rsidRPr="00F627B2" w:rsidRDefault="006F4FA2">
            <w:pPr>
              <w:spacing w:line="240" w:lineRule="auto"/>
              <w:rPr>
                <w:rFonts w:ascii="Lato" w:hAnsi="Lato"/>
                <w:szCs w:val="22"/>
              </w:rPr>
            </w:pPr>
            <w:r w:rsidRPr="00F627B2">
              <w:rPr>
                <w:rFonts w:ascii="Lato" w:hAnsi="Lato"/>
                <w:szCs w:val="22"/>
              </w:rPr>
              <w:t xml:space="preserve"> </w:t>
            </w:r>
          </w:p>
        </w:tc>
        <w:tc>
          <w:tcPr>
            <w:tcW w:w="1131"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nil"/>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rsidP="00A12E7F">
            <w:pPr>
              <w:spacing w:line="240" w:lineRule="auto"/>
              <w:jc w:val="right"/>
              <w:rPr>
                <w:rFonts w:ascii="Lato" w:hAnsi="Lato"/>
                <w:szCs w:val="22"/>
              </w:rPr>
            </w:pPr>
            <w:r w:rsidRPr="00F627B2">
              <w:rPr>
                <w:rFonts w:ascii="Lato" w:hAnsi="Lato"/>
                <w:szCs w:val="22"/>
              </w:rPr>
              <w:t>(</w:t>
            </w:r>
            <w:r w:rsidR="00A12E7F" w:rsidRPr="00F627B2">
              <w:rPr>
                <w:rFonts w:ascii="Lato" w:hAnsi="Lato"/>
                <w:szCs w:val="22"/>
              </w:rPr>
              <w:t>iii</w:t>
            </w:r>
            <w:r w:rsidRPr="00F627B2">
              <w:rPr>
                <w:rFonts w:ascii="Lato" w:hAnsi="Lato"/>
                <w:szCs w:val="22"/>
              </w:rPr>
              <w:t>)</w:t>
            </w:r>
          </w:p>
        </w:tc>
        <w:tc>
          <w:tcPr>
            <w:tcW w:w="5493" w:type="dxa"/>
            <w:tcBorders>
              <w:top w:val="nil"/>
              <w:left w:val="nil"/>
              <w:bottom w:val="nil"/>
              <w:right w:val="single" w:sz="4" w:space="0" w:color="auto"/>
            </w:tcBorders>
          </w:tcPr>
          <w:p w:rsidR="006F4FA2" w:rsidRPr="00F627B2" w:rsidRDefault="006F4FA2" w:rsidP="00A3401E">
            <w:pPr>
              <w:spacing w:line="240" w:lineRule="auto"/>
              <w:rPr>
                <w:rFonts w:ascii="Lato" w:hAnsi="Lato"/>
                <w:szCs w:val="22"/>
              </w:rPr>
            </w:pPr>
            <w:r w:rsidRPr="00F627B2">
              <w:rPr>
                <w:rFonts w:ascii="Lato" w:hAnsi="Lato"/>
                <w:szCs w:val="22"/>
              </w:rPr>
              <w:t xml:space="preserve">Disclose the policy regarding direct and </w:t>
            </w:r>
            <w:r w:rsidR="00B40B02" w:rsidRPr="00F627B2">
              <w:rPr>
                <w:rFonts w:ascii="Lato" w:hAnsi="Lato"/>
                <w:szCs w:val="22"/>
              </w:rPr>
              <w:t xml:space="preserve">indirect </w:t>
            </w:r>
          </w:p>
        </w:tc>
        <w:tc>
          <w:tcPr>
            <w:tcW w:w="1131"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8"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rsidP="00ED183C">
            <w:pPr>
              <w:spacing w:line="240" w:lineRule="auto"/>
              <w:jc w:val="right"/>
              <w:rPr>
                <w:rFonts w:ascii="Lato" w:hAnsi="Lato"/>
                <w:szCs w:val="22"/>
              </w:rPr>
            </w:pPr>
          </w:p>
        </w:tc>
        <w:tc>
          <w:tcPr>
            <w:tcW w:w="5493" w:type="dxa"/>
            <w:tcBorders>
              <w:top w:val="nil"/>
              <w:left w:val="nil"/>
              <w:bottom w:val="nil"/>
              <w:right w:val="nil"/>
            </w:tcBorders>
          </w:tcPr>
          <w:p w:rsidR="006F4FA2" w:rsidRPr="00F627B2" w:rsidRDefault="004F01CA" w:rsidP="00944672">
            <w:pPr>
              <w:spacing w:line="240" w:lineRule="auto"/>
              <w:rPr>
                <w:rFonts w:ascii="Lato" w:hAnsi="Lato"/>
                <w:szCs w:val="22"/>
              </w:rPr>
            </w:pPr>
            <w:r w:rsidRPr="001E4A73">
              <w:rPr>
                <w:rFonts w:ascii="Lato" w:hAnsi="Lato"/>
                <w:szCs w:val="22"/>
              </w:rPr>
              <w:t>operational</w:t>
            </w:r>
            <w:r w:rsidRPr="00A3401E">
              <w:rPr>
                <w:rFonts w:ascii="Lato" w:hAnsi="Lato"/>
                <w:szCs w:val="22"/>
              </w:rPr>
              <w:t xml:space="preserve"> </w:t>
            </w:r>
            <w:r w:rsidR="006F4FA2" w:rsidRPr="00F627B2">
              <w:rPr>
                <w:rFonts w:ascii="Lato" w:hAnsi="Lato"/>
                <w:szCs w:val="22"/>
              </w:rPr>
              <w:t xml:space="preserve">costs/fees arising from efficient portfolio management techniques that may be deducted from revenue delivered to the Retail Investor AIF. </w:t>
            </w:r>
          </w:p>
        </w:tc>
        <w:tc>
          <w:tcPr>
            <w:tcW w:w="1131" w:type="dxa"/>
            <w:gridSpan w:val="4"/>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rsidP="00ED183C">
            <w:pPr>
              <w:spacing w:line="240" w:lineRule="auto"/>
              <w:jc w:val="right"/>
              <w:rPr>
                <w:rFonts w:ascii="Lato" w:hAnsi="Lato"/>
                <w:szCs w:val="22"/>
              </w:rPr>
            </w:pPr>
          </w:p>
        </w:tc>
        <w:tc>
          <w:tcPr>
            <w:tcW w:w="5493" w:type="dxa"/>
            <w:tcBorders>
              <w:top w:val="nil"/>
              <w:left w:val="nil"/>
              <w:bottom w:val="nil"/>
              <w:right w:val="nil"/>
            </w:tcBorders>
          </w:tcPr>
          <w:p w:rsidR="006F4FA2" w:rsidRPr="00F627B2" w:rsidRDefault="006F4FA2" w:rsidP="00944672">
            <w:pPr>
              <w:spacing w:line="240" w:lineRule="auto"/>
              <w:rPr>
                <w:rFonts w:ascii="Lato" w:hAnsi="Lato"/>
                <w:szCs w:val="22"/>
              </w:rPr>
            </w:pPr>
          </w:p>
        </w:tc>
        <w:tc>
          <w:tcPr>
            <w:tcW w:w="1131" w:type="dxa"/>
            <w:gridSpan w:val="4"/>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rsidP="00A12E7F">
            <w:pPr>
              <w:spacing w:line="240" w:lineRule="auto"/>
              <w:jc w:val="right"/>
              <w:rPr>
                <w:rFonts w:ascii="Lato" w:hAnsi="Lato"/>
                <w:szCs w:val="22"/>
              </w:rPr>
            </w:pPr>
            <w:r w:rsidRPr="00F627B2">
              <w:rPr>
                <w:rFonts w:ascii="Lato" w:hAnsi="Lato"/>
                <w:szCs w:val="22"/>
              </w:rPr>
              <w:t>(</w:t>
            </w:r>
            <w:r w:rsidR="00A12E7F" w:rsidRPr="00F627B2">
              <w:rPr>
                <w:rFonts w:ascii="Lato" w:hAnsi="Lato"/>
                <w:szCs w:val="22"/>
              </w:rPr>
              <w:t>i</w:t>
            </w:r>
            <w:r w:rsidRPr="00F627B2">
              <w:rPr>
                <w:rFonts w:ascii="Lato" w:hAnsi="Lato"/>
                <w:szCs w:val="22"/>
              </w:rPr>
              <w:t>v)</w:t>
            </w:r>
          </w:p>
        </w:tc>
        <w:tc>
          <w:tcPr>
            <w:tcW w:w="5493" w:type="dxa"/>
            <w:tcBorders>
              <w:top w:val="nil"/>
              <w:left w:val="nil"/>
              <w:bottom w:val="nil"/>
              <w:right w:val="single" w:sz="4" w:space="0" w:color="auto"/>
            </w:tcBorders>
          </w:tcPr>
          <w:p w:rsidR="006F4FA2" w:rsidRPr="00F627B2" w:rsidRDefault="006F4FA2">
            <w:pPr>
              <w:spacing w:line="240" w:lineRule="auto"/>
              <w:rPr>
                <w:rFonts w:ascii="Lato" w:hAnsi="Lato"/>
                <w:szCs w:val="22"/>
              </w:rPr>
            </w:pPr>
            <w:r w:rsidRPr="00F627B2">
              <w:rPr>
                <w:rFonts w:ascii="Lato" w:hAnsi="Lato"/>
                <w:szCs w:val="22"/>
              </w:rPr>
              <w:t>These costs and fees should not include hidden revenue.</w:t>
            </w:r>
          </w:p>
        </w:tc>
        <w:tc>
          <w:tcPr>
            <w:tcW w:w="1131"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8"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rsidP="00ED183C">
            <w:pPr>
              <w:spacing w:line="240" w:lineRule="auto"/>
              <w:jc w:val="right"/>
              <w:rPr>
                <w:rFonts w:ascii="Lato" w:hAnsi="Lato"/>
                <w:szCs w:val="22"/>
              </w:rPr>
            </w:pPr>
          </w:p>
        </w:tc>
        <w:tc>
          <w:tcPr>
            <w:tcW w:w="5493" w:type="dxa"/>
            <w:tcBorders>
              <w:top w:val="nil"/>
              <w:left w:val="nil"/>
              <w:bottom w:val="nil"/>
              <w:right w:val="nil"/>
            </w:tcBorders>
          </w:tcPr>
          <w:p w:rsidR="006F4FA2" w:rsidRPr="00F627B2" w:rsidRDefault="006F4FA2">
            <w:pPr>
              <w:spacing w:line="240" w:lineRule="auto"/>
              <w:rPr>
                <w:rFonts w:ascii="Lato" w:hAnsi="Lato"/>
                <w:szCs w:val="22"/>
              </w:rPr>
            </w:pPr>
          </w:p>
        </w:tc>
        <w:tc>
          <w:tcPr>
            <w:tcW w:w="1131" w:type="dxa"/>
            <w:gridSpan w:val="4"/>
            <w:tcBorders>
              <w:top w:val="single" w:sz="4" w:space="0" w:color="auto"/>
              <w:left w:val="nil"/>
              <w:bottom w:val="single" w:sz="4" w:space="0" w:color="auto"/>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nil"/>
              <w:bottom w:val="single" w:sz="4" w:space="0" w:color="auto"/>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nil"/>
              <w:bottom w:val="single" w:sz="4" w:space="0" w:color="auto"/>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rsidP="00A12E7F">
            <w:pPr>
              <w:spacing w:line="240" w:lineRule="auto"/>
              <w:jc w:val="right"/>
              <w:rPr>
                <w:rFonts w:ascii="Lato" w:hAnsi="Lato"/>
                <w:szCs w:val="22"/>
              </w:rPr>
            </w:pPr>
            <w:r w:rsidRPr="00F627B2">
              <w:rPr>
                <w:rFonts w:ascii="Lato" w:hAnsi="Lato"/>
                <w:szCs w:val="22"/>
              </w:rPr>
              <w:t>(v)</w:t>
            </w:r>
          </w:p>
        </w:tc>
        <w:tc>
          <w:tcPr>
            <w:tcW w:w="5493" w:type="dxa"/>
            <w:tcBorders>
              <w:top w:val="nil"/>
              <w:left w:val="nil"/>
              <w:bottom w:val="nil"/>
              <w:right w:val="single" w:sz="4" w:space="0" w:color="auto"/>
            </w:tcBorders>
          </w:tcPr>
          <w:p w:rsidR="006F4FA2" w:rsidRPr="00F627B2" w:rsidRDefault="006F4FA2" w:rsidP="00A3401E">
            <w:pPr>
              <w:spacing w:line="240" w:lineRule="auto"/>
              <w:rPr>
                <w:rFonts w:ascii="Lato" w:hAnsi="Lato"/>
                <w:szCs w:val="22"/>
              </w:rPr>
            </w:pPr>
            <w:r w:rsidRPr="00F627B2">
              <w:rPr>
                <w:rFonts w:ascii="Lato" w:hAnsi="Lato"/>
                <w:szCs w:val="22"/>
              </w:rPr>
              <w:t xml:space="preserve">Disclose the identity of the entity (ies) to </w:t>
            </w:r>
            <w:r w:rsidR="00B40B02" w:rsidRPr="00F627B2">
              <w:rPr>
                <w:rFonts w:ascii="Lato" w:hAnsi="Lato"/>
                <w:szCs w:val="22"/>
              </w:rPr>
              <w:t xml:space="preserve">which the </w:t>
            </w:r>
          </w:p>
        </w:tc>
        <w:tc>
          <w:tcPr>
            <w:tcW w:w="1131"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43" w:type="dxa"/>
            <w:gridSpan w:val="2"/>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3"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78"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rsidP="00ED183C">
            <w:pPr>
              <w:spacing w:line="240" w:lineRule="auto"/>
              <w:jc w:val="right"/>
              <w:rPr>
                <w:rFonts w:ascii="Lato" w:hAnsi="Lato"/>
                <w:szCs w:val="22"/>
              </w:rPr>
            </w:pPr>
          </w:p>
        </w:tc>
        <w:tc>
          <w:tcPr>
            <w:tcW w:w="5493" w:type="dxa"/>
            <w:tcBorders>
              <w:top w:val="nil"/>
              <w:left w:val="nil"/>
              <w:bottom w:val="nil"/>
              <w:right w:val="nil"/>
            </w:tcBorders>
          </w:tcPr>
          <w:p w:rsidR="006F4FA2" w:rsidRPr="00F627B2" w:rsidRDefault="004F01CA">
            <w:pPr>
              <w:spacing w:line="240" w:lineRule="auto"/>
              <w:rPr>
                <w:rFonts w:ascii="Lato" w:hAnsi="Lato"/>
                <w:szCs w:val="22"/>
              </w:rPr>
            </w:pPr>
            <w:r w:rsidRPr="001E4A73">
              <w:rPr>
                <w:rFonts w:ascii="Lato" w:hAnsi="Lato"/>
                <w:szCs w:val="22"/>
              </w:rPr>
              <w:t>direct</w:t>
            </w:r>
            <w:r w:rsidRPr="00A3401E">
              <w:rPr>
                <w:rFonts w:ascii="Lato" w:hAnsi="Lato"/>
                <w:szCs w:val="22"/>
              </w:rPr>
              <w:t xml:space="preserve"> </w:t>
            </w:r>
            <w:r w:rsidR="0068485A" w:rsidRPr="00F627B2">
              <w:rPr>
                <w:rFonts w:ascii="Lato" w:hAnsi="Lato"/>
                <w:szCs w:val="22"/>
              </w:rPr>
              <w:t xml:space="preserve">and </w:t>
            </w:r>
            <w:r w:rsidR="006F4FA2" w:rsidRPr="00F627B2">
              <w:rPr>
                <w:rFonts w:ascii="Lato" w:hAnsi="Lato"/>
                <w:szCs w:val="22"/>
              </w:rPr>
              <w:t>indirect costs and fees are paid and indicate if these are related parties to the management company, AIFM of the depository.</w:t>
            </w:r>
          </w:p>
        </w:tc>
        <w:tc>
          <w:tcPr>
            <w:tcW w:w="1131" w:type="dxa"/>
            <w:gridSpan w:val="4"/>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rsidP="00ED183C">
            <w:pPr>
              <w:spacing w:line="240" w:lineRule="auto"/>
              <w:jc w:val="right"/>
              <w:rPr>
                <w:rFonts w:ascii="Lato" w:hAnsi="Lato"/>
                <w:szCs w:val="22"/>
              </w:rPr>
            </w:pPr>
          </w:p>
        </w:tc>
        <w:tc>
          <w:tcPr>
            <w:tcW w:w="5493" w:type="dxa"/>
            <w:tcBorders>
              <w:top w:val="nil"/>
              <w:left w:val="nil"/>
              <w:bottom w:val="nil"/>
              <w:right w:val="nil"/>
            </w:tcBorders>
          </w:tcPr>
          <w:p w:rsidR="006F4FA2" w:rsidRPr="00F627B2" w:rsidRDefault="006F4FA2">
            <w:pPr>
              <w:spacing w:line="240" w:lineRule="auto"/>
              <w:rPr>
                <w:rFonts w:ascii="Lato" w:hAnsi="Lato"/>
                <w:szCs w:val="22"/>
              </w:rPr>
            </w:pPr>
          </w:p>
        </w:tc>
        <w:tc>
          <w:tcPr>
            <w:tcW w:w="1131"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nil"/>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6F4FA2">
            <w:pPr>
              <w:pStyle w:val="Heading6"/>
              <w:rPr>
                <w:rFonts w:ascii="Lato" w:hAnsi="Lato"/>
                <w:b w:val="0"/>
                <w:szCs w:val="22"/>
              </w:rPr>
            </w:pPr>
            <w:r w:rsidRPr="00F627B2">
              <w:rPr>
                <w:rFonts w:ascii="Lato" w:hAnsi="Lato"/>
                <w:b w:val="0"/>
                <w:szCs w:val="22"/>
              </w:rPr>
              <w:t>Risk Disclosure</w:t>
            </w:r>
          </w:p>
        </w:tc>
        <w:tc>
          <w:tcPr>
            <w:tcW w:w="1131"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43" w:type="dxa"/>
            <w:gridSpan w:val="2"/>
            <w:tcBorders>
              <w:top w:val="nil"/>
              <w:left w:val="nil"/>
              <w:bottom w:val="nil"/>
              <w:right w:val="nil"/>
            </w:tcBorders>
          </w:tcPr>
          <w:p w:rsidR="006F4FA2" w:rsidRPr="00F627B2" w:rsidRDefault="006F4FA2">
            <w:pPr>
              <w:spacing w:line="240" w:lineRule="auto"/>
              <w:rPr>
                <w:rFonts w:ascii="Lato" w:hAnsi="Lato"/>
                <w:szCs w:val="22"/>
              </w:rPr>
            </w:pPr>
          </w:p>
        </w:tc>
        <w:tc>
          <w:tcPr>
            <w:tcW w:w="1305"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273"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65" w:type="dxa"/>
            <w:gridSpan w:val="7"/>
            <w:tcBorders>
              <w:top w:val="nil"/>
              <w:left w:val="nil"/>
              <w:bottom w:val="nil"/>
              <w:right w:val="nil"/>
            </w:tcBorders>
          </w:tcPr>
          <w:p w:rsidR="006F4FA2" w:rsidRPr="00F627B2" w:rsidRDefault="006F4FA2">
            <w:pPr>
              <w:spacing w:line="240" w:lineRule="auto"/>
              <w:rPr>
                <w:rFonts w:ascii="Lato" w:hAnsi="Lato"/>
                <w:szCs w:val="22"/>
              </w:rPr>
            </w:pPr>
          </w:p>
        </w:tc>
        <w:tc>
          <w:tcPr>
            <w:tcW w:w="278"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595"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rsidP="00832B0F">
            <w:pPr>
              <w:spacing w:line="240" w:lineRule="auto"/>
              <w:rPr>
                <w:rFonts w:ascii="Lato" w:hAnsi="Lato"/>
                <w:szCs w:val="22"/>
              </w:rPr>
            </w:pPr>
            <w:r w:rsidRPr="00F627B2">
              <w:rPr>
                <w:rFonts w:ascii="Lato" w:hAnsi="Lato"/>
                <w:szCs w:val="22"/>
              </w:rPr>
              <w:t>2.2.</w:t>
            </w:r>
            <w:r w:rsidR="00832B0F" w:rsidRPr="00F627B2">
              <w:rPr>
                <w:rFonts w:ascii="Lato" w:hAnsi="Lato"/>
                <w:szCs w:val="22"/>
              </w:rPr>
              <w:t>12</w:t>
            </w:r>
          </w:p>
        </w:tc>
        <w:tc>
          <w:tcPr>
            <w:tcW w:w="5493" w:type="dxa"/>
            <w:tcBorders>
              <w:top w:val="nil"/>
              <w:left w:val="nil"/>
              <w:bottom w:val="nil"/>
              <w:right w:val="single" w:sz="4" w:space="0" w:color="auto"/>
            </w:tcBorders>
          </w:tcPr>
          <w:p w:rsidR="006F4FA2" w:rsidRPr="00F627B2" w:rsidRDefault="006F4FA2" w:rsidP="00A3401E">
            <w:pPr>
              <w:spacing w:line="240" w:lineRule="auto"/>
              <w:rPr>
                <w:rFonts w:ascii="Lato" w:hAnsi="Lato"/>
                <w:szCs w:val="22"/>
              </w:rPr>
            </w:pPr>
            <w:r w:rsidRPr="00F627B2">
              <w:rPr>
                <w:rFonts w:ascii="Lato" w:hAnsi="Lato"/>
                <w:szCs w:val="22"/>
              </w:rPr>
              <w:t xml:space="preserve">Identify, and describe in a comprehensive </w:t>
            </w:r>
            <w:r w:rsidR="00B40B02" w:rsidRPr="00F627B2">
              <w:rPr>
                <w:rFonts w:ascii="Lato" w:hAnsi="Lato"/>
                <w:szCs w:val="22"/>
              </w:rPr>
              <w:t xml:space="preserve">manner, the </w:t>
            </w:r>
          </w:p>
        </w:tc>
        <w:tc>
          <w:tcPr>
            <w:tcW w:w="1120" w:type="dxa"/>
            <w:gridSpan w:val="3"/>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40"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4F01CA" w:rsidP="00757F89">
            <w:pPr>
              <w:spacing w:line="240" w:lineRule="auto"/>
              <w:rPr>
                <w:rFonts w:ascii="Lato" w:hAnsi="Lato"/>
                <w:szCs w:val="22"/>
              </w:rPr>
            </w:pPr>
            <w:r w:rsidRPr="001E4A73">
              <w:rPr>
                <w:rFonts w:ascii="Lato" w:hAnsi="Lato"/>
                <w:szCs w:val="22"/>
              </w:rPr>
              <w:t>risks</w:t>
            </w:r>
            <w:r w:rsidRPr="00A3401E">
              <w:rPr>
                <w:rFonts w:ascii="Lato" w:hAnsi="Lato"/>
                <w:szCs w:val="22"/>
              </w:rPr>
              <w:t xml:space="preserve"> </w:t>
            </w:r>
            <w:r w:rsidR="006F4FA2" w:rsidRPr="00F627B2">
              <w:rPr>
                <w:rFonts w:ascii="Lato" w:hAnsi="Lato"/>
                <w:szCs w:val="22"/>
              </w:rPr>
              <w:t xml:space="preserve">applicable to investing in that particular Retail Investor AIF.  </w:t>
            </w:r>
          </w:p>
        </w:tc>
        <w:tc>
          <w:tcPr>
            <w:tcW w:w="1120" w:type="dxa"/>
            <w:gridSpan w:val="3"/>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554" w:type="dxa"/>
            <w:gridSpan w:val="3"/>
            <w:tcBorders>
              <w:top w:val="nil"/>
              <w:left w:val="nil"/>
              <w:bottom w:val="nil"/>
              <w:right w:val="nil"/>
            </w:tcBorders>
          </w:tcPr>
          <w:p w:rsidR="006F4FA2" w:rsidRPr="00F627B2" w:rsidRDefault="006F4FA2">
            <w:pPr>
              <w:spacing w:line="240" w:lineRule="auto"/>
              <w:rPr>
                <w:rFonts w:ascii="Lato" w:hAnsi="Lato"/>
                <w:szCs w:val="22"/>
              </w:rPr>
            </w:pPr>
          </w:p>
        </w:tc>
        <w:tc>
          <w:tcPr>
            <w:tcW w:w="1321" w:type="dxa"/>
            <w:gridSpan w:val="7"/>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87"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17" w:type="dxa"/>
            <w:gridSpan w:val="4"/>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40"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6F4FA2">
            <w:pPr>
              <w:spacing w:line="240" w:lineRule="auto"/>
              <w:rPr>
                <w:rFonts w:ascii="Lato" w:hAnsi="Lato"/>
                <w:szCs w:val="22"/>
              </w:rPr>
            </w:pPr>
          </w:p>
        </w:tc>
        <w:tc>
          <w:tcPr>
            <w:tcW w:w="1120" w:type="dxa"/>
            <w:gridSpan w:val="3"/>
            <w:tcBorders>
              <w:top w:val="nil"/>
              <w:left w:val="nil"/>
              <w:bottom w:val="nil"/>
              <w:right w:val="nil"/>
            </w:tcBorders>
          </w:tcPr>
          <w:p w:rsidR="006F4FA2" w:rsidRPr="00F627B2" w:rsidRDefault="006F4FA2">
            <w:pPr>
              <w:spacing w:line="240" w:lineRule="auto"/>
              <w:rPr>
                <w:rFonts w:ascii="Lato" w:hAnsi="Lato"/>
                <w:szCs w:val="22"/>
              </w:rPr>
            </w:pPr>
          </w:p>
        </w:tc>
        <w:tc>
          <w:tcPr>
            <w:tcW w:w="554" w:type="dxa"/>
            <w:gridSpan w:val="3"/>
            <w:tcBorders>
              <w:top w:val="nil"/>
              <w:left w:val="nil"/>
              <w:bottom w:val="nil"/>
              <w:right w:val="nil"/>
            </w:tcBorders>
          </w:tcPr>
          <w:p w:rsidR="006F4FA2" w:rsidRPr="00F627B2" w:rsidRDefault="006F4FA2">
            <w:pPr>
              <w:spacing w:line="240" w:lineRule="auto"/>
              <w:rPr>
                <w:rFonts w:ascii="Lato" w:hAnsi="Lato"/>
                <w:szCs w:val="22"/>
              </w:rPr>
            </w:pPr>
          </w:p>
        </w:tc>
        <w:tc>
          <w:tcPr>
            <w:tcW w:w="1321" w:type="dxa"/>
            <w:gridSpan w:val="7"/>
            <w:tcBorders>
              <w:top w:val="nil"/>
              <w:left w:val="nil"/>
              <w:bottom w:val="nil"/>
              <w:right w:val="nil"/>
            </w:tcBorders>
          </w:tcPr>
          <w:p w:rsidR="006F4FA2" w:rsidRPr="00F627B2" w:rsidRDefault="006F4FA2">
            <w:pPr>
              <w:spacing w:line="240" w:lineRule="auto"/>
              <w:rPr>
                <w:rFonts w:ascii="Lato" w:hAnsi="Lato"/>
                <w:szCs w:val="22"/>
              </w:rPr>
            </w:pPr>
          </w:p>
        </w:tc>
        <w:tc>
          <w:tcPr>
            <w:tcW w:w="287"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17"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240"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r w:rsidRPr="00F627B2">
              <w:rPr>
                <w:rFonts w:ascii="Lato" w:hAnsi="Lato"/>
                <w:szCs w:val="22"/>
              </w:rPr>
              <w:t>a)</w:t>
            </w:r>
          </w:p>
        </w:tc>
        <w:tc>
          <w:tcPr>
            <w:tcW w:w="5493" w:type="dxa"/>
            <w:tcBorders>
              <w:top w:val="nil"/>
              <w:left w:val="nil"/>
              <w:bottom w:val="nil"/>
              <w:right w:val="nil"/>
            </w:tcBorders>
          </w:tcPr>
          <w:p w:rsidR="006F4FA2" w:rsidRPr="00F627B2" w:rsidRDefault="006F4FA2">
            <w:pPr>
              <w:spacing w:line="240" w:lineRule="auto"/>
              <w:rPr>
                <w:rFonts w:ascii="Lato" w:hAnsi="Lato"/>
                <w:szCs w:val="22"/>
              </w:rPr>
            </w:pPr>
            <w:r w:rsidRPr="00F627B2">
              <w:rPr>
                <w:rFonts w:ascii="Lato" w:hAnsi="Lato"/>
                <w:szCs w:val="22"/>
              </w:rPr>
              <w:t>Sub-Investment Grade Bond Retail Investor AIF should include</w:t>
            </w:r>
          </w:p>
        </w:tc>
        <w:tc>
          <w:tcPr>
            <w:tcW w:w="1120" w:type="dxa"/>
            <w:gridSpan w:val="3"/>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554" w:type="dxa"/>
            <w:gridSpan w:val="3"/>
            <w:tcBorders>
              <w:top w:val="nil"/>
              <w:left w:val="nil"/>
              <w:bottom w:val="nil"/>
              <w:right w:val="nil"/>
            </w:tcBorders>
          </w:tcPr>
          <w:p w:rsidR="006F4FA2" w:rsidRPr="00F627B2" w:rsidRDefault="006F4FA2">
            <w:pPr>
              <w:spacing w:line="240" w:lineRule="auto"/>
              <w:rPr>
                <w:rFonts w:ascii="Lato" w:hAnsi="Lato"/>
                <w:szCs w:val="22"/>
              </w:rPr>
            </w:pPr>
          </w:p>
        </w:tc>
        <w:tc>
          <w:tcPr>
            <w:tcW w:w="1321" w:type="dxa"/>
            <w:gridSpan w:val="7"/>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287"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17" w:type="dxa"/>
            <w:gridSpan w:val="4"/>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240"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single" w:sz="4" w:space="0" w:color="auto"/>
            </w:tcBorders>
          </w:tcPr>
          <w:p w:rsidR="006F4FA2" w:rsidRPr="00F627B2" w:rsidRDefault="006F4FA2">
            <w:pPr>
              <w:spacing w:line="240" w:lineRule="auto"/>
              <w:rPr>
                <w:rFonts w:ascii="Lato" w:hAnsi="Lato"/>
                <w:szCs w:val="22"/>
              </w:rPr>
            </w:pPr>
            <w:r w:rsidRPr="00F627B2">
              <w:rPr>
                <w:rFonts w:ascii="Lato" w:hAnsi="Lato"/>
                <w:szCs w:val="22"/>
              </w:rPr>
              <w:t xml:space="preserve">          (i) default and </w:t>
            </w:r>
          </w:p>
        </w:tc>
        <w:tc>
          <w:tcPr>
            <w:tcW w:w="1120" w:type="dxa"/>
            <w:gridSpan w:val="3"/>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tabs>
                <w:tab w:val="left" w:pos="998"/>
              </w:tabs>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40"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single" w:sz="4" w:space="0" w:color="auto"/>
            </w:tcBorders>
          </w:tcPr>
          <w:p w:rsidR="006F4FA2" w:rsidRPr="00F627B2" w:rsidRDefault="006F4FA2">
            <w:pPr>
              <w:spacing w:line="240" w:lineRule="auto"/>
              <w:rPr>
                <w:rFonts w:ascii="Lato" w:hAnsi="Lato"/>
                <w:szCs w:val="22"/>
              </w:rPr>
            </w:pPr>
            <w:r w:rsidRPr="00F627B2">
              <w:rPr>
                <w:rFonts w:ascii="Lato" w:hAnsi="Lato"/>
                <w:szCs w:val="22"/>
              </w:rPr>
              <w:t xml:space="preserve">          (ii) liquidity risks</w:t>
            </w:r>
          </w:p>
        </w:tc>
        <w:tc>
          <w:tcPr>
            <w:tcW w:w="1120" w:type="dxa"/>
            <w:gridSpan w:val="3"/>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40"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6F4FA2">
            <w:pPr>
              <w:spacing w:line="240" w:lineRule="auto"/>
              <w:rPr>
                <w:rFonts w:ascii="Lato" w:hAnsi="Lato"/>
                <w:szCs w:val="22"/>
              </w:rPr>
            </w:pPr>
          </w:p>
        </w:tc>
        <w:tc>
          <w:tcPr>
            <w:tcW w:w="1120" w:type="dxa"/>
            <w:gridSpan w:val="3"/>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554" w:type="dxa"/>
            <w:gridSpan w:val="3"/>
            <w:tcBorders>
              <w:top w:val="nil"/>
              <w:left w:val="nil"/>
              <w:bottom w:val="nil"/>
              <w:right w:val="nil"/>
            </w:tcBorders>
          </w:tcPr>
          <w:p w:rsidR="006F4FA2" w:rsidRPr="00F627B2" w:rsidRDefault="006F4FA2">
            <w:pPr>
              <w:spacing w:line="240" w:lineRule="auto"/>
              <w:rPr>
                <w:rFonts w:ascii="Lato" w:hAnsi="Lato"/>
                <w:szCs w:val="22"/>
              </w:rPr>
            </w:pPr>
          </w:p>
        </w:tc>
        <w:tc>
          <w:tcPr>
            <w:tcW w:w="1321" w:type="dxa"/>
            <w:gridSpan w:val="7"/>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87"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17" w:type="dxa"/>
            <w:gridSpan w:val="4"/>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40"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r w:rsidRPr="00F627B2">
              <w:rPr>
                <w:rFonts w:ascii="Lato" w:hAnsi="Lato"/>
                <w:szCs w:val="22"/>
              </w:rPr>
              <w:t>b)</w:t>
            </w:r>
          </w:p>
        </w:tc>
        <w:tc>
          <w:tcPr>
            <w:tcW w:w="5493" w:type="dxa"/>
            <w:tcBorders>
              <w:top w:val="nil"/>
              <w:left w:val="nil"/>
              <w:bottom w:val="nil"/>
              <w:right w:val="nil"/>
            </w:tcBorders>
          </w:tcPr>
          <w:p w:rsidR="006F4FA2" w:rsidRPr="00F627B2" w:rsidRDefault="006F4FA2">
            <w:pPr>
              <w:spacing w:line="240" w:lineRule="auto"/>
              <w:rPr>
                <w:rFonts w:ascii="Lato" w:hAnsi="Lato"/>
                <w:szCs w:val="22"/>
              </w:rPr>
            </w:pPr>
            <w:r w:rsidRPr="00F627B2">
              <w:rPr>
                <w:rFonts w:ascii="Lato" w:hAnsi="Lato"/>
                <w:szCs w:val="22"/>
              </w:rPr>
              <w:t>Emerging Markets Scheme should include</w:t>
            </w:r>
          </w:p>
        </w:tc>
        <w:tc>
          <w:tcPr>
            <w:tcW w:w="1120" w:type="dxa"/>
            <w:gridSpan w:val="3"/>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554" w:type="dxa"/>
            <w:gridSpan w:val="3"/>
            <w:tcBorders>
              <w:top w:val="nil"/>
              <w:left w:val="nil"/>
              <w:bottom w:val="nil"/>
              <w:right w:val="nil"/>
            </w:tcBorders>
          </w:tcPr>
          <w:p w:rsidR="006F4FA2" w:rsidRPr="00F627B2" w:rsidRDefault="006F4FA2">
            <w:pPr>
              <w:spacing w:line="240" w:lineRule="auto"/>
              <w:rPr>
                <w:rFonts w:ascii="Lato" w:hAnsi="Lato"/>
                <w:szCs w:val="22"/>
              </w:rPr>
            </w:pPr>
          </w:p>
        </w:tc>
        <w:tc>
          <w:tcPr>
            <w:tcW w:w="1321" w:type="dxa"/>
            <w:gridSpan w:val="7"/>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287"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17" w:type="dxa"/>
            <w:gridSpan w:val="4"/>
            <w:tcBorders>
              <w:top w:val="nil"/>
              <w:left w:val="nil"/>
              <w:bottom w:val="single" w:sz="4" w:space="0" w:color="auto"/>
              <w:right w:val="nil"/>
            </w:tcBorders>
          </w:tcPr>
          <w:p w:rsidR="006F4FA2" w:rsidRPr="00F627B2" w:rsidRDefault="006F4FA2">
            <w:pPr>
              <w:spacing w:line="240" w:lineRule="auto"/>
              <w:rPr>
                <w:rFonts w:ascii="Lato" w:hAnsi="Lato"/>
                <w:szCs w:val="22"/>
              </w:rPr>
            </w:pPr>
          </w:p>
        </w:tc>
        <w:tc>
          <w:tcPr>
            <w:tcW w:w="240"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single" w:sz="4" w:space="0" w:color="auto"/>
            </w:tcBorders>
          </w:tcPr>
          <w:p w:rsidR="006F4FA2" w:rsidRPr="00F627B2" w:rsidRDefault="006F4FA2">
            <w:pPr>
              <w:spacing w:line="240" w:lineRule="auto"/>
              <w:rPr>
                <w:rFonts w:ascii="Lato" w:hAnsi="Lato"/>
                <w:szCs w:val="22"/>
              </w:rPr>
            </w:pPr>
            <w:r w:rsidRPr="00F627B2">
              <w:rPr>
                <w:rFonts w:ascii="Lato" w:hAnsi="Lato"/>
                <w:szCs w:val="22"/>
              </w:rPr>
              <w:t xml:space="preserve">          (i) political </w:t>
            </w:r>
          </w:p>
        </w:tc>
        <w:tc>
          <w:tcPr>
            <w:tcW w:w="1120" w:type="dxa"/>
            <w:gridSpan w:val="3"/>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40"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single" w:sz="4" w:space="0" w:color="auto"/>
            </w:tcBorders>
          </w:tcPr>
          <w:p w:rsidR="006F4FA2" w:rsidRPr="00F627B2" w:rsidRDefault="006F4FA2">
            <w:pPr>
              <w:spacing w:line="240" w:lineRule="auto"/>
              <w:rPr>
                <w:rFonts w:ascii="Lato" w:hAnsi="Lato"/>
                <w:szCs w:val="22"/>
              </w:rPr>
            </w:pPr>
            <w:r w:rsidRPr="00F627B2">
              <w:rPr>
                <w:rFonts w:ascii="Lato" w:hAnsi="Lato"/>
                <w:szCs w:val="22"/>
              </w:rPr>
              <w:t xml:space="preserve">          (ii) settlement</w:t>
            </w:r>
          </w:p>
        </w:tc>
        <w:tc>
          <w:tcPr>
            <w:tcW w:w="1120" w:type="dxa"/>
            <w:gridSpan w:val="3"/>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40"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single" w:sz="4" w:space="0" w:color="auto"/>
            </w:tcBorders>
          </w:tcPr>
          <w:p w:rsidR="006F4FA2" w:rsidRPr="00F627B2" w:rsidRDefault="006F4FA2">
            <w:pPr>
              <w:spacing w:line="240" w:lineRule="auto"/>
              <w:rPr>
                <w:rFonts w:ascii="Lato" w:hAnsi="Lato"/>
                <w:szCs w:val="22"/>
              </w:rPr>
            </w:pPr>
            <w:r w:rsidRPr="00F627B2">
              <w:rPr>
                <w:rFonts w:ascii="Lato" w:hAnsi="Lato"/>
                <w:szCs w:val="22"/>
              </w:rPr>
              <w:t xml:space="preserve">          (iii) liquidity</w:t>
            </w:r>
          </w:p>
        </w:tc>
        <w:tc>
          <w:tcPr>
            <w:tcW w:w="1120" w:type="dxa"/>
            <w:gridSpan w:val="3"/>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40"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single" w:sz="4" w:space="0" w:color="auto"/>
            </w:tcBorders>
          </w:tcPr>
          <w:p w:rsidR="006F4FA2" w:rsidRPr="00F627B2" w:rsidRDefault="006F4FA2">
            <w:pPr>
              <w:spacing w:line="240" w:lineRule="auto"/>
              <w:rPr>
                <w:rFonts w:ascii="Lato" w:hAnsi="Lato"/>
                <w:szCs w:val="22"/>
              </w:rPr>
            </w:pPr>
            <w:r w:rsidRPr="00F627B2">
              <w:rPr>
                <w:rFonts w:ascii="Lato" w:hAnsi="Lato"/>
                <w:szCs w:val="22"/>
              </w:rPr>
              <w:t xml:space="preserve">          (iv) currency</w:t>
            </w:r>
          </w:p>
        </w:tc>
        <w:tc>
          <w:tcPr>
            <w:tcW w:w="1120" w:type="dxa"/>
            <w:gridSpan w:val="3"/>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40"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single" w:sz="4" w:space="0" w:color="auto"/>
            </w:tcBorders>
          </w:tcPr>
          <w:p w:rsidR="006F4FA2" w:rsidRPr="00F627B2" w:rsidRDefault="006F4FA2">
            <w:pPr>
              <w:spacing w:line="240" w:lineRule="auto"/>
              <w:rPr>
                <w:rFonts w:ascii="Lato" w:hAnsi="Lato"/>
                <w:szCs w:val="22"/>
              </w:rPr>
            </w:pPr>
            <w:r w:rsidRPr="00F627B2">
              <w:rPr>
                <w:rFonts w:ascii="Lato" w:hAnsi="Lato"/>
                <w:szCs w:val="22"/>
              </w:rPr>
              <w:t xml:space="preserve">          (v) accounting standards and </w:t>
            </w:r>
          </w:p>
        </w:tc>
        <w:tc>
          <w:tcPr>
            <w:tcW w:w="1120" w:type="dxa"/>
            <w:gridSpan w:val="3"/>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40"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single" w:sz="4" w:space="0" w:color="auto"/>
            </w:tcBorders>
          </w:tcPr>
          <w:p w:rsidR="006F4FA2" w:rsidRPr="00F627B2" w:rsidRDefault="006F4FA2">
            <w:pPr>
              <w:spacing w:line="240" w:lineRule="auto"/>
              <w:rPr>
                <w:rFonts w:ascii="Lato" w:hAnsi="Lato"/>
                <w:szCs w:val="22"/>
              </w:rPr>
            </w:pPr>
            <w:r w:rsidRPr="00F627B2">
              <w:rPr>
                <w:rFonts w:ascii="Lato" w:hAnsi="Lato"/>
                <w:szCs w:val="22"/>
              </w:rPr>
              <w:t xml:space="preserve">          (vi) custodial risk</w:t>
            </w:r>
          </w:p>
        </w:tc>
        <w:tc>
          <w:tcPr>
            <w:tcW w:w="1120" w:type="dxa"/>
            <w:gridSpan w:val="3"/>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40"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6F4FA2">
            <w:pPr>
              <w:spacing w:line="240" w:lineRule="auto"/>
              <w:rPr>
                <w:rFonts w:ascii="Lato" w:hAnsi="Lato"/>
                <w:szCs w:val="22"/>
              </w:rPr>
            </w:pPr>
          </w:p>
        </w:tc>
        <w:tc>
          <w:tcPr>
            <w:tcW w:w="1120" w:type="dxa"/>
            <w:gridSpan w:val="3"/>
            <w:tcBorders>
              <w:top w:val="single" w:sz="4" w:space="0" w:color="auto"/>
              <w:left w:val="nil"/>
              <w:bottom w:val="single" w:sz="4" w:space="0" w:color="auto"/>
              <w:right w:val="nil"/>
            </w:tcBorders>
          </w:tcPr>
          <w:p w:rsidR="006F4FA2" w:rsidRPr="00F627B2" w:rsidRDefault="006F4FA2">
            <w:pPr>
              <w:spacing w:line="240" w:lineRule="auto"/>
              <w:rPr>
                <w:rFonts w:ascii="Lato" w:hAnsi="Lato"/>
                <w:szCs w:val="22"/>
              </w:rPr>
            </w:pPr>
          </w:p>
        </w:tc>
        <w:tc>
          <w:tcPr>
            <w:tcW w:w="554" w:type="dxa"/>
            <w:gridSpan w:val="3"/>
            <w:tcBorders>
              <w:top w:val="nil"/>
              <w:left w:val="nil"/>
              <w:bottom w:val="nil"/>
              <w:right w:val="nil"/>
            </w:tcBorders>
          </w:tcPr>
          <w:p w:rsidR="006F4FA2" w:rsidRPr="00F627B2" w:rsidRDefault="006F4FA2">
            <w:pPr>
              <w:spacing w:line="240" w:lineRule="auto"/>
              <w:rPr>
                <w:rFonts w:ascii="Lato" w:hAnsi="Lato"/>
                <w:szCs w:val="22"/>
              </w:rPr>
            </w:pPr>
          </w:p>
        </w:tc>
        <w:tc>
          <w:tcPr>
            <w:tcW w:w="1321" w:type="dxa"/>
            <w:gridSpan w:val="7"/>
            <w:tcBorders>
              <w:top w:val="single" w:sz="4" w:space="0" w:color="auto"/>
              <w:left w:val="nil"/>
              <w:bottom w:val="single" w:sz="4" w:space="0" w:color="auto"/>
              <w:right w:val="nil"/>
            </w:tcBorders>
          </w:tcPr>
          <w:p w:rsidR="006F4FA2" w:rsidRPr="00F627B2" w:rsidRDefault="006F4FA2">
            <w:pPr>
              <w:spacing w:line="240" w:lineRule="auto"/>
              <w:rPr>
                <w:rFonts w:ascii="Lato" w:hAnsi="Lato"/>
                <w:szCs w:val="22"/>
              </w:rPr>
            </w:pPr>
          </w:p>
        </w:tc>
        <w:tc>
          <w:tcPr>
            <w:tcW w:w="287"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17" w:type="dxa"/>
            <w:gridSpan w:val="4"/>
            <w:tcBorders>
              <w:top w:val="single" w:sz="4" w:space="0" w:color="auto"/>
              <w:left w:val="nil"/>
              <w:bottom w:val="single" w:sz="4" w:space="0" w:color="auto"/>
              <w:right w:val="nil"/>
            </w:tcBorders>
          </w:tcPr>
          <w:p w:rsidR="006F4FA2" w:rsidRPr="00F627B2" w:rsidRDefault="006F4FA2">
            <w:pPr>
              <w:spacing w:line="240" w:lineRule="auto"/>
              <w:rPr>
                <w:rFonts w:ascii="Lato" w:hAnsi="Lato"/>
                <w:szCs w:val="22"/>
              </w:rPr>
            </w:pPr>
          </w:p>
        </w:tc>
        <w:tc>
          <w:tcPr>
            <w:tcW w:w="240"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r w:rsidRPr="00F627B2">
              <w:rPr>
                <w:rFonts w:ascii="Lato" w:hAnsi="Lato"/>
                <w:szCs w:val="22"/>
              </w:rPr>
              <w:t>c)</w:t>
            </w:r>
          </w:p>
        </w:tc>
        <w:tc>
          <w:tcPr>
            <w:tcW w:w="5493" w:type="dxa"/>
            <w:tcBorders>
              <w:top w:val="nil"/>
              <w:left w:val="nil"/>
              <w:bottom w:val="nil"/>
              <w:right w:val="single" w:sz="4" w:space="0" w:color="auto"/>
            </w:tcBorders>
          </w:tcPr>
          <w:p w:rsidR="006F4FA2" w:rsidRPr="00F627B2" w:rsidRDefault="006F4FA2" w:rsidP="0068485A">
            <w:pPr>
              <w:spacing w:line="240" w:lineRule="auto"/>
              <w:rPr>
                <w:rFonts w:ascii="Lato" w:hAnsi="Lato"/>
                <w:szCs w:val="22"/>
              </w:rPr>
            </w:pPr>
            <w:r w:rsidRPr="00F627B2">
              <w:rPr>
                <w:rFonts w:ascii="Lato" w:hAnsi="Lato"/>
                <w:szCs w:val="22"/>
              </w:rPr>
              <w:t xml:space="preserve">If there is custodial/registration risk, this must </w:t>
            </w:r>
            <w:r w:rsidR="00B40B02" w:rsidRPr="00F627B2">
              <w:rPr>
                <w:rFonts w:ascii="Lato" w:hAnsi="Lato"/>
                <w:szCs w:val="22"/>
              </w:rPr>
              <w:t>also be</w:t>
            </w:r>
          </w:p>
        </w:tc>
        <w:tc>
          <w:tcPr>
            <w:tcW w:w="1120" w:type="dxa"/>
            <w:gridSpan w:val="3"/>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40"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6F4FA2">
            <w:pPr>
              <w:spacing w:line="240" w:lineRule="auto"/>
              <w:rPr>
                <w:rFonts w:ascii="Lato" w:hAnsi="Lato"/>
                <w:szCs w:val="22"/>
              </w:rPr>
            </w:pPr>
            <w:r w:rsidRPr="00F627B2">
              <w:rPr>
                <w:rFonts w:ascii="Lato" w:hAnsi="Lato"/>
                <w:szCs w:val="22"/>
              </w:rPr>
              <w:t>disclosed along with the relevant markets</w:t>
            </w:r>
          </w:p>
        </w:tc>
        <w:tc>
          <w:tcPr>
            <w:tcW w:w="1120" w:type="dxa"/>
            <w:gridSpan w:val="3"/>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554" w:type="dxa"/>
            <w:gridSpan w:val="3"/>
            <w:tcBorders>
              <w:top w:val="nil"/>
              <w:left w:val="nil"/>
              <w:bottom w:val="nil"/>
              <w:right w:val="nil"/>
            </w:tcBorders>
          </w:tcPr>
          <w:p w:rsidR="006F4FA2" w:rsidRPr="00F627B2" w:rsidRDefault="006F4FA2">
            <w:pPr>
              <w:spacing w:line="240" w:lineRule="auto"/>
              <w:rPr>
                <w:rFonts w:ascii="Lato" w:hAnsi="Lato"/>
                <w:szCs w:val="22"/>
              </w:rPr>
            </w:pPr>
          </w:p>
        </w:tc>
        <w:tc>
          <w:tcPr>
            <w:tcW w:w="1321" w:type="dxa"/>
            <w:gridSpan w:val="7"/>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87"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17" w:type="dxa"/>
            <w:gridSpan w:val="4"/>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40"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6F4FA2">
            <w:pPr>
              <w:spacing w:line="240" w:lineRule="auto"/>
              <w:rPr>
                <w:rFonts w:ascii="Lato" w:hAnsi="Lato"/>
                <w:szCs w:val="22"/>
              </w:rPr>
            </w:pPr>
          </w:p>
        </w:tc>
        <w:tc>
          <w:tcPr>
            <w:tcW w:w="1120" w:type="dxa"/>
            <w:gridSpan w:val="3"/>
            <w:tcBorders>
              <w:top w:val="nil"/>
              <w:left w:val="nil"/>
              <w:bottom w:val="nil"/>
              <w:right w:val="nil"/>
            </w:tcBorders>
          </w:tcPr>
          <w:p w:rsidR="006F4FA2" w:rsidRPr="00F627B2" w:rsidRDefault="006F4FA2">
            <w:pPr>
              <w:spacing w:line="240" w:lineRule="auto"/>
              <w:rPr>
                <w:rFonts w:ascii="Lato" w:hAnsi="Lato"/>
                <w:szCs w:val="22"/>
              </w:rPr>
            </w:pPr>
          </w:p>
        </w:tc>
        <w:tc>
          <w:tcPr>
            <w:tcW w:w="554" w:type="dxa"/>
            <w:gridSpan w:val="3"/>
            <w:tcBorders>
              <w:top w:val="nil"/>
              <w:left w:val="nil"/>
              <w:bottom w:val="nil"/>
              <w:right w:val="nil"/>
            </w:tcBorders>
          </w:tcPr>
          <w:p w:rsidR="006F4FA2" w:rsidRPr="00F627B2" w:rsidRDefault="006F4FA2">
            <w:pPr>
              <w:spacing w:line="240" w:lineRule="auto"/>
              <w:rPr>
                <w:rFonts w:ascii="Lato" w:hAnsi="Lato"/>
                <w:szCs w:val="22"/>
              </w:rPr>
            </w:pPr>
          </w:p>
        </w:tc>
        <w:tc>
          <w:tcPr>
            <w:tcW w:w="1321" w:type="dxa"/>
            <w:gridSpan w:val="7"/>
            <w:tcBorders>
              <w:top w:val="nil"/>
              <w:left w:val="nil"/>
              <w:bottom w:val="nil"/>
              <w:right w:val="nil"/>
            </w:tcBorders>
          </w:tcPr>
          <w:p w:rsidR="006F4FA2" w:rsidRPr="00F627B2" w:rsidRDefault="006F4FA2">
            <w:pPr>
              <w:spacing w:line="240" w:lineRule="auto"/>
              <w:rPr>
                <w:rFonts w:ascii="Lato" w:hAnsi="Lato"/>
                <w:szCs w:val="22"/>
              </w:rPr>
            </w:pPr>
          </w:p>
        </w:tc>
        <w:tc>
          <w:tcPr>
            <w:tcW w:w="287"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17"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240"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r w:rsidRPr="00F627B2">
              <w:rPr>
                <w:rFonts w:ascii="Lato" w:hAnsi="Lato"/>
                <w:szCs w:val="22"/>
              </w:rPr>
              <w:t>d)</w:t>
            </w:r>
          </w:p>
        </w:tc>
        <w:tc>
          <w:tcPr>
            <w:tcW w:w="5493" w:type="dxa"/>
            <w:tcBorders>
              <w:top w:val="nil"/>
              <w:left w:val="nil"/>
              <w:bottom w:val="nil"/>
              <w:right w:val="nil"/>
            </w:tcBorders>
          </w:tcPr>
          <w:p w:rsidR="006F4FA2" w:rsidRPr="00F627B2" w:rsidRDefault="006F4FA2">
            <w:pPr>
              <w:spacing w:line="240" w:lineRule="auto"/>
              <w:rPr>
                <w:rFonts w:ascii="Lato" w:hAnsi="Lato"/>
                <w:szCs w:val="22"/>
              </w:rPr>
            </w:pPr>
            <w:r w:rsidRPr="00F627B2">
              <w:rPr>
                <w:rFonts w:ascii="Lato" w:hAnsi="Lato"/>
                <w:szCs w:val="22"/>
              </w:rPr>
              <w:t>Investment in Russia</w:t>
            </w:r>
          </w:p>
        </w:tc>
        <w:tc>
          <w:tcPr>
            <w:tcW w:w="1120" w:type="dxa"/>
            <w:gridSpan w:val="3"/>
            <w:tcBorders>
              <w:top w:val="nil"/>
              <w:left w:val="nil"/>
              <w:bottom w:val="nil"/>
              <w:right w:val="nil"/>
            </w:tcBorders>
          </w:tcPr>
          <w:p w:rsidR="006F4FA2" w:rsidRPr="00F627B2" w:rsidRDefault="006F4FA2">
            <w:pPr>
              <w:spacing w:line="240" w:lineRule="auto"/>
              <w:rPr>
                <w:rFonts w:ascii="Lato" w:hAnsi="Lato"/>
                <w:szCs w:val="22"/>
              </w:rPr>
            </w:pPr>
          </w:p>
        </w:tc>
        <w:tc>
          <w:tcPr>
            <w:tcW w:w="554" w:type="dxa"/>
            <w:gridSpan w:val="3"/>
            <w:tcBorders>
              <w:top w:val="nil"/>
              <w:left w:val="nil"/>
              <w:bottom w:val="nil"/>
              <w:right w:val="nil"/>
            </w:tcBorders>
          </w:tcPr>
          <w:p w:rsidR="006F4FA2" w:rsidRPr="00F627B2" w:rsidRDefault="006F4FA2">
            <w:pPr>
              <w:spacing w:line="240" w:lineRule="auto"/>
              <w:rPr>
                <w:rFonts w:ascii="Lato" w:hAnsi="Lato"/>
                <w:szCs w:val="22"/>
              </w:rPr>
            </w:pPr>
          </w:p>
        </w:tc>
        <w:tc>
          <w:tcPr>
            <w:tcW w:w="1321" w:type="dxa"/>
            <w:gridSpan w:val="7"/>
            <w:tcBorders>
              <w:top w:val="nil"/>
              <w:left w:val="nil"/>
              <w:bottom w:val="nil"/>
              <w:right w:val="nil"/>
            </w:tcBorders>
          </w:tcPr>
          <w:p w:rsidR="006F4FA2" w:rsidRPr="00F627B2" w:rsidRDefault="006F4FA2">
            <w:pPr>
              <w:spacing w:line="240" w:lineRule="auto"/>
              <w:rPr>
                <w:rFonts w:ascii="Lato" w:hAnsi="Lato"/>
                <w:szCs w:val="22"/>
              </w:rPr>
            </w:pPr>
          </w:p>
        </w:tc>
        <w:tc>
          <w:tcPr>
            <w:tcW w:w="287"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17"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240"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single" w:sz="4" w:space="0" w:color="auto"/>
            </w:tcBorders>
          </w:tcPr>
          <w:p w:rsidR="006F4FA2" w:rsidRPr="00F627B2" w:rsidRDefault="006F4FA2" w:rsidP="00A3401E">
            <w:pPr>
              <w:spacing w:line="240" w:lineRule="auto"/>
              <w:rPr>
                <w:rFonts w:ascii="Lato" w:hAnsi="Lato"/>
                <w:szCs w:val="22"/>
              </w:rPr>
            </w:pPr>
            <w:r w:rsidRPr="00F627B2">
              <w:rPr>
                <w:rFonts w:ascii="Lato" w:hAnsi="Lato"/>
                <w:szCs w:val="22"/>
              </w:rPr>
              <w:t xml:space="preserve">Disclose the particular risk factors associated </w:t>
            </w:r>
            <w:r w:rsidR="00B40B02" w:rsidRPr="00F627B2">
              <w:rPr>
                <w:rFonts w:ascii="Lato" w:hAnsi="Lato"/>
                <w:szCs w:val="22"/>
              </w:rPr>
              <w:t xml:space="preserve">with </w:t>
            </w:r>
          </w:p>
        </w:tc>
        <w:tc>
          <w:tcPr>
            <w:tcW w:w="1120" w:type="dxa"/>
            <w:gridSpan w:val="3"/>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F4FA2" w:rsidRPr="00F627B2" w:rsidRDefault="006F4FA2">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6F4FA2" w:rsidRPr="00F627B2" w:rsidRDefault="006F4FA2">
            <w:pPr>
              <w:spacing w:line="240" w:lineRule="auto"/>
              <w:rPr>
                <w:rFonts w:ascii="Lato" w:hAnsi="Lato"/>
                <w:szCs w:val="22"/>
              </w:rPr>
            </w:pPr>
          </w:p>
        </w:tc>
        <w:tc>
          <w:tcPr>
            <w:tcW w:w="240" w:type="dxa"/>
            <w:gridSpan w:val="4"/>
            <w:tcBorders>
              <w:top w:val="nil"/>
              <w:left w:val="single" w:sz="4" w:space="0" w:color="auto"/>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4F01CA">
            <w:pPr>
              <w:spacing w:line="240" w:lineRule="auto"/>
              <w:rPr>
                <w:rFonts w:ascii="Lato" w:hAnsi="Lato"/>
                <w:szCs w:val="22"/>
              </w:rPr>
            </w:pPr>
            <w:r w:rsidRPr="001E4A73">
              <w:rPr>
                <w:rFonts w:ascii="Lato" w:hAnsi="Lato"/>
                <w:szCs w:val="22"/>
              </w:rPr>
              <w:t>Russian</w:t>
            </w:r>
            <w:r w:rsidRPr="00A3401E">
              <w:rPr>
                <w:rFonts w:ascii="Lato" w:hAnsi="Lato"/>
                <w:szCs w:val="22"/>
              </w:rPr>
              <w:t xml:space="preserve"> </w:t>
            </w:r>
            <w:r w:rsidR="006F4FA2" w:rsidRPr="00F627B2">
              <w:rPr>
                <w:rFonts w:ascii="Lato" w:hAnsi="Lato"/>
                <w:szCs w:val="22"/>
              </w:rPr>
              <w:t>investment, in particular corporate governance and investor protection issues</w:t>
            </w:r>
            <w:r w:rsidR="006F4FA2" w:rsidRPr="00F627B2">
              <w:rPr>
                <w:rFonts w:ascii="Lato" w:hAnsi="Lato"/>
                <w:szCs w:val="22"/>
              </w:rPr>
              <w:tab/>
            </w:r>
          </w:p>
        </w:tc>
        <w:tc>
          <w:tcPr>
            <w:tcW w:w="1120" w:type="dxa"/>
            <w:gridSpan w:val="3"/>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554" w:type="dxa"/>
            <w:gridSpan w:val="3"/>
            <w:tcBorders>
              <w:top w:val="nil"/>
              <w:left w:val="nil"/>
              <w:bottom w:val="nil"/>
              <w:right w:val="nil"/>
            </w:tcBorders>
          </w:tcPr>
          <w:p w:rsidR="006F4FA2" w:rsidRPr="00F627B2" w:rsidRDefault="006F4FA2">
            <w:pPr>
              <w:spacing w:line="240" w:lineRule="auto"/>
              <w:rPr>
                <w:rFonts w:ascii="Lato" w:hAnsi="Lato"/>
                <w:szCs w:val="22"/>
              </w:rPr>
            </w:pPr>
          </w:p>
        </w:tc>
        <w:tc>
          <w:tcPr>
            <w:tcW w:w="1321" w:type="dxa"/>
            <w:gridSpan w:val="7"/>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87"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17" w:type="dxa"/>
            <w:gridSpan w:val="4"/>
            <w:tcBorders>
              <w:top w:val="single" w:sz="4" w:space="0" w:color="auto"/>
              <w:left w:val="nil"/>
              <w:bottom w:val="nil"/>
              <w:right w:val="nil"/>
            </w:tcBorders>
          </w:tcPr>
          <w:p w:rsidR="006F4FA2" w:rsidRPr="00F627B2" w:rsidRDefault="006F4FA2">
            <w:pPr>
              <w:spacing w:line="240" w:lineRule="auto"/>
              <w:rPr>
                <w:rFonts w:ascii="Lato" w:hAnsi="Lato"/>
                <w:szCs w:val="22"/>
              </w:rPr>
            </w:pPr>
          </w:p>
        </w:tc>
        <w:tc>
          <w:tcPr>
            <w:tcW w:w="240"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AC467B" w:rsidRPr="00F627B2" w:rsidTr="00F627B2">
        <w:trPr>
          <w:gridAfter w:val="2"/>
          <w:wAfter w:w="15" w:type="dxa"/>
        </w:trPr>
        <w:tc>
          <w:tcPr>
            <w:tcW w:w="1107" w:type="dxa"/>
            <w:tcBorders>
              <w:top w:val="nil"/>
              <w:left w:val="nil"/>
              <w:bottom w:val="nil"/>
              <w:right w:val="nil"/>
            </w:tcBorders>
          </w:tcPr>
          <w:p w:rsidR="006F4FA2" w:rsidRPr="00F627B2" w:rsidRDefault="006F4FA2">
            <w:pPr>
              <w:spacing w:line="240" w:lineRule="auto"/>
              <w:rPr>
                <w:rFonts w:ascii="Lato" w:hAnsi="Lato"/>
                <w:szCs w:val="22"/>
              </w:rPr>
            </w:pPr>
          </w:p>
        </w:tc>
        <w:tc>
          <w:tcPr>
            <w:tcW w:w="5493" w:type="dxa"/>
            <w:tcBorders>
              <w:top w:val="nil"/>
              <w:left w:val="nil"/>
              <w:bottom w:val="nil"/>
              <w:right w:val="nil"/>
            </w:tcBorders>
          </w:tcPr>
          <w:p w:rsidR="006F4FA2" w:rsidRPr="00F627B2" w:rsidRDefault="006F4FA2">
            <w:pPr>
              <w:spacing w:line="240" w:lineRule="auto"/>
              <w:rPr>
                <w:rFonts w:ascii="Lato" w:hAnsi="Lato"/>
                <w:szCs w:val="22"/>
              </w:rPr>
            </w:pPr>
          </w:p>
        </w:tc>
        <w:tc>
          <w:tcPr>
            <w:tcW w:w="1120" w:type="dxa"/>
            <w:gridSpan w:val="3"/>
            <w:tcBorders>
              <w:top w:val="nil"/>
              <w:left w:val="nil"/>
              <w:bottom w:val="nil"/>
              <w:right w:val="nil"/>
            </w:tcBorders>
          </w:tcPr>
          <w:p w:rsidR="006F4FA2" w:rsidRPr="00F627B2" w:rsidRDefault="006F4FA2">
            <w:pPr>
              <w:spacing w:line="240" w:lineRule="auto"/>
              <w:rPr>
                <w:rFonts w:ascii="Lato" w:hAnsi="Lato"/>
                <w:szCs w:val="22"/>
              </w:rPr>
            </w:pPr>
          </w:p>
        </w:tc>
        <w:tc>
          <w:tcPr>
            <w:tcW w:w="554" w:type="dxa"/>
            <w:gridSpan w:val="3"/>
            <w:tcBorders>
              <w:top w:val="nil"/>
              <w:left w:val="nil"/>
              <w:bottom w:val="nil"/>
              <w:right w:val="nil"/>
            </w:tcBorders>
          </w:tcPr>
          <w:p w:rsidR="006F4FA2" w:rsidRPr="00F627B2" w:rsidRDefault="006F4FA2">
            <w:pPr>
              <w:spacing w:line="240" w:lineRule="auto"/>
              <w:rPr>
                <w:rFonts w:ascii="Lato" w:hAnsi="Lato"/>
                <w:szCs w:val="22"/>
              </w:rPr>
            </w:pPr>
          </w:p>
        </w:tc>
        <w:tc>
          <w:tcPr>
            <w:tcW w:w="1321" w:type="dxa"/>
            <w:gridSpan w:val="7"/>
            <w:tcBorders>
              <w:top w:val="nil"/>
              <w:left w:val="nil"/>
              <w:bottom w:val="nil"/>
              <w:right w:val="nil"/>
            </w:tcBorders>
          </w:tcPr>
          <w:p w:rsidR="006F4FA2" w:rsidRPr="00F627B2" w:rsidRDefault="006F4FA2">
            <w:pPr>
              <w:spacing w:line="240" w:lineRule="auto"/>
              <w:rPr>
                <w:rFonts w:ascii="Lato" w:hAnsi="Lato"/>
                <w:szCs w:val="22"/>
              </w:rPr>
            </w:pPr>
          </w:p>
        </w:tc>
        <w:tc>
          <w:tcPr>
            <w:tcW w:w="287" w:type="dxa"/>
            <w:gridSpan w:val="6"/>
            <w:tcBorders>
              <w:top w:val="nil"/>
              <w:left w:val="nil"/>
              <w:bottom w:val="nil"/>
              <w:right w:val="nil"/>
            </w:tcBorders>
          </w:tcPr>
          <w:p w:rsidR="006F4FA2" w:rsidRPr="00F627B2" w:rsidRDefault="006F4FA2">
            <w:pPr>
              <w:spacing w:line="240" w:lineRule="auto"/>
              <w:rPr>
                <w:rFonts w:ascii="Lato" w:hAnsi="Lato"/>
                <w:szCs w:val="22"/>
              </w:rPr>
            </w:pPr>
          </w:p>
        </w:tc>
        <w:tc>
          <w:tcPr>
            <w:tcW w:w="717"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240" w:type="dxa"/>
            <w:gridSpan w:val="4"/>
            <w:tcBorders>
              <w:top w:val="nil"/>
              <w:left w:val="nil"/>
              <w:bottom w:val="nil"/>
              <w:right w:val="nil"/>
            </w:tcBorders>
          </w:tcPr>
          <w:p w:rsidR="006F4FA2" w:rsidRPr="00F627B2" w:rsidRDefault="006F4FA2">
            <w:pPr>
              <w:spacing w:line="240" w:lineRule="auto"/>
              <w:rPr>
                <w:rFonts w:ascii="Lato" w:hAnsi="Lato"/>
                <w:szCs w:val="22"/>
              </w:rPr>
            </w:pPr>
          </w:p>
        </w:tc>
        <w:tc>
          <w:tcPr>
            <w:tcW w:w="636" w:type="dxa"/>
            <w:gridSpan w:val="7"/>
            <w:tcBorders>
              <w:top w:val="nil"/>
              <w:left w:val="nil"/>
              <w:bottom w:val="nil"/>
              <w:right w:val="nil"/>
            </w:tcBorders>
          </w:tcPr>
          <w:p w:rsidR="006F4FA2" w:rsidRPr="00F627B2" w:rsidRDefault="006F4FA2">
            <w:pPr>
              <w:spacing w:line="240" w:lineRule="auto"/>
              <w:rPr>
                <w:rFonts w:ascii="Lato" w:hAnsi="Lato"/>
                <w:szCs w:val="22"/>
              </w:rPr>
            </w:pPr>
          </w:p>
        </w:tc>
      </w:tr>
      <w:tr w:rsidR="00090395" w:rsidRPr="00F627B2" w:rsidTr="00F627B2">
        <w:trPr>
          <w:gridAfter w:val="2"/>
          <w:wAfter w:w="15" w:type="dxa"/>
        </w:trPr>
        <w:tc>
          <w:tcPr>
            <w:tcW w:w="1107" w:type="dxa"/>
            <w:tcBorders>
              <w:top w:val="nil"/>
              <w:left w:val="nil"/>
              <w:bottom w:val="nil"/>
              <w:right w:val="nil"/>
            </w:tcBorders>
          </w:tcPr>
          <w:p w:rsidR="00090395" w:rsidRPr="00F627B2" w:rsidRDefault="00090395">
            <w:pPr>
              <w:spacing w:line="240" w:lineRule="auto"/>
              <w:rPr>
                <w:rFonts w:ascii="Lato" w:hAnsi="Lato"/>
                <w:szCs w:val="22"/>
              </w:rPr>
            </w:pPr>
            <w:r w:rsidRPr="00F627B2">
              <w:rPr>
                <w:rFonts w:ascii="Lato" w:hAnsi="Lato"/>
                <w:szCs w:val="22"/>
              </w:rPr>
              <w:t>e)</w:t>
            </w:r>
          </w:p>
        </w:tc>
        <w:tc>
          <w:tcPr>
            <w:tcW w:w="5493" w:type="dxa"/>
            <w:tcBorders>
              <w:top w:val="nil"/>
              <w:left w:val="nil"/>
              <w:bottom w:val="nil"/>
              <w:right w:val="nil"/>
            </w:tcBorders>
          </w:tcPr>
          <w:p w:rsidR="00090395" w:rsidRPr="00F627B2" w:rsidRDefault="00090395">
            <w:pPr>
              <w:spacing w:line="240" w:lineRule="auto"/>
              <w:rPr>
                <w:rFonts w:ascii="Lato" w:hAnsi="Lato"/>
                <w:szCs w:val="22"/>
              </w:rPr>
            </w:pPr>
            <w:r w:rsidRPr="00F627B2">
              <w:rPr>
                <w:rFonts w:ascii="Lato" w:hAnsi="Lato"/>
              </w:rPr>
              <w:t>Investment in Split Capital Investment Trusts</w:t>
            </w:r>
          </w:p>
        </w:tc>
        <w:tc>
          <w:tcPr>
            <w:tcW w:w="1120" w:type="dxa"/>
            <w:gridSpan w:val="3"/>
            <w:tcBorders>
              <w:top w:val="nil"/>
              <w:left w:val="nil"/>
              <w:bottom w:val="single" w:sz="4" w:space="0" w:color="auto"/>
              <w:right w:val="nil"/>
            </w:tcBorders>
          </w:tcPr>
          <w:p w:rsidR="00090395" w:rsidRPr="00F627B2" w:rsidRDefault="00090395">
            <w:pPr>
              <w:spacing w:line="240" w:lineRule="auto"/>
              <w:rPr>
                <w:rFonts w:ascii="Lato" w:hAnsi="Lato"/>
                <w:szCs w:val="22"/>
              </w:rPr>
            </w:pPr>
          </w:p>
        </w:tc>
        <w:tc>
          <w:tcPr>
            <w:tcW w:w="554" w:type="dxa"/>
            <w:gridSpan w:val="3"/>
            <w:tcBorders>
              <w:top w:val="nil"/>
              <w:left w:val="nil"/>
              <w:bottom w:val="nil"/>
              <w:right w:val="nil"/>
            </w:tcBorders>
          </w:tcPr>
          <w:p w:rsidR="00090395" w:rsidRPr="00F627B2" w:rsidRDefault="00090395">
            <w:pPr>
              <w:spacing w:line="240" w:lineRule="auto"/>
              <w:rPr>
                <w:rFonts w:ascii="Lato" w:hAnsi="Lato"/>
                <w:szCs w:val="22"/>
              </w:rPr>
            </w:pPr>
          </w:p>
        </w:tc>
        <w:tc>
          <w:tcPr>
            <w:tcW w:w="1321" w:type="dxa"/>
            <w:gridSpan w:val="7"/>
            <w:tcBorders>
              <w:top w:val="nil"/>
              <w:left w:val="nil"/>
              <w:bottom w:val="single" w:sz="4" w:space="0" w:color="auto"/>
              <w:right w:val="nil"/>
            </w:tcBorders>
          </w:tcPr>
          <w:p w:rsidR="00090395" w:rsidRPr="00F627B2" w:rsidRDefault="00090395">
            <w:pPr>
              <w:spacing w:line="240" w:lineRule="auto"/>
              <w:rPr>
                <w:rFonts w:ascii="Lato" w:hAnsi="Lato"/>
                <w:szCs w:val="22"/>
              </w:rPr>
            </w:pPr>
          </w:p>
        </w:tc>
        <w:tc>
          <w:tcPr>
            <w:tcW w:w="287" w:type="dxa"/>
            <w:gridSpan w:val="6"/>
            <w:tcBorders>
              <w:top w:val="nil"/>
              <w:left w:val="nil"/>
              <w:bottom w:val="nil"/>
              <w:right w:val="nil"/>
            </w:tcBorders>
          </w:tcPr>
          <w:p w:rsidR="00090395" w:rsidRPr="00F627B2" w:rsidRDefault="00090395">
            <w:pPr>
              <w:spacing w:line="240" w:lineRule="auto"/>
              <w:rPr>
                <w:rFonts w:ascii="Lato" w:hAnsi="Lato"/>
                <w:szCs w:val="22"/>
              </w:rPr>
            </w:pPr>
          </w:p>
        </w:tc>
        <w:tc>
          <w:tcPr>
            <w:tcW w:w="717" w:type="dxa"/>
            <w:gridSpan w:val="4"/>
            <w:tcBorders>
              <w:top w:val="nil"/>
              <w:left w:val="nil"/>
              <w:bottom w:val="single" w:sz="4" w:space="0" w:color="auto"/>
              <w:right w:val="nil"/>
            </w:tcBorders>
          </w:tcPr>
          <w:p w:rsidR="00090395" w:rsidRPr="00F627B2" w:rsidRDefault="00090395">
            <w:pPr>
              <w:spacing w:line="240" w:lineRule="auto"/>
              <w:rPr>
                <w:rFonts w:ascii="Lato" w:hAnsi="Lato"/>
                <w:szCs w:val="22"/>
              </w:rPr>
            </w:pPr>
          </w:p>
        </w:tc>
        <w:tc>
          <w:tcPr>
            <w:tcW w:w="240" w:type="dxa"/>
            <w:gridSpan w:val="4"/>
            <w:tcBorders>
              <w:top w:val="nil"/>
              <w:left w:val="nil"/>
              <w:bottom w:val="nil"/>
              <w:right w:val="nil"/>
            </w:tcBorders>
          </w:tcPr>
          <w:p w:rsidR="00090395" w:rsidRPr="00F627B2" w:rsidRDefault="00090395">
            <w:pPr>
              <w:spacing w:line="240" w:lineRule="auto"/>
              <w:rPr>
                <w:rFonts w:ascii="Lato" w:hAnsi="Lato"/>
                <w:szCs w:val="22"/>
              </w:rPr>
            </w:pPr>
          </w:p>
        </w:tc>
        <w:tc>
          <w:tcPr>
            <w:tcW w:w="636" w:type="dxa"/>
            <w:gridSpan w:val="7"/>
            <w:tcBorders>
              <w:top w:val="nil"/>
              <w:left w:val="nil"/>
              <w:bottom w:val="nil"/>
              <w:right w:val="nil"/>
            </w:tcBorders>
          </w:tcPr>
          <w:p w:rsidR="00090395" w:rsidRPr="00F627B2" w:rsidRDefault="00090395">
            <w:pPr>
              <w:spacing w:line="240" w:lineRule="auto"/>
              <w:rPr>
                <w:rFonts w:ascii="Lato" w:hAnsi="Lato"/>
                <w:szCs w:val="22"/>
              </w:rPr>
            </w:pPr>
          </w:p>
        </w:tc>
      </w:tr>
      <w:tr w:rsidR="00090395" w:rsidRPr="00F627B2" w:rsidTr="00F627B2">
        <w:trPr>
          <w:gridAfter w:val="2"/>
          <w:wAfter w:w="15" w:type="dxa"/>
        </w:trPr>
        <w:tc>
          <w:tcPr>
            <w:tcW w:w="1107" w:type="dxa"/>
            <w:tcBorders>
              <w:top w:val="nil"/>
              <w:left w:val="nil"/>
              <w:bottom w:val="nil"/>
              <w:right w:val="nil"/>
            </w:tcBorders>
          </w:tcPr>
          <w:p w:rsidR="00090395" w:rsidRPr="00F627B2" w:rsidRDefault="00090395">
            <w:pPr>
              <w:spacing w:line="240" w:lineRule="auto"/>
              <w:rPr>
                <w:rFonts w:ascii="Lato" w:hAnsi="Lato"/>
                <w:szCs w:val="22"/>
              </w:rPr>
            </w:pPr>
          </w:p>
        </w:tc>
        <w:tc>
          <w:tcPr>
            <w:tcW w:w="5493" w:type="dxa"/>
            <w:tcBorders>
              <w:top w:val="nil"/>
              <w:left w:val="nil"/>
              <w:bottom w:val="nil"/>
              <w:right w:val="single" w:sz="4" w:space="0" w:color="auto"/>
            </w:tcBorders>
          </w:tcPr>
          <w:p w:rsidR="00090395" w:rsidRPr="00F627B2" w:rsidRDefault="00090395" w:rsidP="00A3401E">
            <w:pPr>
              <w:spacing w:line="240" w:lineRule="auto"/>
              <w:rPr>
                <w:rFonts w:ascii="Lato" w:hAnsi="Lato"/>
                <w:szCs w:val="22"/>
              </w:rPr>
            </w:pPr>
            <w:r w:rsidRPr="00F627B2">
              <w:rPr>
                <w:rFonts w:ascii="Lato" w:hAnsi="Lato"/>
              </w:rPr>
              <w:t xml:space="preserve">Disclose specific risks of these types of investments </w:t>
            </w:r>
          </w:p>
        </w:tc>
        <w:tc>
          <w:tcPr>
            <w:tcW w:w="1120" w:type="dxa"/>
            <w:gridSpan w:val="3"/>
            <w:tcBorders>
              <w:top w:val="single" w:sz="4" w:space="0" w:color="auto"/>
              <w:left w:val="single" w:sz="4" w:space="0" w:color="auto"/>
              <w:bottom w:val="single" w:sz="4" w:space="0" w:color="auto"/>
              <w:right w:val="single" w:sz="4" w:space="0" w:color="auto"/>
            </w:tcBorders>
          </w:tcPr>
          <w:p w:rsidR="00090395" w:rsidRPr="00F627B2" w:rsidRDefault="00090395">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090395" w:rsidRPr="00F627B2" w:rsidRDefault="00090395">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090395" w:rsidRPr="00F627B2" w:rsidRDefault="00090395">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090395" w:rsidRPr="00F627B2" w:rsidRDefault="00090395">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090395" w:rsidRPr="00F627B2" w:rsidRDefault="00090395">
            <w:pPr>
              <w:spacing w:line="240" w:lineRule="auto"/>
              <w:rPr>
                <w:rFonts w:ascii="Lato" w:hAnsi="Lato"/>
                <w:szCs w:val="22"/>
              </w:rPr>
            </w:pPr>
          </w:p>
        </w:tc>
        <w:tc>
          <w:tcPr>
            <w:tcW w:w="240" w:type="dxa"/>
            <w:gridSpan w:val="4"/>
            <w:tcBorders>
              <w:top w:val="nil"/>
              <w:left w:val="single" w:sz="4" w:space="0" w:color="auto"/>
              <w:bottom w:val="nil"/>
              <w:right w:val="nil"/>
            </w:tcBorders>
          </w:tcPr>
          <w:p w:rsidR="00090395" w:rsidRPr="00F627B2" w:rsidRDefault="00090395">
            <w:pPr>
              <w:spacing w:line="240" w:lineRule="auto"/>
              <w:rPr>
                <w:rFonts w:ascii="Lato" w:hAnsi="Lato"/>
                <w:szCs w:val="22"/>
              </w:rPr>
            </w:pPr>
          </w:p>
        </w:tc>
        <w:tc>
          <w:tcPr>
            <w:tcW w:w="636" w:type="dxa"/>
            <w:gridSpan w:val="7"/>
            <w:tcBorders>
              <w:top w:val="nil"/>
              <w:left w:val="nil"/>
              <w:bottom w:val="nil"/>
              <w:right w:val="nil"/>
            </w:tcBorders>
          </w:tcPr>
          <w:p w:rsidR="00090395" w:rsidRPr="00F627B2" w:rsidRDefault="00090395">
            <w:pPr>
              <w:spacing w:line="240" w:lineRule="auto"/>
              <w:rPr>
                <w:rFonts w:ascii="Lato" w:hAnsi="Lato"/>
                <w:szCs w:val="22"/>
              </w:rPr>
            </w:pPr>
          </w:p>
        </w:tc>
      </w:tr>
      <w:tr w:rsidR="00090395" w:rsidRPr="00F627B2" w:rsidTr="00F627B2">
        <w:trPr>
          <w:gridAfter w:val="2"/>
          <w:wAfter w:w="15" w:type="dxa"/>
        </w:trPr>
        <w:tc>
          <w:tcPr>
            <w:tcW w:w="1107" w:type="dxa"/>
            <w:tcBorders>
              <w:top w:val="nil"/>
              <w:left w:val="nil"/>
              <w:bottom w:val="nil"/>
              <w:right w:val="nil"/>
            </w:tcBorders>
          </w:tcPr>
          <w:p w:rsidR="00090395" w:rsidRPr="00F627B2" w:rsidRDefault="00090395">
            <w:pPr>
              <w:spacing w:line="240" w:lineRule="auto"/>
              <w:rPr>
                <w:rFonts w:ascii="Lato" w:hAnsi="Lato"/>
                <w:szCs w:val="22"/>
              </w:rPr>
            </w:pPr>
          </w:p>
        </w:tc>
        <w:tc>
          <w:tcPr>
            <w:tcW w:w="5493" w:type="dxa"/>
            <w:tcBorders>
              <w:top w:val="nil"/>
              <w:left w:val="nil"/>
              <w:bottom w:val="nil"/>
              <w:right w:val="nil"/>
            </w:tcBorders>
          </w:tcPr>
          <w:p w:rsidR="00090395" w:rsidRPr="00F627B2" w:rsidRDefault="004F01CA">
            <w:pPr>
              <w:spacing w:line="240" w:lineRule="auto"/>
              <w:rPr>
                <w:rFonts w:ascii="Lato" w:hAnsi="Lato"/>
                <w:szCs w:val="22"/>
              </w:rPr>
            </w:pPr>
            <w:r w:rsidRPr="001E4A73">
              <w:rPr>
                <w:rFonts w:ascii="Lato" w:hAnsi="Lato"/>
              </w:rPr>
              <w:t>(i.e.</w:t>
            </w:r>
            <w:r w:rsidR="00090395" w:rsidRPr="00F627B2">
              <w:rPr>
                <w:rFonts w:ascii="Lato" w:hAnsi="Lato"/>
              </w:rPr>
              <w:t>characteristics of different share classes, gearing levels, etc.)</w:t>
            </w:r>
          </w:p>
        </w:tc>
        <w:tc>
          <w:tcPr>
            <w:tcW w:w="1120" w:type="dxa"/>
            <w:gridSpan w:val="3"/>
            <w:tcBorders>
              <w:top w:val="single" w:sz="4" w:space="0" w:color="auto"/>
              <w:left w:val="nil"/>
              <w:bottom w:val="nil"/>
              <w:right w:val="nil"/>
            </w:tcBorders>
          </w:tcPr>
          <w:p w:rsidR="00090395" w:rsidRPr="00F627B2" w:rsidRDefault="00090395">
            <w:pPr>
              <w:spacing w:line="240" w:lineRule="auto"/>
              <w:rPr>
                <w:rFonts w:ascii="Lato" w:hAnsi="Lato"/>
                <w:szCs w:val="22"/>
              </w:rPr>
            </w:pPr>
          </w:p>
        </w:tc>
        <w:tc>
          <w:tcPr>
            <w:tcW w:w="554" w:type="dxa"/>
            <w:gridSpan w:val="3"/>
            <w:tcBorders>
              <w:top w:val="nil"/>
              <w:left w:val="nil"/>
              <w:bottom w:val="nil"/>
              <w:right w:val="nil"/>
            </w:tcBorders>
          </w:tcPr>
          <w:p w:rsidR="00090395" w:rsidRPr="00F627B2" w:rsidRDefault="00090395">
            <w:pPr>
              <w:spacing w:line="240" w:lineRule="auto"/>
              <w:rPr>
                <w:rFonts w:ascii="Lato" w:hAnsi="Lato"/>
                <w:szCs w:val="22"/>
              </w:rPr>
            </w:pPr>
          </w:p>
        </w:tc>
        <w:tc>
          <w:tcPr>
            <w:tcW w:w="1321" w:type="dxa"/>
            <w:gridSpan w:val="7"/>
            <w:tcBorders>
              <w:top w:val="single" w:sz="4" w:space="0" w:color="auto"/>
              <w:left w:val="nil"/>
              <w:bottom w:val="nil"/>
              <w:right w:val="nil"/>
            </w:tcBorders>
          </w:tcPr>
          <w:p w:rsidR="00090395" w:rsidRPr="00F627B2" w:rsidRDefault="00090395">
            <w:pPr>
              <w:spacing w:line="240" w:lineRule="auto"/>
              <w:rPr>
                <w:rFonts w:ascii="Lato" w:hAnsi="Lato"/>
                <w:szCs w:val="22"/>
              </w:rPr>
            </w:pPr>
          </w:p>
        </w:tc>
        <w:tc>
          <w:tcPr>
            <w:tcW w:w="287" w:type="dxa"/>
            <w:gridSpan w:val="6"/>
            <w:tcBorders>
              <w:top w:val="nil"/>
              <w:left w:val="nil"/>
              <w:bottom w:val="nil"/>
              <w:right w:val="nil"/>
            </w:tcBorders>
          </w:tcPr>
          <w:p w:rsidR="00090395" w:rsidRPr="00F627B2" w:rsidRDefault="00090395">
            <w:pPr>
              <w:spacing w:line="240" w:lineRule="auto"/>
              <w:rPr>
                <w:rFonts w:ascii="Lato" w:hAnsi="Lato"/>
                <w:szCs w:val="22"/>
              </w:rPr>
            </w:pPr>
          </w:p>
        </w:tc>
        <w:tc>
          <w:tcPr>
            <w:tcW w:w="717" w:type="dxa"/>
            <w:gridSpan w:val="4"/>
            <w:tcBorders>
              <w:top w:val="single" w:sz="4" w:space="0" w:color="auto"/>
              <w:left w:val="nil"/>
              <w:bottom w:val="nil"/>
              <w:right w:val="nil"/>
            </w:tcBorders>
          </w:tcPr>
          <w:p w:rsidR="00090395" w:rsidRPr="00F627B2" w:rsidRDefault="00090395">
            <w:pPr>
              <w:spacing w:line="240" w:lineRule="auto"/>
              <w:rPr>
                <w:rFonts w:ascii="Lato" w:hAnsi="Lato"/>
                <w:szCs w:val="22"/>
              </w:rPr>
            </w:pPr>
          </w:p>
        </w:tc>
        <w:tc>
          <w:tcPr>
            <w:tcW w:w="240" w:type="dxa"/>
            <w:gridSpan w:val="4"/>
            <w:tcBorders>
              <w:top w:val="nil"/>
              <w:left w:val="nil"/>
              <w:bottom w:val="nil"/>
              <w:right w:val="nil"/>
            </w:tcBorders>
          </w:tcPr>
          <w:p w:rsidR="00090395" w:rsidRPr="00F627B2" w:rsidRDefault="00090395">
            <w:pPr>
              <w:spacing w:line="240" w:lineRule="auto"/>
              <w:rPr>
                <w:rFonts w:ascii="Lato" w:hAnsi="Lato"/>
                <w:szCs w:val="22"/>
              </w:rPr>
            </w:pPr>
          </w:p>
        </w:tc>
        <w:tc>
          <w:tcPr>
            <w:tcW w:w="636" w:type="dxa"/>
            <w:gridSpan w:val="7"/>
            <w:tcBorders>
              <w:top w:val="nil"/>
              <w:left w:val="nil"/>
              <w:bottom w:val="nil"/>
              <w:right w:val="nil"/>
            </w:tcBorders>
          </w:tcPr>
          <w:p w:rsidR="00573176" w:rsidRPr="00F627B2" w:rsidRDefault="00573176">
            <w:pPr>
              <w:spacing w:line="240" w:lineRule="auto"/>
              <w:rPr>
                <w:rFonts w:ascii="Lato" w:hAnsi="Lato"/>
                <w:szCs w:val="22"/>
              </w:rPr>
            </w:pPr>
          </w:p>
        </w:tc>
      </w:tr>
      <w:tr w:rsidR="00090395" w:rsidRPr="00F627B2" w:rsidTr="00F627B2">
        <w:trPr>
          <w:gridAfter w:val="2"/>
          <w:wAfter w:w="15" w:type="dxa"/>
        </w:trPr>
        <w:tc>
          <w:tcPr>
            <w:tcW w:w="1107" w:type="dxa"/>
            <w:tcBorders>
              <w:top w:val="nil"/>
              <w:left w:val="nil"/>
              <w:bottom w:val="nil"/>
              <w:right w:val="nil"/>
            </w:tcBorders>
          </w:tcPr>
          <w:p w:rsidR="00090395" w:rsidRPr="00F627B2" w:rsidRDefault="00090395">
            <w:pPr>
              <w:spacing w:line="240" w:lineRule="auto"/>
              <w:rPr>
                <w:rFonts w:ascii="Lato" w:hAnsi="Lato"/>
                <w:szCs w:val="22"/>
              </w:rPr>
            </w:pPr>
          </w:p>
        </w:tc>
        <w:tc>
          <w:tcPr>
            <w:tcW w:w="5493" w:type="dxa"/>
            <w:tcBorders>
              <w:top w:val="nil"/>
              <w:left w:val="nil"/>
              <w:bottom w:val="nil"/>
              <w:right w:val="nil"/>
            </w:tcBorders>
          </w:tcPr>
          <w:p w:rsidR="00090395" w:rsidRPr="00F627B2" w:rsidRDefault="00090395">
            <w:pPr>
              <w:spacing w:line="240" w:lineRule="auto"/>
              <w:rPr>
                <w:rFonts w:ascii="Lato" w:hAnsi="Lato"/>
                <w:szCs w:val="22"/>
              </w:rPr>
            </w:pPr>
          </w:p>
        </w:tc>
        <w:tc>
          <w:tcPr>
            <w:tcW w:w="1120" w:type="dxa"/>
            <w:gridSpan w:val="3"/>
            <w:tcBorders>
              <w:top w:val="nil"/>
              <w:left w:val="nil"/>
              <w:bottom w:val="nil"/>
              <w:right w:val="nil"/>
            </w:tcBorders>
          </w:tcPr>
          <w:p w:rsidR="00090395" w:rsidRPr="00F627B2" w:rsidRDefault="00090395">
            <w:pPr>
              <w:spacing w:line="240" w:lineRule="auto"/>
              <w:rPr>
                <w:rFonts w:ascii="Lato" w:hAnsi="Lato"/>
                <w:szCs w:val="22"/>
              </w:rPr>
            </w:pPr>
          </w:p>
        </w:tc>
        <w:tc>
          <w:tcPr>
            <w:tcW w:w="554" w:type="dxa"/>
            <w:gridSpan w:val="3"/>
            <w:tcBorders>
              <w:top w:val="nil"/>
              <w:left w:val="nil"/>
              <w:bottom w:val="nil"/>
              <w:right w:val="nil"/>
            </w:tcBorders>
          </w:tcPr>
          <w:p w:rsidR="00090395" w:rsidRPr="00F627B2" w:rsidRDefault="00090395">
            <w:pPr>
              <w:spacing w:line="240" w:lineRule="auto"/>
              <w:rPr>
                <w:rFonts w:ascii="Lato" w:hAnsi="Lato"/>
                <w:szCs w:val="22"/>
              </w:rPr>
            </w:pPr>
          </w:p>
        </w:tc>
        <w:tc>
          <w:tcPr>
            <w:tcW w:w="1321" w:type="dxa"/>
            <w:gridSpan w:val="7"/>
            <w:tcBorders>
              <w:top w:val="nil"/>
              <w:left w:val="nil"/>
              <w:bottom w:val="nil"/>
              <w:right w:val="nil"/>
            </w:tcBorders>
          </w:tcPr>
          <w:p w:rsidR="00090395" w:rsidRPr="00F627B2" w:rsidRDefault="00090395">
            <w:pPr>
              <w:spacing w:line="240" w:lineRule="auto"/>
              <w:rPr>
                <w:rFonts w:ascii="Lato" w:hAnsi="Lato"/>
                <w:szCs w:val="22"/>
              </w:rPr>
            </w:pPr>
          </w:p>
        </w:tc>
        <w:tc>
          <w:tcPr>
            <w:tcW w:w="287" w:type="dxa"/>
            <w:gridSpan w:val="6"/>
            <w:tcBorders>
              <w:top w:val="nil"/>
              <w:left w:val="nil"/>
              <w:bottom w:val="nil"/>
              <w:right w:val="nil"/>
            </w:tcBorders>
          </w:tcPr>
          <w:p w:rsidR="00090395" w:rsidRPr="00F627B2" w:rsidRDefault="00090395">
            <w:pPr>
              <w:spacing w:line="240" w:lineRule="auto"/>
              <w:rPr>
                <w:rFonts w:ascii="Lato" w:hAnsi="Lato"/>
                <w:szCs w:val="22"/>
              </w:rPr>
            </w:pPr>
          </w:p>
        </w:tc>
        <w:tc>
          <w:tcPr>
            <w:tcW w:w="717" w:type="dxa"/>
            <w:gridSpan w:val="4"/>
            <w:tcBorders>
              <w:top w:val="nil"/>
              <w:left w:val="nil"/>
              <w:bottom w:val="nil"/>
              <w:right w:val="nil"/>
            </w:tcBorders>
          </w:tcPr>
          <w:p w:rsidR="00090395" w:rsidRPr="00F627B2" w:rsidRDefault="00090395">
            <w:pPr>
              <w:spacing w:line="240" w:lineRule="auto"/>
              <w:rPr>
                <w:rFonts w:ascii="Lato" w:hAnsi="Lato"/>
                <w:szCs w:val="22"/>
              </w:rPr>
            </w:pPr>
          </w:p>
        </w:tc>
        <w:tc>
          <w:tcPr>
            <w:tcW w:w="240" w:type="dxa"/>
            <w:gridSpan w:val="4"/>
            <w:tcBorders>
              <w:top w:val="nil"/>
              <w:left w:val="nil"/>
              <w:bottom w:val="nil"/>
              <w:right w:val="nil"/>
            </w:tcBorders>
          </w:tcPr>
          <w:p w:rsidR="00090395" w:rsidRPr="00F627B2" w:rsidRDefault="00090395">
            <w:pPr>
              <w:spacing w:line="240" w:lineRule="auto"/>
              <w:rPr>
                <w:rFonts w:ascii="Lato" w:hAnsi="Lato"/>
                <w:szCs w:val="22"/>
              </w:rPr>
            </w:pPr>
          </w:p>
        </w:tc>
        <w:tc>
          <w:tcPr>
            <w:tcW w:w="636" w:type="dxa"/>
            <w:gridSpan w:val="7"/>
            <w:tcBorders>
              <w:top w:val="nil"/>
              <w:left w:val="nil"/>
              <w:bottom w:val="nil"/>
              <w:right w:val="nil"/>
            </w:tcBorders>
          </w:tcPr>
          <w:p w:rsidR="00573176" w:rsidRPr="00F627B2" w:rsidRDefault="00573176">
            <w:pPr>
              <w:spacing w:line="240" w:lineRule="auto"/>
              <w:rPr>
                <w:rFonts w:ascii="Lato" w:hAnsi="Lato"/>
                <w:szCs w:val="22"/>
              </w:rPr>
            </w:pPr>
          </w:p>
        </w:tc>
      </w:tr>
      <w:tr w:rsidR="00573176" w:rsidRPr="00F627B2" w:rsidTr="00F627B2">
        <w:trPr>
          <w:gridAfter w:val="2"/>
          <w:wAfter w:w="15"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Pr>
                <w:rFonts w:ascii="Lato" w:hAnsi="Lato"/>
              </w:rPr>
              <w:t>f)</w:t>
            </w: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A27FD4">
              <w:rPr>
                <w:rFonts w:ascii="Lato" w:hAnsi="Lato"/>
                <w:u w:val="single"/>
              </w:rPr>
              <w:t>Sustainable Finance Risk</w:t>
            </w:r>
          </w:p>
        </w:tc>
        <w:tc>
          <w:tcPr>
            <w:tcW w:w="1120" w:type="dxa"/>
            <w:gridSpan w:val="3"/>
            <w:tcBorders>
              <w:top w:val="nil"/>
              <w:left w:val="nil"/>
              <w:bottom w:val="nil"/>
              <w:right w:val="nil"/>
            </w:tcBorders>
          </w:tcPr>
          <w:p w:rsidR="00573176" w:rsidRPr="00F627B2" w:rsidRDefault="00573176" w:rsidP="00573176">
            <w:pPr>
              <w:spacing w:line="240" w:lineRule="auto"/>
              <w:rPr>
                <w:rFonts w:ascii="Lato" w:hAnsi="Lato"/>
                <w:szCs w:val="22"/>
              </w:rPr>
            </w:pPr>
          </w:p>
        </w:tc>
        <w:tc>
          <w:tcPr>
            <w:tcW w:w="554" w:type="dxa"/>
            <w:gridSpan w:val="3"/>
            <w:tcBorders>
              <w:top w:val="nil"/>
              <w:left w:val="nil"/>
              <w:bottom w:val="nil"/>
              <w:right w:val="nil"/>
            </w:tcBorders>
          </w:tcPr>
          <w:p w:rsidR="00573176" w:rsidRPr="00F627B2" w:rsidRDefault="00573176" w:rsidP="00573176">
            <w:pPr>
              <w:spacing w:line="240" w:lineRule="auto"/>
              <w:rPr>
                <w:rFonts w:ascii="Lato" w:hAnsi="Lato"/>
                <w:szCs w:val="22"/>
              </w:rPr>
            </w:pPr>
          </w:p>
        </w:tc>
        <w:tc>
          <w:tcPr>
            <w:tcW w:w="1321"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28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17" w:type="dxa"/>
            <w:gridSpan w:val="4"/>
            <w:tcBorders>
              <w:top w:val="nil"/>
              <w:left w:val="nil"/>
              <w:bottom w:val="nil"/>
              <w:right w:val="nil"/>
            </w:tcBorders>
          </w:tcPr>
          <w:p w:rsidR="00573176" w:rsidRPr="00F627B2" w:rsidRDefault="00573176" w:rsidP="00573176">
            <w:pPr>
              <w:spacing w:line="240" w:lineRule="auto"/>
              <w:rPr>
                <w:rFonts w:ascii="Lato" w:hAnsi="Lato"/>
                <w:szCs w:val="22"/>
              </w:rPr>
            </w:pPr>
          </w:p>
        </w:tc>
        <w:tc>
          <w:tcPr>
            <w:tcW w:w="240" w:type="dxa"/>
            <w:gridSpan w:val="4"/>
            <w:tcBorders>
              <w:top w:val="nil"/>
              <w:left w:val="nil"/>
              <w:bottom w:val="nil"/>
              <w:right w:val="nil"/>
            </w:tcBorders>
          </w:tcPr>
          <w:p w:rsidR="00573176" w:rsidRPr="00F627B2" w:rsidRDefault="00573176" w:rsidP="00573176">
            <w:pPr>
              <w:spacing w:line="240" w:lineRule="auto"/>
              <w:rPr>
                <w:rFonts w:ascii="Lato" w:hAnsi="Lato"/>
                <w:szCs w:val="22"/>
              </w:rPr>
            </w:pPr>
          </w:p>
        </w:tc>
        <w:tc>
          <w:tcPr>
            <w:tcW w:w="636"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2"/>
          <w:wAfter w:w="15"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Pr>
                <w:rFonts w:ascii="Lato" w:hAnsi="Lato"/>
              </w:rPr>
              <w:t>Disclose the following:</w:t>
            </w:r>
          </w:p>
        </w:tc>
        <w:tc>
          <w:tcPr>
            <w:tcW w:w="1120" w:type="dxa"/>
            <w:gridSpan w:val="3"/>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54" w:type="dxa"/>
            <w:gridSpan w:val="3"/>
            <w:tcBorders>
              <w:top w:val="nil"/>
              <w:left w:val="nil"/>
              <w:bottom w:val="nil"/>
              <w:right w:val="nil"/>
            </w:tcBorders>
          </w:tcPr>
          <w:p w:rsidR="00573176" w:rsidRPr="00F627B2" w:rsidRDefault="00573176" w:rsidP="00573176">
            <w:pPr>
              <w:spacing w:line="240" w:lineRule="auto"/>
              <w:rPr>
                <w:rFonts w:ascii="Lato" w:hAnsi="Lato"/>
                <w:szCs w:val="22"/>
              </w:rPr>
            </w:pPr>
          </w:p>
        </w:tc>
        <w:tc>
          <w:tcPr>
            <w:tcW w:w="1321"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28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17" w:type="dxa"/>
            <w:gridSpan w:val="4"/>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240" w:type="dxa"/>
            <w:gridSpan w:val="4"/>
            <w:tcBorders>
              <w:top w:val="nil"/>
              <w:left w:val="nil"/>
              <w:bottom w:val="nil"/>
              <w:right w:val="nil"/>
            </w:tcBorders>
          </w:tcPr>
          <w:p w:rsidR="00573176" w:rsidRPr="00F627B2" w:rsidRDefault="00573176" w:rsidP="00573176">
            <w:pPr>
              <w:spacing w:line="240" w:lineRule="auto"/>
              <w:rPr>
                <w:rFonts w:ascii="Lato" w:hAnsi="Lato"/>
                <w:szCs w:val="22"/>
              </w:rPr>
            </w:pPr>
          </w:p>
        </w:tc>
        <w:tc>
          <w:tcPr>
            <w:tcW w:w="636"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2"/>
          <w:wAfter w:w="15"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Pr>
                <w:rFonts w:ascii="Lato" w:hAnsi="Lato"/>
              </w:rPr>
              <w:t>(i)</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AE6E51">
              <w:rPr>
                <w:rFonts w:ascii="Lato" w:hAnsi="Lato"/>
              </w:rPr>
              <w:t xml:space="preserve">(a) the manner in which sustainability risks are </w:t>
            </w:r>
          </w:p>
        </w:tc>
        <w:tc>
          <w:tcPr>
            <w:tcW w:w="1120" w:type="dxa"/>
            <w:gridSpan w:val="3"/>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240" w:type="dxa"/>
            <w:gridSpan w:val="4"/>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636"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2"/>
          <w:wAfter w:w="15"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AE6E51">
              <w:rPr>
                <w:rFonts w:ascii="Lato" w:hAnsi="Lato"/>
              </w:rPr>
              <w:t>integrated into investment decisions; and</w:t>
            </w:r>
          </w:p>
        </w:tc>
        <w:tc>
          <w:tcPr>
            <w:tcW w:w="1120" w:type="dxa"/>
            <w:gridSpan w:val="3"/>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54" w:type="dxa"/>
            <w:gridSpan w:val="3"/>
            <w:tcBorders>
              <w:top w:val="nil"/>
              <w:left w:val="nil"/>
              <w:bottom w:val="nil"/>
              <w:right w:val="nil"/>
            </w:tcBorders>
          </w:tcPr>
          <w:p w:rsidR="00573176" w:rsidRPr="00F627B2" w:rsidRDefault="00573176" w:rsidP="00573176">
            <w:pPr>
              <w:spacing w:line="240" w:lineRule="auto"/>
              <w:rPr>
                <w:rFonts w:ascii="Lato" w:hAnsi="Lato"/>
                <w:szCs w:val="22"/>
              </w:rPr>
            </w:pPr>
          </w:p>
        </w:tc>
        <w:tc>
          <w:tcPr>
            <w:tcW w:w="1321" w:type="dxa"/>
            <w:gridSpan w:val="7"/>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28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17" w:type="dxa"/>
            <w:gridSpan w:val="4"/>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240" w:type="dxa"/>
            <w:gridSpan w:val="4"/>
            <w:tcBorders>
              <w:top w:val="nil"/>
              <w:left w:val="nil"/>
              <w:bottom w:val="nil"/>
              <w:right w:val="nil"/>
            </w:tcBorders>
          </w:tcPr>
          <w:p w:rsidR="00573176" w:rsidRPr="00F627B2" w:rsidRDefault="00573176" w:rsidP="00573176">
            <w:pPr>
              <w:spacing w:line="240" w:lineRule="auto"/>
              <w:rPr>
                <w:rFonts w:ascii="Lato" w:hAnsi="Lato"/>
                <w:szCs w:val="22"/>
              </w:rPr>
            </w:pPr>
          </w:p>
        </w:tc>
        <w:tc>
          <w:tcPr>
            <w:tcW w:w="636"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2"/>
          <w:wAfter w:w="15"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AE6E51">
              <w:rPr>
                <w:rFonts w:ascii="Lato" w:hAnsi="Lato"/>
              </w:rPr>
              <w:t>(b)</w:t>
            </w:r>
            <w:r>
              <w:rPr>
                <w:rFonts w:ascii="Lato" w:hAnsi="Lato"/>
              </w:rPr>
              <w:t xml:space="preserve"> </w:t>
            </w:r>
            <w:r w:rsidRPr="00AE6E51">
              <w:rPr>
                <w:rFonts w:ascii="Lato" w:hAnsi="Lato"/>
              </w:rPr>
              <w:t xml:space="preserve">the results of the assessment of the likely </w:t>
            </w:r>
          </w:p>
        </w:tc>
        <w:tc>
          <w:tcPr>
            <w:tcW w:w="1120" w:type="dxa"/>
            <w:gridSpan w:val="3"/>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240" w:type="dxa"/>
            <w:gridSpan w:val="4"/>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636"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2"/>
          <w:wAfter w:w="15"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AE6E51">
              <w:rPr>
                <w:rFonts w:ascii="Lato" w:hAnsi="Lato"/>
              </w:rPr>
              <w:t xml:space="preserve">impacts of sustainability risks on the returns of the </w:t>
            </w:r>
            <w:r>
              <w:rPr>
                <w:rFonts w:ascii="Lato" w:hAnsi="Lato"/>
              </w:rPr>
              <w:t>fund</w:t>
            </w:r>
          </w:p>
        </w:tc>
        <w:tc>
          <w:tcPr>
            <w:tcW w:w="1120" w:type="dxa"/>
            <w:gridSpan w:val="3"/>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54" w:type="dxa"/>
            <w:gridSpan w:val="3"/>
            <w:tcBorders>
              <w:top w:val="nil"/>
              <w:left w:val="nil"/>
              <w:bottom w:val="nil"/>
              <w:right w:val="nil"/>
            </w:tcBorders>
          </w:tcPr>
          <w:p w:rsidR="00573176" w:rsidRPr="00F627B2" w:rsidRDefault="00573176" w:rsidP="00573176">
            <w:pPr>
              <w:spacing w:line="240" w:lineRule="auto"/>
              <w:rPr>
                <w:rFonts w:ascii="Lato" w:hAnsi="Lato"/>
                <w:szCs w:val="22"/>
              </w:rPr>
            </w:pPr>
          </w:p>
        </w:tc>
        <w:tc>
          <w:tcPr>
            <w:tcW w:w="1321" w:type="dxa"/>
            <w:gridSpan w:val="7"/>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28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17" w:type="dxa"/>
            <w:gridSpan w:val="4"/>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240" w:type="dxa"/>
            <w:gridSpan w:val="4"/>
            <w:tcBorders>
              <w:top w:val="nil"/>
              <w:left w:val="nil"/>
              <w:bottom w:val="nil"/>
              <w:right w:val="nil"/>
            </w:tcBorders>
          </w:tcPr>
          <w:p w:rsidR="00573176" w:rsidRPr="00F627B2" w:rsidRDefault="00573176" w:rsidP="00573176">
            <w:pPr>
              <w:spacing w:line="240" w:lineRule="auto"/>
              <w:rPr>
                <w:rFonts w:ascii="Lato" w:hAnsi="Lato"/>
                <w:szCs w:val="22"/>
              </w:rPr>
            </w:pPr>
          </w:p>
        </w:tc>
        <w:tc>
          <w:tcPr>
            <w:tcW w:w="636"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2"/>
          <w:wAfter w:w="15"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Pr>
                <w:rFonts w:ascii="Lato" w:hAnsi="Lato"/>
              </w:rPr>
              <w:t>(ii)</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0C66F8">
              <w:rPr>
                <w:rFonts w:ascii="Lato" w:hAnsi="Lato"/>
              </w:rPr>
              <w:t xml:space="preserve">Where </w:t>
            </w:r>
            <w:r>
              <w:rPr>
                <w:rFonts w:ascii="Lato" w:hAnsi="Lato"/>
              </w:rPr>
              <w:t>the responsible person</w:t>
            </w:r>
            <w:r w:rsidRPr="000C66F8">
              <w:rPr>
                <w:rFonts w:ascii="Lato" w:hAnsi="Lato"/>
              </w:rPr>
              <w:t xml:space="preserve"> deem</w:t>
            </w:r>
            <w:r>
              <w:rPr>
                <w:rFonts w:ascii="Lato" w:hAnsi="Lato"/>
              </w:rPr>
              <w:t>s</w:t>
            </w:r>
            <w:r w:rsidRPr="000C66F8">
              <w:rPr>
                <w:rFonts w:ascii="Lato" w:hAnsi="Lato"/>
              </w:rPr>
              <w:t xml:space="preserve"> </w:t>
            </w:r>
          </w:p>
        </w:tc>
        <w:tc>
          <w:tcPr>
            <w:tcW w:w="1120" w:type="dxa"/>
            <w:gridSpan w:val="3"/>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54" w:type="dxa"/>
            <w:gridSpan w:val="3"/>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1321"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17" w:type="dxa"/>
            <w:gridSpan w:val="4"/>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240" w:type="dxa"/>
            <w:gridSpan w:val="4"/>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636"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2"/>
          <w:wAfter w:w="15"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0C66F8">
              <w:rPr>
                <w:rFonts w:ascii="Lato" w:hAnsi="Lato"/>
              </w:rPr>
              <w:t xml:space="preserve">sustainability risks not to be relevant, the descriptions referred to in the </w:t>
            </w:r>
            <w:r>
              <w:rPr>
                <w:rFonts w:ascii="Lato" w:hAnsi="Lato"/>
              </w:rPr>
              <w:t>(f)(i)</w:t>
            </w:r>
            <w:r w:rsidRPr="000C66F8">
              <w:rPr>
                <w:rFonts w:ascii="Lato" w:hAnsi="Lato"/>
              </w:rPr>
              <w:t xml:space="preserve"> shall include a clear and concise expl</w:t>
            </w:r>
            <w:r>
              <w:rPr>
                <w:rFonts w:ascii="Lato" w:hAnsi="Lato"/>
              </w:rPr>
              <w:t>anation of the reasons therefor</w:t>
            </w:r>
          </w:p>
        </w:tc>
        <w:tc>
          <w:tcPr>
            <w:tcW w:w="1120" w:type="dxa"/>
            <w:gridSpan w:val="3"/>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54" w:type="dxa"/>
            <w:gridSpan w:val="3"/>
            <w:tcBorders>
              <w:top w:val="nil"/>
              <w:left w:val="nil"/>
              <w:bottom w:val="nil"/>
              <w:right w:val="nil"/>
            </w:tcBorders>
          </w:tcPr>
          <w:p w:rsidR="00573176" w:rsidRPr="00F627B2" w:rsidRDefault="00573176" w:rsidP="00573176">
            <w:pPr>
              <w:spacing w:line="240" w:lineRule="auto"/>
              <w:rPr>
                <w:rFonts w:ascii="Lato" w:hAnsi="Lato"/>
                <w:szCs w:val="22"/>
              </w:rPr>
            </w:pPr>
          </w:p>
        </w:tc>
        <w:tc>
          <w:tcPr>
            <w:tcW w:w="1321"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28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17" w:type="dxa"/>
            <w:gridSpan w:val="4"/>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240" w:type="dxa"/>
            <w:gridSpan w:val="4"/>
            <w:tcBorders>
              <w:top w:val="nil"/>
              <w:left w:val="nil"/>
              <w:bottom w:val="nil"/>
              <w:right w:val="nil"/>
            </w:tcBorders>
          </w:tcPr>
          <w:p w:rsidR="00573176" w:rsidRPr="00F627B2" w:rsidRDefault="00573176" w:rsidP="00573176">
            <w:pPr>
              <w:spacing w:line="240" w:lineRule="auto"/>
              <w:rPr>
                <w:rFonts w:ascii="Lato" w:hAnsi="Lato"/>
                <w:szCs w:val="22"/>
              </w:rPr>
            </w:pPr>
          </w:p>
        </w:tc>
        <w:tc>
          <w:tcPr>
            <w:tcW w:w="636"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2"/>
          <w:wAfter w:w="15"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120" w:type="dxa"/>
            <w:gridSpan w:val="3"/>
            <w:tcBorders>
              <w:top w:val="nil"/>
              <w:left w:val="nil"/>
              <w:bottom w:val="nil"/>
              <w:right w:val="nil"/>
            </w:tcBorders>
          </w:tcPr>
          <w:p w:rsidR="00573176" w:rsidRPr="00F627B2" w:rsidRDefault="00573176" w:rsidP="00573176">
            <w:pPr>
              <w:spacing w:line="240" w:lineRule="auto"/>
              <w:rPr>
                <w:rFonts w:ascii="Lato" w:hAnsi="Lato"/>
                <w:szCs w:val="22"/>
              </w:rPr>
            </w:pPr>
          </w:p>
        </w:tc>
        <w:tc>
          <w:tcPr>
            <w:tcW w:w="554" w:type="dxa"/>
            <w:gridSpan w:val="3"/>
            <w:tcBorders>
              <w:top w:val="nil"/>
              <w:left w:val="nil"/>
              <w:bottom w:val="nil"/>
              <w:right w:val="nil"/>
            </w:tcBorders>
          </w:tcPr>
          <w:p w:rsidR="00573176" w:rsidRPr="00F627B2" w:rsidRDefault="00573176" w:rsidP="00573176">
            <w:pPr>
              <w:spacing w:line="240" w:lineRule="auto"/>
              <w:rPr>
                <w:rFonts w:ascii="Lato" w:hAnsi="Lato"/>
                <w:szCs w:val="22"/>
              </w:rPr>
            </w:pPr>
          </w:p>
        </w:tc>
        <w:tc>
          <w:tcPr>
            <w:tcW w:w="1321"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28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17" w:type="dxa"/>
            <w:gridSpan w:val="4"/>
            <w:tcBorders>
              <w:top w:val="nil"/>
              <w:left w:val="nil"/>
              <w:bottom w:val="nil"/>
              <w:right w:val="nil"/>
            </w:tcBorders>
          </w:tcPr>
          <w:p w:rsidR="00573176" w:rsidRPr="00F627B2" w:rsidRDefault="00573176" w:rsidP="00573176">
            <w:pPr>
              <w:spacing w:line="240" w:lineRule="auto"/>
              <w:rPr>
                <w:rFonts w:ascii="Lato" w:hAnsi="Lato"/>
                <w:szCs w:val="22"/>
              </w:rPr>
            </w:pPr>
          </w:p>
        </w:tc>
        <w:tc>
          <w:tcPr>
            <w:tcW w:w="240" w:type="dxa"/>
            <w:gridSpan w:val="4"/>
            <w:tcBorders>
              <w:top w:val="nil"/>
              <w:left w:val="nil"/>
              <w:bottom w:val="nil"/>
              <w:right w:val="nil"/>
            </w:tcBorders>
          </w:tcPr>
          <w:p w:rsidR="00573176" w:rsidRPr="00F627B2" w:rsidRDefault="00573176" w:rsidP="00573176">
            <w:pPr>
              <w:spacing w:line="240" w:lineRule="auto"/>
              <w:rPr>
                <w:rFonts w:ascii="Lato" w:hAnsi="Lato"/>
                <w:szCs w:val="22"/>
              </w:rPr>
            </w:pPr>
          </w:p>
        </w:tc>
        <w:tc>
          <w:tcPr>
            <w:tcW w:w="636"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2"/>
          <w:wAfter w:w="15"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120" w:type="dxa"/>
            <w:gridSpan w:val="3"/>
            <w:tcBorders>
              <w:top w:val="nil"/>
              <w:left w:val="nil"/>
              <w:bottom w:val="nil"/>
              <w:right w:val="nil"/>
            </w:tcBorders>
          </w:tcPr>
          <w:p w:rsidR="00573176" w:rsidRPr="00F627B2" w:rsidRDefault="00573176" w:rsidP="00573176">
            <w:pPr>
              <w:spacing w:line="240" w:lineRule="auto"/>
              <w:rPr>
                <w:rFonts w:ascii="Lato" w:hAnsi="Lato"/>
                <w:szCs w:val="22"/>
              </w:rPr>
            </w:pPr>
          </w:p>
        </w:tc>
        <w:tc>
          <w:tcPr>
            <w:tcW w:w="554" w:type="dxa"/>
            <w:gridSpan w:val="3"/>
            <w:tcBorders>
              <w:top w:val="nil"/>
              <w:left w:val="nil"/>
              <w:bottom w:val="nil"/>
              <w:right w:val="nil"/>
            </w:tcBorders>
          </w:tcPr>
          <w:p w:rsidR="00573176" w:rsidRPr="00F627B2" w:rsidRDefault="00573176" w:rsidP="00573176">
            <w:pPr>
              <w:spacing w:line="240" w:lineRule="auto"/>
              <w:rPr>
                <w:rFonts w:ascii="Lato" w:hAnsi="Lato"/>
                <w:szCs w:val="22"/>
              </w:rPr>
            </w:pPr>
          </w:p>
        </w:tc>
        <w:tc>
          <w:tcPr>
            <w:tcW w:w="1321"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28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17" w:type="dxa"/>
            <w:gridSpan w:val="4"/>
            <w:tcBorders>
              <w:top w:val="nil"/>
              <w:left w:val="nil"/>
              <w:bottom w:val="nil"/>
              <w:right w:val="nil"/>
            </w:tcBorders>
          </w:tcPr>
          <w:p w:rsidR="00573176" w:rsidRPr="00F627B2" w:rsidRDefault="00573176" w:rsidP="00573176">
            <w:pPr>
              <w:spacing w:line="240" w:lineRule="auto"/>
              <w:rPr>
                <w:rFonts w:ascii="Lato" w:hAnsi="Lato"/>
                <w:szCs w:val="22"/>
              </w:rPr>
            </w:pPr>
          </w:p>
        </w:tc>
        <w:tc>
          <w:tcPr>
            <w:tcW w:w="240" w:type="dxa"/>
            <w:gridSpan w:val="4"/>
            <w:tcBorders>
              <w:top w:val="nil"/>
              <w:left w:val="nil"/>
              <w:bottom w:val="nil"/>
              <w:right w:val="nil"/>
            </w:tcBorders>
          </w:tcPr>
          <w:p w:rsidR="00573176" w:rsidRPr="00F627B2" w:rsidRDefault="00573176" w:rsidP="00573176">
            <w:pPr>
              <w:spacing w:line="240" w:lineRule="auto"/>
              <w:rPr>
                <w:rFonts w:ascii="Lato" w:hAnsi="Lato"/>
                <w:szCs w:val="22"/>
              </w:rPr>
            </w:pPr>
          </w:p>
        </w:tc>
        <w:tc>
          <w:tcPr>
            <w:tcW w:w="636"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2.2.13</w:t>
            </w:r>
          </w:p>
        </w:tc>
        <w:tc>
          <w:tcPr>
            <w:tcW w:w="5493" w:type="dxa"/>
            <w:tcBorders>
              <w:top w:val="nil"/>
              <w:left w:val="nil"/>
              <w:bottom w:val="nil"/>
              <w:right w:val="nil"/>
            </w:tcBorders>
          </w:tcPr>
          <w:p w:rsidR="00573176" w:rsidRPr="00F627B2" w:rsidRDefault="00573176" w:rsidP="00573176">
            <w:pPr>
              <w:pStyle w:val="Heading3"/>
              <w:spacing w:before="0" w:after="0" w:line="240" w:lineRule="auto"/>
              <w:rPr>
                <w:rFonts w:ascii="Lato" w:hAnsi="Lato"/>
                <w:b w:val="0"/>
                <w:bCs/>
                <w:color w:val="auto"/>
                <w:sz w:val="22"/>
                <w:szCs w:val="22"/>
                <w:u w:val="single"/>
              </w:rPr>
            </w:pPr>
            <w:r w:rsidRPr="00F627B2">
              <w:rPr>
                <w:rFonts w:ascii="Lato" w:hAnsi="Lato"/>
                <w:b w:val="0"/>
                <w:bCs/>
                <w:color w:val="auto"/>
                <w:sz w:val="22"/>
                <w:szCs w:val="22"/>
                <w:u w:val="single"/>
              </w:rPr>
              <w:t xml:space="preserve">Changes in investment objective and/or material changes to the investment policy </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Provide that:</w:t>
            </w: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a)</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 xml:space="preserve">Changes to the investment objective and/or material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changes to the investment policies of the Retail Investor AIF may not be effected without the prior written approval of all unitholders/shareholders or on the basis of a majority of votes cast at general meeting;</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b)</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In the event of a change of investment objective and/or</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F627B2">
              <w:rPr>
                <w:rFonts w:ascii="Lato" w:hAnsi="Lato"/>
                <w:szCs w:val="22"/>
              </w:rPr>
              <w:t>investment policy on the basis of a majority of votes cast at general meeting the Retail Investor AIF shall provide a reasonable notification period to enable unitholders/shareholders redeem their units/shares prior to implementation of these changes.</w:t>
            </w:r>
          </w:p>
          <w:p w:rsidR="00573176" w:rsidRPr="00F627B2" w:rsidRDefault="00573176" w:rsidP="00573176">
            <w:pPr>
              <w:spacing w:line="240" w:lineRule="auto"/>
              <w:jc w:val="both"/>
              <w:rPr>
                <w:rFonts w:ascii="Lato" w:hAnsi="Lato"/>
                <w:szCs w:val="22"/>
              </w:rPr>
            </w:pP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u w:val="single"/>
              </w:rPr>
            </w:pPr>
            <w:r w:rsidRPr="00F627B2">
              <w:rPr>
                <w:rFonts w:ascii="Lato" w:hAnsi="Lato"/>
                <w:szCs w:val="22"/>
                <w:u w:val="single"/>
              </w:rPr>
              <w:t xml:space="preserve">Changes in maximum annual management company/investment manager (where paid out of the assets </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b/>
                <w:szCs w:val="22"/>
                <w:u w:val="single"/>
              </w:rPr>
            </w:pPr>
            <w:r w:rsidRPr="00F627B2">
              <w:rPr>
                <w:rFonts w:ascii="Lato" w:hAnsi="Lato"/>
                <w:szCs w:val="22"/>
                <w:u w:val="single"/>
              </w:rPr>
              <w:t xml:space="preserve">of the Retail Investor AIF) for Open-Ended Retail Investor AIFs </w:t>
            </w: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c)</w:t>
            </w: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b/>
                <w:szCs w:val="22"/>
              </w:rPr>
            </w:pPr>
            <w:r w:rsidRPr="00F627B2">
              <w:rPr>
                <w:rFonts w:ascii="Lato" w:hAnsi="Lato"/>
                <w:szCs w:val="22"/>
              </w:rPr>
              <w:t xml:space="preserve">Provide that this fee may not be increased without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b/>
                <w:szCs w:val="22"/>
              </w:rPr>
            </w:pPr>
            <w:r w:rsidRPr="001E4A73">
              <w:rPr>
                <w:rFonts w:ascii="Lato" w:hAnsi="Lato"/>
                <w:szCs w:val="22"/>
              </w:rPr>
              <w:t>approval</w:t>
            </w:r>
            <w:r w:rsidRPr="00A3401E">
              <w:rPr>
                <w:rFonts w:ascii="Lato" w:hAnsi="Lato"/>
                <w:szCs w:val="22"/>
              </w:rPr>
              <w:t xml:space="preserve"> </w:t>
            </w:r>
            <w:r w:rsidRPr="00F627B2">
              <w:rPr>
                <w:rFonts w:ascii="Lato" w:hAnsi="Lato"/>
                <w:szCs w:val="22"/>
              </w:rPr>
              <w:t>on the basis of a majority of votes cast at a general meeting</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b/>
                <w:szCs w:val="22"/>
              </w:rPr>
            </w:pPr>
            <w:r w:rsidRPr="00F627B2">
              <w:rPr>
                <w:rFonts w:ascii="Lato" w:hAnsi="Lato"/>
                <w:szCs w:val="22"/>
              </w:rPr>
              <w:t xml:space="preserve">Note: the annual fee includes any performance related </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b/>
                <w:szCs w:val="22"/>
              </w:rPr>
            </w:pPr>
            <w:r w:rsidRPr="001E4A73">
              <w:rPr>
                <w:rFonts w:ascii="Lato" w:hAnsi="Lato"/>
                <w:szCs w:val="22"/>
              </w:rPr>
              <w:t>fee</w:t>
            </w:r>
            <w:r w:rsidRPr="00A3401E">
              <w:rPr>
                <w:rFonts w:ascii="Lato" w:hAnsi="Lato"/>
                <w:szCs w:val="22"/>
              </w:rPr>
              <w:t xml:space="preserve"> </w:t>
            </w:r>
            <w:r w:rsidRPr="00F627B2">
              <w:rPr>
                <w:rFonts w:ascii="Lato" w:hAnsi="Lato"/>
                <w:szCs w:val="22"/>
              </w:rPr>
              <w:t>charged by the AIFM Management company or the investment manager</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b/>
                <w:szCs w:val="22"/>
              </w:rPr>
            </w:pPr>
            <w:r w:rsidRPr="00F627B2">
              <w:rPr>
                <w:rFonts w:ascii="Lato" w:hAnsi="Lato"/>
                <w:szCs w:val="22"/>
              </w:rPr>
              <w:t xml:space="preserve">Note: if the fee disclosed in the prospectus is less than the maximum fee permitted in the constitutional document, unitholder approval will also be required for </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b/>
                <w:szCs w:val="22"/>
              </w:rPr>
            </w:pPr>
            <w:r w:rsidRPr="001E4A73">
              <w:rPr>
                <w:rFonts w:ascii="Lato" w:hAnsi="Lato"/>
                <w:szCs w:val="22"/>
              </w:rPr>
              <w:t>an increase</w:t>
            </w:r>
            <w:r w:rsidRPr="00A3401E">
              <w:rPr>
                <w:rFonts w:ascii="Lato" w:hAnsi="Lato"/>
                <w:szCs w:val="22"/>
              </w:rPr>
              <w:t xml:space="preserve"> </w:t>
            </w:r>
            <w:r w:rsidRPr="00F627B2">
              <w:rPr>
                <w:rFonts w:ascii="Lato" w:hAnsi="Lato"/>
                <w:szCs w:val="22"/>
              </w:rPr>
              <w:t>in the fee disclosed in the prospectus unless the prospectus also provides that a higher fee may be charged</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b/>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d)</w:t>
            </w: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b/>
                <w:szCs w:val="22"/>
              </w:rPr>
            </w:pPr>
            <w:r w:rsidRPr="00F627B2">
              <w:rPr>
                <w:rFonts w:ascii="Lato" w:hAnsi="Lato"/>
                <w:szCs w:val="22"/>
              </w:rPr>
              <w:t xml:space="preserve">Provide that in the event of the increase of the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b/>
                <w:szCs w:val="22"/>
              </w:rPr>
            </w:pPr>
            <w:r w:rsidRPr="001E4A73">
              <w:rPr>
                <w:rFonts w:ascii="Lato" w:hAnsi="Lato"/>
                <w:szCs w:val="22"/>
              </w:rPr>
              <w:t>maximum</w:t>
            </w:r>
            <w:r w:rsidRPr="00A3401E">
              <w:rPr>
                <w:rFonts w:ascii="Lato" w:hAnsi="Lato"/>
                <w:szCs w:val="22"/>
              </w:rPr>
              <w:t xml:space="preserve"> </w:t>
            </w:r>
            <w:r w:rsidRPr="00F627B2">
              <w:rPr>
                <w:rFonts w:ascii="Lato" w:hAnsi="Lato"/>
                <w:szCs w:val="22"/>
              </w:rPr>
              <w:t xml:space="preserve">annual fee a reasonable notification period </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b/>
                <w:szCs w:val="22"/>
              </w:rPr>
            </w:pPr>
            <w:r w:rsidRPr="001E4A73">
              <w:rPr>
                <w:rFonts w:ascii="Lato" w:hAnsi="Lato"/>
                <w:szCs w:val="22"/>
              </w:rPr>
              <w:t xml:space="preserve">shall be </w:t>
            </w:r>
            <w:r w:rsidRPr="00F627B2">
              <w:rPr>
                <w:rFonts w:ascii="Lato" w:hAnsi="Lato"/>
                <w:szCs w:val="22"/>
              </w:rPr>
              <w:t xml:space="preserve">provided by the Retail Investor AIF to enable </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b/>
                <w:szCs w:val="22"/>
              </w:rPr>
            </w:pPr>
            <w:r w:rsidRPr="001E4A73">
              <w:rPr>
                <w:rFonts w:ascii="Lato" w:hAnsi="Lato"/>
                <w:szCs w:val="22"/>
              </w:rPr>
              <w:t xml:space="preserve">unitholders </w:t>
            </w:r>
            <w:r w:rsidRPr="00F627B2">
              <w:rPr>
                <w:rFonts w:ascii="Lato" w:hAnsi="Lato"/>
                <w:szCs w:val="22"/>
              </w:rPr>
              <w:t>redeem their unit prior to the implementation of the increase</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b/>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u w:val="single"/>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u w:val="single"/>
              </w:rPr>
            </w:pPr>
            <w:r w:rsidRPr="00F627B2">
              <w:rPr>
                <w:rFonts w:ascii="Lato" w:hAnsi="Lato"/>
                <w:szCs w:val="22"/>
                <w:u w:val="single"/>
              </w:rPr>
              <w:t>Closed-Ended Retail Investor AIFs</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u w:val="single"/>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u w:val="single"/>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u w:val="single"/>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u w:val="single"/>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u w:val="single"/>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u w:val="single"/>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u w:val="single"/>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e)</w:t>
            </w: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i/>
                <w:szCs w:val="22"/>
              </w:rPr>
            </w:pPr>
            <w:r w:rsidRPr="00F627B2">
              <w:rPr>
                <w:rFonts w:ascii="Lato" w:hAnsi="Lato"/>
                <w:i/>
                <w:szCs w:val="22"/>
              </w:rPr>
              <w:t>Changes to the investment objective or material changes to the investment policy of a Retail Investor AIF</w:t>
            </w: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single" w:sz="4" w:space="0" w:color="auto"/>
            </w:tcBorders>
          </w:tcPr>
          <w:p w:rsidR="00573176" w:rsidRPr="00F627B2" w:rsidRDefault="00573176" w:rsidP="00573176">
            <w:pPr>
              <w:pStyle w:val="Default"/>
              <w:rPr>
                <w:rFonts w:ascii="Lato" w:hAnsi="Lato"/>
                <w:sz w:val="22"/>
                <w:szCs w:val="22"/>
              </w:rPr>
            </w:pPr>
            <w:r w:rsidRPr="00F627B2">
              <w:rPr>
                <w:rFonts w:ascii="Lato" w:hAnsi="Lato"/>
                <w:sz w:val="22"/>
                <w:szCs w:val="22"/>
              </w:rPr>
              <w:t xml:space="preserve">No realistic liquidity provisions: Where there </w:t>
            </w:r>
            <w:r w:rsidRPr="00F627B2">
              <w:rPr>
                <w:rFonts w:ascii="Lato" w:hAnsi="Lato"/>
                <w:szCs w:val="22"/>
              </w:rPr>
              <w:t>is a</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F627B2">
              <w:rPr>
                <w:rFonts w:ascii="Lato" w:hAnsi="Lato"/>
                <w:szCs w:val="22"/>
              </w:rPr>
              <w:t>proposed change of investment objectives and/or material change of investment policies with no opportunity for unitholders to redeem or otherwise exit the closed ended Retail Investor AIF, the Retail Investor AIF shall ensure that votes in favour of the change must represent at least 75% of votes cast.</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szCs w:val="22"/>
              </w:rPr>
            </w:pPr>
            <w:r w:rsidRPr="00F627B2">
              <w:rPr>
                <w:rFonts w:ascii="Lato" w:hAnsi="Lato"/>
                <w:szCs w:val="22"/>
              </w:rPr>
              <w:t xml:space="preserve">Realistic liquidity provisions: Where there is a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F627B2">
              <w:rPr>
                <w:rFonts w:ascii="Lato" w:hAnsi="Lato"/>
                <w:szCs w:val="22"/>
              </w:rPr>
              <w:t>proposed change of investment objective and/or material change of investment policies with an opportunity for unitholders to redeem or otherwise exit the closed ended Retail Investor AIF, the Retail Investor AIF shall ensure that votes in favour of the change must represent at least 50% of votes cast.</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f)</w:t>
            </w: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i/>
                <w:szCs w:val="22"/>
              </w:rPr>
            </w:pPr>
            <w:r w:rsidRPr="00F627B2">
              <w:rPr>
                <w:rFonts w:ascii="Lato" w:hAnsi="Lato"/>
                <w:i/>
                <w:szCs w:val="22"/>
              </w:rPr>
              <w:t>Non-material changes to the investment policy of a Retail Investor AIF</w:t>
            </w: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szCs w:val="22"/>
              </w:rPr>
            </w:pPr>
            <w:r w:rsidRPr="00F627B2">
              <w:rPr>
                <w:rFonts w:ascii="Lato" w:hAnsi="Lato"/>
                <w:szCs w:val="22"/>
              </w:rPr>
              <w:t xml:space="preserve">Where the closed ended Retail Investor AIF makes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1E4A73">
              <w:rPr>
                <w:rFonts w:ascii="Lato" w:hAnsi="Lato"/>
                <w:szCs w:val="22"/>
              </w:rPr>
              <w:t>non-</w:t>
            </w:r>
            <w:r w:rsidRPr="00F627B2">
              <w:rPr>
                <w:rFonts w:ascii="Lato" w:hAnsi="Lato"/>
                <w:szCs w:val="22"/>
              </w:rPr>
              <w:t>material changes to investment policies, it shall notify unitholders of these changes. Notification can be provided by means of appropriate disclosure in the next periodic report.</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g)</w:t>
            </w: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i/>
                <w:szCs w:val="22"/>
              </w:rPr>
            </w:pPr>
            <w:r w:rsidRPr="00F627B2">
              <w:rPr>
                <w:rFonts w:ascii="Lato" w:hAnsi="Lato"/>
                <w:i/>
                <w:szCs w:val="22"/>
              </w:rPr>
              <w:t>Changes to Fees or Charges</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F627B2">
              <w:rPr>
                <w:rFonts w:ascii="Lato" w:hAnsi="Lato"/>
                <w:szCs w:val="22"/>
              </w:rPr>
              <w:t>Where a closed-ended Retail Investor AIF proposes to amend the maximum redemption charge as disclosed in the constitutional document or the maximum annual fee charged by the management company as disclosed in the constitutional documents</w:t>
            </w:r>
            <w:r w:rsidRPr="00F627B2">
              <w:rPr>
                <w:rStyle w:val="FootnoteReference"/>
                <w:rFonts w:ascii="Lato" w:hAnsi="Lato"/>
                <w:szCs w:val="22"/>
              </w:rPr>
              <w:footnoteReference w:id="1"/>
            </w:r>
            <w:r w:rsidRPr="00F627B2">
              <w:rPr>
                <w:rFonts w:ascii="Lato" w:hAnsi="Lato"/>
                <w:szCs w:val="22"/>
              </w:rPr>
              <w:t>, the following approach must be adopted:</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szCs w:val="22"/>
              </w:rPr>
            </w:pPr>
            <w:r w:rsidRPr="00F627B2">
              <w:rPr>
                <w:rFonts w:ascii="Lato" w:hAnsi="Lato"/>
                <w:szCs w:val="22"/>
              </w:rPr>
              <w:t xml:space="preserve">No realistic liquidity provisions: Where there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F627B2">
              <w:rPr>
                <w:rFonts w:ascii="Lato" w:hAnsi="Lato"/>
                <w:szCs w:val="22"/>
              </w:rPr>
              <w:t>is a proposed increase in these fee or charges with no opportunity for unitholders to redeem or otherwise exit the Retail Investor AIF, it shall ensure that votes in favour of the increase must represent at least 75% of votes cast.</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szCs w:val="22"/>
              </w:rPr>
            </w:pPr>
            <w:r w:rsidRPr="00F627B2">
              <w:rPr>
                <w:rFonts w:ascii="Lato" w:hAnsi="Lato"/>
                <w:szCs w:val="22"/>
              </w:rPr>
              <w:t xml:space="preserve">Realistic liquidity provisions: Where there is a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F627B2">
              <w:rPr>
                <w:rFonts w:ascii="Lato" w:hAnsi="Lato"/>
                <w:szCs w:val="22"/>
              </w:rPr>
              <w:t>proposed increase in these fees or charges with an opportunity for unitholders to redeem or otherwise exit the Retail Investor AIF, it shall ensure that votes in favour of the increase must represent at least 50% of votes cast.</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2.2.14</w:t>
            </w: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F627B2">
              <w:rPr>
                <w:rFonts w:ascii="Lato" w:hAnsi="Lato"/>
                <w:u w:val="single"/>
              </w:rPr>
              <w:t>Securities Financing Transactions (“SFTs”) as defined in Regulation (EU) 2015/2365</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(a)</w:t>
            </w: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szCs w:val="22"/>
              </w:rPr>
            </w:pPr>
            <w:r w:rsidRPr="00F627B2">
              <w:rPr>
                <w:rFonts w:ascii="Lato" w:hAnsi="Lato"/>
              </w:rPr>
              <w:t>Provide a general description of the SFTs and total</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F627B2">
              <w:rPr>
                <w:rFonts w:ascii="Lato" w:hAnsi="Lato"/>
              </w:rPr>
              <w:t>return swaps used by the collective investment undertaking and the rationale for their use</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(b)</w:t>
            </w: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szCs w:val="22"/>
              </w:rPr>
            </w:pPr>
            <w:r w:rsidRPr="00F627B2">
              <w:rPr>
                <w:rFonts w:ascii="Lato" w:hAnsi="Lato"/>
              </w:rPr>
              <w:t>Disclose the overall data for each type of</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F627B2">
              <w:rPr>
                <w:rFonts w:ascii="Lato" w:hAnsi="Lato"/>
              </w:rPr>
              <w:t>SFT and total return swap including:</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(i)</w:t>
            </w: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szCs w:val="22"/>
              </w:rPr>
            </w:pPr>
            <w:r w:rsidRPr="00F627B2">
              <w:rPr>
                <w:rFonts w:ascii="Lato" w:hAnsi="Lato"/>
              </w:rPr>
              <w:t>Types of assets that can be subject to them</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(ii)</w:t>
            </w: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szCs w:val="22"/>
              </w:rPr>
            </w:pPr>
            <w:r w:rsidRPr="00F627B2">
              <w:rPr>
                <w:rFonts w:ascii="Lato" w:hAnsi="Lato"/>
              </w:rPr>
              <w:t>Maximum proportion of AUM that can be subject to them</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(iii)</w:t>
            </w: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szCs w:val="22"/>
              </w:rPr>
            </w:pPr>
            <w:r w:rsidRPr="00F627B2">
              <w:rPr>
                <w:rFonts w:ascii="Lato" w:hAnsi="Lato"/>
              </w:rPr>
              <w:t xml:space="preserve">Expected proportion of AUM that will be subject to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1E4A73">
              <w:rPr>
                <w:rFonts w:ascii="Lato" w:hAnsi="Lato"/>
              </w:rPr>
              <w:t>each</w:t>
            </w:r>
            <w:r w:rsidRPr="00A3401E">
              <w:rPr>
                <w:rFonts w:ascii="Lato" w:hAnsi="Lato"/>
              </w:rPr>
              <w:t xml:space="preserve"> </w:t>
            </w:r>
            <w:r w:rsidRPr="00F627B2">
              <w:rPr>
                <w:rFonts w:ascii="Lato" w:hAnsi="Lato"/>
              </w:rPr>
              <w:t>of them</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(c)</w:t>
            </w: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szCs w:val="22"/>
              </w:rPr>
            </w:pPr>
            <w:r w:rsidRPr="00F627B2">
              <w:rPr>
                <w:rFonts w:ascii="Lato" w:hAnsi="Lato"/>
              </w:rPr>
              <w:t>Disclose the criteria used to select counterparties</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F627B2">
              <w:rPr>
                <w:rFonts w:ascii="Lato" w:hAnsi="Lato"/>
              </w:rPr>
              <w:t>(including legal status, country of origin, minimum credit rating)</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(d)</w:t>
            </w: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szCs w:val="22"/>
              </w:rPr>
            </w:pPr>
            <w:r w:rsidRPr="00F627B2">
              <w:rPr>
                <w:rFonts w:ascii="Lato" w:hAnsi="Lato"/>
              </w:rPr>
              <w:t>Provide a description of acceptable collateral with</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F627B2">
              <w:rPr>
                <w:rFonts w:ascii="Lato" w:hAnsi="Lato"/>
              </w:rPr>
              <w:t>regard to asset types, issuer, maturity, liquidity as well as the collateral diversification and correlation policies</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(e)</w:t>
            </w: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szCs w:val="22"/>
              </w:rPr>
            </w:pPr>
            <w:r w:rsidRPr="00F627B2">
              <w:rPr>
                <w:rFonts w:ascii="Lato" w:hAnsi="Lato"/>
              </w:rPr>
              <w:t>Provide a description of the collateral valuation</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F627B2">
              <w:rPr>
                <w:rFonts w:ascii="Lato" w:hAnsi="Lato"/>
              </w:rPr>
              <w:t>methodology used and its rationale, and whether daily mark-to-market and daily variation margins are used.</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(f)</w:t>
            </w: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szCs w:val="22"/>
              </w:rPr>
            </w:pPr>
            <w:r w:rsidRPr="00F627B2">
              <w:rPr>
                <w:rFonts w:ascii="Lato" w:hAnsi="Lato"/>
              </w:rPr>
              <w:t>Provide a description of the risks linked to SFTs and</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F627B2">
              <w:rPr>
                <w:rFonts w:ascii="Lato" w:hAnsi="Lato"/>
              </w:rPr>
              <w:t>total return swaps as well as risks linked to collateral management, such as operational, liquidity, counterparty, custody and legal risks and, where applicable, the risks arising from its reuse.</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(g)</w:t>
            </w: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szCs w:val="22"/>
              </w:rPr>
            </w:pPr>
            <w:r w:rsidRPr="00F627B2">
              <w:rPr>
                <w:rFonts w:ascii="Lato" w:hAnsi="Lato"/>
              </w:rPr>
              <w:t xml:space="preserve">Specify how assets subject to SFTs and total return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1E4A73">
              <w:rPr>
                <w:rFonts w:ascii="Lato" w:hAnsi="Lato"/>
              </w:rPr>
              <w:t>swaps</w:t>
            </w:r>
            <w:r w:rsidRPr="00A3401E">
              <w:rPr>
                <w:rFonts w:ascii="Lato" w:hAnsi="Lato"/>
              </w:rPr>
              <w:t xml:space="preserve"> </w:t>
            </w:r>
            <w:r w:rsidRPr="00F627B2">
              <w:rPr>
                <w:rFonts w:ascii="Lato" w:hAnsi="Lato"/>
              </w:rPr>
              <w:t>and collateral received are safe-kept (e.g. with fund depositary.)</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(h)</w:t>
            </w: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szCs w:val="22"/>
              </w:rPr>
            </w:pPr>
            <w:r w:rsidRPr="00F627B2">
              <w:rPr>
                <w:rFonts w:ascii="Lato" w:hAnsi="Lato"/>
              </w:rPr>
              <w:t xml:space="preserve">Specify any restrictions (regulatory or self-imposed) on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F627B2">
              <w:rPr>
                <w:rFonts w:ascii="Lato" w:hAnsi="Lato"/>
              </w:rPr>
              <w:t>reuse of collateral</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(i)</w:t>
            </w:r>
          </w:p>
        </w:tc>
        <w:tc>
          <w:tcPr>
            <w:tcW w:w="5493" w:type="dxa"/>
            <w:tcBorders>
              <w:top w:val="nil"/>
              <w:left w:val="nil"/>
              <w:bottom w:val="nil"/>
              <w:right w:val="single" w:sz="4" w:space="0" w:color="auto"/>
            </w:tcBorders>
          </w:tcPr>
          <w:p w:rsidR="00573176" w:rsidRPr="00F627B2" w:rsidRDefault="00573176" w:rsidP="00573176">
            <w:pPr>
              <w:spacing w:line="240" w:lineRule="auto"/>
              <w:jc w:val="both"/>
              <w:rPr>
                <w:rFonts w:ascii="Lato" w:hAnsi="Lato"/>
                <w:szCs w:val="22"/>
              </w:rPr>
            </w:pPr>
            <w:r w:rsidRPr="00F627B2">
              <w:rPr>
                <w:rFonts w:ascii="Lato" w:hAnsi="Lato"/>
              </w:rPr>
              <w:t>Disclose the policy on sharing of return generated by</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jc w:val="both"/>
              <w:rPr>
                <w:rFonts w:ascii="Lato" w:hAnsi="Lato"/>
                <w:szCs w:val="22"/>
              </w:rPr>
            </w:pPr>
            <w:r w:rsidRPr="00F627B2">
              <w:rPr>
                <w:rFonts w:ascii="Lato" w:hAnsi="Lato"/>
              </w:rPr>
              <w:t>SFTs and total return swaps: description of the proportions of the revenue generated by SFTs and total return swaps that is returned to the collective investment undertaking, and of the costs and fees assigned to the manager or third parties (e.g. the agent lender). Indicate if these are related parties to the manager.</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pStyle w:val="Heading1"/>
              <w:spacing w:before="0" w:after="0" w:line="240" w:lineRule="auto"/>
              <w:rPr>
                <w:rFonts w:ascii="Lato" w:hAnsi="Lato"/>
                <w:color w:val="auto"/>
                <w:sz w:val="22"/>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Pr>
                <w:rFonts w:ascii="Lato" w:hAnsi="Lato"/>
              </w:rPr>
              <w:t>2.2.15</w:t>
            </w:r>
            <w:r w:rsidR="004339B6">
              <w:rPr>
                <w:rFonts w:ascii="Lato" w:hAnsi="Lato"/>
              </w:rPr>
              <w:t>.1</w:t>
            </w: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u w:val="single"/>
              </w:rPr>
              <w:t>Sustainable Finance</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Pr>
                <w:rFonts w:ascii="Lato" w:hAnsi="Lato"/>
              </w:rPr>
              <w:t>(a)</w:t>
            </w: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Include the following:</w:t>
            </w: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Pr>
                <w:rFonts w:ascii="Lato" w:hAnsi="Lato"/>
              </w:rPr>
              <w:t>(i)</w:t>
            </w:r>
          </w:p>
        </w:tc>
        <w:tc>
          <w:tcPr>
            <w:tcW w:w="5493" w:type="dxa"/>
            <w:tcBorders>
              <w:top w:val="nil"/>
              <w:left w:val="nil"/>
              <w:bottom w:val="nil"/>
              <w:right w:val="single" w:sz="4" w:space="0" w:color="auto"/>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 xml:space="preserve">information on how environmental or social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characteristics, or a combination of those characteristics are met</w:t>
            </w:r>
          </w:p>
        </w:tc>
        <w:tc>
          <w:tcPr>
            <w:tcW w:w="1674" w:type="dxa"/>
            <w:gridSpan w:val="6"/>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Pr>
                <w:rFonts w:ascii="Lato" w:hAnsi="Lato"/>
              </w:rPr>
              <w:t>(ii)</w:t>
            </w:r>
          </w:p>
        </w:tc>
        <w:tc>
          <w:tcPr>
            <w:tcW w:w="5493" w:type="dxa"/>
            <w:tcBorders>
              <w:top w:val="nil"/>
              <w:left w:val="nil"/>
              <w:bottom w:val="nil"/>
              <w:right w:val="single" w:sz="4" w:space="0" w:color="auto"/>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 xml:space="preserve">if an index has been designated as a reference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benchmark, information on whether and how this index is consistent with those characteristics</w:t>
            </w:r>
          </w:p>
        </w:tc>
        <w:tc>
          <w:tcPr>
            <w:tcW w:w="1674" w:type="dxa"/>
            <w:gridSpan w:val="6"/>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Pr>
                <w:rFonts w:ascii="Lato" w:hAnsi="Lato"/>
              </w:rPr>
              <w:t>(iii)</w:t>
            </w:r>
          </w:p>
        </w:tc>
        <w:tc>
          <w:tcPr>
            <w:tcW w:w="5493" w:type="dxa"/>
            <w:tcBorders>
              <w:top w:val="nil"/>
              <w:left w:val="nil"/>
              <w:bottom w:val="nil"/>
              <w:right w:val="single" w:sz="4" w:space="0" w:color="auto"/>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 xml:space="preserve">Indicate where the methodology used for the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calculation of the index can be found</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13530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Pr>
                <w:rFonts w:ascii="Lato" w:hAnsi="Lato"/>
              </w:rPr>
              <w:t>(b)</w:t>
            </w: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Where a fund has sustainable investment as its objective and an index has been designated as a reference benchmark, include:</w:t>
            </w: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Pr>
                <w:rFonts w:ascii="Lato" w:hAnsi="Lato"/>
              </w:rPr>
              <w:t>(i)</w:t>
            </w:r>
          </w:p>
        </w:tc>
        <w:tc>
          <w:tcPr>
            <w:tcW w:w="5493" w:type="dxa"/>
            <w:tcBorders>
              <w:top w:val="nil"/>
              <w:left w:val="nil"/>
              <w:bottom w:val="nil"/>
              <w:right w:val="single" w:sz="4" w:space="0" w:color="auto"/>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 xml:space="preserve">information on how the designated index is aligned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with the objective</w:t>
            </w:r>
          </w:p>
        </w:tc>
        <w:tc>
          <w:tcPr>
            <w:tcW w:w="1674" w:type="dxa"/>
            <w:gridSpan w:val="6"/>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Pr>
                <w:rFonts w:ascii="Lato" w:hAnsi="Lato"/>
              </w:rPr>
              <w:t>(ii)</w:t>
            </w:r>
          </w:p>
        </w:tc>
        <w:tc>
          <w:tcPr>
            <w:tcW w:w="5493" w:type="dxa"/>
            <w:tcBorders>
              <w:top w:val="nil"/>
              <w:left w:val="nil"/>
              <w:bottom w:val="nil"/>
              <w:right w:val="single" w:sz="4" w:space="0" w:color="auto"/>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 xml:space="preserve">an explanation as to why and how the designated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index aligned with that objective differs from a broad market index</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Pr>
                <w:rFonts w:ascii="Lato" w:hAnsi="Lato"/>
              </w:rPr>
              <w:t>(c)</w:t>
            </w:r>
          </w:p>
        </w:tc>
        <w:tc>
          <w:tcPr>
            <w:tcW w:w="5493" w:type="dxa"/>
            <w:tcBorders>
              <w:top w:val="nil"/>
              <w:left w:val="nil"/>
              <w:bottom w:val="nil"/>
              <w:right w:val="single" w:sz="4" w:space="0" w:color="auto"/>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 xml:space="preserve">Where a fund has sustainable investment as its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objective and no index has been designated as a reference benchmark, include an explanation on how that objective is to be attained.</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Pr>
                <w:rFonts w:ascii="Lato" w:hAnsi="Lato"/>
              </w:rPr>
              <w:t>(d)</w:t>
            </w:r>
          </w:p>
        </w:tc>
        <w:tc>
          <w:tcPr>
            <w:tcW w:w="5493" w:type="dxa"/>
            <w:tcBorders>
              <w:top w:val="nil"/>
              <w:left w:val="nil"/>
              <w:bottom w:val="nil"/>
              <w:right w:val="single" w:sz="4" w:space="0" w:color="auto"/>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 xml:space="preserve">Where a fund has a reduction in carbon emissions as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its objective, include the objective of low carbon emission exposure in view of achieving the long</w:t>
            </w:r>
            <w:r w:rsidRPr="0023674A">
              <w:rPr>
                <w:rFonts w:ascii="Cambria Math" w:hAnsi="Cambria Math" w:cs="Cambria Math"/>
                <w:color w:val="000000"/>
                <w:sz w:val="22"/>
                <w:szCs w:val="22"/>
              </w:rPr>
              <w:t>‐</w:t>
            </w:r>
            <w:r w:rsidRPr="0023674A">
              <w:rPr>
                <w:rFonts w:ascii="Lato" w:hAnsi="Lato"/>
                <w:color w:val="000000"/>
                <w:sz w:val="22"/>
                <w:szCs w:val="22"/>
              </w:rPr>
              <w:t>term global warming objectives of the Paris Agreement</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Pr>
                <w:rFonts w:ascii="Lato" w:hAnsi="Lato"/>
              </w:rPr>
              <w:t>(e)</w:t>
            </w:r>
          </w:p>
        </w:tc>
        <w:tc>
          <w:tcPr>
            <w:tcW w:w="5493" w:type="dxa"/>
            <w:tcBorders>
              <w:top w:val="nil"/>
              <w:left w:val="nil"/>
              <w:bottom w:val="nil"/>
              <w:right w:val="single" w:sz="4" w:space="0" w:color="auto"/>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 xml:space="preserve">Include a detailed explanation of how the continued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effort of attaining the objective of reducing carbon emissions is ensured in view of achieving the long</w:t>
            </w:r>
            <w:r w:rsidRPr="0023674A">
              <w:rPr>
                <w:rFonts w:ascii="Cambria Math" w:hAnsi="Cambria Math" w:cs="Cambria Math"/>
                <w:color w:val="000000"/>
                <w:sz w:val="22"/>
                <w:szCs w:val="22"/>
              </w:rPr>
              <w:t>‐</w:t>
            </w:r>
            <w:r w:rsidRPr="0023674A">
              <w:rPr>
                <w:rFonts w:ascii="Lato" w:hAnsi="Lato"/>
                <w:color w:val="000000"/>
                <w:sz w:val="22"/>
                <w:szCs w:val="22"/>
              </w:rPr>
              <w:t>term global warming objectives of the Paris Agreement wher</w:t>
            </w:r>
            <w:r w:rsidRPr="00671AFC">
              <w:rPr>
                <w:rFonts w:ascii="Lato" w:hAnsi="Lato"/>
                <w:color w:val="000000"/>
                <w:sz w:val="22"/>
                <w:szCs w:val="22"/>
              </w:rPr>
              <w:t>e the index requirements of (</w:t>
            </w:r>
            <w:r w:rsidRPr="0023674A">
              <w:rPr>
                <w:rFonts w:ascii="Lato" w:hAnsi="Lato"/>
                <w:color w:val="000000"/>
                <w:sz w:val="22"/>
                <w:szCs w:val="22"/>
              </w:rPr>
              <w:t>b) above is not available</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Pr>
                <w:rFonts w:ascii="Lato" w:hAnsi="Lato"/>
              </w:rPr>
              <w:t>(f)</w:t>
            </w:r>
          </w:p>
        </w:tc>
        <w:tc>
          <w:tcPr>
            <w:tcW w:w="5493" w:type="dxa"/>
            <w:tcBorders>
              <w:top w:val="nil"/>
              <w:left w:val="nil"/>
              <w:bottom w:val="nil"/>
              <w:right w:val="single" w:sz="4" w:space="0" w:color="auto"/>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 xml:space="preserve">Indicate where the methodology used for the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r w:rsidRPr="0023674A">
              <w:rPr>
                <w:rFonts w:ascii="Lato" w:hAnsi="Lato"/>
                <w:color w:val="000000"/>
                <w:sz w:val="22"/>
                <w:szCs w:val="22"/>
              </w:rPr>
              <w:t>calculation of the index can be found</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23674A" w:rsidRDefault="00573176" w:rsidP="00573176">
            <w:pPr>
              <w:pStyle w:val="Heading1"/>
              <w:spacing w:before="0" w:after="0" w:line="240" w:lineRule="auto"/>
              <w:rPr>
                <w:rFonts w:ascii="Lato" w:hAnsi="Lato"/>
                <w:color w:val="000000"/>
                <w:sz w:val="22"/>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4339B6" w:rsidRPr="00F627B2" w:rsidTr="0023674A">
        <w:trPr>
          <w:gridAfter w:val="3"/>
          <w:wAfter w:w="212" w:type="dxa"/>
        </w:trPr>
        <w:tc>
          <w:tcPr>
            <w:tcW w:w="1107" w:type="dxa"/>
            <w:tcBorders>
              <w:top w:val="nil"/>
              <w:left w:val="nil"/>
              <w:bottom w:val="nil"/>
              <w:right w:val="nil"/>
            </w:tcBorders>
          </w:tcPr>
          <w:p w:rsidR="004339B6" w:rsidRPr="00F627B2" w:rsidRDefault="004339B6" w:rsidP="00573176">
            <w:pPr>
              <w:spacing w:line="240" w:lineRule="auto"/>
              <w:rPr>
                <w:rFonts w:ascii="Lato" w:hAnsi="Lato"/>
                <w:szCs w:val="22"/>
              </w:rPr>
            </w:pPr>
            <w:r>
              <w:rPr>
                <w:rFonts w:ascii="Lato" w:hAnsi="Lato"/>
                <w:szCs w:val="22"/>
              </w:rPr>
              <w:t>2.2.15.2</w:t>
            </w:r>
          </w:p>
        </w:tc>
        <w:tc>
          <w:tcPr>
            <w:tcW w:w="5493" w:type="dxa"/>
            <w:tcBorders>
              <w:top w:val="nil"/>
              <w:left w:val="nil"/>
              <w:bottom w:val="nil"/>
              <w:right w:val="nil"/>
            </w:tcBorders>
          </w:tcPr>
          <w:p w:rsidR="004339B6" w:rsidRPr="00B378B8" w:rsidRDefault="004339B6" w:rsidP="00573176">
            <w:pPr>
              <w:pStyle w:val="Heading1"/>
              <w:spacing w:before="0" w:after="0" w:line="240" w:lineRule="auto"/>
              <w:rPr>
                <w:rFonts w:ascii="Lato" w:hAnsi="Lato"/>
                <w:color w:val="000000"/>
                <w:sz w:val="22"/>
                <w:szCs w:val="22"/>
                <w:u w:val="single"/>
              </w:rPr>
            </w:pPr>
            <w:r w:rsidRPr="00B378B8">
              <w:rPr>
                <w:rFonts w:ascii="Lato" w:hAnsi="Lato"/>
                <w:color w:val="000000"/>
                <w:sz w:val="22"/>
                <w:szCs w:val="22"/>
                <w:u w:val="single"/>
              </w:rPr>
              <w:t>Taxonomy Regulation</w:t>
            </w:r>
          </w:p>
        </w:tc>
        <w:tc>
          <w:tcPr>
            <w:tcW w:w="1674" w:type="dxa"/>
            <w:gridSpan w:val="6"/>
            <w:tcBorders>
              <w:top w:val="nil"/>
              <w:left w:val="nil"/>
              <w:bottom w:val="nil"/>
              <w:right w:val="nil"/>
            </w:tcBorders>
          </w:tcPr>
          <w:p w:rsidR="004339B6" w:rsidRPr="00F627B2" w:rsidRDefault="004339B6" w:rsidP="00573176">
            <w:pPr>
              <w:spacing w:line="240" w:lineRule="auto"/>
              <w:rPr>
                <w:rFonts w:ascii="Lato" w:hAnsi="Lato"/>
                <w:szCs w:val="22"/>
              </w:rPr>
            </w:pPr>
          </w:p>
        </w:tc>
        <w:tc>
          <w:tcPr>
            <w:tcW w:w="32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14"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27" w:type="dxa"/>
            <w:gridSpan w:val="6"/>
            <w:tcBorders>
              <w:top w:val="nil"/>
              <w:left w:val="nil"/>
              <w:bottom w:val="nil"/>
              <w:right w:val="nil"/>
            </w:tcBorders>
          </w:tcPr>
          <w:p w:rsidR="004339B6" w:rsidRPr="00F627B2" w:rsidRDefault="004339B6" w:rsidP="00573176">
            <w:pPr>
              <w:spacing w:line="240" w:lineRule="auto"/>
              <w:rPr>
                <w:rFonts w:ascii="Lato" w:hAnsi="Lato"/>
                <w:szCs w:val="22"/>
              </w:rPr>
            </w:pPr>
          </w:p>
        </w:tc>
        <w:tc>
          <w:tcPr>
            <w:tcW w:w="774"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c>
          <w:tcPr>
            <w:tcW w:w="412" w:type="dxa"/>
            <w:gridSpan w:val="5"/>
            <w:tcBorders>
              <w:top w:val="nil"/>
              <w:left w:val="nil"/>
              <w:bottom w:val="nil"/>
              <w:right w:val="nil"/>
            </w:tcBorders>
          </w:tcPr>
          <w:p w:rsidR="004339B6" w:rsidRPr="00F627B2" w:rsidRDefault="004339B6" w:rsidP="00573176">
            <w:pPr>
              <w:spacing w:line="240" w:lineRule="auto"/>
              <w:rPr>
                <w:rFonts w:ascii="Lato" w:hAnsi="Lato"/>
                <w:szCs w:val="22"/>
              </w:rPr>
            </w:pPr>
          </w:p>
        </w:tc>
        <w:tc>
          <w:tcPr>
            <w:tcW w:w="450"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r>
      <w:tr w:rsidR="004339B6" w:rsidRPr="00F627B2" w:rsidTr="0023674A">
        <w:trPr>
          <w:gridAfter w:val="3"/>
          <w:wAfter w:w="212" w:type="dxa"/>
        </w:trPr>
        <w:tc>
          <w:tcPr>
            <w:tcW w:w="1107" w:type="dxa"/>
            <w:tcBorders>
              <w:top w:val="nil"/>
              <w:left w:val="nil"/>
              <w:bottom w:val="nil"/>
              <w:right w:val="nil"/>
            </w:tcBorders>
          </w:tcPr>
          <w:p w:rsidR="004339B6" w:rsidRPr="00F627B2" w:rsidRDefault="004339B6" w:rsidP="00573176">
            <w:pPr>
              <w:spacing w:line="240" w:lineRule="auto"/>
              <w:rPr>
                <w:rFonts w:ascii="Lato" w:hAnsi="Lato"/>
                <w:szCs w:val="22"/>
              </w:rPr>
            </w:pPr>
            <w:r>
              <w:rPr>
                <w:rFonts w:ascii="Lato" w:hAnsi="Lato"/>
                <w:szCs w:val="22"/>
              </w:rPr>
              <w:t>a)</w:t>
            </w:r>
          </w:p>
        </w:tc>
        <w:tc>
          <w:tcPr>
            <w:tcW w:w="5493" w:type="dxa"/>
            <w:tcBorders>
              <w:top w:val="nil"/>
              <w:left w:val="nil"/>
              <w:bottom w:val="nil"/>
              <w:right w:val="nil"/>
            </w:tcBorders>
          </w:tcPr>
          <w:p w:rsidR="004339B6" w:rsidRPr="0023674A" w:rsidRDefault="004339B6" w:rsidP="00573176">
            <w:pPr>
              <w:pStyle w:val="Heading1"/>
              <w:spacing w:before="0" w:after="0" w:line="240" w:lineRule="auto"/>
              <w:rPr>
                <w:rFonts w:ascii="Lato" w:hAnsi="Lato"/>
                <w:color w:val="000000"/>
                <w:sz w:val="22"/>
                <w:szCs w:val="22"/>
              </w:rPr>
            </w:pPr>
            <w:r w:rsidRPr="004339B6">
              <w:rPr>
                <w:rFonts w:ascii="Lato" w:hAnsi="Lato"/>
                <w:color w:val="000000"/>
                <w:sz w:val="22"/>
                <w:szCs w:val="22"/>
              </w:rPr>
              <w:t>Where a fund as referred to in Article 9(1), (2) or</w:t>
            </w:r>
          </w:p>
        </w:tc>
        <w:tc>
          <w:tcPr>
            <w:tcW w:w="1674" w:type="dxa"/>
            <w:gridSpan w:val="6"/>
            <w:tcBorders>
              <w:top w:val="nil"/>
              <w:left w:val="nil"/>
              <w:bottom w:val="nil"/>
              <w:right w:val="nil"/>
            </w:tcBorders>
          </w:tcPr>
          <w:p w:rsidR="004339B6" w:rsidRPr="00F627B2" w:rsidRDefault="004339B6" w:rsidP="00573176">
            <w:pPr>
              <w:spacing w:line="240" w:lineRule="auto"/>
              <w:rPr>
                <w:rFonts w:ascii="Lato" w:hAnsi="Lato"/>
                <w:szCs w:val="22"/>
              </w:rPr>
            </w:pPr>
          </w:p>
        </w:tc>
        <w:tc>
          <w:tcPr>
            <w:tcW w:w="32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14"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27" w:type="dxa"/>
            <w:gridSpan w:val="6"/>
            <w:tcBorders>
              <w:top w:val="nil"/>
              <w:left w:val="nil"/>
              <w:bottom w:val="nil"/>
              <w:right w:val="nil"/>
            </w:tcBorders>
          </w:tcPr>
          <w:p w:rsidR="004339B6" w:rsidRPr="00F627B2" w:rsidRDefault="004339B6" w:rsidP="00573176">
            <w:pPr>
              <w:spacing w:line="240" w:lineRule="auto"/>
              <w:rPr>
                <w:rFonts w:ascii="Lato" w:hAnsi="Lato"/>
                <w:szCs w:val="22"/>
              </w:rPr>
            </w:pPr>
          </w:p>
        </w:tc>
        <w:tc>
          <w:tcPr>
            <w:tcW w:w="774"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c>
          <w:tcPr>
            <w:tcW w:w="412" w:type="dxa"/>
            <w:gridSpan w:val="5"/>
            <w:tcBorders>
              <w:top w:val="nil"/>
              <w:left w:val="nil"/>
              <w:bottom w:val="nil"/>
              <w:right w:val="nil"/>
            </w:tcBorders>
          </w:tcPr>
          <w:p w:rsidR="004339B6" w:rsidRPr="00F627B2" w:rsidRDefault="004339B6" w:rsidP="00573176">
            <w:pPr>
              <w:spacing w:line="240" w:lineRule="auto"/>
              <w:rPr>
                <w:rFonts w:ascii="Lato" w:hAnsi="Lato"/>
                <w:szCs w:val="22"/>
              </w:rPr>
            </w:pPr>
          </w:p>
        </w:tc>
        <w:tc>
          <w:tcPr>
            <w:tcW w:w="450"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r>
      <w:tr w:rsidR="004339B6" w:rsidRPr="00F627B2" w:rsidTr="00B378B8">
        <w:trPr>
          <w:gridAfter w:val="3"/>
          <w:wAfter w:w="212" w:type="dxa"/>
        </w:trPr>
        <w:tc>
          <w:tcPr>
            <w:tcW w:w="110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493" w:type="dxa"/>
            <w:tcBorders>
              <w:top w:val="nil"/>
              <w:left w:val="nil"/>
              <w:bottom w:val="nil"/>
              <w:right w:val="nil"/>
            </w:tcBorders>
          </w:tcPr>
          <w:p w:rsidR="004339B6" w:rsidRPr="0023674A" w:rsidRDefault="004339B6" w:rsidP="00573176">
            <w:pPr>
              <w:pStyle w:val="Heading1"/>
              <w:spacing w:before="0" w:after="0" w:line="240" w:lineRule="auto"/>
              <w:rPr>
                <w:rFonts w:ascii="Lato" w:hAnsi="Lato"/>
                <w:color w:val="000000"/>
                <w:sz w:val="22"/>
                <w:szCs w:val="22"/>
              </w:rPr>
            </w:pPr>
            <w:r w:rsidRPr="004339B6">
              <w:rPr>
                <w:rFonts w:ascii="Lato" w:hAnsi="Lato"/>
                <w:color w:val="000000"/>
                <w:sz w:val="22"/>
                <w:szCs w:val="22"/>
              </w:rPr>
              <w:t>(3) of Regulation (EU) 2019/2088 (“SFDR”) invests in an economic activity that contributes to an environmental objective within the meaning of point (17) of Article 2 of SFDR, disclose the following:</w:t>
            </w:r>
          </w:p>
        </w:tc>
        <w:tc>
          <w:tcPr>
            <w:tcW w:w="1674" w:type="dxa"/>
            <w:gridSpan w:val="6"/>
            <w:tcBorders>
              <w:top w:val="nil"/>
              <w:left w:val="nil"/>
              <w:bottom w:val="single" w:sz="4" w:space="0" w:color="auto"/>
              <w:right w:val="nil"/>
            </w:tcBorders>
          </w:tcPr>
          <w:p w:rsidR="004339B6" w:rsidRPr="00F627B2" w:rsidRDefault="004339B6" w:rsidP="00573176">
            <w:pPr>
              <w:spacing w:line="240" w:lineRule="auto"/>
              <w:rPr>
                <w:rFonts w:ascii="Lato" w:hAnsi="Lato"/>
                <w:szCs w:val="22"/>
              </w:rPr>
            </w:pPr>
          </w:p>
        </w:tc>
        <w:tc>
          <w:tcPr>
            <w:tcW w:w="32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14" w:type="dxa"/>
            <w:tcBorders>
              <w:top w:val="nil"/>
              <w:left w:val="nil"/>
              <w:bottom w:val="single" w:sz="4" w:space="0" w:color="auto"/>
              <w:right w:val="nil"/>
            </w:tcBorders>
          </w:tcPr>
          <w:p w:rsidR="004339B6" w:rsidRPr="00F627B2" w:rsidRDefault="004339B6" w:rsidP="00573176">
            <w:pPr>
              <w:spacing w:line="240" w:lineRule="auto"/>
              <w:rPr>
                <w:rFonts w:ascii="Lato" w:hAnsi="Lato"/>
                <w:szCs w:val="22"/>
              </w:rPr>
            </w:pPr>
          </w:p>
        </w:tc>
        <w:tc>
          <w:tcPr>
            <w:tcW w:w="527" w:type="dxa"/>
            <w:gridSpan w:val="6"/>
            <w:tcBorders>
              <w:top w:val="nil"/>
              <w:left w:val="nil"/>
              <w:bottom w:val="nil"/>
              <w:right w:val="nil"/>
            </w:tcBorders>
          </w:tcPr>
          <w:p w:rsidR="004339B6" w:rsidRPr="00F627B2" w:rsidRDefault="004339B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4339B6" w:rsidRPr="00F627B2" w:rsidRDefault="004339B6" w:rsidP="00573176">
            <w:pPr>
              <w:spacing w:line="240" w:lineRule="auto"/>
              <w:rPr>
                <w:rFonts w:ascii="Lato" w:hAnsi="Lato"/>
                <w:szCs w:val="22"/>
              </w:rPr>
            </w:pPr>
          </w:p>
        </w:tc>
        <w:tc>
          <w:tcPr>
            <w:tcW w:w="412" w:type="dxa"/>
            <w:gridSpan w:val="5"/>
            <w:tcBorders>
              <w:top w:val="nil"/>
              <w:left w:val="nil"/>
              <w:bottom w:val="nil"/>
              <w:right w:val="nil"/>
            </w:tcBorders>
          </w:tcPr>
          <w:p w:rsidR="004339B6" w:rsidRPr="00F627B2" w:rsidRDefault="004339B6" w:rsidP="00573176">
            <w:pPr>
              <w:spacing w:line="240" w:lineRule="auto"/>
              <w:rPr>
                <w:rFonts w:ascii="Lato" w:hAnsi="Lato"/>
                <w:szCs w:val="22"/>
              </w:rPr>
            </w:pPr>
          </w:p>
        </w:tc>
        <w:tc>
          <w:tcPr>
            <w:tcW w:w="450"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r>
      <w:tr w:rsidR="004339B6" w:rsidRPr="00F627B2" w:rsidTr="00B378B8">
        <w:trPr>
          <w:gridAfter w:val="3"/>
          <w:wAfter w:w="212" w:type="dxa"/>
        </w:trPr>
        <w:tc>
          <w:tcPr>
            <w:tcW w:w="110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493" w:type="dxa"/>
            <w:tcBorders>
              <w:top w:val="nil"/>
              <w:left w:val="nil"/>
              <w:bottom w:val="nil"/>
              <w:right w:val="single" w:sz="4" w:space="0" w:color="auto"/>
            </w:tcBorders>
          </w:tcPr>
          <w:p w:rsidR="004339B6" w:rsidRPr="0023674A" w:rsidRDefault="004339B6" w:rsidP="00573176">
            <w:pPr>
              <w:pStyle w:val="Heading1"/>
              <w:spacing w:before="0" w:after="0" w:line="240" w:lineRule="auto"/>
              <w:rPr>
                <w:rFonts w:ascii="Lato" w:hAnsi="Lato"/>
                <w:color w:val="000000"/>
                <w:sz w:val="22"/>
                <w:szCs w:val="22"/>
              </w:rPr>
            </w:pPr>
            <w:r w:rsidRPr="004339B6">
              <w:rPr>
                <w:rFonts w:ascii="Lato" w:hAnsi="Lato"/>
                <w:color w:val="000000"/>
                <w:sz w:val="22"/>
                <w:szCs w:val="22"/>
              </w:rPr>
              <w:t>(i) information on the environmental objective or</w:t>
            </w:r>
          </w:p>
        </w:tc>
        <w:tc>
          <w:tcPr>
            <w:tcW w:w="1674" w:type="dxa"/>
            <w:gridSpan w:val="6"/>
            <w:tcBorders>
              <w:top w:val="single" w:sz="4" w:space="0" w:color="auto"/>
              <w:left w:val="single" w:sz="4" w:space="0" w:color="auto"/>
              <w:bottom w:val="single" w:sz="4" w:space="0" w:color="auto"/>
              <w:right w:val="single" w:sz="4" w:space="0" w:color="auto"/>
            </w:tcBorders>
          </w:tcPr>
          <w:p w:rsidR="004339B6" w:rsidRPr="00F627B2" w:rsidRDefault="004339B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4339B6" w:rsidRPr="00F627B2" w:rsidRDefault="004339B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4339B6" w:rsidRPr="00F627B2" w:rsidRDefault="004339B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4339B6" w:rsidRPr="00F627B2" w:rsidRDefault="004339B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4339B6" w:rsidRPr="00F627B2" w:rsidRDefault="004339B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4339B6" w:rsidRPr="00F627B2" w:rsidRDefault="004339B6" w:rsidP="00573176">
            <w:pPr>
              <w:spacing w:line="240" w:lineRule="auto"/>
              <w:rPr>
                <w:rFonts w:ascii="Lato" w:hAnsi="Lato"/>
                <w:szCs w:val="22"/>
              </w:rPr>
            </w:pPr>
          </w:p>
        </w:tc>
        <w:tc>
          <w:tcPr>
            <w:tcW w:w="450"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r>
      <w:tr w:rsidR="004339B6" w:rsidRPr="00F627B2" w:rsidTr="00B378B8">
        <w:trPr>
          <w:gridAfter w:val="3"/>
          <w:wAfter w:w="212" w:type="dxa"/>
        </w:trPr>
        <w:tc>
          <w:tcPr>
            <w:tcW w:w="110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493" w:type="dxa"/>
            <w:tcBorders>
              <w:top w:val="nil"/>
              <w:left w:val="nil"/>
              <w:bottom w:val="nil"/>
              <w:right w:val="nil"/>
            </w:tcBorders>
          </w:tcPr>
          <w:p w:rsidR="004339B6" w:rsidRPr="0023674A" w:rsidRDefault="004339B6" w:rsidP="00573176">
            <w:pPr>
              <w:pStyle w:val="Heading1"/>
              <w:spacing w:before="0" w:after="0" w:line="240" w:lineRule="auto"/>
              <w:rPr>
                <w:rFonts w:ascii="Lato" w:hAnsi="Lato"/>
                <w:color w:val="000000"/>
                <w:sz w:val="22"/>
                <w:szCs w:val="22"/>
              </w:rPr>
            </w:pPr>
            <w:r w:rsidRPr="004339B6">
              <w:rPr>
                <w:rFonts w:ascii="Lato" w:hAnsi="Lato"/>
                <w:color w:val="000000"/>
                <w:sz w:val="22"/>
                <w:szCs w:val="22"/>
              </w:rPr>
              <w:t>environmental objectives to which the investment underlying the fund contributes, (i.e. (a) climate change mitigation; (b) climate change adaptation; (c) the sustainable use and protection of water and marine resources; (d) the transition to a circular economy; (e) pollution prevention and control; (f) the protection and restoration of biodiversity and ecosystems);</w:t>
            </w:r>
          </w:p>
        </w:tc>
        <w:tc>
          <w:tcPr>
            <w:tcW w:w="1674" w:type="dxa"/>
            <w:gridSpan w:val="6"/>
            <w:tcBorders>
              <w:top w:val="single" w:sz="4" w:space="0" w:color="auto"/>
              <w:left w:val="nil"/>
              <w:bottom w:val="single" w:sz="4" w:space="0" w:color="auto"/>
              <w:right w:val="nil"/>
            </w:tcBorders>
          </w:tcPr>
          <w:p w:rsidR="004339B6" w:rsidRPr="00F627B2" w:rsidRDefault="004339B6" w:rsidP="00573176">
            <w:pPr>
              <w:spacing w:line="240" w:lineRule="auto"/>
              <w:rPr>
                <w:rFonts w:ascii="Lato" w:hAnsi="Lato"/>
                <w:szCs w:val="22"/>
              </w:rPr>
            </w:pPr>
          </w:p>
        </w:tc>
        <w:tc>
          <w:tcPr>
            <w:tcW w:w="32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14" w:type="dxa"/>
            <w:tcBorders>
              <w:top w:val="single" w:sz="4" w:space="0" w:color="auto"/>
              <w:left w:val="nil"/>
              <w:bottom w:val="single" w:sz="4" w:space="0" w:color="auto"/>
              <w:right w:val="nil"/>
            </w:tcBorders>
          </w:tcPr>
          <w:p w:rsidR="004339B6" w:rsidRPr="00F627B2" w:rsidRDefault="004339B6" w:rsidP="00573176">
            <w:pPr>
              <w:spacing w:line="240" w:lineRule="auto"/>
              <w:rPr>
                <w:rFonts w:ascii="Lato" w:hAnsi="Lato"/>
                <w:szCs w:val="22"/>
              </w:rPr>
            </w:pPr>
          </w:p>
        </w:tc>
        <w:tc>
          <w:tcPr>
            <w:tcW w:w="527" w:type="dxa"/>
            <w:gridSpan w:val="6"/>
            <w:tcBorders>
              <w:top w:val="nil"/>
              <w:left w:val="nil"/>
              <w:bottom w:val="nil"/>
              <w:right w:val="nil"/>
            </w:tcBorders>
          </w:tcPr>
          <w:p w:rsidR="004339B6" w:rsidRPr="00F627B2" w:rsidRDefault="004339B6" w:rsidP="00573176">
            <w:pPr>
              <w:spacing w:line="240" w:lineRule="auto"/>
              <w:rPr>
                <w:rFonts w:ascii="Lato" w:hAnsi="Lato"/>
                <w:szCs w:val="22"/>
              </w:rPr>
            </w:pPr>
          </w:p>
        </w:tc>
        <w:tc>
          <w:tcPr>
            <w:tcW w:w="774" w:type="dxa"/>
            <w:gridSpan w:val="7"/>
            <w:tcBorders>
              <w:top w:val="single" w:sz="4" w:space="0" w:color="auto"/>
              <w:left w:val="nil"/>
              <w:bottom w:val="single" w:sz="4" w:space="0" w:color="auto"/>
              <w:right w:val="nil"/>
            </w:tcBorders>
          </w:tcPr>
          <w:p w:rsidR="004339B6" w:rsidRPr="00F627B2" w:rsidRDefault="004339B6" w:rsidP="00573176">
            <w:pPr>
              <w:spacing w:line="240" w:lineRule="auto"/>
              <w:rPr>
                <w:rFonts w:ascii="Lato" w:hAnsi="Lato"/>
                <w:szCs w:val="22"/>
              </w:rPr>
            </w:pPr>
          </w:p>
        </w:tc>
        <w:tc>
          <w:tcPr>
            <w:tcW w:w="412" w:type="dxa"/>
            <w:gridSpan w:val="5"/>
            <w:tcBorders>
              <w:top w:val="nil"/>
              <w:left w:val="nil"/>
              <w:bottom w:val="nil"/>
              <w:right w:val="nil"/>
            </w:tcBorders>
          </w:tcPr>
          <w:p w:rsidR="004339B6" w:rsidRPr="00F627B2" w:rsidRDefault="004339B6" w:rsidP="00573176">
            <w:pPr>
              <w:spacing w:line="240" w:lineRule="auto"/>
              <w:rPr>
                <w:rFonts w:ascii="Lato" w:hAnsi="Lato"/>
                <w:szCs w:val="22"/>
              </w:rPr>
            </w:pPr>
          </w:p>
        </w:tc>
        <w:tc>
          <w:tcPr>
            <w:tcW w:w="450"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r>
      <w:tr w:rsidR="004339B6" w:rsidRPr="00F627B2" w:rsidTr="00B378B8">
        <w:trPr>
          <w:gridAfter w:val="3"/>
          <w:wAfter w:w="212" w:type="dxa"/>
        </w:trPr>
        <w:tc>
          <w:tcPr>
            <w:tcW w:w="110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493" w:type="dxa"/>
            <w:tcBorders>
              <w:top w:val="nil"/>
              <w:left w:val="nil"/>
              <w:bottom w:val="nil"/>
              <w:right w:val="single" w:sz="4" w:space="0" w:color="auto"/>
            </w:tcBorders>
          </w:tcPr>
          <w:p w:rsidR="004339B6" w:rsidRPr="0023674A" w:rsidRDefault="004339B6" w:rsidP="00573176">
            <w:pPr>
              <w:pStyle w:val="Heading1"/>
              <w:spacing w:before="0" w:after="0" w:line="240" w:lineRule="auto"/>
              <w:rPr>
                <w:rFonts w:ascii="Lato" w:hAnsi="Lato"/>
                <w:color w:val="000000"/>
                <w:sz w:val="22"/>
                <w:szCs w:val="22"/>
              </w:rPr>
            </w:pPr>
            <w:r w:rsidRPr="004339B6">
              <w:rPr>
                <w:rFonts w:ascii="Lato" w:hAnsi="Lato"/>
                <w:color w:val="000000"/>
                <w:sz w:val="22"/>
                <w:szCs w:val="22"/>
              </w:rPr>
              <w:t>(ii) a description of how and to what extent the</w:t>
            </w:r>
          </w:p>
        </w:tc>
        <w:tc>
          <w:tcPr>
            <w:tcW w:w="1674" w:type="dxa"/>
            <w:gridSpan w:val="6"/>
            <w:tcBorders>
              <w:top w:val="single" w:sz="4" w:space="0" w:color="auto"/>
              <w:left w:val="single" w:sz="4" w:space="0" w:color="auto"/>
              <w:bottom w:val="single" w:sz="4" w:space="0" w:color="auto"/>
              <w:right w:val="single" w:sz="4" w:space="0" w:color="auto"/>
            </w:tcBorders>
          </w:tcPr>
          <w:p w:rsidR="004339B6" w:rsidRPr="00F627B2" w:rsidRDefault="004339B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4339B6" w:rsidRPr="00F627B2" w:rsidRDefault="004339B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4339B6" w:rsidRPr="00F627B2" w:rsidRDefault="004339B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4339B6" w:rsidRPr="00F627B2" w:rsidRDefault="004339B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4339B6" w:rsidRPr="00F627B2" w:rsidRDefault="004339B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4339B6" w:rsidRPr="00F627B2" w:rsidRDefault="004339B6" w:rsidP="00573176">
            <w:pPr>
              <w:spacing w:line="240" w:lineRule="auto"/>
              <w:rPr>
                <w:rFonts w:ascii="Lato" w:hAnsi="Lato"/>
                <w:szCs w:val="22"/>
              </w:rPr>
            </w:pPr>
          </w:p>
        </w:tc>
        <w:tc>
          <w:tcPr>
            <w:tcW w:w="450"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r>
      <w:tr w:rsidR="004339B6" w:rsidRPr="00F627B2" w:rsidTr="00B378B8">
        <w:trPr>
          <w:gridAfter w:val="3"/>
          <w:wAfter w:w="212" w:type="dxa"/>
        </w:trPr>
        <w:tc>
          <w:tcPr>
            <w:tcW w:w="110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493" w:type="dxa"/>
            <w:tcBorders>
              <w:top w:val="nil"/>
              <w:left w:val="nil"/>
              <w:bottom w:val="nil"/>
              <w:right w:val="nil"/>
            </w:tcBorders>
          </w:tcPr>
          <w:p w:rsidR="004339B6" w:rsidRPr="004339B6" w:rsidRDefault="004339B6" w:rsidP="00B378B8">
            <w:pPr>
              <w:pStyle w:val="Heading1"/>
              <w:spacing w:before="0" w:line="240" w:lineRule="auto"/>
              <w:rPr>
                <w:rFonts w:ascii="Lato" w:hAnsi="Lato"/>
                <w:color w:val="000000"/>
                <w:sz w:val="22"/>
                <w:szCs w:val="22"/>
              </w:rPr>
            </w:pPr>
            <w:r w:rsidRPr="004339B6">
              <w:rPr>
                <w:rFonts w:ascii="Lato" w:hAnsi="Lato"/>
                <w:color w:val="000000"/>
                <w:sz w:val="22"/>
                <w:szCs w:val="22"/>
              </w:rPr>
              <w:t>investments underlying the fund are in economic activities that qualify as environmentally sustainable;</w:t>
            </w:r>
          </w:p>
          <w:p w:rsidR="004339B6" w:rsidRPr="0023674A" w:rsidRDefault="004339B6" w:rsidP="004339B6">
            <w:pPr>
              <w:pStyle w:val="Heading1"/>
              <w:spacing w:before="0" w:after="0" w:line="240" w:lineRule="auto"/>
              <w:rPr>
                <w:rFonts w:ascii="Lato" w:hAnsi="Lato"/>
                <w:color w:val="000000"/>
                <w:sz w:val="22"/>
                <w:szCs w:val="22"/>
              </w:rPr>
            </w:pPr>
            <w:r w:rsidRPr="004339B6">
              <w:rPr>
                <w:rFonts w:ascii="Lato" w:hAnsi="Lato"/>
                <w:color w:val="000000"/>
                <w:sz w:val="22"/>
                <w:szCs w:val="22"/>
              </w:rPr>
              <w:t>and</w:t>
            </w:r>
          </w:p>
        </w:tc>
        <w:tc>
          <w:tcPr>
            <w:tcW w:w="1674" w:type="dxa"/>
            <w:gridSpan w:val="6"/>
            <w:tcBorders>
              <w:top w:val="single" w:sz="4" w:space="0" w:color="auto"/>
              <w:left w:val="nil"/>
              <w:bottom w:val="single" w:sz="4" w:space="0" w:color="auto"/>
              <w:right w:val="nil"/>
            </w:tcBorders>
          </w:tcPr>
          <w:p w:rsidR="004339B6" w:rsidRPr="00F627B2" w:rsidRDefault="004339B6" w:rsidP="00573176">
            <w:pPr>
              <w:spacing w:line="240" w:lineRule="auto"/>
              <w:rPr>
                <w:rFonts w:ascii="Lato" w:hAnsi="Lato"/>
                <w:szCs w:val="22"/>
              </w:rPr>
            </w:pPr>
          </w:p>
        </w:tc>
        <w:tc>
          <w:tcPr>
            <w:tcW w:w="32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14" w:type="dxa"/>
            <w:tcBorders>
              <w:top w:val="single" w:sz="4" w:space="0" w:color="auto"/>
              <w:left w:val="nil"/>
              <w:bottom w:val="single" w:sz="4" w:space="0" w:color="auto"/>
              <w:right w:val="nil"/>
            </w:tcBorders>
          </w:tcPr>
          <w:p w:rsidR="004339B6" w:rsidRPr="00F627B2" w:rsidRDefault="004339B6" w:rsidP="00573176">
            <w:pPr>
              <w:spacing w:line="240" w:lineRule="auto"/>
              <w:rPr>
                <w:rFonts w:ascii="Lato" w:hAnsi="Lato"/>
                <w:szCs w:val="22"/>
              </w:rPr>
            </w:pPr>
          </w:p>
        </w:tc>
        <w:tc>
          <w:tcPr>
            <w:tcW w:w="527" w:type="dxa"/>
            <w:gridSpan w:val="6"/>
            <w:tcBorders>
              <w:top w:val="nil"/>
              <w:left w:val="nil"/>
              <w:bottom w:val="nil"/>
              <w:right w:val="nil"/>
            </w:tcBorders>
          </w:tcPr>
          <w:p w:rsidR="004339B6" w:rsidRPr="00F627B2" w:rsidRDefault="004339B6" w:rsidP="00573176">
            <w:pPr>
              <w:spacing w:line="240" w:lineRule="auto"/>
              <w:rPr>
                <w:rFonts w:ascii="Lato" w:hAnsi="Lato"/>
                <w:szCs w:val="22"/>
              </w:rPr>
            </w:pPr>
          </w:p>
        </w:tc>
        <w:tc>
          <w:tcPr>
            <w:tcW w:w="774" w:type="dxa"/>
            <w:gridSpan w:val="7"/>
            <w:tcBorders>
              <w:top w:val="single" w:sz="4" w:space="0" w:color="auto"/>
              <w:left w:val="nil"/>
              <w:bottom w:val="single" w:sz="4" w:space="0" w:color="auto"/>
              <w:right w:val="nil"/>
            </w:tcBorders>
          </w:tcPr>
          <w:p w:rsidR="004339B6" w:rsidRPr="00F627B2" w:rsidRDefault="004339B6" w:rsidP="00573176">
            <w:pPr>
              <w:spacing w:line="240" w:lineRule="auto"/>
              <w:rPr>
                <w:rFonts w:ascii="Lato" w:hAnsi="Lato"/>
                <w:szCs w:val="22"/>
              </w:rPr>
            </w:pPr>
          </w:p>
        </w:tc>
        <w:tc>
          <w:tcPr>
            <w:tcW w:w="412" w:type="dxa"/>
            <w:gridSpan w:val="5"/>
            <w:tcBorders>
              <w:top w:val="nil"/>
              <w:left w:val="nil"/>
              <w:bottom w:val="nil"/>
              <w:right w:val="nil"/>
            </w:tcBorders>
          </w:tcPr>
          <w:p w:rsidR="004339B6" w:rsidRPr="00F627B2" w:rsidRDefault="004339B6" w:rsidP="00573176">
            <w:pPr>
              <w:spacing w:line="240" w:lineRule="auto"/>
              <w:rPr>
                <w:rFonts w:ascii="Lato" w:hAnsi="Lato"/>
                <w:szCs w:val="22"/>
              </w:rPr>
            </w:pPr>
          </w:p>
        </w:tc>
        <w:tc>
          <w:tcPr>
            <w:tcW w:w="450"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r>
      <w:tr w:rsidR="004339B6" w:rsidRPr="00F627B2" w:rsidTr="00B378B8">
        <w:trPr>
          <w:gridAfter w:val="3"/>
          <w:wAfter w:w="212" w:type="dxa"/>
        </w:trPr>
        <w:tc>
          <w:tcPr>
            <w:tcW w:w="110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493" w:type="dxa"/>
            <w:tcBorders>
              <w:top w:val="nil"/>
              <w:left w:val="nil"/>
              <w:bottom w:val="nil"/>
              <w:right w:val="single" w:sz="4" w:space="0" w:color="auto"/>
            </w:tcBorders>
          </w:tcPr>
          <w:p w:rsidR="004339B6" w:rsidRPr="0023674A" w:rsidRDefault="004339B6" w:rsidP="00573176">
            <w:pPr>
              <w:pStyle w:val="Heading1"/>
              <w:spacing w:before="0" w:after="0" w:line="240" w:lineRule="auto"/>
              <w:rPr>
                <w:rFonts w:ascii="Lato" w:hAnsi="Lato"/>
                <w:color w:val="000000"/>
                <w:sz w:val="22"/>
                <w:szCs w:val="22"/>
              </w:rPr>
            </w:pPr>
            <w:r w:rsidRPr="004339B6">
              <w:rPr>
                <w:rFonts w:ascii="Lato" w:hAnsi="Lato"/>
                <w:color w:val="000000"/>
                <w:sz w:val="22"/>
                <w:szCs w:val="22"/>
              </w:rPr>
              <w:t>(iii) Specify the proportion of investments in</w:t>
            </w:r>
          </w:p>
        </w:tc>
        <w:tc>
          <w:tcPr>
            <w:tcW w:w="1674" w:type="dxa"/>
            <w:gridSpan w:val="6"/>
            <w:tcBorders>
              <w:top w:val="single" w:sz="4" w:space="0" w:color="auto"/>
              <w:left w:val="single" w:sz="4" w:space="0" w:color="auto"/>
              <w:bottom w:val="single" w:sz="4" w:space="0" w:color="auto"/>
              <w:right w:val="single" w:sz="4" w:space="0" w:color="auto"/>
            </w:tcBorders>
          </w:tcPr>
          <w:p w:rsidR="004339B6" w:rsidRPr="00F627B2" w:rsidRDefault="004339B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4339B6" w:rsidRPr="00F627B2" w:rsidRDefault="004339B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4339B6" w:rsidRPr="00F627B2" w:rsidRDefault="004339B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4339B6" w:rsidRPr="00F627B2" w:rsidRDefault="004339B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4339B6" w:rsidRPr="00F627B2" w:rsidRDefault="004339B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4339B6" w:rsidRPr="00F627B2" w:rsidRDefault="004339B6" w:rsidP="00573176">
            <w:pPr>
              <w:spacing w:line="240" w:lineRule="auto"/>
              <w:rPr>
                <w:rFonts w:ascii="Lato" w:hAnsi="Lato"/>
                <w:szCs w:val="22"/>
              </w:rPr>
            </w:pPr>
          </w:p>
        </w:tc>
        <w:tc>
          <w:tcPr>
            <w:tcW w:w="450"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r>
      <w:tr w:rsidR="004339B6" w:rsidRPr="00F627B2" w:rsidTr="00B378B8">
        <w:trPr>
          <w:gridAfter w:val="3"/>
          <w:wAfter w:w="212" w:type="dxa"/>
        </w:trPr>
        <w:tc>
          <w:tcPr>
            <w:tcW w:w="110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493" w:type="dxa"/>
            <w:tcBorders>
              <w:top w:val="nil"/>
              <w:left w:val="nil"/>
              <w:bottom w:val="nil"/>
              <w:right w:val="nil"/>
            </w:tcBorders>
          </w:tcPr>
          <w:p w:rsidR="004339B6" w:rsidRPr="0023674A" w:rsidRDefault="004339B6" w:rsidP="00573176">
            <w:pPr>
              <w:pStyle w:val="Heading1"/>
              <w:spacing w:before="0" w:after="0" w:line="240" w:lineRule="auto"/>
              <w:rPr>
                <w:rFonts w:ascii="Lato" w:hAnsi="Lato"/>
                <w:color w:val="000000"/>
                <w:sz w:val="22"/>
                <w:szCs w:val="22"/>
              </w:rPr>
            </w:pPr>
            <w:r w:rsidRPr="004339B6">
              <w:rPr>
                <w:rFonts w:ascii="Lato" w:hAnsi="Lato"/>
                <w:color w:val="000000"/>
                <w:sz w:val="22"/>
                <w:szCs w:val="22"/>
              </w:rPr>
              <w:t>environmentally sustainable economic activities selected for the fund, including details on the proportions of enabling and transitional activities, as a percentage of all investments selected for the fund.</w:t>
            </w:r>
          </w:p>
        </w:tc>
        <w:tc>
          <w:tcPr>
            <w:tcW w:w="1674" w:type="dxa"/>
            <w:gridSpan w:val="6"/>
            <w:tcBorders>
              <w:top w:val="single" w:sz="4" w:space="0" w:color="auto"/>
              <w:left w:val="nil"/>
              <w:bottom w:val="nil"/>
              <w:right w:val="nil"/>
            </w:tcBorders>
          </w:tcPr>
          <w:p w:rsidR="004339B6" w:rsidRPr="00F627B2" w:rsidRDefault="004339B6" w:rsidP="00573176">
            <w:pPr>
              <w:spacing w:line="240" w:lineRule="auto"/>
              <w:rPr>
                <w:rFonts w:ascii="Lato" w:hAnsi="Lato"/>
                <w:szCs w:val="22"/>
              </w:rPr>
            </w:pPr>
          </w:p>
        </w:tc>
        <w:tc>
          <w:tcPr>
            <w:tcW w:w="32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14" w:type="dxa"/>
            <w:tcBorders>
              <w:top w:val="single" w:sz="4" w:space="0" w:color="auto"/>
              <w:left w:val="nil"/>
              <w:bottom w:val="nil"/>
              <w:right w:val="nil"/>
            </w:tcBorders>
          </w:tcPr>
          <w:p w:rsidR="004339B6" w:rsidRPr="00F627B2" w:rsidRDefault="004339B6" w:rsidP="00573176">
            <w:pPr>
              <w:spacing w:line="240" w:lineRule="auto"/>
              <w:rPr>
                <w:rFonts w:ascii="Lato" w:hAnsi="Lato"/>
                <w:szCs w:val="22"/>
              </w:rPr>
            </w:pPr>
          </w:p>
        </w:tc>
        <w:tc>
          <w:tcPr>
            <w:tcW w:w="527" w:type="dxa"/>
            <w:gridSpan w:val="6"/>
            <w:tcBorders>
              <w:top w:val="nil"/>
              <w:left w:val="nil"/>
              <w:bottom w:val="nil"/>
              <w:right w:val="nil"/>
            </w:tcBorders>
          </w:tcPr>
          <w:p w:rsidR="004339B6" w:rsidRPr="00F627B2" w:rsidRDefault="004339B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4339B6" w:rsidRPr="00F627B2" w:rsidRDefault="004339B6" w:rsidP="00573176">
            <w:pPr>
              <w:spacing w:line="240" w:lineRule="auto"/>
              <w:rPr>
                <w:rFonts w:ascii="Lato" w:hAnsi="Lato"/>
                <w:szCs w:val="22"/>
              </w:rPr>
            </w:pPr>
          </w:p>
        </w:tc>
        <w:tc>
          <w:tcPr>
            <w:tcW w:w="412" w:type="dxa"/>
            <w:gridSpan w:val="5"/>
            <w:tcBorders>
              <w:top w:val="nil"/>
              <w:left w:val="nil"/>
              <w:bottom w:val="nil"/>
              <w:right w:val="nil"/>
            </w:tcBorders>
          </w:tcPr>
          <w:p w:rsidR="004339B6" w:rsidRPr="00F627B2" w:rsidRDefault="004339B6" w:rsidP="00573176">
            <w:pPr>
              <w:spacing w:line="240" w:lineRule="auto"/>
              <w:rPr>
                <w:rFonts w:ascii="Lato" w:hAnsi="Lato"/>
                <w:szCs w:val="22"/>
              </w:rPr>
            </w:pPr>
          </w:p>
        </w:tc>
        <w:tc>
          <w:tcPr>
            <w:tcW w:w="450"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r>
      <w:tr w:rsidR="004339B6" w:rsidRPr="00F627B2" w:rsidTr="00B378B8">
        <w:trPr>
          <w:gridAfter w:val="3"/>
          <w:wAfter w:w="212" w:type="dxa"/>
        </w:trPr>
        <w:tc>
          <w:tcPr>
            <w:tcW w:w="110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493" w:type="dxa"/>
            <w:tcBorders>
              <w:top w:val="nil"/>
              <w:left w:val="nil"/>
              <w:bottom w:val="nil"/>
              <w:right w:val="nil"/>
            </w:tcBorders>
          </w:tcPr>
          <w:p w:rsidR="004339B6" w:rsidRPr="0023674A" w:rsidRDefault="004339B6" w:rsidP="00573176">
            <w:pPr>
              <w:pStyle w:val="Heading1"/>
              <w:spacing w:before="0" w:after="0" w:line="240" w:lineRule="auto"/>
              <w:rPr>
                <w:rFonts w:ascii="Lato" w:hAnsi="Lato"/>
                <w:color w:val="000000"/>
                <w:sz w:val="22"/>
                <w:szCs w:val="22"/>
              </w:rPr>
            </w:pPr>
          </w:p>
        </w:tc>
        <w:tc>
          <w:tcPr>
            <w:tcW w:w="1674" w:type="dxa"/>
            <w:gridSpan w:val="6"/>
            <w:tcBorders>
              <w:top w:val="nil"/>
              <w:left w:val="nil"/>
              <w:bottom w:val="single" w:sz="4" w:space="0" w:color="auto"/>
              <w:right w:val="nil"/>
            </w:tcBorders>
          </w:tcPr>
          <w:p w:rsidR="004339B6" w:rsidRPr="00F627B2" w:rsidRDefault="004339B6" w:rsidP="00573176">
            <w:pPr>
              <w:spacing w:line="240" w:lineRule="auto"/>
              <w:rPr>
                <w:rFonts w:ascii="Lato" w:hAnsi="Lato"/>
                <w:szCs w:val="22"/>
              </w:rPr>
            </w:pPr>
          </w:p>
        </w:tc>
        <w:tc>
          <w:tcPr>
            <w:tcW w:w="32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14" w:type="dxa"/>
            <w:tcBorders>
              <w:top w:val="nil"/>
              <w:left w:val="nil"/>
              <w:bottom w:val="single" w:sz="4" w:space="0" w:color="auto"/>
              <w:right w:val="nil"/>
            </w:tcBorders>
          </w:tcPr>
          <w:p w:rsidR="004339B6" w:rsidRPr="00F627B2" w:rsidRDefault="004339B6" w:rsidP="00573176">
            <w:pPr>
              <w:spacing w:line="240" w:lineRule="auto"/>
              <w:rPr>
                <w:rFonts w:ascii="Lato" w:hAnsi="Lato"/>
                <w:szCs w:val="22"/>
              </w:rPr>
            </w:pPr>
          </w:p>
        </w:tc>
        <w:tc>
          <w:tcPr>
            <w:tcW w:w="527" w:type="dxa"/>
            <w:gridSpan w:val="6"/>
            <w:tcBorders>
              <w:top w:val="nil"/>
              <w:left w:val="nil"/>
              <w:bottom w:val="nil"/>
              <w:right w:val="nil"/>
            </w:tcBorders>
          </w:tcPr>
          <w:p w:rsidR="004339B6" w:rsidRPr="00F627B2" w:rsidRDefault="004339B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4339B6" w:rsidRPr="00F627B2" w:rsidRDefault="004339B6" w:rsidP="00573176">
            <w:pPr>
              <w:spacing w:line="240" w:lineRule="auto"/>
              <w:rPr>
                <w:rFonts w:ascii="Lato" w:hAnsi="Lato"/>
                <w:szCs w:val="22"/>
              </w:rPr>
            </w:pPr>
          </w:p>
        </w:tc>
        <w:tc>
          <w:tcPr>
            <w:tcW w:w="412" w:type="dxa"/>
            <w:gridSpan w:val="5"/>
            <w:tcBorders>
              <w:top w:val="nil"/>
              <w:left w:val="nil"/>
              <w:bottom w:val="nil"/>
              <w:right w:val="nil"/>
            </w:tcBorders>
          </w:tcPr>
          <w:p w:rsidR="004339B6" w:rsidRPr="00F627B2" w:rsidRDefault="004339B6" w:rsidP="00573176">
            <w:pPr>
              <w:spacing w:line="240" w:lineRule="auto"/>
              <w:rPr>
                <w:rFonts w:ascii="Lato" w:hAnsi="Lato"/>
                <w:szCs w:val="22"/>
              </w:rPr>
            </w:pPr>
          </w:p>
        </w:tc>
        <w:tc>
          <w:tcPr>
            <w:tcW w:w="450"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r>
      <w:tr w:rsidR="004339B6" w:rsidRPr="00F627B2" w:rsidTr="00B378B8">
        <w:trPr>
          <w:gridAfter w:val="3"/>
          <w:wAfter w:w="212" w:type="dxa"/>
        </w:trPr>
        <w:tc>
          <w:tcPr>
            <w:tcW w:w="1107" w:type="dxa"/>
            <w:tcBorders>
              <w:top w:val="nil"/>
              <w:left w:val="nil"/>
              <w:bottom w:val="nil"/>
              <w:right w:val="nil"/>
            </w:tcBorders>
          </w:tcPr>
          <w:p w:rsidR="004339B6" w:rsidRPr="00F627B2" w:rsidRDefault="004339B6" w:rsidP="00573176">
            <w:pPr>
              <w:spacing w:line="240" w:lineRule="auto"/>
              <w:rPr>
                <w:rFonts w:ascii="Lato" w:hAnsi="Lato"/>
                <w:szCs w:val="22"/>
              </w:rPr>
            </w:pPr>
            <w:r>
              <w:rPr>
                <w:rFonts w:ascii="Lato" w:hAnsi="Lato"/>
                <w:szCs w:val="22"/>
              </w:rPr>
              <w:t>b)</w:t>
            </w:r>
          </w:p>
        </w:tc>
        <w:tc>
          <w:tcPr>
            <w:tcW w:w="5493" w:type="dxa"/>
            <w:tcBorders>
              <w:top w:val="nil"/>
              <w:left w:val="nil"/>
              <w:bottom w:val="nil"/>
              <w:right w:val="single" w:sz="4" w:space="0" w:color="auto"/>
            </w:tcBorders>
          </w:tcPr>
          <w:p w:rsidR="004339B6" w:rsidRPr="0023674A" w:rsidRDefault="004339B6" w:rsidP="00573176">
            <w:pPr>
              <w:pStyle w:val="Heading1"/>
              <w:spacing w:before="0" w:after="0" w:line="240" w:lineRule="auto"/>
              <w:rPr>
                <w:rFonts w:ascii="Lato" w:hAnsi="Lato"/>
                <w:color w:val="000000"/>
                <w:sz w:val="22"/>
                <w:szCs w:val="22"/>
              </w:rPr>
            </w:pPr>
            <w:r w:rsidRPr="004339B6">
              <w:rPr>
                <w:rFonts w:ascii="Lato" w:hAnsi="Lato"/>
                <w:color w:val="000000"/>
                <w:sz w:val="22"/>
                <w:szCs w:val="22"/>
              </w:rPr>
              <w:t>Where a fund as referred to in Article 8(1) of</w:t>
            </w:r>
          </w:p>
        </w:tc>
        <w:tc>
          <w:tcPr>
            <w:tcW w:w="1674" w:type="dxa"/>
            <w:gridSpan w:val="6"/>
            <w:tcBorders>
              <w:top w:val="single" w:sz="4" w:space="0" w:color="auto"/>
              <w:left w:val="single" w:sz="4" w:space="0" w:color="auto"/>
              <w:bottom w:val="single" w:sz="4" w:space="0" w:color="auto"/>
              <w:right w:val="single" w:sz="4" w:space="0" w:color="auto"/>
            </w:tcBorders>
          </w:tcPr>
          <w:p w:rsidR="004339B6" w:rsidRPr="00F627B2" w:rsidRDefault="004339B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4339B6" w:rsidRPr="00F627B2" w:rsidRDefault="004339B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4339B6" w:rsidRPr="00F627B2" w:rsidRDefault="004339B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4339B6" w:rsidRPr="00F627B2" w:rsidRDefault="004339B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4339B6" w:rsidRPr="00F627B2" w:rsidRDefault="004339B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4339B6" w:rsidRPr="00F627B2" w:rsidRDefault="004339B6" w:rsidP="00573176">
            <w:pPr>
              <w:spacing w:line="240" w:lineRule="auto"/>
              <w:rPr>
                <w:rFonts w:ascii="Lato" w:hAnsi="Lato"/>
                <w:szCs w:val="22"/>
              </w:rPr>
            </w:pPr>
          </w:p>
        </w:tc>
        <w:tc>
          <w:tcPr>
            <w:tcW w:w="450"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r>
      <w:tr w:rsidR="004339B6" w:rsidRPr="00F627B2" w:rsidTr="00B378B8">
        <w:trPr>
          <w:gridAfter w:val="3"/>
          <w:wAfter w:w="212" w:type="dxa"/>
        </w:trPr>
        <w:tc>
          <w:tcPr>
            <w:tcW w:w="110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493" w:type="dxa"/>
            <w:tcBorders>
              <w:top w:val="nil"/>
              <w:left w:val="nil"/>
              <w:bottom w:val="nil"/>
              <w:right w:val="nil"/>
            </w:tcBorders>
          </w:tcPr>
          <w:p w:rsidR="004339B6" w:rsidRPr="004339B6" w:rsidRDefault="004339B6" w:rsidP="00B378B8">
            <w:pPr>
              <w:pStyle w:val="Heading1"/>
              <w:spacing w:before="0" w:line="240" w:lineRule="auto"/>
              <w:rPr>
                <w:rFonts w:ascii="Lato" w:hAnsi="Lato"/>
                <w:color w:val="000000"/>
                <w:sz w:val="22"/>
                <w:szCs w:val="22"/>
              </w:rPr>
            </w:pPr>
            <w:r w:rsidRPr="004339B6">
              <w:rPr>
                <w:rFonts w:ascii="Lato" w:hAnsi="Lato"/>
                <w:color w:val="000000"/>
                <w:sz w:val="22"/>
                <w:szCs w:val="22"/>
              </w:rPr>
              <w:t xml:space="preserve">SFDR promotes environmental characteristics, include the  following statement: </w:t>
            </w:r>
          </w:p>
          <w:p w:rsidR="004339B6" w:rsidRPr="0023674A" w:rsidRDefault="004339B6" w:rsidP="004339B6">
            <w:pPr>
              <w:pStyle w:val="Heading1"/>
              <w:spacing w:before="0" w:after="0" w:line="240" w:lineRule="auto"/>
              <w:rPr>
                <w:rFonts w:ascii="Lato" w:hAnsi="Lato"/>
                <w:color w:val="000000"/>
                <w:sz w:val="22"/>
                <w:szCs w:val="22"/>
              </w:rPr>
            </w:pPr>
            <w:r w:rsidRPr="004339B6">
              <w:rPr>
                <w:rFonts w:ascii="Lato" w:hAnsi="Lato"/>
                <w:color w:val="000000"/>
                <w:sz w:val="22"/>
                <w:szCs w:val="22"/>
              </w:rPr>
              <w:t>‘The “do no significant harm” principle applies only to those investments underlying the fund that take into account the EU criteria for environmentally sustainable economic activities. The investments underlying the remaining portion of this fund do not take into account the EU criteria for environmentally sustainable economic activities.’</w:t>
            </w:r>
          </w:p>
        </w:tc>
        <w:tc>
          <w:tcPr>
            <w:tcW w:w="1674" w:type="dxa"/>
            <w:gridSpan w:val="6"/>
            <w:tcBorders>
              <w:top w:val="single" w:sz="4" w:space="0" w:color="auto"/>
              <w:left w:val="nil"/>
              <w:bottom w:val="nil"/>
              <w:right w:val="nil"/>
            </w:tcBorders>
          </w:tcPr>
          <w:p w:rsidR="004339B6" w:rsidRPr="00F627B2" w:rsidRDefault="004339B6" w:rsidP="00573176">
            <w:pPr>
              <w:spacing w:line="240" w:lineRule="auto"/>
              <w:rPr>
                <w:rFonts w:ascii="Lato" w:hAnsi="Lato"/>
                <w:szCs w:val="22"/>
              </w:rPr>
            </w:pPr>
          </w:p>
        </w:tc>
        <w:tc>
          <w:tcPr>
            <w:tcW w:w="32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14" w:type="dxa"/>
            <w:tcBorders>
              <w:top w:val="single" w:sz="4" w:space="0" w:color="auto"/>
              <w:left w:val="nil"/>
              <w:bottom w:val="nil"/>
              <w:right w:val="nil"/>
            </w:tcBorders>
          </w:tcPr>
          <w:p w:rsidR="004339B6" w:rsidRPr="00F627B2" w:rsidRDefault="004339B6" w:rsidP="00573176">
            <w:pPr>
              <w:spacing w:line="240" w:lineRule="auto"/>
              <w:rPr>
                <w:rFonts w:ascii="Lato" w:hAnsi="Lato"/>
                <w:szCs w:val="22"/>
              </w:rPr>
            </w:pPr>
          </w:p>
        </w:tc>
        <w:tc>
          <w:tcPr>
            <w:tcW w:w="527" w:type="dxa"/>
            <w:gridSpan w:val="6"/>
            <w:tcBorders>
              <w:top w:val="nil"/>
              <w:left w:val="nil"/>
              <w:bottom w:val="nil"/>
              <w:right w:val="nil"/>
            </w:tcBorders>
          </w:tcPr>
          <w:p w:rsidR="004339B6" w:rsidRPr="00F627B2" w:rsidRDefault="004339B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4339B6" w:rsidRPr="00F627B2" w:rsidRDefault="004339B6" w:rsidP="00573176">
            <w:pPr>
              <w:spacing w:line="240" w:lineRule="auto"/>
              <w:rPr>
                <w:rFonts w:ascii="Lato" w:hAnsi="Lato"/>
                <w:szCs w:val="22"/>
              </w:rPr>
            </w:pPr>
          </w:p>
        </w:tc>
        <w:tc>
          <w:tcPr>
            <w:tcW w:w="412" w:type="dxa"/>
            <w:gridSpan w:val="5"/>
            <w:tcBorders>
              <w:top w:val="nil"/>
              <w:left w:val="nil"/>
              <w:bottom w:val="nil"/>
              <w:right w:val="nil"/>
            </w:tcBorders>
          </w:tcPr>
          <w:p w:rsidR="004339B6" w:rsidRPr="00F627B2" w:rsidRDefault="004339B6" w:rsidP="00573176">
            <w:pPr>
              <w:spacing w:line="240" w:lineRule="auto"/>
              <w:rPr>
                <w:rFonts w:ascii="Lato" w:hAnsi="Lato"/>
                <w:szCs w:val="22"/>
              </w:rPr>
            </w:pPr>
          </w:p>
        </w:tc>
        <w:tc>
          <w:tcPr>
            <w:tcW w:w="450"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r>
      <w:tr w:rsidR="004339B6" w:rsidRPr="00F627B2" w:rsidTr="00B378B8">
        <w:trPr>
          <w:gridAfter w:val="3"/>
          <w:wAfter w:w="212" w:type="dxa"/>
        </w:trPr>
        <w:tc>
          <w:tcPr>
            <w:tcW w:w="110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493" w:type="dxa"/>
            <w:tcBorders>
              <w:top w:val="nil"/>
              <w:left w:val="nil"/>
              <w:bottom w:val="nil"/>
              <w:right w:val="nil"/>
            </w:tcBorders>
          </w:tcPr>
          <w:p w:rsidR="004339B6" w:rsidRPr="0023674A" w:rsidRDefault="004339B6" w:rsidP="00573176">
            <w:pPr>
              <w:pStyle w:val="Heading1"/>
              <w:spacing w:before="0" w:after="0" w:line="240" w:lineRule="auto"/>
              <w:rPr>
                <w:rFonts w:ascii="Lato" w:hAnsi="Lato"/>
                <w:color w:val="000000"/>
                <w:sz w:val="22"/>
                <w:szCs w:val="22"/>
              </w:rPr>
            </w:pPr>
          </w:p>
        </w:tc>
        <w:tc>
          <w:tcPr>
            <w:tcW w:w="1674" w:type="dxa"/>
            <w:gridSpan w:val="6"/>
            <w:tcBorders>
              <w:top w:val="nil"/>
              <w:left w:val="nil"/>
              <w:bottom w:val="single" w:sz="4" w:space="0" w:color="auto"/>
              <w:right w:val="nil"/>
            </w:tcBorders>
          </w:tcPr>
          <w:p w:rsidR="004339B6" w:rsidRPr="00F627B2" w:rsidRDefault="004339B6" w:rsidP="00573176">
            <w:pPr>
              <w:spacing w:line="240" w:lineRule="auto"/>
              <w:rPr>
                <w:rFonts w:ascii="Lato" w:hAnsi="Lato"/>
                <w:szCs w:val="22"/>
              </w:rPr>
            </w:pPr>
          </w:p>
        </w:tc>
        <w:tc>
          <w:tcPr>
            <w:tcW w:w="32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14" w:type="dxa"/>
            <w:tcBorders>
              <w:top w:val="nil"/>
              <w:left w:val="nil"/>
              <w:bottom w:val="single" w:sz="4" w:space="0" w:color="auto"/>
              <w:right w:val="nil"/>
            </w:tcBorders>
          </w:tcPr>
          <w:p w:rsidR="004339B6" w:rsidRPr="00F627B2" w:rsidRDefault="004339B6" w:rsidP="00573176">
            <w:pPr>
              <w:spacing w:line="240" w:lineRule="auto"/>
              <w:rPr>
                <w:rFonts w:ascii="Lato" w:hAnsi="Lato"/>
                <w:szCs w:val="22"/>
              </w:rPr>
            </w:pPr>
          </w:p>
        </w:tc>
        <w:tc>
          <w:tcPr>
            <w:tcW w:w="527" w:type="dxa"/>
            <w:gridSpan w:val="6"/>
            <w:tcBorders>
              <w:top w:val="nil"/>
              <w:left w:val="nil"/>
              <w:bottom w:val="nil"/>
              <w:right w:val="nil"/>
            </w:tcBorders>
          </w:tcPr>
          <w:p w:rsidR="004339B6" w:rsidRPr="00F627B2" w:rsidRDefault="004339B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4339B6" w:rsidRPr="00F627B2" w:rsidRDefault="004339B6" w:rsidP="00573176">
            <w:pPr>
              <w:spacing w:line="240" w:lineRule="auto"/>
              <w:rPr>
                <w:rFonts w:ascii="Lato" w:hAnsi="Lato"/>
                <w:szCs w:val="22"/>
              </w:rPr>
            </w:pPr>
          </w:p>
        </w:tc>
        <w:tc>
          <w:tcPr>
            <w:tcW w:w="412" w:type="dxa"/>
            <w:gridSpan w:val="5"/>
            <w:tcBorders>
              <w:top w:val="nil"/>
              <w:left w:val="nil"/>
              <w:bottom w:val="nil"/>
              <w:right w:val="nil"/>
            </w:tcBorders>
          </w:tcPr>
          <w:p w:rsidR="004339B6" w:rsidRPr="00F627B2" w:rsidRDefault="004339B6" w:rsidP="00573176">
            <w:pPr>
              <w:spacing w:line="240" w:lineRule="auto"/>
              <w:rPr>
                <w:rFonts w:ascii="Lato" w:hAnsi="Lato"/>
                <w:szCs w:val="22"/>
              </w:rPr>
            </w:pPr>
          </w:p>
        </w:tc>
        <w:tc>
          <w:tcPr>
            <w:tcW w:w="450"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r>
      <w:tr w:rsidR="004339B6" w:rsidRPr="00F627B2" w:rsidTr="00B378B8">
        <w:trPr>
          <w:gridAfter w:val="3"/>
          <w:wAfter w:w="212" w:type="dxa"/>
        </w:trPr>
        <w:tc>
          <w:tcPr>
            <w:tcW w:w="1107" w:type="dxa"/>
            <w:tcBorders>
              <w:top w:val="nil"/>
              <w:left w:val="nil"/>
              <w:bottom w:val="nil"/>
              <w:right w:val="nil"/>
            </w:tcBorders>
          </w:tcPr>
          <w:p w:rsidR="004339B6" w:rsidRPr="00F627B2" w:rsidRDefault="004339B6" w:rsidP="00573176">
            <w:pPr>
              <w:spacing w:line="240" w:lineRule="auto"/>
              <w:rPr>
                <w:rFonts w:ascii="Lato" w:hAnsi="Lato"/>
                <w:szCs w:val="22"/>
              </w:rPr>
            </w:pPr>
            <w:r>
              <w:rPr>
                <w:rFonts w:ascii="Lato" w:hAnsi="Lato"/>
                <w:szCs w:val="22"/>
              </w:rPr>
              <w:t>c)</w:t>
            </w:r>
          </w:p>
        </w:tc>
        <w:tc>
          <w:tcPr>
            <w:tcW w:w="5493" w:type="dxa"/>
            <w:tcBorders>
              <w:top w:val="nil"/>
              <w:left w:val="nil"/>
              <w:bottom w:val="nil"/>
              <w:right w:val="single" w:sz="4" w:space="0" w:color="auto"/>
            </w:tcBorders>
          </w:tcPr>
          <w:p w:rsidR="004339B6" w:rsidRPr="0023674A" w:rsidRDefault="004339B6" w:rsidP="00573176">
            <w:pPr>
              <w:pStyle w:val="Heading1"/>
              <w:spacing w:before="0" w:after="0" w:line="240" w:lineRule="auto"/>
              <w:rPr>
                <w:rFonts w:ascii="Lato" w:hAnsi="Lato"/>
                <w:color w:val="000000"/>
                <w:sz w:val="22"/>
                <w:szCs w:val="22"/>
              </w:rPr>
            </w:pPr>
            <w:r w:rsidRPr="004339B6">
              <w:rPr>
                <w:rFonts w:ascii="Lato" w:hAnsi="Lato"/>
                <w:color w:val="000000"/>
                <w:sz w:val="22"/>
                <w:szCs w:val="22"/>
              </w:rPr>
              <w:t>Where a fund is not subject to Article 8(1) or to</w:t>
            </w:r>
          </w:p>
        </w:tc>
        <w:tc>
          <w:tcPr>
            <w:tcW w:w="1674" w:type="dxa"/>
            <w:gridSpan w:val="6"/>
            <w:tcBorders>
              <w:top w:val="single" w:sz="4" w:space="0" w:color="auto"/>
              <w:left w:val="single" w:sz="4" w:space="0" w:color="auto"/>
              <w:bottom w:val="single" w:sz="4" w:space="0" w:color="auto"/>
              <w:right w:val="single" w:sz="4" w:space="0" w:color="auto"/>
            </w:tcBorders>
          </w:tcPr>
          <w:p w:rsidR="004339B6" w:rsidRPr="00F627B2" w:rsidRDefault="004339B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4339B6" w:rsidRPr="00F627B2" w:rsidRDefault="004339B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4339B6" w:rsidRPr="00F627B2" w:rsidRDefault="004339B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4339B6" w:rsidRPr="00F627B2" w:rsidRDefault="004339B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4339B6" w:rsidRPr="00F627B2" w:rsidRDefault="004339B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4339B6" w:rsidRPr="00F627B2" w:rsidRDefault="004339B6" w:rsidP="00573176">
            <w:pPr>
              <w:spacing w:line="240" w:lineRule="auto"/>
              <w:rPr>
                <w:rFonts w:ascii="Lato" w:hAnsi="Lato"/>
                <w:szCs w:val="22"/>
              </w:rPr>
            </w:pPr>
          </w:p>
        </w:tc>
        <w:tc>
          <w:tcPr>
            <w:tcW w:w="450"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r>
      <w:tr w:rsidR="004339B6" w:rsidRPr="00F627B2" w:rsidTr="00B378B8">
        <w:trPr>
          <w:gridAfter w:val="3"/>
          <w:wAfter w:w="212" w:type="dxa"/>
        </w:trPr>
        <w:tc>
          <w:tcPr>
            <w:tcW w:w="110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493" w:type="dxa"/>
            <w:tcBorders>
              <w:top w:val="nil"/>
              <w:left w:val="nil"/>
              <w:bottom w:val="nil"/>
              <w:right w:val="nil"/>
            </w:tcBorders>
          </w:tcPr>
          <w:p w:rsidR="004339B6" w:rsidRPr="004339B6" w:rsidRDefault="004339B6" w:rsidP="00B378B8">
            <w:pPr>
              <w:pStyle w:val="Heading1"/>
              <w:spacing w:before="0" w:line="240" w:lineRule="auto"/>
              <w:rPr>
                <w:rFonts w:ascii="Lato" w:hAnsi="Lato"/>
                <w:color w:val="000000"/>
                <w:sz w:val="22"/>
                <w:szCs w:val="22"/>
              </w:rPr>
            </w:pPr>
            <w:r w:rsidRPr="004339B6">
              <w:rPr>
                <w:rFonts w:ascii="Lato" w:hAnsi="Lato"/>
                <w:color w:val="000000"/>
                <w:sz w:val="22"/>
                <w:szCs w:val="22"/>
              </w:rPr>
              <w:t xml:space="preserve">Article 9(1), (2) or (3) of SFDR, include the following statement: </w:t>
            </w:r>
          </w:p>
          <w:p w:rsidR="004339B6" w:rsidRPr="0023674A" w:rsidRDefault="004339B6" w:rsidP="004339B6">
            <w:pPr>
              <w:pStyle w:val="Heading1"/>
              <w:spacing w:before="0" w:after="0" w:line="240" w:lineRule="auto"/>
              <w:rPr>
                <w:rFonts w:ascii="Lato" w:hAnsi="Lato"/>
                <w:color w:val="000000"/>
                <w:sz w:val="22"/>
                <w:szCs w:val="22"/>
              </w:rPr>
            </w:pPr>
            <w:r w:rsidRPr="004339B6">
              <w:rPr>
                <w:rFonts w:ascii="Lato" w:hAnsi="Lato"/>
                <w:color w:val="000000"/>
                <w:sz w:val="22"/>
                <w:szCs w:val="22"/>
              </w:rPr>
              <w:t>‘The investments underlying this fund do not take into account the EU criteria for environmentally sustainable economic activities’.</w:t>
            </w:r>
          </w:p>
        </w:tc>
        <w:tc>
          <w:tcPr>
            <w:tcW w:w="1674" w:type="dxa"/>
            <w:gridSpan w:val="6"/>
            <w:tcBorders>
              <w:top w:val="single" w:sz="4" w:space="0" w:color="auto"/>
              <w:left w:val="nil"/>
              <w:bottom w:val="nil"/>
              <w:right w:val="nil"/>
            </w:tcBorders>
          </w:tcPr>
          <w:p w:rsidR="004339B6" w:rsidRPr="00F627B2" w:rsidRDefault="004339B6" w:rsidP="00573176">
            <w:pPr>
              <w:spacing w:line="240" w:lineRule="auto"/>
              <w:rPr>
                <w:rFonts w:ascii="Lato" w:hAnsi="Lato"/>
                <w:szCs w:val="22"/>
              </w:rPr>
            </w:pPr>
          </w:p>
        </w:tc>
        <w:tc>
          <w:tcPr>
            <w:tcW w:w="32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14" w:type="dxa"/>
            <w:tcBorders>
              <w:top w:val="single" w:sz="4" w:space="0" w:color="auto"/>
              <w:left w:val="nil"/>
              <w:bottom w:val="nil"/>
              <w:right w:val="nil"/>
            </w:tcBorders>
          </w:tcPr>
          <w:p w:rsidR="004339B6" w:rsidRPr="00F627B2" w:rsidRDefault="004339B6" w:rsidP="00573176">
            <w:pPr>
              <w:spacing w:line="240" w:lineRule="auto"/>
              <w:rPr>
                <w:rFonts w:ascii="Lato" w:hAnsi="Lato"/>
                <w:szCs w:val="22"/>
              </w:rPr>
            </w:pPr>
          </w:p>
        </w:tc>
        <w:tc>
          <w:tcPr>
            <w:tcW w:w="527" w:type="dxa"/>
            <w:gridSpan w:val="6"/>
            <w:tcBorders>
              <w:top w:val="nil"/>
              <w:left w:val="nil"/>
              <w:bottom w:val="nil"/>
              <w:right w:val="nil"/>
            </w:tcBorders>
          </w:tcPr>
          <w:p w:rsidR="004339B6" w:rsidRPr="00F627B2" w:rsidRDefault="004339B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4339B6" w:rsidRPr="00F627B2" w:rsidRDefault="004339B6" w:rsidP="00573176">
            <w:pPr>
              <w:spacing w:line="240" w:lineRule="auto"/>
              <w:rPr>
                <w:rFonts w:ascii="Lato" w:hAnsi="Lato"/>
                <w:szCs w:val="22"/>
              </w:rPr>
            </w:pPr>
          </w:p>
        </w:tc>
        <w:tc>
          <w:tcPr>
            <w:tcW w:w="412" w:type="dxa"/>
            <w:gridSpan w:val="5"/>
            <w:tcBorders>
              <w:top w:val="nil"/>
              <w:left w:val="nil"/>
              <w:bottom w:val="nil"/>
              <w:right w:val="nil"/>
            </w:tcBorders>
          </w:tcPr>
          <w:p w:rsidR="004339B6" w:rsidRPr="00F627B2" w:rsidRDefault="004339B6" w:rsidP="00573176">
            <w:pPr>
              <w:spacing w:line="240" w:lineRule="auto"/>
              <w:rPr>
                <w:rFonts w:ascii="Lato" w:hAnsi="Lato"/>
                <w:szCs w:val="22"/>
              </w:rPr>
            </w:pPr>
          </w:p>
        </w:tc>
        <w:tc>
          <w:tcPr>
            <w:tcW w:w="450"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r>
      <w:tr w:rsidR="004339B6" w:rsidRPr="00F627B2" w:rsidTr="0023674A">
        <w:trPr>
          <w:gridAfter w:val="3"/>
          <w:wAfter w:w="212" w:type="dxa"/>
        </w:trPr>
        <w:tc>
          <w:tcPr>
            <w:tcW w:w="110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493" w:type="dxa"/>
            <w:tcBorders>
              <w:top w:val="nil"/>
              <w:left w:val="nil"/>
              <w:bottom w:val="nil"/>
              <w:right w:val="nil"/>
            </w:tcBorders>
          </w:tcPr>
          <w:p w:rsidR="004339B6" w:rsidRPr="0023674A" w:rsidRDefault="004339B6" w:rsidP="00573176">
            <w:pPr>
              <w:pStyle w:val="Heading1"/>
              <w:spacing w:before="0" w:after="0" w:line="240" w:lineRule="auto"/>
              <w:rPr>
                <w:rFonts w:ascii="Lato" w:hAnsi="Lato"/>
                <w:color w:val="000000"/>
                <w:sz w:val="22"/>
                <w:szCs w:val="22"/>
              </w:rPr>
            </w:pPr>
          </w:p>
        </w:tc>
        <w:tc>
          <w:tcPr>
            <w:tcW w:w="1674" w:type="dxa"/>
            <w:gridSpan w:val="6"/>
            <w:tcBorders>
              <w:top w:val="nil"/>
              <w:left w:val="nil"/>
              <w:bottom w:val="nil"/>
              <w:right w:val="nil"/>
            </w:tcBorders>
          </w:tcPr>
          <w:p w:rsidR="004339B6" w:rsidRPr="00F627B2" w:rsidRDefault="004339B6" w:rsidP="00573176">
            <w:pPr>
              <w:spacing w:line="240" w:lineRule="auto"/>
              <w:rPr>
                <w:rFonts w:ascii="Lato" w:hAnsi="Lato"/>
                <w:szCs w:val="22"/>
              </w:rPr>
            </w:pPr>
          </w:p>
        </w:tc>
        <w:tc>
          <w:tcPr>
            <w:tcW w:w="327"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14" w:type="dxa"/>
            <w:tcBorders>
              <w:top w:val="nil"/>
              <w:left w:val="nil"/>
              <w:bottom w:val="nil"/>
              <w:right w:val="nil"/>
            </w:tcBorders>
          </w:tcPr>
          <w:p w:rsidR="004339B6" w:rsidRPr="00F627B2" w:rsidRDefault="004339B6" w:rsidP="00573176">
            <w:pPr>
              <w:spacing w:line="240" w:lineRule="auto"/>
              <w:rPr>
                <w:rFonts w:ascii="Lato" w:hAnsi="Lato"/>
                <w:szCs w:val="22"/>
              </w:rPr>
            </w:pPr>
          </w:p>
        </w:tc>
        <w:tc>
          <w:tcPr>
            <w:tcW w:w="527" w:type="dxa"/>
            <w:gridSpan w:val="6"/>
            <w:tcBorders>
              <w:top w:val="nil"/>
              <w:left w:val="nil"/>
              <w:bottom w:val="nil"/>
              <w:right w:val="nil"/>
            </w:tcBorders>
          </w:tcPr>
          <w:p w:rsidR="004339B6" w:rsidRPr="00F627B2" w:rsidRDefault="004339B6" w:rsidP="00573176">
            <w:pPr>
              <w:spacing w:line="240" w:lineRule="auto"/>
              <w:rPr>
                <w:rFonts w:ascii="Lato" w:hAnsi="Lato"/>
                <w:szCs w:val="22"/>
              </w:rPr>
            </w:pPr>
          </w:p>
        </w:tc>
        <w:tc>
          <w:tcPr>
            <w:tcW w:w="774"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c>
          <w:tcPr>
            <w:tcW w:w="412" w:type="dxa"/>
            <w:gridSpan w:val="5"/>
            <w:tcBorders>
              <w:top w:val="nil"/>
              <w:left w:val="nil"/>
              <w:bottom w:val="nil"/>
              <w:right w:val="nil"/>
            </w:tcBorders>
          </w:tcPr>
          <w:p w:rsidR="004339B6" w:rsidRPr="00F627B2" w:rsidRDefault="004339B6" w:rsidP="00573176">
            <w:pPr>
              <w:spacing w:line="240" w:lineRule="auto"/>
              <w:rPr>
                <w:rFonts w:ascii="Lato" w:hAnsi="Lato"/>
                <w:szCs w:val="22"/>
              </w:rPr>
            </w:pPr>
          </w:p>
        </w:tc>
        <w:tc>
          <w:tcPr>
            <w:tcW w:w="450" w:type="dxa"/>
            <w:gridSpan w:val="7"/>
            <w:tcBorders>
              <w:top w:val="nil"/>
              <w:left w:val="nil"/>
              <w:bottom w:val="nil"/>
              <w:right w:val="nil"/>
            </w:tcBorders>
          </w:tcPr>
          <w:p w:rsidR="004339B6" w:rsidRPr="00F627B2" w:rsidRDefault="004339B6" w:rsidP="00573176">
            <w:pPr>
              <w:spacing w:line="240" w:lineRule="auto"/>
              <w:rPr>
                <w:rFonts w:ascii="Lato" w:hAnsi="Lato"/>
                <w:szCs w:val="22"/>
              </w:rPr>
            </w:pPr>
          </w:p>
        </w:tc>
      </w:tr>
      <w:tr w:rsidR="00573176" w:rsidRPr="00F627B2" w:rsidTr="0023674A">
        <w:trPr>
          <w:gridAfter w:val="3"/>
          <w:wAfter w:w="212" w:type="dxa"/>
        </w:trPr>
        <w:tc>
          <w:tcPr>
            <w:tcW w:w="1107"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single" w:sz="4" w:space="0" w:color="auto"/>
              <w:right w:val="nil"/>
            </w:tcBorders>
          </w:tcPr>
          <w:p w:rsidR="00573176" w:rsidRPr="0023674A" w:rsidRDefault="00573176" w:rsidP="00573176">
            <w:pPr>
              <w:pStyle w:val="Heading1"/>
              <w:spacing w:before="0" w:after="0" w:line="240" w:lineRule="auto"/>
              <w:rPr>
                <w:rFonts w:ascii="Lato" w:hAnsi="Lato"/>
                <w:color w:val="000000"/>
                <w:sz w:val="22"/>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2.3</w:t>
            </w:r>
          </w:p>
        </w:tc>
        <w:tc>
          <w:tcPr>
            <w:tcW w:w="5493"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pStyle w:val="Header"/>
              <w:spacing w:line="240" w:lineRule="auto"/>
              <w:rPr>
                <w:rFonts w:ascii="Lato" w:hAnsi="Lato"/>
                <w:szCs w:val="22"/>
              </w:rPr>
            </w:pPr>
            <w:r w:rsidRPr="00F627B2">
              <w:rPr>
                <w:rFonts w:ascii="Lato" w:hAnsi="Lato"/>
                <w:szCs w:val="22"/>
              </w:rPr>
              <w:t xml:space="preserve">Investment Restrictions </w:t>
            </w:r>
          </w:p>
        </w:tc>
        <w:tc>
          <w:tcPr>
            <w:tcW w:w="1674" w:type="dxa"/>
            <w:gridSpan w:val="6"/>
            <w:tcBorders>
              <w:top w:val="nil"/>
              <w:left w:val="single" w:sz="4" w:space="0" w:color="auto"/>
              <w:bottom w:val="nil"/>
              <w:right w:val="nil"/>
            </w:tcBorders>
          </w:tcPr>
          <w:p w:rsidR="00573176" w:rsidRPr="00F627B2" w:rsidRDefault="00573176" w:rsidP="00573176">
            <w:pPr>
              <w:spacing w:line="240" w:lineRule="auto"/>
              <w:rPr>
                <w:rFonts w:ascii="Lato" w:hAnsi="Lato"/>
                <w:b/>
                <w:bCs/>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b/>
                <w:bCs/>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b/>
                <w:bCs/>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single" w:sz="4" w:space="0" w:color="auto"/>
              <w:left w:val="nil"/>
              <w:bottom w:val="nil"/>
              <w:right w:val="nil"/>
            </w:tcBorders>
          </w:tcPr>
          <w:p w:rsidR="00573176" w:rsidRPr="00F627B2" w:rsidRDefault="00573176" w:rsidP="00573176">
            <w:pPr>
              <w:pStyle w:val="Heade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b/>
                <w:bCs/>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b/>
                <w:bCs/>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b/>
                <w:bCs/>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2.3.1</w:t>
            </w:r>
          </w:p>
        </w:tc>
        <w:tc>
          <w:tcPr>
            <w:tcW w:w="5493" w:type="dxa"/>
            <w:tcBorders>
              <w:top w:val="nil"/>
              <w:left w:val="nil"/>
              <w:bottom w:val="nil"/>
              <w:right w:val="single" w:sz="4" w:space="0" w:color="auto"/>
            </w:tcBorders>
          </w:tcPr>
          <w:p w:rsidR="00573176" w:rsidRPr="00F627B2" w:rsidRDefault="00573176" w:rsidP="00573176">
            <w:pPr>
              <w:pStyle w:val="Header"/>
              <w:spacing w:line="240" w:lineRule="auto"/>
              <w:rPr>
                <w:rFonts w:ascii="Lato" w:hAnsi="Lato"/>
                <w:szCs w:val="22"/>
              </w:rPr>
            </w:pPr>
            <w:r w:rsidRPr="00F627B2">
              <w:rPr>
                <w:rFonts w:ascii="Lato" w:hAnsi="Lato"/>
                <w:szCs w:val="22"/>
              </w:rPr>
              <w:t>Provide that the Retail Investor AIF may derogate from</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b/>
                <w:bCs/>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b/>
                <w:bCs/>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b/>
                <w:bCs/>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pStyle w:val="Header"/>
              <w:spacing w:line="240" w:lineRule="auto"/>
              <w:rPr>
                <w:rFonts w:ascii="Lato" w:hAnsi="Lato"/>
                <w:szCs w:val="22"/>
              </w:rPr>
            </w:pPr>
            <w:r w:rsidRPr="00F627B2">
              <w:rPr>
                <w:rFonts w:ascii="Lato" w:hAnsi="Lato"/>
                <w:szCs w:val="22"/>
              </w:rPr>
              <w:t>the investment restrictions contained in this Section 2.3 for six months following the date of their launch provided they observe the principle of risk spreading.</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b/>
                <w:bCs/>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b/>
                <w:bCs/>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b/>
                <w:bCs/>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pStyle w:val="Heade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b/>
                <w:bCs/>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b/>
                <w:bCs/>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b/>
                <w:bCs/>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2.3.2</w:t>
            </w:r>
          </w:p>
        </w:tc>
        <w:tc>
          <w:tcPr>
            <w:tcW w:w="5493" w:type="dxa"/>
            <w:tcBorders>
              <w:top w:val="nil"/>
              <w:left w:val="nil"/>
              <w:bottom w:val="nil"/>
              <w:right w:val="single" w:sz="4" w:space="0" w:color="auto"/>
            </w:tcBorders>
          </w:tcPr>
          <w:p w:rsidR="00573176" w:rsidRPr="00F627B2" w:rsidRDefault="00573176" w:rsidP="00573176">
            <w:pPr>
              <w:pStyle w:val="Header"/>
              <w:spacing w:line="240" w:lineRule="auto"/>
              <w:rPr>
                <w:rFonts w:ascii="Lato" w:hAnsi="Lato"/>
                <w:szCs w:val="22"/>
              </w:rPr>
            </w:pPr>
            <w:r w:rsidRPr="00F627B2">
              <w:rPr>
                <w:rFonts w:ascii="Lato" w:hAnsi="Lato"/>
                <w:szCs w:val="22"/>
              </w:rPr>
              <w:t>The limits on investments contained in this Section 2.3</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b/>
                <w:bCs/>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b/>
                <w:bCs/>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b/>
                <w:bCs/>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pStyle w:val="Header"/>
              <w:spacing w:line="240" w:lineRule="auto"/>
              <w:rPr>
                <w:rFonts w:ascii="Lato" w:hAnsi="Lato"/>
                <w:szCs w:val="22"/>
              </w:rPr>
            </w:pPr>
            <w:r w:rsidRPr="00F627B2">
              <w:rPr>
                <w:rFonts w:ascii="Lato" w:hAnsi="Lato"/>
                <w:szCs w:val="22"/>
              </w:rPr>
              <w:t>are deemed to apply at the time of purchase of the investments and continue to apply thereafter. If the limits laid down in this Section are subsequently exceeded for reasons beyond the control of a Retail Investor AIF or as a result of the exercise of subscription rights, the Retail Investor AIF must adopt as a priority objective the remedying of that situation, taking due account of the interests of its unitholders.</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b/>
                <w:bCs/>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b/>
                <w:bCs/>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b/>
                <w:bCs/>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pStyle w:val="Heade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b/>
                <w:bCs/>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b/>
                <w:bCs/>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b/>
                <w:bCs/>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2.3.3</w:t>
            </w:r>
          </w:p>
        </w:tc>
        <w:tc>
          <w:tcPr>
            <w:tcW w:w="5493" w:type="dxa"/>
            <w:tcBorders>
              <w:top w:val="nil"/>
              <w:left w:val="nil"/>
              <w:bottom w:val="nil"/>
              <w:right w:val="single" w:sz="4" w:space="0" w:color="auto"/>
            </w:tcBorders>
          </w:tcPr>
          <w:p w:rsidR="00573176" w:rsidRPr="00F627B2" w:rsidRDefault="00573176" w:rsidP="00573176">
            <w:pPr>
              <w:pStyle w:val="Header"/>
              <w:spacing w:line="240" w:lineRule="auto"/>
              <w:rPr>
                <w:rFonts w:ascii="Lato" w:hAnsi="Lato"/>
                <w:szCs w:val="22"/>
              </w:rPr>
            </w:pPr>
            <w:r w:rsidRPr="00F627B2">
              <w:rPr>
                <w:rFonts w:ascii="Lato" w:hAnsi="Lato"/>
                <w:szCs w:val="22"/>
              </w:rPr>
              <w:t xml:space="preserve">The Retail Investor AIF shall not, nor shall it appoint a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b/>
                <w:bCs/>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b/>
                <w:bCs/>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b/>
                <w:bCs/>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pStyle w:val="Header"/>
              <w:spacing w:line="240" w:lineRule="auto"/>
              <w:rPr>
                <w:rFonts w:ascii="Lato" w:hAnsi="Lato"/>
                <w:szCs w:val="22"/>
              </w:rPr>
            </w:pPr>
            <w:r w:rsidRPr="00F627B2">
              <w:rPr>
                <w:rFonts w:ascii="Lato" w:hAnsi="Lato"/>
                <w:szCs w:val="22"/>
              </w:rPr>
              <w:t>management company or general partner or AIFM which would , acquire any shares carrying voting rights which would enable it to exercise significant influence over the management of an issuing body.</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b/>
                <w:bCs/>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b/>
                <w:bCs/>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b/>
                <w:bCs/>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pStyle w:val="Header"/>
              <w:spacing w:line="240" w:lineRule="auto"/>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b/>
                <w:bCs/>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b/>
                <w:bCs/>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b/>
                <w:bCs/>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i/>
                <w:szCs w:val="22"/>
              </w:rPr>
            </w:pPr>
            <w:r w:rsidRPr="00F627B2">
              <w:rPr>
                <w:rFonts w:ascii="Lato" w:hAnsi="Lato"/>
                <w:i/>
                <w:szCs w:val="22"/>
              </w:rPr>
              <w:t>Securities</w:t>
            </w: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2.3.4</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The Retail Investor AIF shall not invest more than 20%</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of its net assets in securities which are not traded in or dealt on a regulated market which operates regularly and is recognised and open to the public</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2.3.5</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 xml:space="preserve">Subject to paragraph 7 of Chapter 1, Part I, Section 1 (ii) of the AIF Rulebook, the Retail Investor AIF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shall not invest  more than 20% of its net assets in securities issued by the same institution.</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Where the Retail Investor AIFs investment policy is to</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replicate an index, this limit is increased to 35% in the case of a single issuer where this is justified by exceptional market circumstances.</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2.3.6</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Subject to paragraph 1 of Chapter 1, Part I, Section 1 (i) of the AIF Rulebook, the Retail Investor AIF</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shall not hold more than 20% of any class of security issued by any single issuer. This requirement does not apply to investments in other open-ended investment funds.  .</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2.3.7</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The Retail Investor AIF may only invest up to 100% of its</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 xml:space="preserve">net assets in transferable securities issued or guaranteed by any state, its constituent states, its local authorities, or public international bodies of which one or more states are members with the prior approval of the Central Bank.  </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Full disclosure must be made indicating the states, local</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authorities and public international bodies in the securities of which it is intended to invest more than 20% of the assets in accordance with the provision of the preceding sentence ; the issuers may be drawn from the following list:</w:t>
            </w:r>
          </w:p>
          <w:p w:rsidR="00573176" w:rsidRPr="00F627B2" w:rsidRDefault="00573176" w:rsidP="00573176">
            <w:pPr>
              <w:spacing w:line="240" w:lineRule="auto"/>
              <w:rPr>
                <w:rFonts w:ascii="Lato" w:hAnsi="Lato"/>
                <w:szCs w:val="22"/>
              </w:rPr>
            </w:pPr>
            <w:r w:rsidRPr="00F627B2">
              <w:rPr>
                <w:rFonts w:ascii="Lato" w:hAnsi="Lato"/>
                <w:szCs w:val="22"/>
              </w:rPr>
              <w:t xml:space="preserve">OECD Governments (provided the relevant issues are investment grade), Government of Brazil (provided the issues are of investment grade), Government of India (provided the issues are of investment grade),Government of Singapore, European Investment Bank, European Bank for Reconstruction and Development, International Finance Corporation, International Monetary Fund, Euratom, The Asian Development Bank, European Central Bank, Council of Europe, Eurofima, The European Coal &amp; Steel Community, African Development Bank, International Bank for Reconstruction and Development (The World Bank), The Inter American Development Bank, European Union, Federal National Mortgage Association (Fannie Mae), Federal Home Loan Mortgage Corporation (Freddie Mac), Government National Mortgage Association (Ginnie Mae), Student Loan Marketing Association (Sallie Mae), Federal Home Loan Bank, Federal Farm Credit Bank, Tennessee Valley Authority, Straight-A Funding LLC. </w:t>
            </w:r>
          </w:p>
          <w:p w:rsidR="00573176" w:rsidRPr="00F627B2" w:rsidRDefault="00573176" w:rsidP="00573176">
            <w:pPr>
              <w:spacing w:line="240" w:lineRule="auto"/>
              <w:rPr>
                <w:rFonts w:ascii="Lato" w:hAnsi="Lato"/>
                <w:szCs w:val="22"/>
              </w:rPr>
            </w:pPr>
          </w:p>
          <w:p w:rsidR="00573176" w:rsidRPr="00F627B2" w:rsidRDefault="00573176" w:rsidP="00573176">
            <w:pPr>
              <w:spacing w:line="240" w:lineRule="auto"/>
              <w:rPr>
                <w:rFonts w:ascii="Lato" w:hAnsi="Lato"/>
                <w:szCs w:val="22"/>
              </w:rPr>
            </w:pPr>
            <w:r w:rsidRPr="00F627B2">
              <w:rPr>
                <w:rFonts w:ascii="Lato" w:hAnsi="Lato"/>
                <w:szCs w:val="22"/>
              </w:rPr>
              <w:t>Export-Import Bank – may be permissible it should be given its full title and a submission attached</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i/>
                <w:szCs w:val="22"/>
              </w:rPr>
            </w:pPr>
            <w:r w:rsidRPr="00F627B2">
              <w:rPr>
                <w:rFonts w:ascii="Lato" w:hAnsi="Lato"/>
                <w:i/>
                <w:szCs w:val="22"/>
              </w:rPr>
              <w:t>Cash</w:t>
            </w: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2.3.8</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 xml:space="preserve">The Retail Investor AIF shall not keep on deposit more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1E4A73">
              <w:rPr>
                <w:rFonts w:ascii="Lato" w:hAnsi="Lato"/>
                <w:szCs w:val="22"/>
              </w:rPr>
              <w:t xml:space="preserve">than </w:t>
            </w:r>
            <w:r w:rsidRPr="00F627B2">
              <w:rPr>
                <w:rFonts w:ascii="Lato" w:hAnsi="Lato"/>
                <w:szCs w:val="22"/>
              </w:rPr>
              <w:t>10% of its net assets with any one institution; this limit is increased to 30% of net assets for deposits with or securities evidencing deposits issued by or securities guaranteed by the following:</w:t>
            </w:r>
          </w:p>
          <w:p w:rsidR="00573176" w:rsidRPr="00F627B2" w:rsidRDefault="00573176" w:rsidP="00573176">
            <w:pPr>
              <w:spacing w:line="240" w:lineRule="auto"/>
              <w:rPr>
                <w:rFonts w:ascii="Lato" w:hAnsi="Lato"/>
                <w:szCs w:val="22"/>
              </w:rPr>
            </w:pPr>
            <w:r w:rsidRPr="00F627B2">
              <w:rPr>
                <w:rFonts w:ascii="Lato" w:hAnsi="Lato"/>
                <w:szCs w:val="22"/>
              </w:rPr>
              <w:t>(a) a credit institution authorised in the European Economic Area (EEA) (European Union Member States, Norway, Iceland, Liechtenstein);</w:t>
            </w:r>
          </w:p>
          <w:p w:rsidR="00573176" w:rsidRPr="00F627B2" w:rsidRDefault="00573176" w:rsidP="00573176">
            <w:pPr>
              <w:spacing w:line="240" w:lineRule="auto"/>
              <w:rPr>
                <w:rFonts w:ascii="Lato" w:hAnsi="Lato"/>
                <w:szCs w:val="22"/>
              </w:rPr>
            </w:pPr>
            <w:r w:rsidRPr="00F627B2">
              <w:rPr>
                <w:rFonts w:ascii="Lato" w:hAnsi="Lato"/>
                <w:szCs w:val="22"/>
              </w:rPr>
              <w:t>(b) a credit institution authorised within a signatory state, other than a Member State of the EEA, to the Basle Capital Convergence Agreement of July 1988 (Switzerland, Canada, Japan, United States);</w:t>
            </w:r>
          </w:p>
          <w:p w:rsidR="00573176" w:rsidRPr="00F627B2" w:rsidRDefault="00573176" w:rsidP="00573176">
            <w:pPr>
              <w:spacing w:line="240" w:lineRule="auto"/>
              <w:rPr>
                <w:rFonts w:ascii="Lato" w:hAnsi="Lato"/>
                <w:szCs w:val="22"/>
              </w:rPr>
            </w:pPr>
            <w:r w:rsidRPr="00F627B2">
              <w:rPr>
                <w:rFonts w:ascii="Lato" w:hAnsi="Lato"/>
                <w:szCs w:val="22"/>
              </w:rPr>
              <w:t>(c) a credit institution authorised in Jersey, Guernsey, the Isle of Man, Australia or New Zealand;</w:t>
            </w:r>
          </w:p>
          <w:p w:rsidR="00573176" w:rsidRPr="00F627B2" w:rsidRDefault="00573176" w:rsidP="00573176">
            <w:pPr>
              <w:spacing w:line="240" w:lineRule="auto"/>
              <w:rPr>
                <w:rFonts w:ascii="Lato" w:hAnsi="Lato"/>
                <w:szCs w:val="22"/>
              </w:rPr>
            </w:pPr>
            <w:r w:rsidRPr="00F627B2">
              <w:rPr>
                <w:rFonts w:ascii="Lato" w:hAnsi="Lato"/>
                <w:szCs w:val="22"/>
              </w:rPr>
              <w:t>(d) the depositary; or</w:t>
            </w:r>
          </w:p>
          <w:p w:rsidR="00573176" w:rsidRPr="00F627B2" w:rsidRDefault="00573176" w:rsidP="00573176">
            <w:pPr>
              <w:spacing w:line="240" w:lineRule="auto"/>
              <w:rPr>
                <w:rFonts w:ascii="Lato" w:hAnsi="Lato"/>
                <w:szCs w:val="22"/>
              </w:rPr>
            </w:pPr>
            <w:r w:rsidRPr="00F627B2">
              <w:rPr>
                <w:rFonts w:ascii="Lato" w:hAnsi="Lato"/>
                <w:szCs w:val="22"/>
              </w:rPr>
              <w:t>(e) with the prior approval of the Central Bank, a credit institution which is an associated or related company of the depositary.</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i/>
                <w:szCs w:val="22"/>
              </w:rPr>
            </w:pPr>
            <w:r w:rsidRPr="00F627B2">
              <w:rPr>
                <w:rFonts w:ascii="Lato" w:hAnsi="Lato"/>
                <w:i/>
                <w:szCs w:val="22"/>
              </w:rPr>
              <w:t>Investment in other investment funds</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2.3.9</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Subject to paragraph 12 of Chapter 1, Part I, Section 1 (ii) of the AIF Rulebook, the Retail Investor AIF</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shall not invest more than 30% of net assets in any one open-ended investment fund.</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2.3.10</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 xml:space="preserve">The Retail Investor AIF shall not invest more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than 20% of net assets in unregulated open-ended investment funds</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2.3.11</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The Retail Investor AIF shall only invest in units of an</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investment fund managed by its management company or AIFM or by an associated or related company of either of these, where the management company of the investment fund in which the investment is being made has waived the preliminary/initial/redemption charge which it would normally charge</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2.3.12</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 xml:space="preserve">The Retail Investor AIF shall ensure that any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1E4A73">
              <w:rPr>
                <w:rFonts w:ascii="Lato" w:hAnsi="Lato"/>
                <w:szCs w:val="22"/>
              </w:rPr>
              <w:t>commission</w:t>
            </w:r>
            <w:r w:rsidRPr="00A3401E">
              <w:rPr>
                <w:rFonts w:ascii="Lato" w:hAnsi="Lato"/>
                <w:szCs w:val="22"/>
              </w:rPr>
              <w:t xml:space="preserve"> </w:t>
            </w:r>
            <w:r w:rsidRPr="00F627B2">
              <w:rPr>
                <w:rFonts w:ascii="Lato" w:hAnsi="Lato"/>
                <w:szCs w:val="22"/>
              </w:rPr>
              <w:t>or other fee  received by the management company or AIFM must be paid into the property of the Retail Investor AIF</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i/>
                <w:szCs w:val="22"/>
              </w:rPr>
            </w:pPr>
            <w:r w:rsidRPr="00F627B2">
              <w:rPr>
                <w:rFonts w:ascii="Lato" w:hAnsi="Lato"/>
                <w:i/>
                <w:szCs w:val="22"/>
              </w:rPr>
              <w:t>Financial Derivative Instruments</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2.3.13</w:t>
            </w: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State that the Retail Investor AIF shall not have a risk exposure to a counterparty in an OTC derivative transaction which exceeds the following:</w:t>
            </w: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 xml:space="preserve">(a) where the counterparty is a relevant institution,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1E4A73">
              <w:rPr>
                <w:rFonts w:ascii="Lato" w:hAnsi="Lato"/>
                <w:szCs w:val="22"/>
              </w:rPr>
              <w:t xml:space="preserve">10% of </w:t>
            </w:r>
            <w:r w:rsidRPr="00F627B2">
              <w:rPr>
                <w:rFonts w:ascii="Lato" w:hAnsi="Lato"/>
                <w:szCs w:val="22"/>
              </w:rPr>
              <w:t>the Retail Investor AIF’s net assets; or</w:t>
            </w:r>
          </w:p>
        </w:tc>
        <w:tc>
          <w:tcPr>
            <w:tcW w:w="1674" w:type="dxa"/>
            <w:gridSpan w:val="6"/>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 xml:space="preserve">(b) in any other case, 5% of  the Retail Investor AIF’s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1E4A73">
              <w:rPr>
                <w:rFonts w:ascii="Lato" w:hAnsi="Lato"/>
                <w:szCs w:val="22"/>
              </w:rPr>
              <w:t xml:space="preserve">net </w:t>
            </w:r>
            <w:r w:rsidRPr="00F627B2">
              <w:rPr>
                <w:rFonts w:ascii="Lato" w:hAnsi="Lato"/>
                <w:szCs w:val="22"/>
              </w:rPr>
              <w:t>assets.</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2.3.14</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State that the Retail Investor AIF shall ensure that its</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global exposure relating to derivative instruments will not exceed the total net asset value of its portfolio.</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2.3.15</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 xml:space="preserve">When a transferable security or money market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1E4A73">
              <w:rPr>
                <w:rFonts w:ascii="Lato" w:hAnsi="Lato"/>
                <w:szCs w:val="22"/>
              </w:rPr>
              <w:t>instrument</w:t>
            </w:r>
            <w:r w:rsidRPr="00A3401E">
              <w:rPr>
                <w:rFonts w:ascii="Lato" w:hAnsi="Lato"/>
                <w:szCs w:val="22"/>
              </w:rPr>
              <w:t xml:space="preserve"> </w:t>
            </w:r>
            <w:r w:rsidRPr="00F627B2">
              <w:rPr>
                <w:rFonts w:ascii="Lato" w:hAnsi="Lato"/>
                <w:szCs w:val="22"/>
              </w:rPr>
              <w:t>contains an embedded derivative, the latter shall be taken into account when complying with the requirements of Section 2.3.14 above</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2.3.16</w:t>
            </w: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Where the Retail Investor AIF invests in FDI dealt in over-the-counter, "OTC derivatives" confirm that:</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jc w:val="right"/>
              <w:rPr>
                <w:rFonts w:ascii="Lato" w:hAnsi="Lato"/>
                <w:szCs w:val="22"/>
              </w:rPr>
            </w:pPr>
            <w:r w:rsidRPr="00F627B2">
              <w:rPr>
                <w:rFonts w:ascii="Lato" w:hAnsi="Lato"/>
                <w:szCs w:val="22"/>
              </w:rPr>
              <w:t>(i)</w:t>
            </w: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 xml:space="preserve">the counterparty is a relevant institution or an </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jc w:val="right"/>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1E4A73">
              <w:rPr>
                <w:rFonts w:ascii="Lato" w:hAnsi="Lato"/>
                <w:szCs w:val="22"/>
              </w:rPr>
              <w:t>investment</w:t>
            </w:r>
            <w:r w:rsidRPr="00A3401E">
              <w:rPr>
                <w:rFonts w:ascii="Lato" w:hAnsi="Lato"/>
                <w:szCs w:val="22"/>
              </w:rPr>
              <w:t xml:space="preserve"> </w:t>
            </w:r>
            <w:r w:rsidRPr="00F627B2">
              <w:rPr>
                <w:rFonts w:ascii="Lato" w:hAnsi="Lato"/>
                <w:szCs w:val="22"/>
              </w:rPr>
              <w:t>firm, authorised in accordance with MiFID in an EEA Member State, or is an entity subject to regulation as a Consolidated Supervised Entity (“CSE”) by the US Securities and Exchange Commission; or</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jc w:val="right"/>
              <w:rPr>
                <w:rFonts w:ascii="Lato" w:hAnsi="Lato"/>
                <w:szCs w:val="22"/>
              </w:rPr>
            </w:pPr>
            <w:r w:rsidRPr="00F627B2">
              <w:rPr>
                <w:rFonts w:ascii="Lato" w:hAnsi="Lato"/>
                <w:szCs w:val="22"/>
              </w:rPr>
              <w:t>(ii)</w:t>
            </w: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in the case of a counterparty which is not a relevant</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jc w:val="right"/>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institution, the counterparty has a minimum credit rating of A-2 or equivalent, or is deemed by the Retail Investor AIF to have an implied rating of A-2 or equivalent.</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jc w:val="right"/>
              <w:rPr>
                <w:rFonts w:ascii="Lato" w:hAnsi="Lato"/>
                <w:szCs w:val="22"/>
              </w:rPr>
            </w:pPr>
            <w:r w:rsidRPr="00F627B2">
              <w:rPr>
                <w:rFonts w:ascii="Lato" w:hAnsi="Lato"/>
                <w:szCs w:val="22"/>
              </w:rPr>
              <w:t>(iii)</w:t>
            </w: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 xml:space="preserve">Alternatively, an unrated counterparty will be </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jc w:val="right"/>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1E4A73">
              <w:rPr>
                <w:rFonts w:ascii="Lato" w:hAnsi="Lato"/>
                <w:szCs w:val="22"/>
              </w:rPr>
              <w:t>acceptable</w:t>
            </w:r>
            <w:r w:rsidRPr="00A3401E">
              <w:rPr>
                <w:rFonts w:ascii="Lato" w:hAnsi="Lato"/>
                <w:szCs w:val="22"/>
              </w:rPr>
              <w:t xml:space="preserve"> </w:t>
            </w:r>
            <w:r w:rsidRPr="00F627B2">
              <w:rPr>
                <w:rFonts w:ascii="Lato" w:hAnsi="Lato"/>
                <w:szCs w:val="22"/>
              </w:rPr>
              <w:t>where the Retail Investor AIF is indemnified or guaranteed against losses suffered as a result of a failure by the counterparty, by an entity which has and maintains a rating of A-2 or equivalent.</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2.4</w:t>
            </w:r>
          </w:p>
        </w:tc>
        <w:tc>
          <w:tcPr>
            <w:tcW w:w="5493"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Stock Exchange Restrictions</w:t>
            </w:r>
          </w:p>
        </w:tc>
        <w:tc>
          <w:tcPr>
            <w:tcW w:w="1674" w:type="dxa"/>
            <w:gridSpan w:val="6"/>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2.4.1</w:t>
            </w: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 xml:space="preserve">If relevant, confirm that any Stock Exchange </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restrictions provided for are in addition to, and do not override, any restrictions in the AIF Rulebook</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2.5</w:t>
            </w:r>
          </w:p>
        </w:tc>
        <w:tc>
          <w:tcPr>
            <w:tcW w:w="5493"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pStyle w:val="Heading4"/>
              <w:rPr>
                <w:rFonts w:ascii="Lato" w:hAnsi="Lato"/>
                <w:b w:val="0"/>
                <w:bCs w:val="0"/>
                <w:sz w:val="22"/>
                <w:szCs w:val="22"/>
              </w:rPr>
            </w:pPr>
            <w:r w:rsidRPr="00F627B2">
              <w:rPr>
                <w:rFonts w:ascii="Lato" w:hAnsi="Lato"/>
                <w:b w:val="0"/>
                <w:bCs w:val="0"/>
                <w:sz w:val="22"/>
                <w:szCs w:val="22"/>
              </w:rPr>
              <w:t>Borrowing Powers</w:t>
            </w:r>
          </w:p>
        </w:tc>
        <w:tc>
          <w:tcPr>
            <w:tcW w:w="1674" w:type="dxa"/>
            <w:gridSpan w:val="6"/>
            <w:tcBorders>
              <w:top w:val="nil"/>
              <w:left w:val="single" w:sz="4" w:space="0" w:color="auto"/>
              <w:bottom w:val="nil"/>
              <w:right w:val="nil"/>
            </w:tcBorders>
          </w:tcPr>
          <w:p w:rsidR="00573176" w:rsidRPr="00F627B2" w:rsidRDefault="00573176" w:rsidP="00573176">
            <w:pPr>
              <w:spacing w:line="240" w:lineRule="auto"/>
              <w:rPr>
                <w:rFonts w:ascii="Lato" w:hAnsi="Lato"/>
                <w:b/>
                <w:bCs/>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b/>
                <w:bCs/>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b/>
                <w:bCs/>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single" w:sz="4" w:space="0" w:color="auto"/>
              <w:left w:val="nil"/>
              <w:bottom w:val="nil"/>
              <w:right w:val="nil"/>
            </w:tcBorders>
          </w:tcPr>
          <w:p w:rsidR="00573176" w:rsidRPr="00F627B2" w:rsidRDefault="00573176" w:rsidP="00573176">
            <w:pPr>
              <w:spacing w:line="240" w:lineRule="auto"/>
              <w:rPr>
                <w:rFonts w:ascii="Lato" w:hAnsi="Lato"/>
                <w:i/>
                <w:iCs/>
                <w:szCs w:val="22"/>
              </w:rPr>
            </w:pPr>
          </w:p>
        </w:tc>
        <w:tc>
          <w:tcPr>
            <w:tcW w:w="5493" w:type="dxa"/>
            <w:tcBorders>
              <w:top w:val="single" w:sz="4" w:space="0" w:color="auto"/>
              <w:left w:val="nil"/>
              <w:bottom w:val="nil"/>
              <w:right w:val="nil"/>
            </w:tcBorders>
          </w:tcPr>
          <w:p w:rsidR="00573176" w:rsidRPr="00F627B2" w:rsidRDefault="00573176" w:rsidP="00573176">
            <w:pPr>
              <w:spacing w:line="240" w:lineRule="auto"/>
              <w:rPr>
                <w:rFonts w:ascii="Lato" w:hAnsi="Lato"/>
                <w:i/>
                <w:iCs/>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i/>
                <w:iCs/>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i/>
                <w:iCs/>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i/>
                <w:iCs/>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i/>
                <w:iCs/>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i/>
                <w:iCs/>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i/>
                <w:iCs/>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i/>
                <w:iCs/>
                <w:szCs w:val="22"/>
              </w:rPr>
            </w:pPr>
          </w:p>
        </w:tc>
      </w:tr>
      <w:tr w:rsidR="00573176" w:rsidRPr="00F627B2" w:rsidTr="00F627B2">
        <w:trPr>
          <w:gridAfter w:val="3"/>
          <w:wAfter w:w="212" w:type="dxa"/>
          <w:trHeight w:val="210"/>
        </w:trPr>
        <w:tc>
          <w:tcPr>
            <w:tcW w:w="1107" w:type="dxa"/>
            <w:vMerge w:val="restart"/>
            <w:tcBorders>
              <w:top w:val="nil"/>
              <w:left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2.5.1</w:t>
            </w:r>
          </w:p>
        </w:tc>
        <w:tc>
          <w:tcPr>
            <w:tcW w:w="5493" w:type="dxa"/>
            <w:vMerge w:val="restart"/>
            <w:tcBorders>
              <w:top w:val="nil"/>
              <w:left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bCs/>
                <w:szCs w:val="22"/>
              </w:rPr>
              <w:t>The Retail Investor AIF shall not borrow, or have at any given time borrowings, exceeding 25% of its net assets</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vMerge w:val="restart"/>
            <w:tcBorders>
              <w:top w:val="nil"/>
              <w:left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vMerge w:val="restart"/>
            <w:tcBorders>
              <w:top w:val="nil"/>
              <w:left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vMerge w:val="restart"/>
            <w:tcBorders>
              <w:top w:val="nil"/>
              <w:left w:val="single" w:sz="4" w:space="0" w:color="auto"/>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Height w:val="300"/>
        </w:trPr>
        <w:tc>
          <w:tcPr>
            <w:tcW w:w="1107" w:type="dxa"/>
            <w:vMerge/>
            <w:tcBorders>
              <w:left w:val="nil"/>
              <w:bottom w:val="nil"/>
              <w:right w:val="nil"/>
            </w:tcBorders>
          </w:tcPr>
          <w:p w:rsidR="00573176" w:rsidRPr="00F627B2" w:rsidRDefault="00573176" w:rsidP="00573176">
            <w:pPr>
              <w:spacing w:line="240" w:lineRule="auto"/>
              <w:rPr>
                <w:rFonts w:ascii="Lato" w:hAnsi="Lato"/>
                <w:szCs w:val="22"/>
              </w:rPr>
            </w:pPr>
          </w:p>
        </w:tc>
        <w:tc>
          <w:tcPr>
            <w:tcW w:w="5493" w:type="dxa"/>
            <w:vMerge/>
            <w:tcBorders>
              <w:left w:val="nil"/>
              <w:bottom w:val="nil"/>
              <w:right w:val="nil"/>
            </w:tcBorders>
          </w:tcPr>
          <w:p w:rsidR="00573176" w:rsidRPr="00F627B2" w:rsidRDefault="00573176" w:rsidP="00573176">
            <w:pPr>
              <w:spacing w:line="240" w:lineRule="auto"/>
              <w:rPr>
                <w:rFonts w:ascii="Lato" w:hAnsi="Lato"/>
                <w:b/>
                <w:bCs/>
                <w:szCs w:val="22"/>
              </w:rPr>
            </w:pP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vMerge/>
            <w:tcBorders>
              <w:left w:val="nil"/>
              <w:bottom w:val="nil"/>
              <w:right w:val="nil"/>
            </w:tcBorders>
          </w:tcPr>
          <w:p w:rsidR="00573176" w:rsidRPr="00F627B2" w:rsidRDefault="00573176" w:rsidP="00573176">
            <w:pPr>
              <w:spacing w:line="240" w:lineRule="auto"/>
              <w:rPr>
                <w:rFonts w:ascii="Lato" w:hAnsi="Lato"/>
                <w:szCs w:val="22"/>
              </w:rPr>
            </w:pPr>
          </w:p>
        </w:tc>
        <w:tc>
          <w:tcPr>
            <w:tcW w:w="514" w:type="dxa"/>
            <w:tcBorders>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vMerge/>
            <w:tcBorders>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vMerge/>
            <w:tcBorders>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b/>
                <w:bCs/>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2.5.2</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Disclose where assets of the fund are used to secure</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borrowings</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2.5.3</w:t>
            </w: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The Retail Investor AIF shall not raise capital from the</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 xml:space="preserve">public through the issue of debt securities  </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pStyle w:val="Header"/>
              <w:spacing w:line="240" w:lineRule="auto"/>
              <w:rPr>
                <w:rFonts w:ascii="Lato" w:hAnsi="Lato"/>
                <w:szCs w:val="22"/>
              </w:rPr>
            </w:pPr>
            <w:r w:rsidRPr="00F627B2">
              <w:rPr>
                <w:rFonts w:ascii="Lato" w:hAnsi="Lato"/>
                <w:szCs w:val="22"/>
              </w:rPr>
              <w:t>2.6</w:t>
            </w:r>
          </w:p>
        </w:tc>
        <w:tc>
          <w:tcPr>
            <w:tcW w:w="5493"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Distribution/Dividend policy</w:t>
            </w:r>
          </w:p>
        </w:tc>
        <w:tc>
          <w:tcPr>
            <w:tcW w:w="1674" w:type="dxa"/>
            <w:gridSpan w:val="6"/>
            <w:tcBorders>
              <w:top w:val="nil"/>
              <w:left w:val="single" w:sz="4" w:space="0" w:color="auto"/>
              <w:bottom w:val="nil"/>
              <w:right w:val="nil"/>
            </w:tcBorders>
          </w:tcPr>
          <w:p w:rsidR="00573176" w:rsidRPr="00F627B2" w:rsidRDefault="00573176" w:rsidP="00573176">
            <w:pPr>
              <w:spacing w:line="240" w:lineRule="auto"/>
              <w:rPr>
                <w:rFonts w:ascii="Lato" w:hAnsi="Lato"/>
                <w:b/>
                <w:bCs/>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b/>
                <w:bCs/>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b/>
                <w:bCs/>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single" w:sz="4" w:space="0" w:color="auto"/>
              <w:left w:val="nil"/>
              <w:bottom w:val="nil"/>
              <w:right w:val="nil"/>
            </w:tcBorders>
          </w:tcPr>
          <w:p w:rsidR="00573176" w:rsidRPr="00F627B2" w:rsidRDefault="00573176" w:rsidP="00573176">
            <w:pPr>
              <w:pStyle w:val="Heading5"/>
              <w:rPr>
                <w:rFonts w:ascii="Lato" w:hAnsi="Lato"/>
                <w:szCs w:val="22"/>
                <w:u w:val="single"/>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2.6.1</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Disclose the distribution policy and indicate whether</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income will be reinvested or paid to shareholders</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Del="00F2482E" w:rsidTr="00F627B2">
        <w:trPr>
          <w:gridAfter w:val="3"/>
          <w:wAfter w:w="212" w:type="dxa"/>
        </w:trPr>
        <w:tc>
          <w:tcPr>
            <w:tcW w:w="1107" w:type="dxa"/>
            <w:tcBorders>
              <w:top w:val="nil"/>
              <w:left w:val="nil"/>
              <w:bottom w:val="nil"/>
              <w:right w:val="nil"/>
            </w:tcBorders>
          </w:tcPr>
          <w:p w:rsidR="00573176" w:rsidRPr="00F627B2" w:rsidDel="00F2482E"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Del="00F2482E" w:rsidRDefault="00573176" w:rsidP="00573176">
            <w:pPr>
              <w:spacing w:line="240" w:lineRule="auto"/>
              <w:rPr>
                <w:rFonts w:ascii="Lato" w:hAnsi="Lato"/>
                <w:szCs w:val="22"/>
              </w:rPr>
            </w:pPr>
            <w:r w:rsidRPr="00F627B2">
              <w:rPr>
                <w:rFonts w:ascii="Lato" w:hAnsi="Lato"/>
                <w:szCs w:val="22"/>
              </w:rPr>
              <w:t>Disclose the:</w:t>
            </w:r>
          </w:p>
        </w:tc>
        <w:tc>
          <w:tcPr>
            <w:tcW w:w="1674" w:type="dxa"/>
            <w:gridSpan w:val="6"/>
            <w:tcBorders>
              <w:top w:val="nil"/>
              <w:left w:val="nil"/>
              <w:bottom w:val="single" w:sz="4" w:space="0" w:color="auto"/>
              <w:right w:val="nil"/>
            </w:tcBorders>
          </w:tcPr>
          <w:p w:rsidR="00573176" w:rsidRPr="00F627B2" w:rsidDel="00F2482E"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Del="00F2482E"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Del="00F2482E"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Del="00F2482E"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Del="00F2482E"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Del="00F2482E"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Del="00F2482E"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2.6.2</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Distribution date(s);</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2.6.3</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Time limit, if any, after which entitlement to dividend</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 xml:space="preserve">lapses and the procedure in that event; </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2.6.4</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 xml:space="preserve">Method of payment of dividends; and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2.6.5</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 xml:space="preserve">Insert a description of the rules for determining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and applying income</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Height w:val="90"/>
        </w:trPr>
        <w:tc>
          <w:tcPr>
            <w:tcW w:w="1107" w:type="dxa"/>
            <w:vMerge w:val="restart"/>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2.6.6</w:t>
            </w:r>
          </w:p>
        </w:tc>
        <w:tc>
          <w:tcPr>
            <w:tcW w:w="5493" w:type="dxa"/>
            <w:vMerge w:val="restart"/>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Distributions out of capital are permitted subject to the following:</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vMerge w:val="restart"/>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vMerge w:val="restart"/>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vMerge w:val="restart"/>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Height w:val="147"/>
        </w:trPr>
        <w:tc>
          <w:tcPr>
            <w:tcW w:w="1107" w:type="dxa"/>
            <w:vMerge/>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vMerge/>
            <w:tcBorders>
              <w:top w:val="nil"/>
              <w:left w:val="nil"/>
              <w:bottom w:val="nil"/>
              <w:right w:val="nil"/>
            </w:tcBorders>
          </w:tcPr>
          <w:p w:rsidR="00573176" w:rsidRPr="00F627B2" w:rsidRDefault="00573176" w:rsidP="00573176">
            <w:pPr>
              <w:spacing w:line="240" w:lineRule="auto"/>
              <w:rPr>
                <w:rFonts w:ascii="Lato" w:hAnsi="Lato"/>
                <w:b/>
                <w:szCs w:val="22"/>
              </w:rPr>
            </w:pP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vMerge/>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vMerge/>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vMerge/>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a)</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 xml:space="preserve">Clearly outline the rationale behind the policy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b)</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 xml:space="preserve">Include a prominent risk warning, at the front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of the prospectus, which describes the effects of making distributions from capital. This warning must include the following:</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numPr>
                <w:ilvl w:val="0"/>
                <w:numId w:val="8"/>
              </w:numPr>
              <w:spacing w:line="240" w:lineRule="auto"/>
              <w:rPr>
                <w:rFonts w:ascii="Lato" w:hAnsi="Lato"/>
                <w:szCs w:val="22"/>
              </w:rPr>
            </w:pPr>
            <w:r w:rsidRPr="00F627B2">
              <w:rPr>
                <w:rFonts w:ascii="Lato" w:hAnsi="Lato"/>
                <w:szCs w:val="22"/>
              </w:rPr>
              <w:t>That capital will be eroded;</w:t>
            </w:r>
          </w:p>
          <w:p w:rsidR="00573176" w:rsidRPr="00F627B2" w:rsidRDefault="00573176" w:rsidP="00573176">
            <w:pPr>
              <w:numPr>
                <w:ilvl w:val="0"/>
                <w:numId w:val="8"/>
              </w:numPr>
              <w:spacing w:line="240" w:lineRule="auto"/>
              <w:rPr>
                <w:rFonts w:ascii="Lato" w:hAnsi="Lato"/>
                <w:szCs w:val="22"/>
              </w:rPr>
            </w:pPr>
            <w:r w:rsidRPr="00F627B2">
              <w:rPr>
                <w:rFonts w:ascii="Lato" w:hAnsi="Lato"/>
                <w:szCs w:val="22"/>
              </w:rPr>
              <w:t>That the distribution is achieved by forgoing the potential for future capital growth;</w:t>
            </w:r>
          </w:p>
          <w:p w:rsidR="00573176" w:rsidRPr="00F627B2" w:rsidRDefault="00573176" w:rsidP="00573176">
            <w:pPr>
              <w:numPr>
                <w:ilvl w:val="0"/>
                <w:numId w:val="8"/>
              </w:numPr>
              <w:spacing w:line="240" w:lineRule="auto"/>
              <w:rPr>
                <w:rFonts w:ascii="Lato" w:hAnsi="Lato"/>
                <w:szCs w:val="22"/>
              </w:rPr>
            </w:pPr>
            <w:r w:rsidRPr="00F627B2">
              <w:rPr>
                <w:rFonts w:ascii="Lato" w:hAnsi="Lato"/>
                <w:szCs w:val="22"/>
              </w:rPr>
              <w:t>This cycle may continue until all capital is depleted</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c)</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Highlight that distributions out of capital may have</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different tax implications to distributions of income and recommend that investors seek advice in this regard</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d)</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The Retail Investor AIF which proposes to make</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distributions out of capital and which invests greater than 20% in fixed income instruments must highlight the greater risk of capital erosion given the lack of potential for capital growth and the likelihood that, due to capital erosion, the value of future returns would also be diminished</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e)</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Where the Retail Investor AIF invests more</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than 20% in fixed income instruments, and the priority of the Retail Investor AIF is the generation of income rather than capital growth this priority shall be specified.</w:t>
            </w:r>
          </w:p>
          <w:p w:rsidR="00573176" w:rsidRPr="00F627B2" w:rsidRDefault="00573176" w:rsidP="00573176">
            <w:pPr>
              <w:spacing w:line="240" w:lineRule="auto"/>
              <w:rPr>
                <w:rFonts w:ascii="Lato" w:hAnsi="Lato"/>
                <w:szCs w:val="22"/>
              </w:rPr>
            </w:pPr>
            <w:r w:rsidRPr="00F627B2">
              <w:rPr>
                <w:rFonts w:ascii="Lato" w:hAnsi="Lato"/>
                <w:szCs w:val="22"/>
              </w:rPr>
              <w:t>In addition include a statement that distributions made during the life of the Retail Investor AIF</w:t>
            </w:r>
            <w:r w:rsidRPr="00F627B2" w:rsidDel="006C49ED">
              <w:rPr>
                <w:rFonts w:ascii="Lato" w:hAnsi="Lato"/>
                <w:szCs w:val="22"/>
              </w:rPr>
              <w:t xml:space="preserve"> </w:t>
            </w:r>
            <w:r w:rsidRPr="00F627B2">
              <w:rPr>
                <w:rFonts w:ascii="Lato" w:hAnsi="Lato"/>
                <w:szCs w:val="22"/>
              </w:rPr>
              <w:t>must be understood as a type of capital reimbursement.</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Height w:val="210"/>
        </w:trPr>
        <w:tc>
          <w:tcPr>
            <w:tcW w:w="1107" w:type="dxa"/>
            <w:vMerge w:val="restart"/>
            <w:tcBorders>
              <w:top w:val="nil"/>
              <w:left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f)</w:t>
            </w:r>
          </w:p>
        </w:tc>
        <w:tc>
          <w:tcPr>
            <w:tcW w:w="5493" w:type="dxa"/>
            <w:vMerge w:val="restart"/>
            <w:tcBorders>
              <w:top w:val="nil"/>
              <w:left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Confirm that a similar risk warning to 2.6.6 b) above is contained in any subscription form or marketing material</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vMerge w:val="restart"/>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vMerge w:val="restart"/>
            <w:tcBorders>
              <w:top w:val="nil"/>
              <w:left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vMerge w:val="restart"/>
            <w:tcBorders>
              <w:top w:val="nil"/>
              <w:left w:val="single" w:sz="4" w:space="0" w:color="auto"/>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Height w:val="285"/>
        </w:trPr>
        <w:tc>
          <w:tcPr>
            <w:tcW w:w="1107" w:type="dxa"/>
            <w:vMerge/>
            <w:tcBorders>
              <w:left w:val="nil"/>
              <w:bottom w:val="nil"/>
              <w:right w:val="nil"/>
            </w:tcBorders>
          </w:tcPr>
          <w:p w:rsidR="00573176" w:rsidRPr="00F627B2" w:rsidRDefault="00573176" w:rsidP="00573176">
            <w:pPr>
              <w:spacing w:line="240" w:lineRule="auto"/>
              <w:rPr>
                <w:rFonts w:ascii="Lato" w:hAnsi="Lato"/>
                <w:szCs w:val="22"/>
              </w:rPr>
            </w:pPr>
          </w:p>
        </w:tc>
        <w:tc>
          <w:tcPr>
            <w:tcW w:w="5493" w:type="dxa"/>
            <w:vMerge/>
            <w:tcBorders>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vMerge/>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vMerge/>
            <w:tcBorders>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vMerge/>
            <w:tcBorders>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g)</w:t>
            </w: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Insert here relevant clause/article number in</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Height w:val="345"/>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the constitutional document which permits distributions out of capital</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Height w:val="345"/>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Height w:val="247"/>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2.6.7</w:t>
            </w: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 xml:space="preserve">Where the Retail Investor AIF proposes to charge fees and </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Height w:val="345"/>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expenses, including management fees, to capital, include the following:</w:t>
            </w: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Height w:val="173"/>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 xml:space="preserve">(a) indicate that fees and expenses, including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Height w:val="205"/>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management fees, or a portion thereof, may be charged to capital;</w:t>
            </w:r>
          </w:p>
        </w:tc>
        <w:tc>
          <w:tcPr>
            <w:tcW w:w="1674" w:type="dxa"/>
            <w:gridSpan w:val="6"/>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Height w:val="223"/>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 xml:space="preserve">(b) a prominent risk warning in bold text at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Height w:val="256"/>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front of prospectus which states:</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Height w:val="345"/>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“Unitholders/Shareholders should note that all or part of fees and expenses, including (if applicable) management fees, will be charged to the capital of the Retail Investor AIF. This will have the effect of lowering the capital value of your investment”; and</w:t>
            </w: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Height w:val="277"/>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single" w:sz="4" w:space="0" w:color="auto"/>
            </w:tcBorders>
          </w:tcPr>
          <w:p w:rsidR="00573176" w:rsidRPr="00F627B2" w:rsidRDefault="00573176" w:rsidP="00573176">
            <w:pPr>
              <w:spacing w:line="240" w:lineRule="auto"/>
              <w:rPr>
                <w:rFonts w:ascii="Lato" w:hAnsi="Lato"/>
                <w:szCs w:val="22"/>
              </w:rPr>
            </w:pPr>
            <w:r w:rsidRPr="00F627B2">
              <w:rPr>
                <w:rFonts w:ascii="Lato" w:hAnsi="Lato"/>
                <w:szCs w:val="22"/>
              </w:rPr>
              <w:t xml:space="preserve">(c) a description of the effects of the charging </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Height w:val="345"/>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of fees and expenses, including management fees, to capital i.e. that capital may be eroded.</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jc w:val="right"/>
              <w:rPr>
                <w:rFonts w:ascii="Lato" w:hAnsi="Lato"/>
                <w:szCs w:val="22"/>
              </w:rPr>
            </w:pPr>
          </w:p>
        </w:tc>
        <w:tc>
          <w:tcPr>
            <w:tcW w:w="5493" w:type="dxa"/>
            <w:tcBorders>
              <w:top w:val="nil"/>
              <w:left w:val="nil"/>
              <w:bottom w:val="nil"/>
              <w:right w:val="nil"/>
            </w:tcBorders>
          </w:tcPr>
          <w:p w:rsidR="00573176" w:rsidRPr="00F627B2" w:rsidRDefault="00573176" w:rsidP="00573176">
            <w:pPr>
              <w:pStyle w:val="Heading3"/>
              <w:spacing w:before="0" w:after="0" w:line="240" w:lineRule="auto"/>
              <w:rPr>
                <w:rFonts w:ascii="Lato" w:hAnsi="Lato"/>
                <w:b w:val="0"/>
                <w:bCs/>
                <w:color w:val="auto"/>
                <w:sz w:val="22"/>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2.6.8</w:t>
            </w:r>
          </w:p>
        </w:tc>
        <w:tc>
          <w:tcPr>
            <w:tcW w:w="5493" w:type="dxa"/>
            <w:tcBorders>
              <w:top w:val="nil"/>
              <w:left w:val="nil"/>
              <w:bottom w:val="nil"/>
              <w:right w:val="single" w:sz="4" w:space="0" w:color="auto"/>
            </w:tcBorders>
          </w:tcPr>
          <w:p w:rsidR="00573176" w:rsidRPr="00F627B2" w:rsidRDefault="00573176" w:rsidP="00573176">
            <w:pPr>
              <w:pStyle w:val="Heading3"/>
              <w:spacing w:before="0" w:after="0" w:line="240" w:lineRule="auto"/>
              <w:rPr>
                <w:rFonts w:ascii="Lato" w:hAnsi="Lato"/>
                <w:b w:val="0"/>
                <w:bCs/>
                <w:color w:val="auto"/>
                <w:sz w:val="22"/>
                <w:szCs w:val="22"/>
                <w:u w:val="single"/>
              </w:rPr>
            </w:pPr>
            <w:r w:rsidRPr="00F627B2">
              <w:rPr>
                <w:rFonts w:ascii="Lato" w:hAnsi="Lato"/>
                <w:b w:val="0"/>
                <w:color w:val="auto"/>
                <w:sz w:val="22"/>
                <w:szCs w:val="22"/>
                <w:u w:val="single"/>
              </w:rPr>
              <w:t>Accumulating Retail Investor AIF</w:t>
            </w:r>
            <w:r w:rsidRPr="00F627B2" w:rsidDel="006C49ED">
              <w:rPr>
                <w:rFonts w:ascii="Lato" w:hAnsi="Lato"/>
                <w:b w:val="0"/>
                <w:color w:val="auto"/>
                <w:sz w:val="22"/>
                <w:szCs w:val="22"/>
                <w:u w:val="single"/>
              </w:rPr>
              <w:t xml:space="preserve"> </w:t>
            </w:r>
            <w:r w:rsidRPr="00F627B2">
              <w:rPr>
                <w:rFonts w:ascii="Lato" w:hAnsi="Lato"/>
                <w:b w:val="0"/>
                <w:color w:val="auto"/>
                <w:sz w:val="22"/>
                <w:szCs w:val="22"/>
                <w:u w:val="single"/>
              </w:rPr>
              <w:t>/classes</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pStyle w:val="Heading3"/>
              <w:spacing w:before="0" w:after="0" w:line="240" w:lineRule="auto"/>
              <w:rPr>
                <w:rFonts w:ascii="Lato" w:hAnsi="Lato"/>
                <w:b w:val="0"/>
                <w:bCs/>
                <w:color w:val="auto"/>
                <w:sz w:val="22"/>
                <w:szCs w:val="22"/>
              </w:rPr>
            </w:pPr>
            <w:r w:rsidRPr="00F627B2">
              <w:rPr>
                <w:rFonts w:ascii="Lato" w:hAnsi="Lato"/>
                <w:b w:val="0"/>
                <w:bCs/>
                <w:color w:val="auto"/>
                <w:sz w:val="22"/>
                <w:szCs w:val="22"/>
              </w:rPr>
              <w:t xml:space="preserve">Indicate that it is not the current intention to pay dividends </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pStyle w:val="Heading3"/>
              <w:spacing w:before="0" w:after="0" w:line="240" w:lineRule="auto"/>
              <w:rPr>
                <w:rFonts w:ascii="Lato" w:hAnsi="Lato"/>
                <w:b w:val="0"/>
                <w:bCs/>
                <w:color w:val="auto"/>
                <w:sz w:val="22"/>
                <w:szCs w:val="22"/>
              </w:rPr>
            </w:pPr>
          </w:p>
        </w:tc>
        <w:tc>
          <w:tcPr>
            <w:tcW w:w="1674" w:type="dxa"/>
            <w:gridSpan w:val="6"/>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single" w:sz="4" w:space="0" w:color="auto"/>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r w:rsidRPr="00F627B2">
              <w:rPr>
                <w:rFonts w:ascii="Lato" w:hAnsi="Lato"/>
                <w:szCs w:val="22"/>
              </w:rPr>
              <w:t>2.6.9</w:t>
            </w:r>
          </w:p>
        </w:tc>
        <w:tc>
          <w:tcPr>
            <w:tcW w:w="5493" w:type="dxa"/>
            <w:tcBorders>
              <w:top w:val="nil"/>
              <w:left w:val="nil"/>
              <w:bottom w:val="nil"/>
              <w:right w:val="single" w:sz="4" w:space="0" w:color="auto"/>
            </w:tcBorders>
          </w:tcPr>
          <w:p w:rsidR="00573176" w:rsidRPr="00F627B2" w:rsidRDefault="00573176" w:rsidP="00573176">
            <w:pPr>
              <w:pStyle w:val="Heading3"/>
              <w:spacing w:before="0" w:after="0" w:line="240" w:lineRule="auto"/>
              <w:rPr>
                <w:rFonts w:ascii="Lato" w:hAnsi="Lato"/>
                <w:b w:val="0"/>
                <w:color w:val="auto"/>
                <w:sz w:val="22"/>
                <w:szCs w:val="22"/>
                <w:u w:val="single"/>
              </w:rPr>
            </w:pPr>
            <w:r w:rsidRPr="00F627B2">
              <w:rPr>
                <w:rFonts w:ascii="Lato" w:hAnsi="Lato"/>
                <w:b w:val="0"/>
                <w:color w:val="auto"/>
                <w:sz w:val="22"/>
                <w:szCs w:val="22"/>
                <w:u w:val="single"/>
              </w:rPr>
              <w:t>For Accumulating and Distributing Retail Investor AIF/</w:t>
            </w:r>
          </w:p>
        </w:tc>
        <w:tc>
          <w:tcPr>
            <w:tcW w:w="1674" w:type="dxa"/>
            <w:gridSpan w:val="6"/>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327" w:type="dxa"/>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527" w:type="dxa"/>
            <w:gridSpan w:val="6"/>
            <w:tcBorders>
              <w:top w:val="nil"/>
              <w:left w:val="single" w:sz="4" w:space="0" w:color="auto"/>
              <w:bottom w:val="nil"/>
              <w:right w:val="single" w:sz="4" w:space="0" w:color="auto"/>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single" w:sz="4" w:space="0" w:color="auto"/>
              <w:bottom w:val="single" w:sz="4" w:space="0" w:color="auto"/>
              <w:right w:val="single" w:sz="4" w:space="0" w:color="auto"/>
            </w:tcBorders>
          </w:tcPr>
          <w:p w:rsidR="00573176" w:rsidRPr="00F627B2" w:rsidRDefault="00573176" w:rsidP="00573176">
            <w:pPr>
              <w:spacing w:line="240" w:lineRule="auto"/>
              <w:rPr>
                <w:rFonts w:ascii="Lato" w:hAnsi="Lato"/>
                <w:szCs w:val="22"/>
              </w:rPr>
            </w:pPr>
          </w:p>
        </w:tc>
        <w:tc>
          <w:tcPr>
            <w:tcW w:w="412" w:type="dxa"/>
            <w:gridSpan w:val="5"/>
            <w:tcBorders>
              <w:top w:val="nil"/>
              <w:left w:val="single" w:sz="4" w:space="0" w:color="auto"/>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pStyle w:val="Heading3"/>
              <w:spacing w:before="0" w:after="0" w:line="240" w:lineRule="auto"/>
              <w:rPr>
                <w:rFonts w:ascii="Lato" w:hAnsi="Lato"/>
                <w:b w:val="0"/>
                <w:bCs/>
                <w:color w:val="auto"/>
                <w:sz w:val="22"/>
                <w:szCs w:val="22"/>
              </w:rPr>
            </w:pPr>
            <w:r w:rsidRPr="00F627B2">
              <w:rPr>
                <w:rFonts w:ascii="Lato" w:hAnsi="Lato"/>
                <w:b w:val="0"/>
                <w:color w:val="auto"/>
                <w:sz w:val="22"/>
                <w:szCs w:val="22"/>
                <w:u w:val="single"/>
              </w:rPr>
              <w:t>classes</w:t>
            </w:r>
          </w:p>
        </w:tc>
        <w:tc>
          <w:tcPr>
            <w:tcW w:w="1674" w:type="dxa"/>
            <w:gridSpan w:val="6"/>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single" w:sz="4" w:space="0" w:color="auto"/>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493" w:type="dxa"/>
            <w:tcBorders>
              <w:top w:val="nil"/>
              <w:left w:val="nil"/>
              <w:bottom w:val="nil"/>
              <w:right w:val="nil"/>
            </w:tcBorders>
          </w:tcPr>
          <w:p w:rsidR="00573176" w:rsidRPr="00F627B2" w:rsidRDefault="00573176" w:rsidP="00573176">
            <w:pPr>
              <w:pStyle w:val="Heading3"/>
              <w:spacing w:before="0" w:after="0" w:line="240" w:lineRule="auto"/>
              <w:rPr>
                <w:rFonts w:ascii="Lato" w:hAnsi="Lato"/>
                <w:b w:val="0"/>
                <w:bCs/>
                <w:color w:val="auto"/>
                <w:sz w:val="22"/>
                <w:szCs w:val="22"/>
              </w:rPr>
            </w:pPr>
            <w:r w:rsidRPr="00F627B2">
              <w:rPr>
                <w:rFonts w:ascii="Lato" w:hAnsi="Lato"/>
                <w:b w:val="0"/>
                <w:bCs/>
                <w:color w:val="auto"/>
                <w:sz w:val="22"/>
                <w:szCs w:val="22"/>
              </w:rPr>
              <w:t>If provisions are made for a Retail Investor AIF to change</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r w:rsidR="00573176" w:rsidRPr="00F627B2" w:rsidTr="00F627B2">
        <w:trPr>
          <w:gridAfter w:val="3"/>
          <w:wAfter w:w="212" w:type="dxa"/>
        </w:trPr>
        <w:tc>
          <w:tcPr>
            <w:tcW w:w="1107" w:type="dxa"/>
            <w:tcBorders>
              <w:top w:val="nil"/>
              <w:left w:val="nil"/>
              <w:bottom w:val="nil"/>
              <w:right w:val="nil"/>
            </w:tcBorders>
          </w:tcPr>
          <w:p w:rsidR="00573176" w:rsidRPr="00F627B2" w:rsidRDefault="00573176" w:rsidP="00573176">
            <w:pPr>
              <w:spacing w:line="240" w:lineRule="auto"/>
              <w:jc w:val="right"/>
              <w:rPr>
                <w:rFonts w:ascii="Lato" w:hAnsi="Lato"/>
                <w:szCs w:val="22"/>
              </w:rPr>
            </w:pPr>
          </w:p>
        </w:tc>
        <w:tc>
          <w:tcPr>
            <w:tcW w:w="5493" w:type="dxa"/>
            <w:tcBorders>
              <w:top w:val="nil"/>
              <w:left w:val="nil"/>
              <w:bottom w:val="nil"/>
              <w:right w:val="nil"/>
            </w:tcBorders>
          </w:tcPr>
          <w:p w:rsidR="00573176" w:rsidRPr="00F627B2" w:rsidRDefault="00573176" w:rsidP="00573176">
            <w:pPr>
              <w:pStyle w:val="Heading3"/>
              <w:spacing w:before="0" w:after="0" w:line="240" w:lineRule="auto"/>
              <w:jc w:val="both"/>
              <w:rPr>
                <w:rFonts w:ascii="Lato" w:hAnsi="Lato"/>
                <w:b w:val="0"/>
                <w:bCs/>
                <w:color w:val="auto"/>
                <w:sz w:val="22"/>
                <w:szCs w:val="22"/>
              </w:rPr>
            </w:pPr>
            <w:r w:rsidRPr="00F627B2">
              <w:rPr>
                <w:rFonts w:ascii="Lato" w:hAnsi="Lato"/>
                <w:b w:val="0"/>
                <w:bCs/>
                <w:color w:val="auto"/>
                <w:sz w:val="22"/>
                <w:szCs w:val="22"/>
              </w:rPr>
              <w:t>its dividend policy (to accumulating/distributing as appropriate), indicate that full details will be disclosed in an updated prospectus/supplement and that all shareholders/unitholders will be notified in advance</w:t>
            </w:r>
          </w:p>
        </w:tc>
        <w:tc>
          <w:tcPr>
            <w:tcW w:w="1674"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327"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14" w:type="dxa"/>
            <w:tcBorders>
              <w:top w:val="nil"/>
              <w:left w:val="nil"/>
              <w:bottom w:val="nil"/>
              <w:right w:val="nil"/>
            </w:tcBorders>
          </w:tcPr>
          <w:p w:rsidR="00573176" w:rsidRPr="00F627B2" w:rsidRDefault="00573176" w:rsidP="00573176">
            <w:pPr>
              <w:spacing w:line="240" w:lineRule="auto"/>
              <w:rPr>
                <w:rFonts w:ascii="Lato" w:hAnsi="Lato"/>
                <w:szCs w:val="22"/>
              </w:rPr>
            </w:pPr>
          </w:p>
        </w:tc>
        <w:tc>
          <w:tcPr>
            <w:tcW w:w="527" w:type="dxa"/>
            <w:gridSpan w:val="6"/>
            <w:tcBorders>
              <w:top w:val="nil"/>
              <w:left w:val="nil"/>
              <w:bottom w:val="nil"/>
              <w:right w:val="nil"/>
            </w:tcBorders>
          </w:tcPr>
          <w:p w:rsidR="00573176" w:rsidRPr="00F627B2" w:rsidRDefault="00573176" w:rsidP="00573176">
            <w:pPr>
              <w:spacing w:line="240" w:lineRule="auto"/>
              <w:rPr>
                <w:rFonts w:ascii="Lato" w:hAnsi="Lato"/>
                <w:szCs w:val="22"/>
              </w:rPr>
            </w:pPr>
          </w:p>
        </w:tc>
        <w:tc>
          <w:tcPr>
            <w:tcW w:w="774"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c>
          <w:tcPr>
            <w:tcW w:w="412" w:type="dxa"/>
            <w:gridSpan w:val="5"/>
            <w:tcBorders>
              <w:top w:val="nil"/>
              <w:left w:val="nil"/>
              <w:bottom w:val="nil"/>
              <w:right w:val="nil"/>
            </w:tcBorders>
          </w:tcPr>
          <w:p w:rsidR="00573176" w:rsidRPr="00F627B2" w:rsidRDefault="00573176" w:rsidP="00573176">
            <w:pPr>
              <w:spacing w:line="240" w:lineRule="auto"/>
              <w:rPr>
                <w:rFonts w:ascii="Lato" w:hAnsi="Lato"/>
                <w:szCs w:val="22"/>
              </w:rPr>
            </w:pPr>
          </w:p>
        </w:tc>
        <w:tc>
          <w:tcPr>
            <w:tcW w:w="450" w:type="dxa"/>
            <w:gridSpan w:val="7"/>
            <w:tcBorders>
              <w:top w:val="nil"/>
              <w:left w:val="nil"/>
              <w:bottom w:val="nil"/>
              <w:right w:val="nil"/>
            </w:tcBorders>
          </w:tcPr>
          <w:p w:rsidR="00573176" w:rsidRPr="00F627B2" w:rsidRDefault="00573176" w:rsidP="00573176">
            <w:pPr>
              <w:spacing w:line="240" w:lineRule="auto"/>
              <w:rPr>
                <w:rFonts w:ascii="Lato" w:hAnsi="Lato"/>
                <w:szCs w:val="22"/>
              </w:rPr>
            </w:pPr>
          </w:p>
        </w:tc>
      </w:tr>
    </w:tbl>
    <w:p w:rsidR="00877692" w:rsidRPr="00F627B2" w:rsidRDefault="00877692">
      <w:pPr>
        <w:spacing w:line="240" w:lineRule="auto"/>
        <w:rPr>
          <w:rFonts w:ascii="Lato" w:hAnsi="Lato"/>
          <w:b/>
          <w:szCs w:val="22"/>
        </w:rPr>
      </w:pPr>
    </w:p>
    <w:tbl>
      <w:tblPr>
        <w:tblW w:w="15357" w:type="dxa"/>
        <w:tblInd w:w="-14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7"/>
        <w:gridCol w:w="116"/>
        <w:gridCol w:w="6858"/>
        <w:gridCol w:w="335"/>
        <w:gridCol w:w="657"/>
        <w:gridCol w:w="80"/>
        <w:gridCol w:w="156"/>
        <w:gridCol w:w="80"/>
        <w:gridCol w:w="623"/>
        <w:gridCol w:w="6"/>
        <w:gridCol w:w="80"/>
        <w:gridCol w:w="184"/>
        <w:gridCol w:w="80"/>
        <w:gridCol w:w="375"/>
        <w:gridCol w:w="80"/>
        <w:gridCol w:w="158"/>
        <w:gridCol w:w="8"/>
        <w:gridCol w:w="18"/>
        <w:gridCol w:w="80"/>
        <w:gridCol w:w="476"/>
        <w:gridCol w:w="114"/>
        <w:gridCol w:w="3686"/>
      </w:tblGrid>
      <w:tr w:rsidR="00FB497D" w:rsidRPr="00F627B2" w:rsidTr="00F627B2">
        <w:tc>
          <w:tcPr>
            <w:tcW w:w="1107" w:type="dxa"/>
            <w:tcBorders>
              <w:top w:val="nil"/>
              <w:left w:val="nil"/>
              <w:bottom w:val="single" w:sz="4" w:space="0" w:color="auto"/>
              <w:right w:val="nil"/>
            </w:tcBorders>
          </w:tcPr>
          <w:p w:rsidR="00877692" w:rsidRPr="00F627B2" w:rsidRDefault="00877692">
            <w:pPr>
              <w:spacing w:line="240" w:lineRule="auto"/>
              <w:rPr>
                <w:rFonts w:ascii="Lato" w:hAnsi="Lato"/>
                <w:szCs w:val="22"/>
              </w:rPr>
            </w:pPr>
          </w:p>
        </w:tc>
        <w:tc>
          <w:tcPr>
            <w:tcW w:w="6974" w:type="dxa"/>
            <w:gridSpan w:val="2"/>
            <w:tcBorders>
              <w:top w:val="nil"/>
              <w:left w:val="nil"/>
              <w:bottom w:val="single" w:sz="4" w:space="0" w:color="auto"/>
              <w:right w:val="nil"/>
            </w:tcBorders>
          </w:tcPr>
          <w:p w:rsidR="00877692" w:rsidRPr="00F627B2" w:rsidRDefault="00877692">
            <w:pPr>
              <w:spacing w:line="240" w:lineRule="auto"/>
              <w:rPr>
                <w:rFonts w:ascii="Lato" w:hAnsi="Lato"/>
                <w:szCs w:val="22"/>
              </w:rPr>
            </w:pPr>
          </w:p>
        </w:tc>
        <w:tc>
          <w:tcPr>
            <w:tcW w:w="992"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703"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4382" w:type="dxa"/>
            <w:gridSpan w:val="6"/>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9420A8" w:rsidRPr="00F627B2" w:rsidRDefault="009420A8">
            <w:pPr>
              <w:spacing w:line="240" w:lineRule="auto"/>
              <w:rPr>
                <w:rFonts w:ascii="Lato" w:hAnsi="Lato"/>
                <w:szCs w:val="22"/>
              </w:rPr>
            </w:pPr>
            <w:r w:rsidRPr="00F627B2">
              <w:rPr>
                <w:rFonts w:ascii="Lato" w:hAnsi="Lato"/>
                <w:szCs w:val="22"/>
              </w:rPr>
              <w:t>2.7</w:t>
            </w:r>
          </w:p>
        </w:tc>
        <w:tc>
          <w:tcPr>
            <w:tcW w:w="6974" w:type="dxa"/>
            <w:gridSpan w:val="2"/>
            <w:tcBorders>
              <w:top w:val="single" w:sz="4" w:space="0" w:color="auto"/>
              <w:left w:val="single" w:sz="4" w:space="0" w:color="auto"/>
              <w:bottom w:val="single" w:sz="4" w:space="0" w:color="auto"/>
              <w:right w:val="single" w:sz="4" w:space="0" w:color="auto"/>
            </w:tcBorders>
          </w:tcPr>
          <w:p w:rsidR="009420A8" w:rsidRPr="00F627B2" w:rsidRDefault="009420A8">
            <w:pPr>
              <w:spacing w:line="240" w:lineRule="auto"/>
              <w:rPr>
                <w:rFonts w:ascii="Lato" w:hAnsi="Lato"/>
                <w:szCs w:val="22"/>
              </w:rPr>
            </w:pPr>
            <w:r w:rsidRPr="00F627B2">
              <w:rPr>
                <w:rFonts w:ascii="Lato" w:hAnsi="Lato"/>
                <w:szCs w:val="22"/>
              </w:rPr>
              <w:t>Information concerning the AIFM</w:t>
            </w:r>
          </w:p>
        </w:tc>
        <w:tc>
          <w:tcPr>
            <w:tcW w:w="992" w:type="dxa"/>
            <w:gridSpan w:val="2"/>
            <w:tcBorders>
              <w:top w:val="nil"/>
              <w:left w:val="single" w:sz="4" w:space="0" w:color="auto"/>
              <w:bottom w:val="nil"/>
              <w:right w:val="nil"/>
            </w:tcBorders>
          </w:tcPr>
          <w:p w:rsidR="009420A8" w:rsidRPr="00F627B2" w:rsidRDefault="009420A8">
            <w:pPr>
              <w:spacing w:line="240" w:lineRule="auto"/>
              <w:rPr>
                <w:rFonts w:ascii="Lato" w:hAnsi="Lato"/>
                <w:szCs w:val="22"/>
              </w:rPr>
            </w:pPr>
          </w:p>
        </w:tc>
        <w:tc>
          <w:tcPr>
            <w:tcW w:w="236" w:type="dxa"/>
            <w:gridSpan w:val="2"/>
            <w:tcBorders>
              <w:top w:val="nil"/>
              <w:left w:val="nil"/>
              <w:bottom w:val="nil"/>
              <w:right w:val="nil"/>
            </w:tcBorders>
          </w:tcPr>
          <w:p w:rsidR="009420A8" w:rsidRPr="00F627B2" w:rsidRDefault="009420A8">
            <w:pPr>
              <w:spacing w:line="240" w:lineRule="auto"/>
              <w:rPr>
                <w:rFonts w:ascii="Lato" w:hAnsi="Lato"/>
                <w:szCs w:val="22"/>
              </w:rPr>
            </w:pPr>
          </w:p>
        </w:tc>
        <w:tc>
          <w:tcPr>
            <w:tcW w:w="703" w:type="dxa"/>
            <w:gridSpan w:val="2"/>
            <w:tcBorders>
              <w:top w:val="nil"/>
              <w:left w:val="nil"/>
              <w:bottom w:val="nil"/>
              <w:right w:val="nil"/>
            </w:tcBorders>
          </w:tcPr>
          <w:p w:rsidR="009420A8" w:rsidRPr="00F627B2" w:rsidRDefault="009420A8">
            <w:pPr>
              <w:spacing w:line="240" w:lineRule="auto"/>
              <w:rPr>
                <w:rFonts w:ascii="Lato" w:hAnsi="Lato"/>
                <w:szCs w:val="22"/>
              </w:rPr>
            </w:pPr>
          </w:p>
        </w:tc>
        <w:tc>
          <w:tcPr>
            <w:tcW w:w="270" w:type="dxa"/>
            <w:gridSpan w:val="3"/>
            <w:tcBorders>
              <w:top w:val="nil"/>
              <w:left w:val="nil"/>
              <w:bottom w:val="nil"/>
              <w:right w:val="nil"/>
            </w:tcBorders>
          </w:tcPr>
          <w:p w:rsidR="009420A8" w:rsidRPr="00F627B2" w:rsidRDefault="009420A8">
            <w:pPr>
              <w:spacing w:line="240" w:lineRule="auto"/>
              <w:rPr>
                <w:rFonts w:ascii="Lato" w:hAnsi="Lato"/>
                <w:szCs w:val="22"/>
              </w:rPr>
            </w:pPr>
          </w:p>
        </w:tc>
        <w:tc>
          <w:tcPr>
            <w:tcW w:w="455" w:type="dxa"/>
            <w:gridSpan w:val="2"/>
            <w:tcBorders>
              <w:top w:val="nil"/>
              <w:left w:val="nil"/>
              <w:bottom w:val="nil"/>
              <w:right w:val="nil"/>
            </w:tcBorders>
          </w:tcPr>
          <w:p w:rsidR="009420A8" w:rsidRPr="00F627B2" w:rsidRDefault="009420A8">
            <w:pPr>
              <w:spacing w:line="240" w:lineRule="auto"/>
              <w:rPr>
                <w:rFonts w:ascii="Lato" w:hAnsi="Lato"/>
                <w:szCs w:val="22"/>
              </w:rPr>
            </w:pPr>
          </w:p>
        </w:tc>
        <w:tc>
          <w:tcPr>
            <w:tcW w:w="238" w:type="dxa"/>
            <w:gridSpan w:val="2"/>
            <w:tcBorders>
              <w:top w:val="nil"/>
              <w:left w:val="nil"/>
              <w:bottom w:val="nil"/>
              <w:right w:val="nil"/>
            </w:tcBorders>
          </w:tcPr>
          <w:p w:rsidR="009420A8" w:rsidRPr="00F627B2" w:rsidRDefault="009420A8">
            <w:pPr>
              <w:spacing w:line="240" w:lineRule="auto"/>
              <w:rPr>
                <w:rFonts w:ascii="Lato" w:hAnsi="Lato"/>
                <w:szCs w:val="22"/>
              </w:rPr>
            </w:pPr>
          </w:p>
        </w:tc>
        <w:tc>
          <w:tcPr>
            <w:tcW w:w="582" w:type="dxa"/>
            <w:gridSpan w:val="4"/>
            <w:tcBorders>
              <w:top w:val="nil"/>
              <w:left w:val="nil"/>
              <w:bottom w:val="nil"/>
              <w:right w:val="nil"/>
            </w:tcBorders>
          </w:tcPr>
          <w:p w:rsidR="009420A8" w:rsidRPr="00F627B2" w:rsidRDefault="009420A8">
            <w:pPr>
              <w:spacing w:line="240" w:lineRule="auto"/>
              <w:rPr>
                <w:rFonts w:ascii="Lato" w:hAnsi="Lato"/>
                <w:szCs w:val="22"/>
              </w:rPr>
            </w:pPr>
          </w:p>
        </w:tc>
      </w:tr>
      <w:tr w:rsidR="00FB497D" w:rsidRPr="00F627B2" w:rsidTr="00F627B2">
        <w:trPr>
          <w:gridAfter w:val="2"/>
          <w:wAfter w:w="3800" w:type="dxa"/>
        </w:trPr>
        <w:tc>
          <w:tcPr>
            <w:tcW w:w="1107" w:type="dxa"/>
            <w:tcBorders>
              <w:top w:val="single" w:sz="4" w:space="0" w:color="auto"/>
              <w:left w:val="nil"/>
              <w:bottom w:val="nil"/>
              <w:right w:val="nil"/>
            </w:tcBorders>
          </w:tcPr>
          <w:p w:rsidR="009420A8" w:rsidRPr="00F627B2" w:rsidRDefault="009420A8">
            <w:pPr>
              <w:spacing w:line="240" w:lineRule="auto"/>
              <w:rPr>
                <w:rFonts w:ascii="Lato" w:hAnsi="Lato"/>
                <w:szCs w:val="22"/>
              </w:rPr>
            </w:pPr>
          </w:p>
        </w:tc>
        <w:tc>
          <w:tcPr>
            <w:tcW w:w="6974" w:type="dxa"/>
            <w:gridSpan w:val="2"/>
            <w:tcBorders>
              <w:top w:val="single" w:sz="4" w:space="0" w:color="auto"/>
              <w:left w:val="nil"/>
              <w:bottom w:val="nil"/>
              <w:right w:val="nil"/>
            </w:tcBorders>
          </w:tcPr>
          <w:p w:rsidR="009420A8" w:rsidRPr="00F627B2" w:rsidRDefault="009420A8">
            <w:pPr>
              <w:spacing w:line="240" w:lineRule="auto"/>
              <w:rPr>
                <w:rFonts w:ascii="Lato" w:hAnsi="Lato"/>
                <w:szCs w:val="22"/>
              </w:rPr>
            </w:pPr>
          </w:p>
        </w:tc>
        <w:tc>
          <w:tcPr>
            <w:tcW w:w="992" w:type="dxa"/>
            <w:gridSpan w:val="2"/>
            <w:tcBorders>
              <w:top w:val="nil"/>
              <w:left w:val="nil"/>
              <w:bottom w:val="single" w:sz="4" w:space="0" w:color="auto"/>
              <w:right w:val="nil"/>
            </w:tcBorders>
          </w:tcPr>
          <w:p w:rsidR="009420A8" w:rsidRPr="00F627B2" w:rsidRDefault="009420A8">
            <w:pPr>
              <w:spacing w:line="240" w:lineRule="auto"/>
              <w:rPr>
                <w:rFonts w:ascii="Lato" w:hAnsi="Lato"/>
                <w:szCs w:val="22"/>
              </w:rPr>
            </w:pPr>
          </w:p>
        </w:tc>
        <w:tc>
          <w:tcPr>
            <w:tcW w:w="236" w:type="dxa"/>
            <w:gridSpan w:val="2"/>
            <w:tcBorders>
              <w:top w:val="nil"/>
              <w:left w:val="nil"/>
              <w:bottom w:val="nil"/>
              <w:right w:val="nil"/>
            </w:tcBorders>
          </w:tcPr>
          <w:p w:rsidR="009420A8" w:rsidRPr="00F627B2" w:rsidRDefault="009420A8">
            <w:pPr>
              <w:spacing w:line="240" w:lineRule="auto"/>
              <w:rPr>
                <w:rFonts w:ascii="Lato" w:hAnsi="Lato"/>
                <w:szCs w:val="22"/>
              </w:rPr>
            </w:pPr>
          </w:p>
        </w:tc>
        <w:tc>
          <w:tcPr>
            <w:tcW w:w="703" w:type="dxa"/>
            <w:gridSpan w:val="2"/>
            <w:tcBorders>
              <w:top w:val="nil"/>
              <w:left w:val="nil"/>
              <w:bottom w:val="single" w:sz="4" w:space="0" w:color="auto"/>
              <w:right w:val="nil"/>
            </w:tcBorders>
          </w:tcPr>
          <w:p w:rsidR="009420A8" w:rsidRPr="00F627B2" w:rsidRDefault="009420A8">
            <w:pPr>
              <w:spacing w:line="240" w:lineRule="auto"/>
              <w:rPr>
                <w:rFonts w:ascii="Lato" w:hAnsi="Lato"/>
                <w:szCs w:val="22"/>
              </w:rPr>
            </w:pPr>
          </w:p>
        </w:tc>
        <w:tc>
          <w:tcPr>
            <w:tcW w:w="270" w:type="dxa"/>
            <w:gridSpan w:val="3"/>
            <w:tcBorders>
              <w:top w:val="nil"/>
              <w:left w:val="nil"/>
              <w:bottom w:val="nil"/>
              <w:right w:val="nil"/>
            </w:tcBorders>
          </w:tcPr>
          <w:p w:rsidR="009420A8" w:rsidRPr="00F627B2" w:rsidRDefault="009420A8">
            <w:pPr>
              <w:spacing w:line="240" w:lineRule="auto"/>
              <w:rPr>
                <w:rFonts w:ascii="Lato" w:hAnsi="Lato"/>
                <w:szCs w:val="22"/>
              </w:rPr>
            </w:pPr>
          </w:p>
        </w:tc>
        <w:tc>
          <w:tcPr>
            <w:tcW w:w="455" w:type="dxa"/>
            <w:gridSpan w:val="2"/>
            <w:tcBorders>
              <w:top w:val="nil"/>
              <w:left w:val="nil"/>
              <w:bottom w:val="single" w:sz="4" w:space="0" w:color="auto"/>
              <w:right w:val="nil"/>
            </w:tcBorders>
          </w:tcPr>
          <w:p w:rsidR="009420A8" w:rsidRPr="00F627B2" w:rsidRDefault="009420A8">
            <w:pPr>
              <w:spacing w:line="240" w:lineRule="auto"/>
              <w:rPr>
                <w:rFonts w:ascii="Lato" w:hAnsi="Lato"/>
                <w:szCs w:val="22"/>
              </w:rPr>
            </w:pPr>
          </w:p>
        </w:tc>
        <w:tc>
          <w:tcPr>
            <w:tcW w:w="238" w:type="dxa"/>
            <w:gridSpan w:val="2"/>
            <w:tcBorders>
              <w:top w:val="nil"/>
              <w:left w:val="nil"/>
              <w:bottom w:val="nil"/>
              <w:right w:val="nil"/>
            </w:tcBorders>
          </w:tcPr>
          <w:p w:rsidR="009420A8" w:rsidRPr="00F627B2" w:rsidRDefault="009420A8">
            <w:pPr>
              <w:spacing w:line="240" w:lineRule="auto"/>
              <w:rPr>
                <w:rFonts w:ascii="Lato" w:hAnsi="Lato"/>
                <w:szCs w:val="22"/>
              </w:rPr>
            </w:pPr>
          </w:p>
        </w:tc>
        <w:tc>
          <w:tcPr>
            <w:tcW w:w="582" w:type="dxa"/>
            <w:gridSpan w:val="4"/>
            <w:tcBorders>
              <w:top w:val="nil"/>
              <w:left w:val="nil"/>
              <w:bottom w:val="nil"/>
              <w:right w:val="nil"/>
            </w:tcBorders>
          </w:tcPr>
          <w:p w:rsidR="009420A8" w:rsidRPr="00F627B2" w:rsidRDefault="009420A8">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420A8" w:rsidRPr="00F627B2" w:rsidRDefault="009420A8">
            <w:pPr>
              <w:spacing w:line="240" w:lineRule="auto"/>
              <w:rPr>
                <w:rFonts w:ascii="Lato" w:hAnsi="Lato"/>
                <w:szCs w:val="22"/>
              </w:rPr>
            </w:pPr>
            <w:r w:rsidRPr="00F627B2">
              <w:rPr>
                <w:rFonts w:ascii="Lato" w:hAnsi="Lato"/>
                <w:szCs w:val="22"/>
              </w:rPr>
              <w:t>2.7.1</w:t>
            </w:r>
          </w:p>
        </w:tc>
        <w:tc>
          <w:tcPr>
            <w:tcW w:w="6974" w:type="dxa"/>
            <w:gridSpan w:val="2"/>
            <w:tcBorders>
              <w:top w:val="nil"/>
              <w:left w:val="nil"/>
              <w:bottom w:val="nil"/>
              <w:right w:val="single" w:sz="4" w:space="0" w:color="auto"/>
            </w:tcBorders>
          </w:tcPr>
          <w:p w:rsidR="009420A8" w:rsidRPr="00F627B2" w:rsidRDefault="009420A8">
            <w:pPr>
              <w:spacing w:line="240" w:lineRule="auto"/>
              <w:rPr>
                <w:rFonts w:ascii="Lato" w:hAnsi="Lato"/>
                <w:szCs w:val="22"/>
              </w:rPr>
            </w:pPr>
            <w:r w:rsidRPr="00F627B2">
              <w:rPr>
                <w:rFonts w:ascii="Lato" w:hAnsi="Lato"/>
                <w:szCs w:val="22"/>
              </w:rPr>
              <w:t>Name</w:t>
            </w:r>
          </w:p>
        </w:tc>
        <w:tc>
          <w:tcPr>
            <w:tcW w:w="992" w:type="dxa"/>
            <w:gridSpan w:val="2"/>
            <w:tcBorders>
              <w:top w:val="single" w:sz="4" w:space="0" w:color="auto"/>
              <w:left w:val="single" w:sz="4" w:space="0" w:color="auto"/>
              <w:bottom w:val="single" w:sz="4" w:space="0" w:color="auto"/>
              <w:right w:val="single" w:sz="4" w:space="0" w:color="auto"/>
            </w:tcBorders>
          </w:tcPr>
          <w:p w:rsidR="009420A8" w:rsidRPr="00F627B2" w:rsidRDefault="009420A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420A8" w:rsidRPr="00F627B2" w:rsidRDefault="009420A8">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9420A8" w:rsidRPr="00F627B2" w:rsidRDefault="009420A8">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9420A8" w:rsidRPr="00F627B2" w:rsidRDefault="009420A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420A8" w:rsidRPr="00F627B2" w:rsidRDefault="009420A8">
            <w:pPr>
              <w:spacing w:line="240" w:lineRule="auto"/>
              <w:rPr>
                <w:rFonts w:ascii="Lato" w:hAnsi="Lato"/>
                <w:szCs w:val="22"/>
              </w:rPr>
            </w:pPr>
          </w:p>
        </w:tc>
        <w:tc>
          <w:tcPr>
            <w:tcW w:w="238" w:type="dxa"/>
            <w:gridSpan w:val="2"/>
            <w:tcBorders>
              <w:top w:val="nil"/>
              <w:left w:val="single" w:sz="4" w:space="0" w:color="auto"/>
              <w:bottom w:val="nil"/>
              <w:right w:val="nil"/>
            </w:tcBorders>
          </w:tcPr>
          <w:p w:rsidR="009420A8" w:rsidRPr="00F627B2" w:rsidRDefault="009420A8">
            <w:pPr>
              <w:spacing w:line="240" w:lineRule="auto"/>
              <w:rPr>
                <w:rFonts w:ascii="Lato" w:hAnsi="Lato"/>
                <w:szCs w:val="22"/>
              </w:rPr>
            </w:pPr>
          </w:p>
        </w:tc>
        <w:tc>
          <w:tcPr>
            <w:tcW w:w="582" w:type="dxa"/>
            <w:gridSpan w:val="4"/>
            <w:tcBorders>
              <w:top w:val="nil"/>
              <w:left w:val="nil"/>
              <w:bottom w:val="nil"/>
              <w:right w:val="nil"/>
            </w:tcBorders>
          </w:tcPr>
          <w:p w:rsidR="009420A8" w:rsidRPr="00F627B2" w:rsidRDefault="009420A8">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420A8" w:rsidRPr="00F627B2" w:rsidRDefault="009420A8">
            <w:pPr>
              <w:spacing w:line="240" w:lineRule="auto"/>
              <w:rPr>
                <w:rFonts w:ascii="Lato" w:hAnsi="Lato"/>
                <w:szCs w:val="22"/>
              </w:rPr>
            </w:pPr>
          </w:p>
        </w:tc>
        <w:tc>
          <w:tcPr>
            <w:tcW w:w="6974" w:type="dxa"/>
            <w:gridSpan w:val="2"/>
            <w:tcBorders>
              <w:top w:val="nil"/>
              <w:left w:val="nil"/>
              <w:bottom w:val="nil"/>
              <w:right w:val="nil"/>
            </w:tcBorders>
          </w:tcPr>
          <w:p w:rsidR="009420A8" w:rsidRPr="00F627B2" w:rsidRDefault="009420A8">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9420A8" w:rsidRPr="00F627B2" w:rsidRDefault="009420A8">
            <w:pPr>
              <w:spacing w:line="240" w:lineRule="auto"/>
              <w:rPr>
                <w:rFonts w:ascii="Lato" w:hAnsi="Lato"/>
                <w:szCs w:val="22"/>
              </w:rPr>
            </w:pPr>
          </w:p>
        </w:tc>
        <w:tc>
          <w:tcPr>
            <w:tcW w:w="236" w:type="dxa"/>
            <w:gridSpan w:val="2"/>
            <w:tcBorders>
              <w:top w:val="nil"/>
              <w:left w:val="nil"/>
              <w:bottom w:val="nil"/>
              <w:right w:val="nil"/>
            </w:tcBorders>
          </w:tcPr>
          <w:p w:rsidR="009420A8" w:rsidRPr="00F627B2" w:rsidRDefault="009420A8">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9420A8" w:rsidRPr="00F627B2" w:rsidRDefault="009420A8">
            <w:pPr>
              <w:spacing w:line="240" w:lineRule="auto"/>
              <w:rPr>
                <w:rFonts w:ascii="Lato" w:hAnsi="Lato"/>
                <w:szCs w:val="22"/>
              </w:rPr>
            </w:pPr>
          </w:p>
        </w:tc>
        <w:tc>
          <w:tcPr>
            <w:tcW w:w="270" w:type="dxa"/>
            <w:gridSpan w:val="3"/>
            <w:tcBorders>
              <w:top w:val="nil"/>
              <w:left w:val="nil"/>
              <w:bottom w:val="nil"/>
              <w:right w:val="nil"/>
            </w:tcBorders>
          </w:tcPr>
          <w:p w:rsidR="009420A8" w:rsidRPr="00F627B2" w:rsidRDefault="009420A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9420A8" w:rsidRPr="00F627B2" w:rsidRDefault="009420A8">
            <w:pPr>
              <w:spacing w:line="240" w:lineRule="auto"/>
              <w:rPr>
                <w:rFonts w:ascii="Lato" w:hAnsi="Lato"/>
                <w:szCs w:val="22"/>
              </w:rPr>
            </w:pPr>
          </w:p>
        </w:tc>
        <w:tc>
          <w:tcPr>
            <w:tcW w:w="238" w:type="dxa"/>
            <w:gridSpan w:val="2"/>
            <w:tcBorders>
              <w:top w:val="nil"/>
              <w:left w:val="nil"/>
              <w:bottom w:val="nil"/>
              <w:right w:val="nil"/>
            </w:tcBorders>
          </w:tcPr>
          <w:p w:rsidR="009420A8" w:rsidRPr="00F627B2" w:rsidRDefault="009420A8">
            <w:pPr>
              <w:spacing w:line="240" w:lineRule="auto"/>
              <w:rPr>
                <w:rFonts w:ascii="Lato" w:hAnsi="Lato"/>
                <w:szCs w:val="22"/>
              </w:rPr>
            </w:pPr>
          </w:p>
        </w:tc>
        <w:tc>
          <w:tcPr>
            <w:tcW w:w="582" w:type="dxa"/>
            <w:gridSpan w:val="4"/>
            <w:tcBorders>
              <w:top w:val="nil"/>
              <w:left w:val="nil"/>
              <w:bottom w:val="nil"/>
              <w:right w:val="nil"/>
            </w:tcBorders>
          </w:tcPr>
          <w:p w:rsidR="009420A8" w:rsidRPr="00F627B2" w:rsidRDefault="009420A8">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F2482E" w:rsidRPr="00F627B2" w:rsidRDefault="00F2482E">
            <w:pPr>
              <w:spacing w:line="240" w:lineRule="auto"/>
              <w:rPr>
                <w:rFonts w:ascii="Lato" w:hAnsi="Lato"/>
                <w:szCs w:val="22"/>
              </w:rPr>
            </w:pPr>
            <w:r w:rsidRPr="00F627B2">
              <w:rPr>
                <w:rFonts w:ascii="Lato" w:hAnsi="Lato"/>
                <w:szCs w:val="22"/>
              </w:rPr>
              <w:t>2.7.2</w:t>
            </w:r>
          </w:p>
        </w:tc>
        <w:tc>
          <w:tcPr>
            <w:tcW w:w="6974" w:type="dxa"/>
            <w:gridSpan w:val="2"/>
            <w:tcBorders>
              <w:top w:val="nil"/>
              <w:left w:val="nil"/>
              <w:bottom w:val="nil"/>
              <w:right w:val="single" w:sz="4" w:space="0" w:color="auto"/>
            </w:tcBorders>
          </w:tcPr>
          <w:p w:rsidR="00F2482E" w:rsidRPr="00F627B2" w:rsidRDefault="00F2482E" w:rsidP="00F2482E">
            <w:pPr>
              <w:spacing w:line="240" w:lineRule="auto"/>
              <w:rPr>
                <w:rFonts w:ascii="Lato" w:hAnsi="Lato"/>
                <w:szCs w:val="22"/>
              </w:rPr>
            </w:pPr>
            <w:r w:rsidRPr="00F627B2">
              <w:rPr>
                <w:rFonts w:ascii="Lato" w:hAnsi="Lato"/>
                <w:szCs w:val="22"/>
              </w:rPr>
              <w:t>Disclose the jurisdiction and regulatory status where a non-</w:t>
            </w:r>
          </w:p>
        </w:tc>
        <w:tc>
          <w:tcPr>
            <w:tcW w:w="992" w:type="dxa"/>
            <w:gridSpan w:val="2"/>
            <w:tcBorders>
              <w:top w:val="single" w:sz="4" w:space="0" w:color="auto"/>
              <w:left w:val="single" w:sz="4" w:space="0" w:color="auto"/>
              <w:bottom w:val="single" w:sz="4" w:space="0" w:color="auto"/>
              <w:right w:val="single" w:sz="4" w:space="0" w:color="auto"/>
            </w:tcBorders>
          </w:tcPr>
          <w:p w:rsidR="00F2482E" w:rsidRPr="00F627B2" w:rsidRDefault="00F2482E">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F2482E" w:rsidRPr="00F627B2" w:rsidRDefault="00F2482E">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F2482E" w:rsidRPr="00F627B2" w:rsidRDefault="00F2482E">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F2482E" w:rsidRPr="00F627B2" w:rsidRDefault="00F2482E">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F2482E" w:rsidRPr="00F627B2" w:rsidRDefault="00F2482E">
            <w:pPr>
              <w:spacing w:line="240" w:lineRule="auto"/>
              <w:rPr>
                <w:rFonts w:ascii="Lato" w:hAnsi="Lato"/>
                <w:szCs w:val="22"/>
              </w:rPr>
            </w:pPr>
          </w:p>
        </w:tc>
        <w:tc>
          <w:tcPr>
            <w:tcW w:w="238" w:type="dxa"/>
            <w:gridSpan w:val="2"/>
            <w:tcBorders>
              <w:top w:val="nil"/>
              <w:left w:val="single" w:sz="4" w:space="0" w:color="auto"/>
              <w:bottom w:val="nil"/>
              <w:right w:val="nil"/>
            </w:tcBorders>
          </w:tcPr>
          <w:p w:rsidR="00F2482E" w:rsidRPr="00F627B2" w:rsidRDefault="00F2482E">
            <w:pPr>
              <w:spacing w:line="240" w:lineRule="auto"/>
              <w:rPr>
                <w:rFonts w:ascii="Lato" w:hAnsi="Lato"/>
                <w:szCs w:val="22"/>
              </w:rPr>
            </w:pPr>
          </w:p>
        </w:tc>
        <w:tc>
          <w:tcPr>
            <w:tcW w:w="582" w:type="dxa"/>
            <w:gridSpan w:val="4"/>
            <w:tcBorders>
              <w:top w:val="nil"/>
              <w:left w:val="nil"/>
              <w:bottom w:val="nil"/>
              <w:right w:val="nil"/>
            </w:tcBorders>
          </w:tcPr>
          <w:p w:rsidR="00F2482E" w:rsidRPr="00F627B2" w:rsidRDefault="00F2482E">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F2482E" w:rsidRPr="00F627B2"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F627B2" w:rsidRDefault="00F2482E">
            <w:pPr>
              <w:spacing w:line="240" w:lineRule="auto"/>
              <w:rPr>
                <w:rFonts w:ascii="Lato" w:hAnsi="Lato"/>
                <w:szCs w:val="22"/>
              </w:rPr>
            </w:pPr>
            <w:r w:rsidRPr="00F627B2">
              <w:rPr>
                <w:rFonts w:ascii="Lato" w:hAnsi="Lato"/>
                <w:szCs w:val="22"/>
              </w:rPr>
              <w:t>Irish entity</w:t>
            </w:r>
          </w:p>
        </w:tc>
        <w:tc>
          <w:tcPr>
            <w:tcW w:w="992" w:type="dxa"/>
            <w:gridSpan w:val="2"/>
            <w:tcBorders>
              <w:top w:val="single" w:sz="4" w:space="0" w:color="auto"/>
              <w:left w:val="nil"/>
              <w:bottom w:val="nil"/>
              <w:right w:val="nil"/>
            </w:tcBorders>
          </w:tcPr>
          <w:p w:rsidR="00F2482E" w:rsidRPr="00F627B2"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F627B2" w:rsidRDefault="00F2482E">
            <w:pPr>
              <w:spacing w:line="240" w:lineRule="auto"/>
              <w:rPr>
                <w:rFonts w:ascii="Lato" w:hAnsi="Lato"/>
                <w:szCs w:val="22"/>
              </w:rPr>
            </w:pPr>
          </w:p>
        </w:tc>
        <w:tc>
          <w:tcPr>
            <w:tcW w:w="703" w:type="dxa"/>
            <w:gridSpan w:val="2"/>
            <w:tcBorders>
              <w:top w:val="single" w:sz="4" w:space="0" w:color="auto"/>
              <w:left w:val="nil"/>
              <w:bottom w:val="nil"/>
              <w:right w:val="nil"/>
            </w:tcBorders>
          </w:tcPr>
          <w:p w:rsidR="00F2482E" w:rsidRPr="00F627B2" w:rsidRDefault="00F2482E">
            <w:pPr>
              <w:spacing w:line="240" w:lineRule="auto"/>
              <w:rPr>
                <w:rFonts w:ascii="Lato" w:hAnsi="Lato"/>
                <w:szCs w:val="22"/>
              </w:rPr>
            </w:pPr>
          </w:p>
        </w:tc>
        <w:tc>
          <w:tcPr>
            <w:tcW w:w="270" w:type="dxa"/>
            <w:gridSpan w:val="3"/>
            <w:tcBorders>
              <w:top w:val="nil"/>
              <w:left w:val="nil"/>
              <w:bottom w:val="nil"/>
              <w:right w:val="nil"/>
            </w:tcBorders>
          </w:tcPr>
          <w:p w:rsidR="00F2482E" w:rsidRPr="00F627B2" w:rsidRDefault="00F2482E">
            <w:pPr>
              <w:spacing w:line="240" w:lineRule="auto"/>
              <w:rPr>
                <w:rFonts w:ascii="Lato" w:hAnsi="Lato"/>
                <w:szCs w:val="22"/>
              </w:rPr>
            </w:pPr>
          </w:p>
        </w:tc>
        <w:tc>
          <w:tcPr>
            <w:tcW w:w="455" w:type="dxa"/>
            <w:gridSpan w:val="2"/>
            <w:tcBorders>
              <w:top w:val="single" w:sz="4" w:space="0" w:color="auto"/>
              <w:left w:val="nil"/>
              <w:bottom w:val="nil"/>
              <w:right w:val="nil"/>
            </w:tcBorders>
          </w:tcPr>
          <w:p w:rsidR="00F2482E" w:rsidRPr="00F627B2" w:rsidRDefault="00F2482E">
            <w:pPr>
              <w:spacing w:line="240" w:lineRule="auto"/>
              <w:rPr>
                <w:rFonts w:ascii="Lato" w:hAnsi="Lato"/>
                <w:szCs w:val="22"/>
              </w:rPr>
            </w:pPr>
          </w:p>
        </w:tc>
        <w:tc>
          <w:tcPr>
            <w:tcW w:w="238" w:type="dxa"/>
            <w:gridSpan w:val="2"/>
            <w:tcBorders>
              <w:top w:val="nil"/>
              <w:left w:val="nil"/>
              <w:bottom w:val="nil"/>
              <w:right w:val="nil"/>
            </w:tcBorders>
          </w:tcPr>
          <w:p w:rsidR="00F2482E" w:rsidRPr="00F627B2" w:rsidRDefault="00F2482E">
            <w:pPr>
              <w:spacing w:line="240" w:lineRule="auto"/>
              <w:rPr>
                <w:rFonts w:ascii="Lato" w:hAnsi="Lato"/>
                <w:szCs w:val="22"/>
              </w:rPr>
            </w:pPr>
          </w:p>
        </w:tc>
        <w:tc>
          <w:tcPr>
            <w:tcW w:w="582" w:type="dxa"/>
            <w:gridSpan w:val="4"/>
            <w:tcBorders>
              <w:top w:val="nil"/>
              <w:left w:val="nil"/>
              <w:bottom w:val="nil"/>
              <w:right w:val="nil"/>
            </w:tcBorders>
          </w:tcPr>
          <w:p w:rsidR="00F2482E" w:rsidRPr="00F627B2" w:rsidRDefault="00F2482E">
            <w:pPr>
              <w:spacing w:line="240" w:lineRule="auto"/>
              <w:rPr>
                <w:rFonts w:ascii="Lato" w:hAnsi="Lato"/>
                <w:szCs w:val="22"/>
              </w:rPr>
            </w:pPr>
          </w:p>
        </w:tc>
      </w:tr>
      <w:tr w:rsidR="007B119A" w:rsidRPr="00F627B2" w:rsidTr="00F627B2">
        <w:trPr>
          <w:gridAfter w:val="2"/>
          <w:wAfter w:w="3800" w:type="dxa"/>
        </w:trPr>
        <w:tc>
          <w:tcPr>
            <w:tcW w:w="1107" w:type="dxa"/>
            <w:tcBorders>
              <w:top w:val="nil"/>
              <w:left w:val="nil"/>
              <w:bottom w:val="nil"/>
              <w:right w:val="nil"/>
            </w:tcBorders>
          </w:tcPr>
          <w:p w:rsidR="007B119A" w:rsidRPr="00F627B2" w:rsidRDefault="007B119A">
            <w:pPr>
              <w:spacing w:line="240" w:lineRule="auto"/>
              <w:rPr>
                <w:rFonts w:ascii="Lato" w:hAnsi="Lato"/>
                <w:szCs w:val="22"/>
              </w:rPr>
            </w:pPr>
          </w:p>
        </w:tc>
        <w:tc>
          <w:tcPr>
            <w:tcW w:w="6974" w:type="dxa"/>
            <w:gridSpan w:val="2"/>
            <w:tcBorders>
              <w:top w:val="nil"/>
              <w:left w:val="nil"/>
              <w:bottom w:val="nil"/>
              <w:right w:val="nil"/>
            </w:tcBorders>
          </w:tcPr>
          <w:p w:rsidR="007B119A" w:rsidRPr="00F627B2" w:rsidRDefault="007B119A">
            <w:pPr>
              <w:spacing w:line="240" w:lineRule="auto"/>
              <w:rPr>
                <w:rFonts w:ascii="Lato" w:hAnsi="Lato"/>
                <w:szCs w:val="22"/>
              </w:rPr>
            </w:pPr>
          </w:p>
        </w:tc>
        <w:tc>
          <w:tcPr>
            <w:tcW w:w="992" w:type="dxa"/>
            <w:gridSpan w:val="2"/>
            <w:tcBorders>
              <w:top w:val="nil"/>
              <w:left w:val="nil"/>
              <w:bottom w:val="single" w:sz="4" w:space="0" w:color="auto"/>
              <w:right w:val="nil"/>
            </w:tcBorders>
          </w:tcPr>
          <w:p w:rsidR="007B119A" w:rsidRPr="00F627B2" w:rsidRDefault="007B119A">
            <w:pPr>
              <w:spacing w:line="240" w:lineRule="auto"/>
              <w:rPr>
                <w:rFonts w:ascii="Lato" w:hAnsi="Lato"/>
                <w:szCs w:val="22"/>
              </w:rPr>
            </w:pPr>
          </w:p>
        </w:tc>
        <w:tc>
          <w:tcPr>
            <w:tcW w:w="236" w:type="dxa"/>
            <w:gridSpan w:val="2"/>
            <w:tcBorders>
              <w:top w:val="nil"/>
              <w:left w:val="nil"/>
              <w:bottom w:val="nil"/>
              <w:right w:val="nil"/>
            </w:tcBorders>
          </w:tcPr>
          <w:p w:rsidR="007B119A" w:rsidRPr="00F627B2" w:rsidRDefault="007B119A">
            <w:pPr>
              <w:spacing w:line="240" w:lineRule="auto"/>
              <w:rPr>
                <w:rFonts w:ascii="Lato" w:hAnsi="Lato"/>
                <w:szCs w:val="22"/>
              </w:rPr>
            </w:pPr>
          </w:p>
        </w:tc>
        <w:tc>
          <w:tcPr>
            <w:tcW w:w="703" w:type="dxa"/>
            <w:gridSpan w:val="2"/>
            <w:tcBorders>
              <w:top w:val="nil"/>
              <w:left w:val="nil"/>
              <w:bottom w:val="single" w:sz="4" w:space="0" w:color="auto"/>
              <w:right w:val="nil"/>
            </w:tcBorders>
          </w:tcPr>
          <w:p w:rsidR="007B119A" w:rsidRPr="00F627B2" w:rsidRDefault="007B119A">
            <w:pPr>
              <w:spacing w:line="240" w:lineRule="auto"/>
              <w:rPr>
                <w:rFonts w:ascii="Lato" w:hAnsi="Lato"/>
                <w:szCs w:val="22"/>
              </w:rPr>
            </w:pPr>
          </w:p>
        </w:tc>
        <w:tc>
          <w:tcPr>
            <w:tcW w:w="270" w:type="dxa"/>
            <w:gridSpan w:val="3"/>
            <w:tcBorders>
              <w:top w:val="nil"/>
              <w:left w:val="nil"/>
              <w:bottom w:val="nil"/>
              <w:right w:val="nil"/>
            </w:tcBorders>
          </w:tcPr>
          <w:p w:rsidR="007B119A" w:rsidRPr="00F627B2" w:rsidRDefault="007B119A">
            <w:pPr>
              <w:spacing w:line="240" w:lineRule="auto"/>
              <w:rPr>
                <w:rFonts w:ascii="Lato" w:hAnsi="Lato"/>
                <w:szCs w:val="22"/>
              </w:rPr>
            </w:pPr>
          </w:p>
        </w:tc>
        <w:tc>
          <w:tcPr>
            <w:tcW w:w="455" w:type="dxa"/>
            <w:gridSpan w:val="2"/>
            <w:tcBorders>
              <w:top w:val="nil"/>
              <w:left w:val="nil"/>
              <w:bottom w:val="single" w:sz="4" w:space="0" w:color="auto"/>
              <w:right w:val="nil"/>
            </w:tcBorders>
          </w:tcPr>
          <w:p w:rsidR="007B119A" w:rsidRPr="00F627B2" w:rsidRDefault="007B119A">
            <w:pPr>
              <w:spacing w:line="240" w:lineRule="auto"/>
              <w:rPr>
                <w:rFonts w:ascii="Lato" w:hAnsi="Lato"/>
                <w:szCs w:val="22"/>
              </w:rPr>
            </w:pPr>
          </w:p>
        </w:tc>
        <w:tc>
          <w:tcPr>
            <w:tcW w:w="238" w:type="dxa"/>
            <w:gridSpan w:val="2"/>
            <w:tcBorders>
              <w:top w:val="nil"/>
              <w:left w:val="nil"/>
              <w:bottom w:val="nil"/>
              <w:right w:val="nil"/>
            </w:tcBorders>
          </w:tcPr>
          <w:p w:rsidR="007B119A" w:rsidRPr="00F627B2" w:rsidRDefault="007B119A">
            <w:pPr>
              <w:spacing w:line="240" w:lineRule="auto"/>
              <w:rPr>
                <w:rFonts w:ascii="Lato" w:hAnsi="Lato"/>
                <w:szCs w:val="22"/>
              </w:rPr>
            </w:pPr>
          </w:p>
        </w:tc>
        <w:tc>
          <w:tcPr>
            <w:tcW w:w="582" w:type="dxa"/>
            <w:gridSpan w:val="4"/>
            <w:tcBorders>
              <w:top w:val="nil"/>
              <w:left w:val="nil"/>
              <w:bottom w:val="nil"/>
              <w:right w:val="nil"/>
            </w:tcBorders>
          </w:tcPr>
          <w:p w:rsidR="007B119A" w:rsidRPr="00F627B2" w:rsidRDefault="007B119A">
            <w:pPr>
              <w:spacing w:line="240" w:lineRule="auto"/>
              <w:rPr>
                <w:rFonts w:ascii="Lato" w:hAnsi="Lato"/>
                <w:szCs w:val="22"/>
              </w:rPr>
            </w:pPr>
          </w:p>
        </w:tc>
      </w:tr>
      <w:tr w:rsidR="007B119A" w:rsidRPr="00F627B2" w:rsidTr="00F627B2">
        <w:trPr>
          <w:gridAfter w:val="2"/>
          <w:wAfter w:w="3800" w:type="dxa"/>
        </w:trPr>
        <w:tc>
          <w:tcPr>
            <w:tcW w:w="1107" w:type="dxa"/>
            <w:tcBorders>
              <w:top w:val="nil"/>
              <w:left w:val="nil"/>
              <w:bottom w:val="nil"/>
              <w:right w:val="nil"/>
            </w:tcBorders>
          </w:tcPr>
          <w:p w:rsidR="007B119A" w:rsidRPr="00F627B2" w:rsidRDefault="007B119A">
            <w:pPr>
              <w:spacing w:line="240" w:lineRule="auto"/>
              <w:rPr>
                <w:rFonts w:ascii="Lato" w:hAnsi="Lato"/>
                <w:szCs w:val="22"/>
              </w:rPr>
            </w:pPr>
            <w:r w:rsidRPr="00F627B2">
              <w:rPr>
                <w:rFonts w:ascii="Lato" w:hAnsi="Lato"/>
                <w:szCs w:val="22"/>
              </w:rPr>
              <w:t>2.7.3</w:t>
            </w:r>
          </w:p>
        </w:tc>
        <w:tc>
          <w:tcPr>
            <w:tcW w:w="6974" w:type="dxa"/>
            <w:gridSpan w:val="2"/>
            <w:tcBorders>
              <w:top w:val="nil"/>
              <w:left w:val="nil"/>
              <w:bottom w:val="nil"/>
              <w:right w:val="single" w:sz="4" w:space="0" w:color="auto"/>
            </w:tcBorders>
          </w:tcPr>
          <w:p w:rsidR="007B119A" w:rsidRPr="00F627B2" w:rsidRDefault="007B119A" w:rsidP="007B119A">
            <w:pPr>
              <w:spacing w:line="240" w:lineRule="auto"/>
              <w:rPr>
                <w:rFonts w:ascii="Lato" w:hAnsi="Lato"/>
                <w:szCs w:val="22"/>
              </w:rPr>
            </w:pPr>
            <w:r w:rsidRPr="00F627B2">
              <w:rPr>
                <w:rFonts w:ascii="Lato" w:hAnsi="Lato"/>
                <w:szCs w:val="22"/>
              </w:rPr>
              <w:t>Disclose any significant activities engaged in by the AIFM</w:t>
            </w:r>
          </w:p>
        </w:tc>
        <w:tc>
          <w:tcPr>
            <w:tcW w:w="992" w:type="dxa"/>
            <w:gridSpan w:val="2"/>
            <w:tcBorders>
              <w:top w:val="single" w:sz="4" w:space="0" w:color="auto"/>
              <w:left w:val="single" w:sz="4" w:space="0" w:color="auto"/>
              <w:bottom w:val="single" w:sz="4" w:space="0" w:color="auto"/>
              <w:right w:val="single" w:sz="4" w:space="0" w:color="auto"/>
            </w:tcBorders>
          </w:tcPr>
          <w:p w:rsidR="007B119A" w:rsidRPr="00F627B2" w:rsidRDefault="007B119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7B119A" w:rsidRPr="00F627B2" w:rsidRDefault="007B119A">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7B119A" w:rsidRPr="00F627B2" w:rsidRDefault="007B119A">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7B119A" w:rsidRPr="00F627B2" w:rsidRDefault="007B119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7B119A" w:rsidRPr="00F627B2" w:rsidRDefault="007B119A">
            <w:pPr>
              <w:spacing w:line="240" w:lineRule="auto"/>
              <w:rPr>
                <w:rFonts w:ascii="Lato" w:hAnsi="Lato"/>
                <w:szCs w:val="22"/>
              </w:rPr>
            </w:pPr>
          </w:p>
        </w:tc>
        <w:tc>
          <w:tcPr>
            <w:tcW w:w="238" w:type="dxa"/>
            <w:gridSpan w:val="2"/>
            <w:tcBorders>
              <w:top w:val="nil"/>
              <w:left w:val="single" w:sz="4" w:space="0" w:color="auto"/>
              <w:bottom w:val="nil"/>
              <w:right w:val="nil"/>
            </w:tcBorders>
          </w:tcPr>
          <w:p w:rsidR="007B119A" w:rsidRPr="00F627B2" w:rsidRDefault="007B119A">
            <w:pPr>
              <w:spacing w:line="240" w:lineRule="auto"/>
              <w:rPr>
                <w:rFonts w:ascii="Lato" w:hAnsi="Lato"/>
                <w:szCs w:val="22"/>
              </w:rPr>
            </w:pPr>
          </w:p>
        </w:tc>
        <w:tc>
          <w:tcPr>
            <w:tcW w:w="582" w:type="dxa"/>
            <w:gridSpan w:val="4"/>
            <w:tcBorders>
              <w:top w:val="nil"/>
              <w:left w:val="nil"/>
              <w:bottom w:val="nil"/>
              <w:right w:val="nil"/>
            </w:tcBorders>
          </w:tcPr>
          <w:p w:rsidR="007B119A" w:rsidRPr="00F627B2" w:rsidRDefault="007B119A">
            <w:pPr>
              <w:spacing w:line="240" w:lineRule="auto"/>
              <w:rPr>
                <w:rFonts w:ascii="Lato" w:hAnsi="Lato"/>
                <w:szCs w:val="22"/>
              </w:rPr>
            </w:pPr>
          </w:p>
        </w:tc>
      </w:tr>
      <w:tr w:rsidR="003044B0" w:rsidRPr="00F627B2" w:rsidTr="00F627B2">
        <w:trPr>
          <w:gridAfter w:val="2"/>
          <w:wAfter w:w="3800" w:type="dxa"/>
        </w:trPr>
        <w:tc>
          <w:tcPr>
            <w:tcW w:w="1107" w:type="dxa"/>
            <w:tcBorders>
              <w:top w:val="nil"/>
              <w:left w:val="nil"/>
              <w:bottom w:val="nil"/>
              <w:right w:val="nil"/>
            </w:tcBorders>
          </w:tcPr>
          <w:p w:rsidR="003044B0" w:rsidRPr="00F627B2"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F627B2" w:rsidRDefault="003044B0" w:rsidP="007B119A">
            <w:pPr>
              <w:spacing w:line="240" w:lineRule="auto"/>
              <w:rPr>
                <w:rFonts w:ascii="Lato" w:hAnsi="Lato"/>
                <w:szCs w:val="22"/>
              </w:rPr>
            </w:pPr>
          </w:p>
        </w:tc>
        <w:tc>
          <w:tcPr>
            <w:tcW w:w="992" w:type="dxa"/>
            <w:gridSpan w:val="2"/>
            <w:tcBorders>
              <w:top w:val="single" w:sz="4" w:space="0" w:color="auto"/>
              <w:left w:val="nil"/>
              <w:bottom w:val="nil"/>
              <w:right w:val="nil"/>
            </w:tcBorders>
          </w:tcPr>
          <w:p w:rsidR="003044B0" w:rsidRPr="00F627B2"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703" w:type="dxa"/>
            <w:gridSpan w:val="2"/>
            <w:tcBorders>
              <w:top w:val="single" w:sz="4" w:space="0" w:color="auto"/>
              <w:left w:val="nil"/>
              <w:bottom w:val="nil"/>
              <w:right w:val="nil"/>
            </w:tcBorders>
          </w:tcPr>
          <w:p w:rsidR="003044B0" w:rsidRPr="00F627B2" w:rsidRDefault="003044B0">
            <w:pPr>
              <w:spacing w:line="240" w:lineRule="auto"/>
              <w:rPr>
                <w:rFonts w:ascii="Lato" w:hAnsi="Lato"/>
                <w:szCs w:val="22"/>
              </w:rPr>
            </w:pPr>
          </w:p>
        </w:tc>
        <w:tc>
          <w:tcPr>
            <w:tcW w:w="270" w:type="dxa"/>
            <w:gridSpan w:val="3"/>
            <w:tcBorders>
              <w:top w:val="nil"/>
              <w:left w:val="nil"/>
              <w:bottom w:val="nil"/>
              <w:right w:val="nil"/>
            </w:tcBorders>
          </w:tcPr>
          <w:p w:rsidR="003044B0" w:rsidRPr="00F627B2" w:rsidRDefault="003044B0">
            <w:pPr>
              <w:spacing w:line="240" w:lineRule="auto"/>
              <w:rPr>
                <w:rFonts w:ascii="Lato" w:hAnsi="Lato"/>
                <w:szCs w:val="22"/>
              </w:rPr>
            </w:pPr>
          </w:p>
        </w:tc>
        <w:tc>
          <w:tcPr>
            <w:tcW w:w="455" w:type="dxa"/>
            <w:gridSpan w:val="2"/>
            <w:tcBorders>
              <w:top w:val="single" w:sz="4" w:space="0" w:color="auto"/>
              <w:left w:val="nil"/>
              <w:bottom w:val="nil"/>
              <w:right w:val="nil"/>
            </w:tcBorders>
          </w:tcPr>
          <w:p w:rsidR="003044B0" w:rsidRPr="00F627B2" w:rsidRDefault="003044B0">
            <w:pPr>
              <w:spacing w:line="240" w:lineRule="auto"/>
              <w:rPr>
                <w:rFonts w:ascii="Lato" w:hAnsi="Lato"/>
                <w:szCs w:val="22"/>
              </w:rPr>
            </w:pPr>
          </w:p>
        </w:tc>
        <w:tc>
          <w:tcPr>
            <w:tcW w:w="238"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F627B2" w:rsidRDefault="003044B0">
            <w:pPr>
              <w:spacing w:line="240" w:lineRule="auto"/>
              <w:rPr>
                <w:rFonts w:ascii="Lato" w:hAnsi="Lato"/>
                <w:szCs w:val="22"/>
              </w:rPr>
            </w:pPr>
          </w:p>
        </w:tc>
      </w:tr>
      <w:tr w:rsidR="003044B0" w:rsidRPr="00F627B2" w:rsidTr="00F627B2">
        <w:trPr>
          <w:gridAfter w:val="2"/>
          <w:wAfter w:w="3800" w:type="dxa"/>
        </w:trPr>
        <w:tc>
          <w:tcPr>
            <w:tcW w:w="1107" w:type="dxa"/>
            <w:tcBorders>
              <w:top w:val="nil"/>
              <w:left w:val="nil"/>
              <w:bottom w:val="nil"/>
              <w:right w:val="nil"/>
            </w:tcBorders>
          </w:tcPr>
          <w:p w:rsidR="003044B0" w:rsidRPr="00F627B2" w:rsidRDefault="003044B0">
            <w:pPr>
              <w:spacing w:line="240" w:lineRule="auto"/>
              <w:rPr>
                <w:rFonts w:ascii="Lato" w:hAnsi="Lato"/>
                <w:szCs w:val="22"/>
              </w:rPr>
            </w:pPr>
            <w:r w:rsidRPr="00F627B2">
              <w:rPr>
                <w:rFonts w:ascii="Lato" w:hAnsi="Lato"/>
                <w:szCs w:val="22"/>
              </w:rPr>
              <w:t>2.7.4</w:t>
            </w:r>
          </w:p>
        </w:tc>
        <w:tc>
          <w:tcPr>
            <w:tcW w:w="6974" w:type="dxa"/>
            <w:gridSpan w:val="2"/>
            <w:tcBorders>
              <w:top w:val="nil"/>
              <w:left w:val="nil"/>
              <w:bottom w:val="nil"/>
              <w:right w:val="nil"/>
            </w:tcBorders>
          </w:tcPr>
          <w:p w:rsidR="003044B0" w:rsidRPr="00F627B2" w:rsidRDefault="003044B0" w:rsidP="002D3BC9">
            <w:pPr>
              <w:spacing w:line="240" w:lineRule="auto"/>
              <w:rPr>
                <w:rFonts w:ascii="Lato" w:hAnsi="Lato"/>
                <w:szCs w:val="22"/>
              </w:rPr>
            </w:pPr>
            <w:r w:rsidRPr="00F627B2">
              <w:rPr>
                <w:rFonts w:ascii="Lato" w:hAnsi="Lato"/>
                <w:szCs w:val="22"/>
              </w:rPr>
              <w:t xml:space="preserve">Confirm that to cover potential professional liability risks resulting from activities which the AIFM </w:t>
            </w:r>
            <w:r w:rsidR="002D3BC9" w:rsidRPr="00F627B2">
              <w:rPr>
                <w:rFonts w:ascii="Lato" w:hAnsi="Lato"/>
                <w:szCs w:val="22"/>
              </w:rPr>
              <w:t>(this applies to</w:t>
            </w:r>
            <w:r w:rsidRPr="00F627B2">
              <w:rPr>
                <w:rFonts w:ascii="Lato" w:hAnsi="Lato"/>
                <w:szCs w:val="22"/>
              </w:rPr>
              <w:t xml:space="preserve"> both internally managed AIFs and external AIFMs</w:t>
            </w:r>
            <w:r w:rsidR="002D3BC9" w:rsidRPr="00F627B2">
              <w:rPr>
                <w:rFonts w:ascii="Lato" w:hAnsi="Lato"/>
                <w:szCs w:val="22"/>
              </w:rPr>
              <w:t>)</w:t>
            </w:r>
            <w:r w:rsidRPr="00F627B2">
              <w:rPr>
                <w:rFonts w:ascii="Lato" w:hAnsi="Lato"/>
                <w:szCs w:val="22"/>
              </w:rPr>
              <w:t xml:space="preserve"> </w:t>
            </w:r>
            <w:r w:rsidR="002D3BC9" w:rsidRPr="00F627B2">
              <w:rPr>
                <w:rFonts w:ascii="Lato" w:hAnsi="Lato"/>
                <w:szCs w:val="22"/>
              </w:rPr>
              <w:t xml:space="preserve">may carry out </w:t>
            </w:r>
            <w:r w:rsidRPr="00F627B2">
              <w:rPr>
                <w:rFonts w:ascii="Lato" w:hAnsi="Lato"/>
                <w:szCs w:val="22"/>
              </w:rPr>
              <w:t>shall either:</w:t>
            </w:r>
          </w:p>
        </w:tc>
        <w:tc>
          <w:tcPr>
            <w:tcW w:w="992"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270" w:type="dxa"/>
            <w:gridSpan w:val="3"/>
            <w:tcBorders>
              <w:top w:val="nil"/>
              <w:left w:val="nil"/>
              <w:bottom w:val="nil"/>
              <w:right w:val="nil"/>
            </w:tcBorders>
          </w:tcPr>
          <w:p w:rsidR="003044B0" w:rsidRPr="00F627B2" w:rsidRDefault="003044B0">
            <w:pPr>
              <w:spacing w:line="240" w:lineRule="auto"/>
              <w:rPr>
                <w:rFonts w:ascii="Lato" w:hAnsi="Lato"/>
                <w:szCs w:val="22"/>
              </w:rPr>
            </w:pPr>
          </w:p>
        </w:tc>
        <w:tc>
          <w:tcPr>
            <w:tcW w:w="455" w:type="dxa"/>
            <w:gridSpan w:val="2"/>
            <w:tcBorders>
              <w:top w:val="nil"/>
              <w:left w:val="nil"/>
              <w:bottom w:val="single" w:sz="4" w:space="0" w:color="auto"/>
              <w:right w:val="nil"/>
            </w:tcBorders>
          </w:tcPr>
          <w:p w:rsidR="003044B0" w:rsidRPr="00F627B2" w:rsidRDefault="003044B0">
            <w:pPr>
              <w:spacing w:line="240" w:lineRule="auto"/>
              <w:rPr>
                <w:rFonts w:ascii="Lato" w:hAnsi="Lato"/>
                <w:szCs w:val="22"/>
              </w:rPr>
            </w:pPr>
          </w:p>
        </w:tc>
        <w:tc>
          <w:tcPr>
            <w:tcW w:w="238"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F627B2" w:rsidRDefault="003044B0">
            <w:pPr>
              <w:spacing w:line="240" w:lineRule="auto"/>
              <w:rPr>
                <w:rFonts w:ascii="Lato" w:hAnsi="Lato"/>
                <w:szCs w:val="22"/>
              </w:rPr>
            </w:pPr>
          </w:p>
        </w:tc>
      </w:tr>
      <w:tr w:rsidR="003044B0" w:rsidRPr="00F627B2" w:rsidTr="00F627B2">
        <w:trPr>
          <w:gridAfter w:val="2"/>
          <w:wAfter w:w="3800" w:type="dxa"/>
        </w:trPr>
        <w:tc>
          <w:tcPr>
            <w:tcW w:w="1107" w:type="dxa"/>
            <w:tcBorders>
              <w:top w:val="nil"/>
              <w:left w:val="nil"/>
              <w:bottom w:val="nil"/>
              <w:right w:val="nil"/>
            </w:tcBorders>
          </w:tcPr>
          <w:p w:rsidR="003044B0" w:rsidRPr="00F627B2"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F627B2" w:rsidRDefault="003044B0" w:rsidP="003044B0">
            <w:pPr>
              <w:spacing w:line="240" w:lineRule="auto"/>
              <w:rPr>
                <w:rFonts w:ascii="Lato" w:hAnsi="Lato"/>
                <w:szCs w:val="22"/>
              </w:rPr>
            </w:pPr>
            <w:r w:rsidRPr="00F627B2">
              <w:rPr>
                <w:rFonts w:ascii="Lato" w:hAnsi="Lato"/>
                <w:szCs w:val="22"/>
              </w:rPr>
              <w:t>(a) have additional own funds which are appropriate to cover potential</w:t>
            </w:r>
          </w:p>
        </w:tc>
        <w:tc>
          <w:tcPr>
            <w:tcW w:w="992"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270" w:type="dxa"/>
            <w:gridSpan w:val="3"/>
            <w:tcBorders>
              <w:top w:val="nil"/>
              <w:left w:val="nil"/>
              <w:bottom w:val="nil"/>
              <w:right w:val="single" w:sz="4" w:space="0" w:color="auto"/>
            </w:tcBorders>
          </w:tcPr>
          <w:p w:rsidR="003044B0" w:rsidRPr="00F627B2" w:rsidRDefault="003044B0">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044B0" w:rsidRPr="00F627B2" w:rsidRDefault="003044B0">
            <w:pPr>
              <w:spacing w:line="240" w:lineRule="auto"/>
              <w:rPr>
                <w:rFonts w:ascii="Lato" w:hAnsi="Lato"/>
                <w:szCs w:val="22"/>
              </w:rPr>
            </w:pPr>
          </w:p>
        </w:tc>
        <w:tc>
          <w:tcPr>
            <w:tcW w:w="238" w:type="dxa"/>
            <w:gridSpan w:val="2"/>
            <w:tcBorders>
              <w:top w:val="nil"/>
              <w:left w:val="single" w:sz="4" w:space="0" w:color="auto"/>
              <w:bottom w:val="nil"/>
              <w:right w:val="nil"/>
            </w:tcBorders>
          </w:tcPr>
          <w:p w:rsidR="003044B0" w:rsidRPr="00F627B2"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F627B2" w:rsidRDefault="003044B0">
            <w:pPr>
              <w:spacing w:line="240" w:lineRule="auto"/>
              <w:rPr>
                <w:rFonts w:ascii="Lato" w:hAnsi="Lato"/>
                <w:szCs w:val="22"/>
              </w:rPr>
            </w:pPr>
          </w:p>
        </w:tc>
      </w:tr>
      <w:tr w:rsidR="003044B0" w:rsidRPr="00F627B2" w:rsidTr="00F627B2">
        <w:trPr>
          <w:gridAfter w:val="2"/>
          <w:wAfter w:w="3800" w:type="dxa"/>
        </w:trPr>
        <w:tc>
          <w:tcPr>
            <w:tcW w:w="1107" w:type="dxa"/>
            <w:tcBorders>
              <w:top w:val="nil"/>
              <w:left w:val="nil"/>
              <w:bottom w:val="nil"/>
              <w:right w:val="nil"/>
            </w:tcBorders>
          </w:tcPr>
          <w:p w:rsidR="003044B0" w:rsidRPr="00F627B2"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F627B2" w:rsidRDefault="003044B0" w:rsidP="003044B0">
            <w:pPr>
              <w:spacing w:line="240" w:lineRule="auto"/>
              <w:rPr>
                <w:rFonts w:ascii="Lato" w:hAnsi="Lato"/>
                <w:szCs w:val="22"/>
              </w:rPr>
            </w:pPr>
            <w:r w:rsidRPr="00F627B2">
              <w:rPr>
                <w:rFonts w:ascii="Lato" w:hAnsi="Lato"/>
                <w:szCs w:val="22"/>
              </w:rPr>
              <w:t>liability risks arising from professional negligence; or</w:t>
            </w:r>
          </w:p>
        </w:tc>
        <w:tc>
          <w:tcPr>
            <w:tcW w:w="992"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270" w:type="dxa"/>
            <w:gridSpan w:val="3"/>
            <w:tcBorders>
              <w:top w:val="nil"/>
              <w:left w:val="nil"/>
              <w:bottom w:val="nil"/>
              <w:right w:val="nil"/>
            </w:tcBorders>
          </w:tcPr>
          <w:p w:rsidR="003044B0" w:rsidRPr="00F627B2" w:rsidRDefault="003044B0">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044B0" w:rsidRPr="00F627B2" w:rsidRDefault="003044B0">
            <w:pPr>
              <w:spacing w:line="240" w:lineRule="auto"/>
              <w:rPr>
                <w:rFonts w:ascii="Lato" w:hAnsi="Lato"/>
                <w:szCs w:val="22"/>
              </w:rPr>
            </w:pPr>
          </w:p>
        </w:tc>
        <w:tc>
          <w:tcPr>
            <w:tcW w:w="238"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F627B2" w:rsidRDefault="003044B0">
            <w:pPr>
              <w:spacing w:line="240" w:lineRule="auto"/>
              <w:rPr>
                <w:rFonts w:ascii="Lato" w:hAnsi="Lato"/>
                <w:szCs w:val="22"/>
              </w:rPr>
            </w:pPr>
          </w:p>
        </w:tc>
      </w:tr>
      <w:tr w:rsidR="003044B0" w:rsidRPr="00F627B2" w:rsidTr="00F627B2">
        <w:trPr>
          <w:gridAfter w:val="2"/>
          <w:wAfter w:w="3800" w:type="dxa"/>
        </w:trPr>
        <w:tc>
          <w:tcPr>
            <w:tcW w:w="1107" w:type="dxa"/>
            <w:tcBorders>
              <w:top w:val="nil"/>
              <w:left w:val="nil"/>
              <w:bottom w:val="nil"/>
              <w:right w:val="nil"/>
            </w:tcBorders>
          </w:tcPr>
          <w:p w:rsidR="003044B0" w:rsidRPr="00F627B2"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F627B2" w:rsidRDefault="003044B0" w:rsidP="007B119A">
            <w:pPr>
              <w:spacing w:line="240" w:lineRule="auto"/>
              <w:rPr>
                <w:rFonts w:ascii="Lato" w:hAnsi="Lato"/>
                <w:szCs w:val="22"/>
              </w:rPr>
            </w:pPr>
            <w:r w:rsidRPr="00F627B2">
              <w:rPr>
                <w:rFonts w:ascii="Lato" w:hAnsi="Lato"/>
                <w:szCs w:val="22"/>
              </w:rPr>
              <w:t>(b) hold a professional indemnity insurance against liability arising from</w:t>
            </w:r>
          </w:p>
        </w:tc>
        <w:tc>
          <w:tcPr>
            <w:tcW w:w="992"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270" w:type="dxa"/>
            <w:gridSpan w:val="3"/>
            <w:tcBorders>
              <w:top w:val="nil"/>
              <w:left w:val="nil"/>
              <w:bottom w:val="nil"/>
              <w:right w:val="single" w:sz="4" w:space="0" w:color="auto"/>
            </w:tcBorders>
          </w:tcPr>
          <w:p w:rsidR="003044B0" w:rsidRPr="00F627B2" w:rsidRDefault="003044B0">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044B0" w:rsidRPr="00F627B2" w:rsidRDefault="003044B0">
            <w:pPr>
              <w:spacing w:line="240" w:lineRule="auto"/>
              <w:rPr>
                <w:rFonts w:ascii="Lato" w:hAnsi="Lato"/>
                <w:szCs w:val="22"/>
              </w:rPr>
            </w:pPr>
          </w:p>
        </w:tc>
        <w:tc>
          <w:tcPr>
            <w:tcW w:w="238" w:type="dxa"/>
            <w:gridSpan w:val="2"/>
            <w:tcBorders>
              <w:top w:val="nil"/>
              <w:left w:val="single" w:sz="4" w:space="0" w:color="auto"/>
              <w:bottom w:val="nil"/>
              <w:right w:val="nil"/>
            </w:tcBorders>
          </w:tcPr>
          <w:p w:rsidR="003044B0" w:rsidRPr="00F627B2"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F627B2" w:rsidRDefault="003044B0">
            <w:pPr>
              <w:spacing w:line="240" w:lineRule="auto"/>
              <w:rPr>
                <w:rFonts w:ascii="Lato" w:hAnsi="Lato"/>
                <w:szCs w:val="22"/>
              </w:rPr>
            </w:pPr>
          </w:p>
        </w:tc>
      </w:tr>
      <w:tr w:rsidR="003044B0" w:rsidRPr="00F627B2" w:rsidTr="00F627B2">
        <w:trPr>
          <w:gridAfter w:val="2"/>
          <w:wAfter w:w="3800" w:type="dxa"/>
        </w:trPr>
        <w:tc>
          <w:tcPr>
            <w:tcW w:w="1107" w:type="dxa"/>
            <w:tcBorders>
              <w:top w:val="nil"/>
              <w:left w:val="nil"/>
              <w:bottom w:val="nil"/>
              <w:right w:val="nil"/>
            </w:tcBorders>
          </w:tcPr>
          <w:p w:rsidR="003044B0" w:rsidRPr="00F627B2"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F627B2" w:rsidRDefault="003044B0" w:rsidP="007B119A">
            <w:pPr>
              <w:spacing w:line="240" w:lineRule="auto"/>
              <w:rPr>
                <w:rFonts w:ascii="Lato" w:hAnsi="Lato"/>
                <w:szCs w:val="22"/>
              </w:rPr>
            </w:pPr>
            <w:r w:rsidRPr="00F627B2">
              <w:rPr>
                <w:rFonts w:ascii="Lato" w:hAnsi="Lato"/>
                <w:szCs w:val="22"/>
              </w:rPr>
              <w:t>professional negligence which is appropriate to the risks covered.</w:t>
            </w:r>
          </w:p>
        </w:tc>
        <w:tc>
          <w:tcPr>
            <w:tcW w:w="992"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270" w:type="dxa"/>
            <w:gridSpan w:val="3"/>
            <w:tcBorders>
              <w:top w:val="nil"/>
              <w:left w:val="nil"/>
              <w:bottom w:val="nil"/>
              <w:right w:val="nil"/>
            </w:tcBorders>
          </w:tcPr>
          <w:p w:rsidR="003044B0" w:rsidRPr="00F627B2" w:rsidRDefault="003044B0">
            <w:pPr>
              <w:spacing w:line="240" w:lineRule="auto"/>
              <w:rPr>
                <w:rFonts w:ascii="Lato" w:hAnsi="Lato"/>
                <w:szCs w:val="22"/>
              </w:rPr>
            </w:pPr>
          </w:p>
        </w:tc>
        <w:tc>
          <w:tcPr>
            <w:tcW w:w="455" w:type="dxa"/>
            <w:gridSpan w:val="2"/>
            <w:tcBorders>
              <w:top w:val="single" w:sz="4" w:space="0" w:color="auto"/>
              <w:left w:val="nil"/>
              <w:bottom w:val="nil"/>
              <w:right w:val="nil"/>
            </w:tcBorders>
          </w:tcPr>
          <w:p w:rsidR="003044B0" w:rsidRPr="00F627B2" w:rsidRDefault="003044B0">
            <w:pPr>
              <w:spacing w:line="240" w:lineRule="auto"/>
              <w:rPr>
                <w:rFonts w:ascii="Lato" w:hAnsi="Lato"/>
                <w:szCs w:val="22"/>
              </w:rPr>
            </w:pPr>
          </w:p>
        </w:tc>
        <w:tc>
          <w:tcPr>
            <w:tcW w:w="238" w:type="dxa"/>
            <w:gridSpan w:val="2"/>
            <w:tcBorders>
              <w:top w:val="nil"/>
              <w:left w:val="nil"/>
              <w:bottom w:val="nil"/>
              <w:right w:val="nil"/>
            </w:tcBorders>
          </w:tcPr>
          <w:p w:rsidR="003044B0" w:rsidRPr="00F627B2"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F627B2" w:rsidRDefault="003044B0">
            <w:pPr>
              <w:spacing w:line="240" w:lineRule="auto"/>
              <w:rPr>
                <w:rFonts w:ascii="Lato" w:hAnsi="Lato"/>
                <w:szCs w:val="22"/>
              </w:rPr>
            </w:pPr>
          </w:p>
        </w:tc>
      </w:tr>
      <w:tr w:rsidR="000E51D2" w:rsidRPr="00F627B2" w:rsidTr="00F627B2">
        <w:trPr>
          <w:gridAfter w:val="2"/>
          <w:wAfter w:w="3800" w:type="dxa"/>
        </w:trPr>
        <w:tc>
          <w:tcPr>
            <w:tcW w:w="1107" w:type="dxa"/>
            <w:tcBorders>
              <w:top w:val="nil"/>
              <w:left w:val="nil"/>
              <w:bottom w:val="nil"/>
              <w:right w:val="nil"/>
            </w:tcBorders>
          </w:tcPr>
          <w:p w:rsidR="000E51D2" w:rsidRPr="00F627B2" w:rsidRDefault="000E51D2">
            <w:pPr>
              <w:spacing w:line="240" w:lineRule="auto"/>
              <w:rPr>
                <w:rFonts w:ascii="Lato" w:hAnsi="Lato"/>
                <w:szCs w:val="22"/>
              </w:rPr>
            </w:pPr>
          </w:p>
        </w:tc>
        <w:tc>
          <w:tcPr>
            <w:tcW w:w="6974" w:type="dxa"/>
            <w:gridSpan w:val="2"/>
            <w:tcBorders>
              <w:top w:val="nil"/>
              <w:left w:val="nil"/>
              <w:bottom w:val="nil"/>
              <w:right w:val="nil"/>
            </w:tcBorders>
          </w:tcPr>
          <w:p w:rsidR="000E51D2" w:rsidRPr="00F627B2" w:rsidRDefault="000E51D2" w:rsidP="007B119A">
            <w:pPr>
              <w:spacing w:line="240" w:lineRule="auto"/>
              <w:rPr>
                <w:rFonts w:ascii="Lato" w:hAnsi="Lato"/>
                <w:szCs w:val="22"/>
              </w:rPr>
            </w:pPr>
          </w:p>
        </w:tc>
        <w:tc>
          <w:tcPr>
            <w:tcW w:w="992" w:type="dxa"/>
            <w:gridSpan w:val="2"/>
            <w:tcBorders>
              <w:top w:val="nil"/>
              <w:left w:val="nil"/>
              <w:bottom w:val="single" w:sz="4" w:space="0" w:color="auto"/>
              <w:right w:val="nil"/>
            </w:tcBorders>
          </w:tcPr>
          <w:p w:rsidR="000E51D2" w:rsidRPr="00F627B2" w:rsidRDefault="000E51D2">
            <w:pPr>
              <w:spacing w:line="240" w:lineRule="auto"/>
              <w:rPr>
                <w:rFonts w:ascii="Lato" w:hAnsi="Lato"/>
                <w:szCs w:val="22"/>
              </w:rPr>
            </w:pPr>
          </w:p>
        </w:tc>
        <w:tc>
          <w:tcPr>
            <w:tcW w:w="236" w:type="dxa"/>
            <w:gridSpan w:val="2"/>
            <w:tcBorders>
              <w:top w:val="nil"/>
              <w:left w:val="nil"/>
              <w:bottom w:val="nil"/>
              <w:right w:val="nil"/>
            </w:tcBorders>
          </w:tcPr>
          <w:p w:rsidR="000E51D2" w:rsidRPr="00F627B2" w:rsidRDefault="000E51D2">
            <w:pPr>
              <w:spacing w:line="240" w:lineRule="auto"/>
              <w:rPr>
                <w:rFonts w:ascii="Lato" w:hAnsi="Lato"/>
                <w:szCs w:val="22"/>
              </w:rPr>
            </w:pPr>
          </w:p>
        </w:tc>
        <w:tc>
          <w:tcPr>
            <w:tcW w:w="703" w:type="dxa"/>
            <w:gridSpan w:val="2"/>
            <w:tcBorders>
              <w:top w:val="nil"/>
              <w:left w:val="nil"/>
              <w:bottom w:val="single" w:sz="4" w:space="0" w:color="auto"/>
              <w:right w:val="nil"/>
            </w:tcBorders>
          </w:tcPr>
          <w:p w:rsidR="000E51D2" w:rsidRPr="00F627B2" w:rsidRDefault="000E51D2">
            <w:pPr>
              <w:spacing w:line="240" w:lineRule="auto"/>
              <w:rPr>
                <w:rFonts w:ascii="Lato" w:hAnsi="Lato"/>
                <w:szCs w:val="22"/>
              </w:rPr>
            </w:pPr>
          </w:p>
        </w:tc>
        <w:tc>
          <w:tcPr>
            <w:tcW w:w="270" w:type="dxa"/>
            <w:gridSpan w:val="3"/>
            <w:tcBorders>
              <w:top w:val="nil"/>
              <w:left w:val="nil"/>
              <w:bottom w:val="nil"/>
              <w:right w:val="nil"/>
            </w:tcBorders>
          </w:tcPr>
          <w:p w:rsidR="000E51D2" w:rsidRPr="00F627B2" w:rsidRDefault="000E51D2">
            <w:pPr>
              <w:spacing w:line="240" w:lineRule="auto"/>
              <w:rPr>
                <w:rFonts w:ascii="Lato" w:hAnsi="Lato"/>
                <w:szCs w:val="22"/>
              </w:rPr>
            </w:pPr>
          </w:p>
        </w:tc>
        <w:tc>
          <w:tcPr>
            <w:tcW w:w="455" w:type="dxa"/>
            <w:gridSpan w:val="2"/>
            <w:tcBorders>
              <w:top w:val="nil"/>
              <w:left w:val="nil"/>
              <w:bottom w:val="single" w:sz="4" w:space="0" w:color="auto"/>
              <w:right w:val="nil"/>
            </w:tcBorders>
          </w:tcPr>
          <w:p w:rsidR="000E51D2" w:rsidRPr="00F627B2" w:rsidRDefault="000E51D2">
            <w:pPr>
              <w:spacing w:line="240" w:lineRule="auto"/>
              <w:rPr>
                <w:rFonts w:ascii="Lato" w:hAnsi="Lato"/>
                <w:szCs w:val="22"/>
              </w:rPr>
            </w:pPr>
          </w:p>
        </w:tc>
        <w:tc>
          <w:tcPr>
            <w:tcW w:w="238" w:type="dxa"/>
            <w:gridSpan w:val="2"/>
            <w:tcBorders>
              <w:top w:val="nil"/>
              <w:left w:val="nil"/>
              <w:bottom w:val="nil"/>
              <w:right w:val="nil"/>
            </w:tcBorders>
          </w:tcPr>
          <w:p w:rsidR="000E51D2" w:rsidRPr="00F627B2" w:rsidRDefault="000E51D2">
            <w:pPr>
              <w:spacing w:line="240" w:lineRule="auto"/>
              <w:rPr>
                <w:rFonts w:ascii="Lato" w:hAnsi="Lato"/>
                <w:szCs w:val="22"/>
              </w:rPr>
            </w:pPr>
          </w:p>
        </w:tc>
        <w:tc>
          <w:tcPr>
            <w:tcW w:w="582" w:type="dxa"/>
            <w:gridSpan w:val="4"/>
            <w:tcBorders>
              <w:top w:val="nil"/>
              <w:left w:val="nil"/>
              <w:bottom w:val="nil"/>
              <w:right w:val="nil"/>
            </w:tcBorders>
          </w:tcPr>
          <w:p w:rsidR="000E51D2" w:rsidRPr="00F627B2" w:rsidRDefault="000E51D2">
            <w:pPr>
              <w:spacing w:line="240" w:lineRule="auto"/>
              <w:rPr>
                <w:rFonts w:ascii="Lato" w:hAnsi="Lato"/>
                <w:szCs w:val="22"/>
              </w:rPr>
            </w:pPr>
          </w:p>
        </w:tc>
      </w:tr>
      <w:tr w:rsidR="000E51D2" w:rsidRPr="00F627B2" w:rsidTr="00F627B2">
        <w:trPr>
          <w:gridAfter w:val="2"/>
          <w:wAfter w:w="3800" w:type="dxa"/>
        </w:trPr>
        <w:tc>
          <w:tcPr>
            <w:tcW w:w="1107" w:type="dxa"/>
            <w:tcBorders>
              <w:top w:val="nil"/>
              <w:left w:val="nil"/>
              <w:bottom w:val="nil"/>
              <w:right w:val="nil"/>
            </w:tcBorders>
          </w:tcPr>
          <w:p w:rsidR="000E51D2" w:rsidRPr="00F627B2" w:rsidRDefault="000E51D2">
            <w:pPr>
              <w:spacing w:line="240" w:lineRule="auto"/>
              <w:rPr>
                <w:rFonts w:ascii="Lato" w:hAnsi="Lato"/>
                <w:szCs w:val="22"/>
              </w:rPr>
            </w:pPr>
            <w:r w:rsidRPr="00F627B2">
              <w:rPr>
                <w:rFonts w:ascii="Lato" w:hAnsi="Lato"/>
                <w:szCs w:val="22"/>
              </w:rPr>
              <w:t>2.7.5</w:t>
            </w:r>
          </w:p>
        </w:tc>
        <w:tc>
          <w:tcPr>
            <w:tcW w:w="6974" w:type="dxa"/>
            <w:gridSpan w:val="2"/>
            <w:tcBorders>
              <w:top w:val="nil"/>
              <w:left w:val="nil"/>
              <w:bottom w:val="nil"/>
              <w:right w:val="single" w:sz="4" w:space="0" w:color="auto"/>
            </w:tcBorders>
          </w:tcPr>
          <w:p w:rsidR="000E51D2" w:rsidRPr="00F627B2" w:rsidRDefault="000E51D2" w:rsidP="000E51D2">
            <w:pPr>
              <w:spacing w:line="240" w:lineRule="auto"/>
              <w:rPr>
                <w:rFonts w:ascii="Lato" w:hAnsi="Lato"/>
                <w:szCs w:val="22"/>
              </w:rPr>
            </w:pPr>
            <w:r w:rsidRPr="00F627B2">
              <w:rPr>
                <w:rFonts w:ascii="Lato" w:hAnsi="Lato"/>
                <w:szCs w:val="22"/>
              </w:rPr>
              <w:t xml:space="preserve">Insert a description of how the AIFM is complying with the </w:t>
            </w:r>
          </w:p>
        </w:tc>
        <w:tc>
          <w:tcPr>
            <w:tcW w:w="992" w:type="dxa"/>
            <w:gridSpan w:val="2"/>
            <w:tcBorders>
              <w:top w:val="single" w:sz="4" w:space="0" w:color="auto"/>
              <w:left w:val="single" w:sz="4" w:space="0" w:color="auto"/>
              <w:bottom w:val="single" w:sz="4" w:space="0" w:color="auto"/>
              <w:right w:val="single" w:sz="4" w:space="0" w:color="auto"/>
            </w:tcBorders>
          </w:tcPr>
          <w:p w:rsidR="000E51D2" w:rsidRPr="00F627B2" w:rsidRDefault="000E51D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0E51D2" w:rsidRPr="00F627B2" w:rsidRDefault="000E51D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0E51D2" w:rsidRPr="00F627B2" w:rsidRDefault="000E51D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0E51D2" w:rsidRPr="00F627B2" w:rsidRDefault="000E51D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0E51D2" w:rsidRPr="00F627B2" w:rsidRDefault="000E51D2">
            <w:pPr>
              <w:spacing w:line="240" w:lineRule="auto"/>
              <w:rPr>
                <w:rFonts w:ascii="Lato" w:hAnsi="Lato"/>
                <w:szCs w:val="22"/>
              </w:rPr>
            </w:pPr>
          </w:p>
        </w:tc>
        <w:tc>
          <w:tcPr>
            <w:tcW w:w="238" w:type="dxa"/>
            <w:gridSpan w:val="2"/>
            <w:tcBorders>
              <w:top w:val="nil"/>
              <w:left w:val="single" w:sz="4" w:space="0" w:color="auto"/>
              <w:bottom w:val="nil"/>
              <w:right w:val="nil"/>
            </w:tcBorders>
          </w:tcPr>
          <w:p w:rsidR="000E51D2" w:rsidRPr="00F627B2" w:rsidRDefault="000E51D2">
            <w:pPr>
              <w:spacing w:line="240" w:lineRule="auto"/>
              <w:rPr>
                <w:rFonts w:ascii="Lato" w:hAnsi="Lato"/>
                <w:szCs w:val="22"/>
              </w:rPr>
            </w:pPr>
          </w:p>
        </w:tc>
        <w:tc>
          <w:tcPr>
            <w:tcW w:w="582" w:type="dxa"/>
            <w:gridSpan w:val="4"/>
            <w:tcBorders>
              <w:top w:val="nil"/>
              <w:left w:val="nil"/>
              <w:bottom w:val="nil"/>
              <w:right w:val="nil"/>
            </w:tcBorders>
          </w:tcPr>
          <w:p w:rsidR="000E51D2" w:rsidRPr="00F627B2" w:rsidRDefault="000E51D2">
            <w:pPr>
              <w:spacing w:line="240" w:lineRule="auto"/>
              <w:rPr>
                <w:rFonts w:ascii="Lato" w:hAnsi="Lato"/>
                <w:szCs w:val="22"/>
              </w:rPr>
            </w:pPr>
          </w:p>
        </w:tc>
      </w:tr>
      <w:tr w:rsidR="000E51D2" w:rsidRPr="00F627B2" w:rsidTr="00F627B2">
        <w:trPr>
          <w:gridAfter w:val="2"/>
          <w:wAfter w:w="3800" w:type="dxa"/>
        </w:trPr>
        <w:tc>
          <w:tcPr>
            <w:tcW w:w="1107" w:type="dxa"/>
            <w:tcBorders>
              <w:top w:val="nil"/>
              <w:left w:val="nil"/>
              <w:bottom w:val="nil"/>
              <w:right w:val="nil"/>
            </w:tcBorders>
          </w:tcPr>
          <w:p w:rsidR="000E51D2" w:rsidRPr="00F627B2" w:rsidRDefault="000E51D2">
            <w:pPr>
              <w:spacing w:line="240" w:lineRule="auto"/>
              <w:rPr>
                <w:rFonts w:ascii="Lato" w:hAnsi="Lato"/>
                <w:szCs w:val="22"/>
              </w:rPr>
            </w:pPr>
          </w:p>
        </w:tc>
        <w:tc>
          <w:tcPr>
            <w:tcW w:w="6974" w:type="dxa"/>
            <w:gridSpan w:val="2"/>
            <w:tcBorders>
              <w:top w:val="nil"/>
              <w:left w:val="nil"/>
              <w:bottom w:val="nil"/>
              <w:right w:val="nil"/>
            </w:tcBorders>
          </w:tcPr>
          <w:p w:rsidR="000E51D2" w:rsidRPr="00F627B2" w:rsidRDefault="000E51D2" w:rsidP="00EC164B">
            <w:pPr>
              <w:spacing w:line="240" w:lineRule="auto"/>
              <w:rPr>
                <w:rFonts w:ascii="Lato" w:hAnsi="Lato"/>
                <w:szCs w:val="22"/>
              </w:rPr>
            </w:pPr>
            <w:r w:rsidRPr="00F627B2">
              <w:rPr>
                <w:rFonts w:ascii="Lato" w:hAnsi="Lato"/>
                <w:szCs w:val="22"/>
              </w:rPr>
              <w:t xml:space="preserve">requirements of Regulation </w:t>
            </w:r>
            <w:r w:rsidR="00EC164B" w:rsidRPr="00F627B2">
              <w:rPr>
                <w:rFonts w:ascii="Lato" w:hAnsi="Lato"/>
                <w:szCs w:val="22"/>
              </w:rPr>
              <w:t>14</w:t>
            </w:r>
          </w:p>
        </w:tc>
        <w:tc>
          <w:tcPr>
            <w:tcW w:w="992" w:type="dxa"/>
            <w:gridSpan w:val="2"/>
            <w:tcBorders>
              <w:top w:val="single" w:sz="4" w:space="0" w:color="auto"/>
              <w:left w:val="nil"/>
              <w:bottom w:val="nil"/>
              <w:right w:val="nil"/>
            </w:tcBorders>
          </w:tcPr>
          <w:p w:rsidR="000E51D2" w:rsidRPr="00F627B2" w:rsidRDefault="000E51D2">
            <w:pPr>
              <w:spacing w:line="240" w:lineRule="auto"/>
              <w:rPr>
                <w:rFonts w:ascii="Lato" w:hAnsi="Lato"/>
                <w:szCs w:val="22"/>
              </w:rPr>
            </w:pPr>
          </w:p>
        </w:tc>
        <w:tc>
          <w:tcPr>
            <w:tcW w:w="236" w:type="dxa"/>
            <w:gridSpan w:val="2"/>
            <w:tcBorders>
              <w:top w:val="nil"/>
              <w:left w:val="nil"/>
              <w:bottom w:val="nil"/>
              <w:right w:val="nil"/>
            </w:tcBorders>
          </w:tcPr>
          <w:p w:rsidR="000E51D2" w:rsidRPr="00F627B2" w:rsidRDefault="000E51D2">
            <w:pPr>
              <w:spacing w:line="240" w:lineRule="auto"/>
              <w:rPr>
                <w:rFonts w:ascii="Lato" w:hAnsi="Lato"/>
                <w:szCs w:val="22"/>
              </w:rPr>
            </w:pPr>
          </w:p>
        </w:tc>
        <w:tc>
          <w:tcPr>
            <w:tcW w:w="703" w:type="dxa"/>
            <w:gridSpan w:val="2"/>
            <w:tcBorders>
              <w:top w:val="single" w:sz="4" w:space="0" w:color="auto"/>
              <w:left w:val="nil"/>
              <w:bottom w:val="nil"/>
              <w:right w:val="nil"/>
            </w:tcBorders>
          </w:tcPr>
          <w:p w:rsidR="000E51D2" w:rsidRPr="00F627B2" w:rsidRDefault="000E51D2">
            <w:pPr>
              <w:spacing w:line="240" w:lineRule="auto"/>
              <w:rPr>
                <w:rFonts w:ascii="Lato" w:hAnsi="Lato"/>
                <w:szCs w:val="22"/>
              </w:rPr>
            </w:pPr>
          </w:p>
        </w:tc>
        <w:tc>
          <w:tcPr>
            <w:tcW w:w="270" w:type="dxa"/>
            <w:gridSpan w:val="3"/>
            <w:tcBorders>
              <w:top w:val="nil"/>
              <w:left w:val="nil"/>
              <w:bottom w:val="nil"/>
              <w:right w:val="nil"/>
            </w:tcBorders>
          </w:tcPr>
          <w:p w:rsidR="000E51D2" w:rsidRPr="00F627B2" w:rsidRDefault="000E51D2">
            <w:pPr>
              <w:spacing w:line="240" w:lineRule="auto"/>
              <w:rPr>
                <w:rFonts w:ascii="Lato" w:hAnsi="Lato"/>
                <w:szCs w:val="22"/>
              </w:rPr>
            </w:pPr>
          </w:p>
        </w:tc>
        <w:tc>
          <w:tcPr>
            <w:tcW w:w="455" w:type="dxa"/>
            <w:gridSpan w:val="2"/>
            <w:tcBorders>
              <w:top w:val="single" w:sz="4" w:space="0" w:color="auto"/>
              <w:left w:val="nil"/>
              <w:bottom w:val="nil"/>
              <w:right w:val="nil"/>
            </w:tcBorders>
          </w:tcPr>
          <w:p w:rsidR="000E51D2" w:rsidRPr="00F627B2" w:rsidRDefault="000E51D2">
            <w:pPr>
              <w:spacing w:line="240" w:lineRule="auto"/>
              <w:rPr>
                <w:rFonts w:ascii="Lato" w:hAnsi="Lato"/>
                <w:szCs w:val="22"/>
              </w:rPr>
            </w:pPr>
          </w:p>
        </w:tc>
        <w:tc>
          <w:tcPr>
            <w:tcW w:w="238" w:type="dxa"/>
            <w:gridSpan w:val="2"/>
            <w:tcBorders>
              <w:top w:val="nil"/>
              <w:left w:val="nil"/>
              <w:bottom w:val="nil"/>
              <w:right w:val="nil"/>
            </w:tcBorders>
          </w:tcPr>
          <w:p w:rsidR="000E51D2" w:rsidRPr="00F627B2" w:rsidRDefault="000E51D2">
            <w:pPr>
              <w:spacing w:line="240" w:lineRule="auto"/>
              <w:rPr>
                <w:rFonts w:ascii="Lato" w:hAnsi="Lato"/>
                <w:szCs w:val="22"/>
              </w:rPr>
            </w:pPr>
          </w:p>
        </w:tc>
        <w:tc>
          <w:tcPr>
            <w:tcW w:w="582" w:type="dxa"/>
            <w:gridSpan w:val="4"/>
            <w:tcBorders>
              <w:top w:val="nil"/>
              <w:left w:val="nil"/>
              <w:bottom w:val="nil"/>
              <w:right w:val="nil"/>
            </w:tcBorders>
          </w:tcPr>
          <w:p w:rsidR="000E51D2" w:rsidRPr="00F627B2" w:rsidRDefault="000E51D2">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F2482E" w:rsidRPr="00F627B2"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F627B2" w:rsidRDefault="00F2482E">
            <w:pPr>
              <w:spacing w:line="240" w:lineRule="auto"/>
              <w:rPr>
                <w:rFonts w:ascii="Lato" w:hAnsi="Lato"/>
                <w:szCs w:val="22"/>
              </w:rPr>
            </w:pPr>
          </w:p>
        </w:tc>
        <w:tc>
          <w:tcPr>
            <w:tcW w:w="992" w:type="dxa"/>
            <w:gridSpan w:val="2"/>
            <w:tcBorders>
              <w:top w:val="nil"/>
              <w:left w:val="nil"/>
              <w:bottom w:val="nil"/>
              <w:right w:val="nil"/>
            </w:tcBorders>
          </w:tcPr>
          <w:p w:rsidR="00F2482E" w:rsidRPr="00F627B2"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F627B2" w:rsidRDefault="00F2482E">
            <w:pPr>
              <w:spacing w:line="240" w:lineRule="auto"/>
              <w:rPr>
                <w:rFonts w:ascii="Lato" w:hAnsi="Lato"/>
                <w:szCs w:val="22"/>
              </w:rPr>
            </w:pPr>
          </w:p>
        </w:tc>
        <w:tc>
          <w:tcPr>
            <w:tcW w:w="703" w:type="dxa"/>
            <w:gridSpan w:val="2"/>
            <w:tcBorders>
              <w:top w:val="nil"/>
              <w:left w:val="nil"/>
              <w:bottom w:val="nil"/>
              <w:right w:val="nil"/>
            </w:tcBorders>
          </w:tcPr>
          <w:p w:rsidR="00F2482E" w:rsidRPr="00F627B2" w:rsidRDefault="00F2482E">
            <w:pPr>
              <w:spacing w:line="240" w:lineRule="auto"/>
              <w:rPr>
                <w:rFonts w:ascii="Lato" w:hAnsi="Lato"/>
                <w:szCs w:val="22"/>
              </w:rPr>
            </w:pPr>
          </w:p>
        </w:tc>
        <w:tc>
          <w:tcPr>
            <w:tcW w:w="270" w:type="dxa"/>
            <w:gridSpan w:val="3"/>
            <w:tcBorders>
              <w:top w:val="nil"/>
              <w:left w:val="nil"/>
              <w:bottom w:val="nil"/>
              <w:right w:val="nil"/>
            </w:tcBorders>
          </w:tcPr>
          <w:p w:rsidR="00F2482E" w:rsidRPr="00F627B2" w:rsidRDefault="00F2482E">
            <w:pPr>
              <w:spacing w:line="240" w:lineRule="auto"/>
              <w:rPr>
                <w:rFonts w:ascii="Lato" w:hAnsi="Lato"/>
                <w:szCs w:val="22"/>
              </w:rPr>
            </w:pPr>
          </w:p>
        </w:tc>
        <w:tc>
          <w:tcPr>
            <w:tcW w:w="455" w:type="dxa"/>
            <w:gridSpan w:val="2"/>
            <w:tcBorders>
              <w:top w:val="nil"/>
              <w:left w:val="nil"/>
              <w:bottom w:val="nil"/>
              <w:right w:val="nil"/>
            </w:tcBorders>
          </w:tcPr>
          <w:p w:rsidR="00F2482E" w:rsidRPr="00F627B2" w:rsidRDefault="00F2482E">
            <w:pPr>
              <w:spacing w:line="240" w:lineRule="auto"/>
              <w:rPr>
                <w:rFonts w:ascii="Lato" w:hAnsi="Lato"/>
                <w:szCs w:val="22"/>
              </w:rPr>
            </w:pPr>
          </w:p>
        </w:tc>
        <w:tc>
          <w:tcPr>
            <w:tcW w:w="238" w:type="dxa"/>
            <w:gridSpan w:val="2"/>
            <w:tcBorders>
              <w:top w:val="nil"/>
              <w:left w:val="nil"/>
              <w:bottom w:val="nil"/>
              <w:right w:val="nil"/>
            </w:tcBorders>
          </w:tcPr>
          <w:p w:rsidR="00F2482E" w:rsidRPr="00F627B2" w:rsidRDefault="00F2482E">
            <w:pPr>
              <w:spacing w:line="240" w:lineRule="auto"/>
              <w:rPr>
                <w:rFonts w:ascii="Lato" w:hAnsi="Lato"/>
                <w:szCs w:val="22"/>
              </w:rPr>
            </w:pPr>
          </w:p>
        </w:tc>
        <w:tc>
          <w:tcPr>
            <w:tcW w:w="582" w:type="dxa"/>
            <w:gridSpan w:val="4"/>
            <w:tcBorders>
              <w:top w:val="nil"/>
              <w:left w:val="nil"/>
              <w:bottom w:val="nil"/>
              <w:right w:val="nil"/>
            </w:tcBorders>
          </w:tcPr>
          <w:p w:rsidR="00F2482E" w:rsidRPr="00F627B2" w:rsidRDefault="00F2482E">
            <w:pPr>
              <w:spacing w:line="240" w:lineRule="auto"/>
              <w:rPr>
                <w:rFonts w:ascii="Lato" w:hAnsi="Lato"/>
                <w:szCs w:val="22"/>
              </w:rPr>
            </w:pPr>
          </w:p>
        </w:tc>
      </w:tr>
      <w:tr w:rsidR="00FB497D" w:rsidRPr="00F627B2" w:rsidTr="00F627B2">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877692" w:rsidRPr="00F627B2" w:rsidRDefault="00877692"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8</w:t>
            </w:r>
          </w:p>
        </w:tc>
        <w:tc>
          <w:tcPr>
            <w:tcW w:w="6974" w:type="dxa"/>
            <w:gridSpan w:val="2"/>
            <w:tcBorders>
              <w:top w:val="single" w:sz="4" w:space="0" w:color="auto"/>
              <w:left w:val="single" w:sz="4" w:space="0" w:color="auto"/>
              <w:bottom w:val="single" w:sz="4" w:space="0" w:color="auto"/>
              <w:right w:val="single" w:sz="4" w:space="0" w:color="auto"/>
            </w:tcBorders>
          </w:tcPr>
          <w:p w:rsidR="00877692" w:rsidRPr="00F627B2" w:rsidRDefault="00877692" w:rsidP="003D0FCC">
            <w:pPr>
              <w:spacing w:line="240" w:lineRule="auto"/>
              <w:rPr>
                <w:rFonts w:ascii="Lato" w:hAnsi="Lato"/>
                <w:szCs w:val="22"/>
              </w:rPr>
            </w:pPr>
            <w:r w:rsidRPr="00F627B2">
              <w:rPr>
                <w:rFonts w:ascii="Lato" w:hAnsi="Lato"/>
                <w:szCs w:val="22"/>
              </w:rPr>
              <w:t xml:space="preserve">Information </w:t>
            </w:r>
            <w:r w:rsidR="003D0FCC" w:rsidRPr="00F627B2">
              <w:rPr>
                <w:rFonts w:ascii="Lato" w:hAnsi="Lato"/>
                <w:szCs w:val="22"/>
              </w:rPr>
              <w:t xml:space="preserve">concerning </w:t>
            </w:r>
            <w:r w:rsidRPr="00F627B2">
              <w:rPr>
                <w:rFonts w:ascii="Lato" w:hAnsi="Lato"/>
                <w:szCs w:val="22"/>
              </w:rPr>
              <w:t xml:space="preserve">a </w:t>
            </w:r>
            <w:r w:rsidR="003D0FCC" w:rsidRPr="00F627B2">
              <w:rPr>
                <w:rFonts w:ascii="Lato" w:hAnsi="Lato"/>
                <w:szCs w:val="22"/>
              </w:rPr>
              <w:t>management company</w:t>
            </w:r>
            <w:r w:rsidR="00D92B51" w:rsidRPr="00F627B2">
              <w:rPr>
                <w:rFonts w:ascii="Lato" w:hAnsi="Lato"/>
                <w:szCs w:val="22"/>
              </w:rPr>
              <w:t>/</w:t>
            </w:r>
            <w:r w:rsidR="003D0FCC" w:rsidRPr="00F627B2">
              <w:rPr>
                <w:rFonts w:ascii="Lato" w:hAnsi="Lato"/>
                <w:szCs w:val="22"/>
              </w:rPr>
              <w:t>general partner</w:t>
            </w:r>
          </w:p>
        </w:tc>
        <w:tc>
          <w:tcPr>
            <w:tcW w:w="992" w:type="dxa"/>
            <w:gridSpan w:val="2"/>
            <w:tcBorders>
              <w:top w:val="nil"/>
              <w:left w:val="single" w:sz="4" w:space="0" w:color="auto"/>
              <w:bottom w:val="nil"/>
              <w:right w:val="nil"/>
            </w:tcBorders>
          </w:tcPr>
          <w:p w:rsidR="00877692" w:rsidRPr="00F627B2" w:rsidRDefault="00877692">
            <w:pPr>
              <w:spacing w:line="240" w:lineRule="auto"/>
              <w:rPr>
                <w:rFonts w:ascii="Lato" w:hAnsi="Lato"/>
                <w:b/>
                <w:bCs/>
                <w:szCs w:val="22"/>
              </w:rPr>
            </w:pPr>
          </w:p>
        </w:tc>
        <w:tc>
          <w:tcPr>
            <w:tcW w:w="236" w:type="dxa"/>
            <w:gridSpan w:val="2"/>
            <w:tcBorders>
              <w:top w:val="nil"/>
              <w:left w:val="nil"/>
              <w:bottom w:val="nil"/>
              <w:right w:val="nil"/>
            </w:tcBorders>
          </w:tcPr>
          <w:p w:rsidR="00877692" w:rsidRPr="00F627B2" w:rsidRDefault="00877692">
            <w:pPr>
              <w:spacing w:line="240" w:lineRule="auto"/>
              <w:rPr>
                <w:rFonts w:ascii="Lato" w:hAnsi="Lato"/>
                <w:b/>
                <w:bCs/>
                <w:szCs w:val="22"/>
              </w:rPr>
            </w:pPr>
          </w:p>
        </w:tc>
        <w:tc>
          <w:tcPr>
            <w:tcW w:w="703" w:type="dxa"/>
            <w:gridSpan w:val="2"/>
            <w:tcBorders>
              <w:top w:val="nil"/>
              <w:left w:val="nil"/>
              <w:bottom w:val="nil"/>
              <w:right w:val="nil"/>
            </w:tcBorders>
          </w:tcPr>
          <w:p w:rsidR="00877692" w:rsidRPr="00F627B2" w:rsidRDefault="00877692">
            <w:pPr>
              <w:spacing w:line="240" w:lineRule="auto"/>
              <w:rPr>
                <w:rFonts w:ascii="Lato" w:hAnsi="Lato"/>
                <w:b/>
                <w:bCs/>
                <w:szCs w:val="22"/>
              </w:rPr>
            </w:pPr>
          </w:p>
        </w:tc>
        <w:tc>
          <w:tcPr>
            <w:tcW w:w="270"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single" w:sz="4" w:space="0" w:color="auto"/>
              <w:left w:val="nil"/>
              <w:bottom w:val="nil"/>
              <w:right w:val="nil"/>
            </w:tcBorders>
          </w:tcPr>
          <w:p w:rsidR="00877692" w:rsidRPr="00F627B2" w:rsidRDefault="00877692">
            <w:pPr>
              <w:spacing w:line="240" w:lineRule="auto"/>
              <w:rPr>
                <w:rFonts w:ascii="Lato" w:hAnsi="Lato"/>
                <w:szCs w:val="22"/>
              </w:rPr>
            </w:pPr>
          </w:p>
        </w:tc>
        <w:tc>
          <w:tcPr>
            <w:tcW w:w="6974" w:type="dxa"/>
            <w:gridSpan w:val="2"/>
            <w:tcBorders>
              <w:top w:val="single" w:sz="4" w:space="0" w:color="auto"/>
              <w:left w:val="nil"/>
              <w:bottom w:val="nil"/>
              <w:right w:val="nil"/>
            </w:tcBorders>
          </w:tcPr>
          <w:p w:rsidR="00877692" w:rsidRPr="00F627B2" w:rsidRDefault="00877692">
            <w:pPr>
              <w:spacing w:line="240" w:lineRule="auto"/>
              <w:rPr>
                <w:rFonts w:ascii="Lato" w:hAnsi="Lato"/>
                <w:szCs w:val="22"/>
              </w:rPr>
            </w:pPr>
          </w:p>
        </w:tc>
        <w:tc>
          <w:tcPr>
            <w:tcW w:w="992" w:type="dxa"/>
            <w:gridSpan w:val="2"/>
            <w:tcBorders>
              <w:top w:val="nil"/>
              <w:left w:val="nil"/>
              <w:bottom w:val="nil"/>
              <w:right w:val="nil"/>
            </w:tcBorders>
          </w:tcPr>
          <w:p w:rsidR="00877692" w:rsidRPr="00F627B2" w:rsidRDefault="00877692">
            <w:pPr>
              <w:spacing w:line="240" w:lineRule="auto"/>
              <w:rPr>
                <w:rFonts w:ascii="Lato" w:hAnsi="Lato"/>
                <w:b/>
                <w:bCs/>
                <w:szCs w:val="22"/>
              </w:rPr>
            </w:pPr>
          </w:p>
        </w:tc>
        <w:tc>
          <w:tcPr>
            <w:tcW w:w="236" w:type="dxa"/>
            <w:gridSpan w:val="2"/>
            <w:tcBorders>
              <w:top w:val="nil"/>
              <w:left w:val="nil"/>
              <w:bottom w:val="nil"/>
              <w:right w:val="nil"/>
            </w:tcBorders>
          </w:tcPr>
          <w:p w:rsidR="00877692" w:rsidRPr="00F627B2" w:rsidRDefault="00877692">
            <w:pPr>
              <w:spacing w:line="240" w:lineRule="auto"/>
              <w:rPr>
                <w:rFonts w:ascii="Lato" w:hAnsi="Lato"/>
                <w:b/>
                <w:bCs/>
                <w:szCs w:val="22"/>
              </w:rPr>
            </w:pPr>
          </w:p>
        </w:tc>
        <w:tc>
          <w:tcPr>
            <w:tcW w:w="703" w:type="dxa"/>
            <w:gridSpan w:val="2"/>
            <w:tcBorders>
              <w:top w:val="nil"/>
              <w:left w:val="nil"/>
              <w:bottom w:val="nil"/>
              <w:right w:val="nil"/>
            </w:tcBorders>
          </w:tcPr>
          <w:p w:rsidR="00877692" w:rsidRPr="00F627B2" w:rsidRDefault="00877692">
            <w:pPr>
              <w:spacing w:line="240" w:lineRule="auto"/>
              <w:rPr>
                <w:rFonts w:ascii="Lato" w:hAnsi="Lato"/>
                <w:b/>
                <w:bCs/>
                <w:szCs w:val="22"/>
              </w:rPr>
            </w:pPr>
          </w:p>
        </w:tc>
        <w:tc>
          <w:tcPr>
            <w:tcW w:w="270"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F627B2" w:rsidRDefault="00877692">
            <w:pPr>
              <w:spacing w:line="240" w:lineRule="auto"/>
              <w:rPr>
                <w:rFonts w:ascii="Lato" w:hAnsi="Lato"/>
                <w:szCs w:val="22"/>
              </w:rPr>
            </w:pPr>
            <w:r w:rsidRPr="00F627B2">
              <w:rPr>
                <w:rFonts w:ascii="Lato" w:hAnsi="Lato"/>
                <w:szCs w:val="22"/>
              </w:rPr>
              <w:t>Disclose</w:t>
            </w:r>
          </w:p>
        </w:tc>
        <w:tc>
          <w:tcPr>
            <w:tcW w:w="992" w:type="dxa"/>
            <w:gridSpan w:val="2"/>
            <w:tcBorders>
              <w:top w:val="nil"/>
              <w:left w:val="nil"/>
              <w:bottom w:val="nil"/>
              <w:right w:val="nil"/>
            </w:tcBorders>
          </w:tcPr>
          <w:p w:rsidR="00877692" w:rsidRPr="00F627B2" w:rsidRDefault="00877692">
            <w:pPr>
              <w:spacing w:line="240" w:lineRule="auto"/>
              <w:rPr>
                <w:rFonts w:ascii="Lato" w:hAnsi="Lato"/>
                <w:b/>
                <w:bCs/>
                <w:szCs w:val="22"/>
              </w:rPr>
            </w:pPr>
          </w:p>
        </w:tc>
        <w:tc>
          <w:tcPr>
            <w:tcW w:w="236" w:type="dxa"/>
            <w:gridSpan w:val="2"/>
            <w:tcBorders>
              <w:top w:val="nil"/>
              <w:left w:val="nil"/>
              <w:bottom w:val="nil"/>
              <w:right w:val="nil"/>
            </w:tcBorders>
          </w:tcPr>
          <w:p w:rsidR="00877692" w:rsidRPr="00F627B2" w:rsidRDefault="00877692">
            <w:pPr>
              <w:spacing w:line="240" w:lineRule="auto"/>
              <w:rPr>
                <w:rFonts w:ascii="Lato" w:hAnsi="Lato"/>
                <w:b/>
                <w:bCs/>
                <w:szCs w:val="22"/>
              </w:rPr>
            </w:pPr>
          </w:p>
        </w:tc>
        <w:tc>
          <w:tcPr>
            <w:tcW w:w="703" w:type="dxa"/>
            <w:gridSpan w:val="2"/>
            <w:tcBorders>
              <w:top w:val="nil"/>
              <w:left w:val="nil"/>
              <w:bottom w:val="nil"/>
              <w:right w:val="nil"/>
            </w:tcBorders>
          </w:tcPr>
          <w:p w:rsidR="00877692" w:rsidRPr="00F627B2" w:rsidRDefault="00877692">
            <w:pPr>
              <w:spacing w:line="240" w:lineRule="auto"/>
              <w:rPr>
                <w:rFonts w:ascii="Lato" w:hAnsi="Lato"/>
                <w:b/>
                <w:bCs/>
                <w:szCs w:val="22"/>
              </w:rPr>
            </w:pPr>
          </w:p>
        </w:tc>
        <w:tc>
          <w:tcPr>
            <w:tcW w:w="270"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77692" w:rsidRPr="00F627B2" w:rsidRDefault="00877692"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8</w:t>
            </w:r>
            <w:r w:rsidRPr="00F627B2">
              <w:rPr>
                <w:rFonts w:ascii="Lato" w:hAnsi="Lato"/>
                <w:szCs w:val="22"/>
              </w:rPr>
              <w:t>.1</w:t>
            </w:r>
          </w:p>
        </w:tc>
        <w:tc>
          <w:tcPr>
            <w:tcW w:w="6974" w:type="dxa"/>
            <w:gridSpan w:val="2"/>
            <w:tcBorders>
              <w:top w:val="nil"/>
              <w:left w:val="nil"/>
              <w:bottom w:val="nil"/>
              <w:right w:val="single" w:sz="4" w:space="0" w:color="auto"/>
            </w:tcBorders>
          </w:tcPr>
          <w:p w:rsidR="00877692" w:rsidRPr="00F627B2" w:rsidRDefault="00877692">
            <w:pPr>
              <w:spacing w:line="240" w:lineRule="auto"/>
              <w:rPr>
                <w:rFonts w:ascii="Lato" w:hAnsi="Lato"/>
                <w:szCs w:val="22"/>
              </w:rPr>
            </w:pPr>
            <w:r w:rsidRPr="00F627B2">
              <w:rPr>
                <w:rFonts w:ascii="Lato" w:hAnsi="Lato"/>
                <w:szCs w:val="22"/>
              </w:rPr>
              <w:t>Name</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877692" w:rsidRPr="00F627B2"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877692" w:rsidRPr="00F627B2"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877692" w:rsidRPr="00F627B2"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77692" w:rsidRPr="00F627B2" w:rsidRDefault="00877692"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8</w:t>
            </w:r>
            <w:r w:rsidRPr="00F627B2">
              <w:rPr>
                <w:rFonts w:ascii="Lato" w:hAnsi="Lato"/>
                <w:szCs w:val="22"/>
              </w:rPr>
              <w:t>.2</w:t>
            </w:r>
          </w:p>
        </w:tc>
        <w:tc>
          <w:tcPr>
            <w:tcW w:w="6974" w:type="dxa"/>
            <w:gridSpan w:val="2"/>
            <w:tcBorders>
              <w:top w:val="nil"/>
              <w:left w:val="nil"/>
              <w:bottom w:val="nil"/>
              <w:right w:val="single" w:sz="4" w:space="0" w:color="auto"/>
            </w:tcBorders>
          </w:tcPr>
          <w:p w:rsidR="00877692" w:rsidRPr="00F627B2" w:rsidRDefault="00877692">
            <w:pPr>
              <w:spacing w:line="240" w:lineRule="auto"/>
              <w:rPr>
                <w:rFonts w:ascii="Lato" w:hAnsi="Lato"/>
                <w:szCs w:val="22"/>
              </w:rPr>
            </w:pPr>
            <w:r w:rsidRPr="00F627B2">
              <w:rPr>
                <w:rFonts w:ascii="Lato" w:hAnsi="Lato"/>
                <w:szCs w:val="22"/>
              </w:rPr>
              <w:t>Form in law</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992" w:type="dxa"/>
            <w:gridSpan w:val="2"/>
            <w:tcBorders>
              <w:top w:val="single" w:sz="4" w:space="0" w:color="auto"/>
              <w:left w:val="nil"/>
              <w:bottom w:val="nil"/>
              <w:right w:val="nil"/>
            </w:tcBorders>
          </w:tcPr>
          <w:p w:rsidR="00877692" w:rsidRPr="00F627B2"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703" w:type="dxa"/>
            <w:gridSpan w:val="2"/>
            <w:tcBorders>
              <w:top w:val="single" w:sz="4" w:space="0" w:color="auto"/>
              <w:left w:val="nil"/>
              <w:bottom w:val="nil"/>
              <w:right w:val="nil"/>
            </w:tcBorders>
          </w:tcPr>
          <w:p w:rsidR="00877692" w:rsidRPr="00F627B2"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455" w:type="dxa"/>
            <w:gridSpan w:val="2"/>
            <w:tcBorders>
              <w:top w:val="single" w:sz="4" w:space="0" w:color="auto"/>
              <w:left w:val="nil"/>
              <w:bottom w:val="nil"/>
              <w:right w:val="nil"/>
            </w:tcBorders>
          </w:tcPr>
          <w:p w:rsidR="00877692" w:rsidRPr="00F627B2"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77692" w:rsidRPr="00F627B2" w:rsidRDefault="00877692"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8</w:t>
            </w:r>
            <w:r w:rsidRPr="00F627B2">
              <w:rPr>
                <w:rFonts w:ascii="Lato" w:hAnsi="Lato"/>
                <w:szCs w:val="22"/>
              </w:rPr>
              <w:t>.3</w:t>
            </w:r>
          </w:p>
        </w:tc>
        <w:tc>
          <w:tcPr>
            <w:tcW w:w="6974" w:type="dxa"/>
            <w:gridSpan w:val="2"/>
            <w:tcBorders>
              <w:top w:val="nil"/>
              <w:left w:val="nil"/>
              <w:bottom w:val="nil"/>
              <w:right w:val="single" w:sz="4" w:space="0" w:color="auto"/>
            </w:tcBorders>
          </w:tcPr>
          <w:p w:rsidR="00877692" w:rsidRPr="00F627B2" w:rsidRDefault="00877692">
            <w:pPr>
              <w:spacing w:line="240" w:lineRule="auto"/>
              <w:rPr>
                <w:rFonts w:ascii="Lato" w:hAnsi="Lato"/>
                <w:szCs w:val="22"/>
              </w:rPr>
            </w:pPr>
            <w:r w:rsidRPr="00F627B2">
              <w:rPr>
                <w:rFonts w:ascii="Lato" w:hAnsi="Lato"/>
                <w:szCs w:val="22"/>
              </w:rPr>
              <w:t>Registered office</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877692" w:rsidRPr="00F627B2"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877692" w:rsidRPr="00F627B2"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877692" w:rsidRPr="00F627B2"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77692" w:rsidRPr="00F627B2" w:rsidRDefault="00877692"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8</w:t>
            </w:r>
            <w:r w:rsidRPr="00F627B2">
              <w:rPr>
                <w:rFonts w:ascii="Lato" w:hAnsi="Lato"/>
                <w:szCs w:val="22"/>
              </w:rPr>
              <w:t>.4</w:t>
            </w:r>
          </w:p>
        </w:tc>
        <w:tc>
          <w:tcPr>
            <w:tcW w:w="6974" w:type="dxa"/>
            <w:gridSpan w:val="2"/>
            <w:tcBorders>
              <w:top w:val="nil"/>
              <w:left w:val="nil"/>
              <w:bottom w:val="nil"/>
              <w:right w:val="single" w:sz="4" w:space="0" w:color="auto"/>
            </w:tcBorders>
          </w:tcPr>
          <w:p w:rsidR="00877692" w:rsidRPr="00F627B2" w:rsidRDefault="00877692">
            <w:pPr>
              <w:spacing w:line="240" w:lineRule="auto"/>
              <w:rPr>
                <w:rFonts w:ascii="Lato" w:hAnsi="Lato"/>
                <w:szCs w:val="22"/>
              </w:rPr>
            </w:pPr>
            <w:r w:rsidRPr="00F627B2">
              <w:rPr>
                <w:rFonts w:ascii="Lato" w:hAnsi="Lato"/>
                <w:szCs w:val="22"/>
              </w:rPr>
              <w:t>Head office (if different from registered office)</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877692" w:rsidRPr="00F627B2"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877692" w:rsidRPr="00F627B2"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877692" w:rsidRPr="00F627B2"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77692" w:rsidRPr="00F627B2" w:rsidRDefault="00877692"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8</w:t>
            </w:r>
            <w:r w:rsidRPr="00F627B2">
              <w:rPr>
                <w:rFonts w:ascii="Lato" w:hAnsi="Lato"/>
                <w:szCs w:val="22"/>
              </w:rPr>
              <w:t>.5</w:t>
            </w:r>
          </w:p>
        </w:tc>
        <w:tc>
          <w:tcPr>
            <w:tcW w:w="6974" w:type="dxa"/>
            <w:gridSpan w:val="2"/>
            <w:tcBorders>
              <w:top w:val="nil"/>
              <w:left w:val="nil"/>
              <w:bottom w:val="nil"/>
              <w:right w:val="single" w:sz="4" w:space="0" w:color="auto"/>
            </w:tcBorders>
          </w:tcPr>
          <w:p w:rsidR="00877692" w:rsidRPr="00F627B2" w:rsidRDefault="00877692" w:rsidP="00F627B2">
            <w:pPr>
              <w:spacing w:line="240" w:lineRule="auto"/>
              <w:rPr>
                <w:rFonts w:ascii="Lato" w:hAnsi="Lato"/>
                <w:szCs w:val="22"/>
              </w:rPr>
            </w:pPr>
            <w:r w:rsidRPr="00F627B2">
              <w:rPr>
                <w:rFonts w:ascii="Lato" w:hAnsi="Lato"/>
                <w:szCs w:val="22"/>
              </w:rPr>
              <w:t xml:space="preserve">If the </w:t>
            </w:r>
            <w:r w:rsidR="003D0FCC" w:rsidRPr="00F627B2">
              <w:rPr>
                <w:rFonts w:ascii="Lato" w:hAnsi="Lato"/>
                <w:szCs w:val="22"/>
              </w:rPr>
              <w:t xml:space="preserve">management </w:t>
            </w:r>
            <w:r w:rsidRPr="00F627B2">
              <w:rPr>
                <w:rFonts w:ascii="Lato" w:hAnsi="Lato"/>
                <w:szCs w:val="22"/>
              </w:rPr>
              <w:t>company</w:t>
            </w:r>
            <w:r w:rsidR="00F2482E" w:rsidRPr="00F627B2">
              <w:rPr>
                <w:rFonts w:ascii="Lato" w:hAnsi="Lato"/>
                <w:szCs w:val="22"/>
              </w:rPr>
              <w:t>/general parner</w:t>
            </w:r>
            <w:r w:rsidRPr="00F627B2">
              <w:rPr>
                <w:rFonts w:ascii="Lato" w:hAnsi="Lato"/>
                <w:szCs w:val="22"/>
              </w:rPr>
              <w:t xml:space="preserve"> is part of a group, name </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F2482E" w:rsidRPr="00F627B2"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F627B2" w:rsidRDefault="004F01CA">
            <w:pPr>
              <w:spacing w:line="240" w:lineRule="auto"/>
              <w:rPr>
                <w:rFonts w:ascii="Lato" w:hAnsi="Lato"/>
                <w:szCs w:val="22"/>
              </w:rPr>
            </w:pPr>
            <w:r w:rsidRPr="001E4A73">
              <w:rPr>
                <w:rFonts w:ascii="Lato" w:hAnsi="Lato"/>
                <w:szCs w:val="22"/>
              </w:rPr>
              <w:t>the</w:t>
            </w:r>
            <w:r w:rsidRPr="00F627B2">
              <w:rPr>
                <w:rFonts w:ascii="Lato" w:hAnsi="Lato"/>
                <w:szCs w:val="22"/>
              </w:rPr>
              <w:t xml:space="preserve"> </w:t>
            </w:r>
            <w:r w:rsidR="00F2482E" w:rsidRPr="00F627B2">
              <w:rPr>
                <w:rFonts w:ascii="Lato" w:hAnsi="Lato"/>
                <w:szCs w:val="22"/>
              </w:rPr>
              <w:t>group</w:t>
            </w:r>
          </w:p>
        </w:tc>
        <w:tc>
          <w:tcPr>
            <w:tcW w:w="992" w:type="dxa"/>
            <w:gridSpan w:val="2"/>
            <w:tcBorders>
              <w:top w:val="single" w:sz="4" w:space="0" w:color="auto"/>
              <w:left w:val="nil"/>
              <w:bottom w:val="nil"/>
              <w:right w:val="nil"/>
            </w:tcBorders>
          </w:tcPr>
          <w:p w:rsidR="00F2482E" w:rsidRPr="00F627B2"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F627B2" w:rsidRDefault="00F2482E">
            <w:pPr>
              <w:spacing w:line="240" w:lineRule="auto"/>
              <w:rPr>
                <w:rFonts w:ascii="Lato" w:hAnsi="Lato"/>
                <w:szCs w:val="22"/>
              </w:rPr>
            </w:pPr>
          </w:p>
        </w:tc>
        <w:tc>
          <w:tcPr>
            <w:tcW w:w="703" w:type="dxa"/>
            <w:gridSpan w:val="2"/>
            <w:tcBorders>
              <w:top w:val="single" w:sz="4" w:space="0" w:color="auto"/>
              <w:left w:val="nil"/>
              <w:bottom w:val="nil"/>
              <w:right w:val="nil"/>
            </w:tcBorders>
          </w:tcPr>
          <w:p w:rsidR="00F2482E" w:rsidRPr="00F627B2" w:rsidRDefault="00F2482E">
            <w:pPr>
              <w:spacing w:line="240" w:lineRule="auto"/>
              <w:rPr>
                <w:rFonts w:ascii="Lato" w:hAnsi="Lato"/>
                <w:szCs w:val="22"/>
              </w:rPr>
            </w:pPr>
          </w:p>
        </w:tc>
        <w:tc>
          <w:tcPr>
            <w:tcW w:w="270" w:type="dxa"/>
            <w:gridSpan w:val="3"/>
            <w:tcBorders>
              <w:top w:val="nil"/>
              <w:left w:val="nil"/>
              <w:bottom w:val="nil"/>
              <w:right w:val="nil"/>
            </w:tcBorders>
          </w:tcPr>
          <w:p w:rsidR="00F2482E" w:rsidRPr="00F627B2" w:rsidRDefault="00F2482E">
            <w:pPr>
              <w:spacing w:line="240" w:lineRule="auto"/>
              <w:rPr>
                <w:rFonts w:ascii="Lato" w:hAnsi="Lato"/>
                <w:szCs w:val="22"/>
              </w:rPr>
            </w:pPr>
          </w:p>
        </w:tc>
        <w:tc>
          <w:tcPr>
            <w:tcW w:w="455" w:type="dxa"/>
            <w:gridSpan w:val="2"/>
            <w:tcBorders>
              <w:top w:val="single" w:sz="4" w:space="0" w:color="auto"/>
              <w:left w:val="nil"/>
              <w:bottom w:val="nil"/>
              <w:right w:val="nil"/>
            </w:tcBorders>
          </w:tcPr>
          <w:p w:rsidR="00F2482E" w:rsidRPr="00F627B2" w:rsidRDefault="00F2482E">
            <w:pPr>
              <w:spacing w:line="240" w:lineRule="auto"/>
              <w:rPr>
                <w:rFonts w:ascii="Lato" w:hAnsi="Lato"/>
                <w:szCs w:val="22"/>
              </w:rPr>
            </w:pPr>
          </w:p>
        </w:tc>
        <w:tc>
          <w:tcPr>
            <w:tcW w:w="238" w:type="dxa"/>
            <w:gridSpan w:val="2"/>
            <w:tcBorders>
              <w:top w:val="nil"/>
              <w:left w:val="nil"/>
              <w:bottom w:val="nil"/>
              <w:right w:val="nil"/>
            </w:tcBorders>
          </w:tcPr>
          <w:p w:rsidR="00F2482E" w:rsidRPr="00F627B2" w:rsidRDefault="00F2482E">
            <w:pPr>
              <w:spacing w:line="240" w:lineRule="auto"/>
              <w:rPr>
                <w:rFonts w:ascii="Lato" w:hAnsi="Lato"/>
                <w:szCs w:val="22"/>
              </w:rPr>
            </w:pPr>
          </w:p>
        </w:tc>
        <w:tc>
          <w:tcPr>
            <w:tcW w:w="582" w:type="dxa"/>
            <w:gridSpan w:val="4"/>
            <w:tcBorders>
              <w:top w:val="nil"/>
              <w:left w:val="nil"/>
              <w:bottom w:val="nil"/>
              <w:right w:val="nil"/>
            </w:tcBorders>
          </w:tcPr>
          <w:p w:rsidR="00F2482E" w:rsidRPr="00F627B2" w:rsidRDefault="00F2482E">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992" w:type="dxa"/>
            <w:gridSpan w:val="2"/>
            <w:tcBorders>
              <w:top w:val="nil"/>
              <w:left w:val="nil"/>
              <w:bottom w:val="single" w:sz="4" w:space="0" w:color="auto"/>
              <w:right w:val="nil"/>
            </w:tcBorders>
          </w:tcPr>
          <w:p w:rsidR="00877692" w:rsidRPr="00F627B2"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703" w:type="dxa"/>
            <w:gridSpan w:val="2"/>
            <w:tcBorders>
              <w:top w:val="nil"/>
              <w:left w:val="nil"/>
              <w:bottom w:val="single" w:sz="4" w:space="0" w:color="auto"/>
              <w:right w:val="nil"/>
            </w:tcBorders>
          </w:tcPr>
          <w:p w:rsidR="00877692" w:rsidRPr="00F627B2"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455" w:type="dxa"/>
            <w:gridSpan w:val="2"/>
            <w:tcBorders>
              <w:top w:val="nil"/>
              <w:left w:val="nil"/>
              <w:bottom w:val="single" w:sz="4" w:space="0" w:color="auto"/>
              <w:right w:val="nil"/>
            </w:tcBorders>
          </w:tcPr>
          <w:p w:rsidR="00877692" w:rsidRPr="00F627B2"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77692" w:rsidRPr="00F627B2" w:rsidRDefault="00877692"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8</w:t>
            </w:r>
            <w:r w:rsidRPr="00F627B2">
              <w:rPr>
                <w:rFonts w:ascii="Lato" w:hAnsi="Lato"/>
                <w:szCs w:val="22"/>
              </w:rPr>
              <w:t>.</w:t>
            </w:r>
            <w:r w:rsidR="0053723C" w:rsidRPr="00F627B2">
              <w:rPr>
                <w:rFonts w:ascii="Lato" w:hAnsi="Lato"/>
                <w:szCs w:val="22"/>
              </w:rPr>
              <w:t>6</w:t>
            </w:r>
          </w:p>
        </w:tc>
        <w:tc>
          <w:tcPr>
            <w:tcW w:w="6974" w:type="dxa"/>
            <w:gridSpan w:val="2"/>
            <w:tcBorders>
              <w:top w:val="nil"/>
              <w:left w:val="nil"/>
              <w:bottom w:val="nil"/>
              <w:right w:val="single" w:sz="4" w:space="0" w:color="auto"/>
            </w:tcBorders>
          </w:tcPr>
          <w:p w:rsidR="00877692" w:rsidRPr="00F627B2" w:rsidRDefault="00877692" w:rsidP="003D0FCC">
            <w:pPr>
              <w:spacing w:line="240" w:lineRule="auto"/>
              <w:rPr>
                <w:rFonts w:ascii="Lato" w:hAnsi="Lato"/>
                <w:szCs w:val="22"/>
              </w:rPr>
            </w:pPr>
            <w:r w:rsidRPr="00F627B2">
              <w:rPr>
                <w:rFonts w:ascii="Lato" w:hAnsi="Lato"/>
                <w:szCs w:val="22"/>
              </w:rPr>
              <w:t xml:space="preserve">Date of incorporation of the </w:t>
            </w:r>
            <w:r w:rsidR="003D0FCC" w:rsidRPr="00F627B2">
              <w:rPr>
                <w:rFonts w:ascii="Lato" w:hAnsi="Lato"/>
                <w:szCs w:val="22"/>
              </w:rPr>
              <w:t>management company</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96A4A" w:rsidRPr="00F627B2" w:rsidRDefault="00896A4A">
            <w:pPr>
              <w:spacing w:line="240" w:lineRule="auto"/>
              <w:rPr>
                <w:rFonts w:ascii="Lato" w:hAnsi="Lato"/>
                <w:szCs w:val="22"/>
              </w:rPr>
            </w:pPr>
          </w:p>
        </w:tc>
        <w:tc>
          <w:tcPr>
            <w:tcW w:w="6974" w:type="dxa"/>
            <w:gridSpan w:val="2"/>
            <w:tcBorders>
              <w:top w:val="nil"/>
              <w:left w:val="nil"/>
              <w:bottom w:val="nil"/>
              <w:right w:val="nil"/>
            </w:tcBorders>
          </w:tcPr>
          <w:p w:rsidR="00896A4A" w:rsidRPr="00F627B2" w:rsidRDefault="00896A4A">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896A4A" w:rsidRPr="00F627B2" w:rsidRDefault="00896A4A">
            <w:pPr>
              <w:spacing w:line="240" w:lineRule="auto"/>
              <w:rPr>
                <w:rFonts w:ascii="Lato" w:hAnsi="Lato"/>
                <w:szCs w:val="22"/>
              </w:rPr>
            </w:pPr>
          </w:p>
        </w:tc>
        <w:tc>
          <w:tcPr>
            <w:tcW w:w="236" w:type="dxa"/>
            <w:gridSpan w:val="2"/>
            <w:tcBorders>
              <w:top w:val="nil"/>
              <w:left w:val="nil"/>
              <w:bottom w:val="nil"/>
              <w:right w:val="nil"/>
            </w:tcBorders>
          </w:tcPr>
          <w:p w:rsidR="00896A4A" w:rsidRPr="00F627B2" w:rsidRDefault="00896A4A">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896A4A" w:rsidRPr="00F627B2" w:rsidRDefault="00896A4A">
            <w:pPr>
              <w:spacing w:line="240" w:lineRule="auto"/>
              <w:rPr>
                <w:rFonts w:ascii="Lato" w:hAnsi="Lato"/>
                <w:szCs w:val="22"/>
              </w:rPr>
            </w:pPr>
          </w:p>
        </w:tc>
        <w:tc>
          <w:tcPr>
            <w:tcW w:w="270" w:type="dxa"/>
            <w:gridSpan w:val="3"/>
            <w:tcBorders>
              <w:top w:val="nil"/>
              <w:left w:val="nil"/>
              <w:bottom w:val="nil"/>
              <w:right w:val="nil"/>
            </w:tcBorders>
          </w:tcPr>
          <w:p w:rsidR="00896A4A" w:rsidRPr="00F627B2" w:rsidRDefault="00896A4A">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896A4A" w:rsidRPr="00F627B2" w:rsidRDefault="00896A4A">
            <w:pPr>
              <w:spacing w:line="240" w:lineRule="auto"/>
              <w:rPr>
                <w:rFonts w:ascii="Lato" w:hAnsi="Lato"/>
                <w:szCs w:val="22"/>
              </w:rPr>
            </w:pPr>
          </w:p>
        </w:tc>
        <w:tc>
          <w:tcPr>
            <w:tcW w:w="238" w:type="dxa"/>
            <w:gridSpan w:val="2"/>
            <w:tcBorders>
              <w:top w:val="nil"/>
              <w:left w:val="nil"/>
              <w:bottom w:val="nil"/>
              <w:right w:val="nil"/>
            </w:tcBorders>
          </w:tcPr>
          <w:p w:rsidR="00896A4A" w:rsidRPr="00F627B2" w:rsidRDefault="00896A4A">
            <w:pPr>
              <w:spacing w:line="240" w:lineRule="auto"/>
              <w:rPr>
                <w:rFonts w:ascii="Lato" w:hAnsi="Lato"/>
                <w:szCs w:val="22"/>
              </w:rPr>
            </w:pPr>
          </w:p>
        </w:tc>
        <w:tc>
          <w:tcPr>
            <w:tcW w:w="582" w:type="dxa"/>
            <w:gridSpan w:val="4"/>
            <w:tcBorders>
              <w:top w:val="nil"/>
              <w:left w:val="nil"/>
              <w:bottom w:val="nil"/>
              <w:right w:val="nil"/>
            </w:tcBorders>
          </w:tcPr>
          <w:p w:rsidR="00896A4A" w:rsidRPr="00F627B2" w:rsidRDefault="00896A4A">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96A4A" w:rsidRPr="00F627B2" w:rsidRDefault="0053723C"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8</w:t>
            </w:r>
            <w:r w:rsidRPr="00F627B2">
              <w:rPr>
                <w:rFonts w:ascii="Lato" w:hAnsi="Lato"/>
                <w:szCs w:val="22"/>
              </w:rPr>
              <w:t>.7</w:t>
            </w:r>
          </w:p>
        </w:tc>
        <w:tc>
          <w:tcPr>
            <w:tcW w:w="6974" w:type="dxa"/>
            <w:gridSpan w:val="2"/>
            <w:tcBorders>
              <w:top w:val="nil"/>
              <w:left w:val="nil"/>
              <w:bottom w:val="nil"/>
              <w:right w:val="single" w:sz="4" w:space="0" w:color="auto"/>
            </w:tcBorders>
          </w:tcPr>
          <w:p w:rsidR="00896A4A" w:rsidRPr="00F627B2" w:rsidRDefault="0053723C" w:rsidP="009420A8">
            <w:pPr>
              <w:spacing w:line="240" w:lineRule="auto"/>
              <w:rPr>
                <w:rFonts w:ascii="Lato" w:hAnsi="Lato"/>
                <w:szCs w:val="22"/>
              </w:rPr>
            </w:pPr>
            <w:r w:rsidRPr="00F627B2">
              <w:rPr>
                <w:rFonts w:ascii="Lato" w:hAnsi="Lato"/>
                <w:szCs w:val="22"/>
              </w:rPr>
              <w:t xml:space="preserve">Indication of </w:t>
            </w:r>
            <w:r w:rsidR="009420A8" w:rsidRPr="00F627B2">
              <w:rPr>
                <w:rFonts w:ascii="Lato" w:hAnsi="Lato"/>
                <w:szCs w:val="22"/>
              </w:rPr>
              <w:t>d</w:t>
            </w:r>
            <w:r w:rsidRPr="00F627B2">
              <w:rPr>
                <w:rFonts w:ascii="Lato" w:hAnsi="Lato"/>
                <w:szCs w:val="22"/>
              </w:rPr>
              <w:t>uration, if limited</w:t>
            </w:r>
          </w:p>
        </w:tc>
        <w:tc>
          <w:tcPr>
            <w:tcW w:w="992" w:type="dxa"/>
            <w:gridSpan w:val="2"/>
            <w:tcBorders>
              <w:top w:val="single" w:sz="4" w:space="0" w:color="auto"/>
              <w:left w:val="single" w:sz="4" w:space="0" w:color="auto"/>
              <w:bottom w:val="single" w:sz="4" w:space="0" w:color="auto"/>
              <w:right w:val="single" w:sz="4" w:space="0" w:color="auto"/>
            </w:tcBorders>
          </w:tcPr>
          <w:p w:rsidR="00896A4A" w:rsidRPr="00F627B2" w:rsidRDefault="00896A4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96A4A" w:rsidRPr="00F627B2" w:rsidRDefault="00896A4A">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96A4A" w:rsidRPr="00F627B2" w:rsidRDefault="00896A4A">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96A4A" w:rsidRPr="00F627B2" w:rsidRDefault="00896A4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96A4A" w:rsidRPr="00F627B2" w:rsidRDefault="00896A4A">
            <w:pPr>
              <w:spacing w:line="240" w:lineRule="auto"/>
              <w:rPr>
                <w:rFonts w:ascii="Lato" w:hAnsi="Lato"/>
                <w:szCs w:val="22"/>
              </w:rPr>
            </w:pPr>
          </w:p>
        </w:tc>
        <w:tc>
          <w:tcPr>
            <w:tcW w:w="238" w:type="dxa"/>
            <w:gridSpan w:val="2"/>
            <w:tcBorders>
              <w:top w:val="nil"/>
              <w:left w:val="single" w:sz="4" w:space="0" w:color="auto"/>
              <w:bottom w:val="nil"/>
              <w:right w:val="nil"/>
            </w:tcBorders>
          </w:tcPr>
          <w:p w:rsidR="00896A4A" w:rsidRPr="00F627B2" w:rsidRDefault="00896A4A">
            <w:pPr>
              <w:spacing w:line="240" w:lineRule="auto"/>
              <w:rPr>
                <w:rFonts w:ascii="Lato" w:hAnsi="Lato"/>
                <w:szCs w:val="22"/>
              </w:rPr>
            </w:pPr>
          </w:p>
        </w:tc>
        <w:tc>
          <w:tcPr>
            <w:tcW w:w="582" w:type="dxa"/>
            <w:gridSpan w:val="4"/>
            <w:tcBorders>
              <w:top w:val="nil"/>
              <w:left w:val="nil"/>
              <w:bottom w:val="nil"/>
              <w:right w:val="nil"/>
            </w:tcBorders>
          </w:tcPr>
          <w:p w:rsidR="00896A4A" w:rsidRPr="00F627B2" w:rsidRDefault="00896A4A">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3086F" w:rsidRPr="00F627B2" w:rsidRDefault="0093086F">
            <w:pPr>
              <w:spacing w:line="240" w:lineRule="auto"/>
              <w:rPr>
                <w:rFonts w:ascii="Lato" w:hAnsi="Lato"/>
                <w:szCs w:val="22"/>
              </w:rPr>
            </w:pPr>
          </w:p>
        </w:tc>
        <w:tc>
          <w:tcPr>
            <w:tcW w:w="6974" w:type="dxa"/>
            <w:gridSpan w:val="2"/>
            <w:tcBorders>
              <w:top w:val="nil"/>
              <w:left w:val="nil"/>
              <w:bottom w:val="nil"/>
              <w:right w:val="nil"/>
            </w:tcBorders>
          </w:tcPr>
          <w:p w:rsidR="0093086F" w:rsidRPr="00F627B2" w:rsidRDefault="0093086F">
            <w:pPr>
              <w:spacing w:line="240" w:lineRule="auto"/>
              <w:rPr>
                <w:rFonts w:ascii="Lato" w:hAnsi="Lato"/>
                <w:szCs w:val="22"/>
              </w:rPr>
            </w:pPr>
          </w:p>
        </w:tc>
        <w:tc>
          <w:tcPr>
            <w:tcW w:w="992" w:type="dxa"/>
            <w:gridSpan w:val="2"/>
            <w:tcBorders>
              <w:top w:val="nil"/>
              <w:left w:val="nil"/>
              <w:bottom w:val="single" w:sz="4" w:space="0" w:color="auto"/>
              <w:right w:val="nil"/>
            </w:tcBorders>
          </w:tcPr>
          <w:p w:rsidR="0093086F" w:rsidRPr="00F627B2" w:rsidRDefault="0093086F">
            <w:pPr>
              <w:spacing w:line="240" w:lineRule="auto"/>
              <w:rPr>
                <w:rFonts w:ascii="Lato" w:hAnsi="Lato"/>
                <w:szCs w:val="22"/>
              </w:rPr>
            </w:pPr>
          </w:p>
        </w:tc>
        <w:tc>
          <w:tcPr>
            <w:tcW w:w="236" w:type="dxa"/>
            <w:gridSpan w:val="2"/>
            <w:tcBorders>
              <w:top w:val="nil"/>
              <w:left w:val="nil"/>
              <w:bottom w:val="nil"/>
              <w:right w:val="nil"/>
            </w:tcBorders>
          </w:tcPr>
          <w:p w:rsidR="0093086F" w:rsidRPr="00F627B2" w:rsidRDefault="0093086F">
            <w:pPr>
              <w:spacing w:line="240" w:lineRule="auto"/>
              <w:rPr>
                <w:rFonts w:ascii="Lato" w:hAnsi="Lato"/>
                <w:szCs w:val="22"/>
              </w:rPr>
            </w:pPr>
          </w:p>
        </w:tc>
        <w:tc>
          <w:tcPr>
            <w:tcW w:w="703" w:type="dxa"/>
            <w:gridSpan w:val="2"/>
            <w:tcBorders>
              <w:top w:val="nil"/>
              <w:left w:val="nil"/>
              <w:bottom w:val="single" w:sz="4" w:space="0" w:color="auto"/>
              <w:right w:val="nil"/>
            </w:tcBorders>
          </w:tcPr>
          <w:p w:rsidR="0093086F" w:rsidRPr="00F627B2" w:rsidRDefault="0093086F">
            <w:pPr>
              <w:spacing w:line="240" w:lineRule="auto"/>
              <w:rPr>
                <w:rFonts w:ascii="Lato" w:hAnsi="Lato"/>
                <w:szCs w:val="22"/>
              </w:rPr>
            </w:pPr>
          </w:p>
        </w:tc>
        <w:tc>
          <w:tcPr>
            <w:tcW w:w="270" w:type="dxa"/>
            <w:gridSpan w:val="3"/>
            <w:tcBorders>
              <w:top w:val="nil"/>
              <w:left w:val="nil"/>
              <w:bottom w:val="nil"/>
              <w:right w:val="nil"/>
            </w:tcBorders>
          </w:tcPr>
          <w:p w:rsidR="0093086F" w:rsidRPr="00F627B2" w:rsidRDefault="0093086F">
            <w:pPr>
              <w:spacing w:line="240" w:lineRule="auto"/>
              <w:rPr>
                <w:rFonts w:ascii="Lato" w:hAnsi="Lato"/>
                <w:szCs w:val="22"/>
              </w:rPr>
            </w:pPr>
          </w:p>
        </w:tc>
        <w:tc>
          <w:tcPr>
            <w:tcW w:w="455" w:type="dxa"/>
            <w:gridSpan w:val="2"/>
            <w:tcBorders>
              <w:top w:val="nil"/>
              <w:left w:val="nil"/>
              <w:bottom w:val="single" w:sz="4" w:space="0" w:color="auto"/>
              <w:right w:val="nil"/>
            </w:tcBorders>
          </w:tcPr>
          <w:p w:rsidR="0093086F" w:rsidRPr="00F627B2" w:rsidRDefault="0093086F">
            <w:pPr>
              <w:spacing w:line="240" w:lineRule="auto"/>
              <w:rPr>
                <w:rFonts w:ascii="Lato" w:hAnsi="Lato"/>
                <w:szCs w:val="22"/>
              </w:rPr>
            </w:pPr>
          </w:p>
        </w:tc>
        <w:tc>
          <w:tcPr>
            <w:tcW w:w="238" w:type="dxa"/>
            <w:gridSpan w:val="2"/>
            <w:tcBorders>
              <w:top w:val="nil"/>
              <w:left w:val="nil"/>
              <w:bottom w:val="nil"/>
              <w:right w:val="nil"/>
            </w:tcBorders>
          </w:tcPr>
          <w:p w:rsidR="0093086F" w:rsidRPr="00F627B2" w:rsidRDefault="0093086F">
            <w:pPr>
              <w:spacing w:line="240" w:lineRule="auto"/>
              <w:rPr>
                <w:rFonts w:ascii="Lato" w:hAnsi="Lato"/>
                <w:szCs w:val="22"/>
              </w:rPr>
            </w:pPr>
          </w:p>
        </w:tc>
        <w:tc>
          <w:tcPr>
            <w:tcW w:w="582" w:type="dxa"/>
            <w:gridSpan w:val="4"/>
            <w:tcBorders>
              <w:top w:val="nil"/>
              <w:left w:val="nil"/>
              <w:bottom w:val="nil"/>
              <w:right w:val="nil"/>
            </w:tcBorders>
          </w:tcPr>
          <w:p w:rsidR="0093086F" w:rsidRPr="00F627B2" w:rsidRDefault="0093086F">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77692" w:rsidRPr="00F627B2" w:rsidRDefault="00877692"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8</w:t>
            </w:r>
            <w:r w:rsidRPr="00F627B2">
              <w:rPr>
                <w:rFonts w:ascii="Lato" w:hAnsi="Lato"/>
                <w:szCs w:val="22"/>
              </w:rPr>
              <w:t>.</w:t>
            </w:r>
            <w:r w:rsidR="003C3E16" w:rsidRPr="00F627B2">
              <w:rPr>
                <w:rFonts w:ascii="Lato" w:hAnsi="Lato"/>
                <w:szCs w:val="22"/>
              </w:rPr>
              <w:t>8</w:t>
            </w:r>
          </w:p>
        </w:tc>
        <w:tc>
          <w:tcPr>
            <w:tcW w:w="6974" w:type="dxa"/>
            <w:gridSpan w:val="2"/>
            <w:tcBorders>
              <w:top w:val="nil"/>
              <w:left w:val="nil"/>
              <w:bottom w:val="nil"/>
              <w:right w:val="single" w:sz="4" w:space="0" w:color="auto"/>
            </w:tcBorders>
          </w:tcPr>
          <w:p w:rsidR="00877692" w:rsidRPr="00F627B2" w:rsidRDefault="00A54337" w:rsidP="0093086F">
            <w:pPr>
              <w:spacing w:line="240" w:lineRule="auto"/>
              <w:rPr>
                <w:rFonts w:ascii="Lato" w:hAnsi="Lato"/>
                <w:szCs w:val="22"/>
              </w:rPr>
            </w:pPr>
            <w:r w:rsidRPr="00F627B2">
              <w:rPr>
                <w:rFonts w:ascii="Lato" w:hAnsi="Lato"/>
                <w:szCs w:val="22"/>
              </w:rPr>
              <w:t xml:space="preserve">Disclose the amount of the prescribed capital of the </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F627B2"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F627B2"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F627B2" w:rsidRDefault="0093086F">
            <w:pPr>
              <w:spacing w:line="240" w:lineRule="auto"/>
              <w:rPr>
                <w:rFonts w:ascii="Lato" w:hAnsi="Lato"/>
                <w:szCs w:val="22"/>
              </w:rPr>
            </w:pPr>
            <w:r w:rsidRPr="00F627B2">
              <w:rPr>
                <w:rFonts w:ascii="Lato" w:hAnsi="Lato"/>
                <w:szCs w:val="22"/>
              </w:rPr>
              <w:t>management company or general partner with an indication of the capital paid-up</w:t>
            </w:r>
          </w:p>
        </w:tc>
        <w:tc>
          <w:tcPr>
            <w:tcW w:w="992" w:type="dxa"/>
            <w:gridSpan w:val="2"/>
            <w:tcBorders>
              <w:top w:val="single" w:sz="4" w:space="0" w:color="auto"/>
              <w:left w:val="nil"/>
              <w:bottom w:val="nil"/>
              <w:right w:val="nil"/>
            </w:tcBorders>
          </w:tcPr>
          <w:p w:rsidR="00877692" w:rsidRPr="00F627B2"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703" w:type="dxa"/>
            <w:gridSpan w:val="2"/>
            <w:tcBorders>
              <w:top w:val="single" w:sz="4" w:space="0" w:color="auto"/>
              <w:left w:val="nil"/>
              <w:bottom w:val="nil"/>
              <w:right w:val="nil"/>
            </w:tcBorders>
          </w:tcPr>
          <w:p w:rsidR="00877692" w:rsidRPr="00F627B2"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455" w:type="dxa"/>
            <w:gridSpan w:val="2"/>
            <w:tcBorders>
              <w:top w:val="single" w:sz="4" w:space="0" w:color="auto"/>
              <w:left w:val="nil"/>
              <w:bottom w:val="nil"/>
              <w:right w:val="nil"/>
            </w:tcBorders>
          </w:tcPr>
          <w:p w:rsidR="00877692" w:rsidRPr="00F627B2"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877692" w:rsidRPr="00F627B2"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992"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703"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F627B2"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F627B2"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F627B2" w:rsidRDefault="00877692">
            <w:pPr>
              <w:spacing w:line="240" w:lineRule="auto"/>
              <w:rPr>
                <w:rFonts w:ascii="Lato" w:hAnsi="Lato"/>
                <w:szCs w:val="22"/>
              </w:rPr>
            </w:pPr>
          </w:p>
        </w:tc>
      </w:tr>
      <w:tr w:rsidR="00FB497D" w:rsidRPr="00F627B2" w:rsidTr="00F627B2">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AD368F" w:rsidRPr="00F627B2" w:rsidRDefault="00AD368F"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9</w:t>
            </w:r>
          </w:p>
        </w:tc>
        <w:tc>
          <w:tcPr>
            <w:tcW w:w="6974" w:type="dxa"/>
            <w:gridSpan w:val="2"/>
            <w:tcBorders>
              <w:top w:val="single" w:sz="4" w:space="0" w:color="auto"/>
              <w:left w:val="single" w:sz="4" w:space="0" w:color="auto"/>
              <w:bottom w:val="single" w:sz="4" w:space="0" w:color="auto"/>
              <w:right w:val="single" w:sz="4" w:space="0" w:color="auto"/>
            </w:tcBorders>
          </w:tcPr>
          <w:p w:rsidR="00AD368F" w:rsidRPr="00F627B2" w:rsidRDefault="00AD368F" w:rsidP="003D0FCC">
            <w:pPr>
              <w:spacing w:line="240" w:lineRule="auto"/>
              <w:rPr>
                <w:rFonts w:ascii="Lato" w:hAnsi="Lato"/>
                <w:szCs w:val="22"/>
              </w:rPr>
            </w:pPr>
            <w:r w:rsidRPr="00F627B2">
              <w:rPr>
                <w:rFonts w:ascii="Lato" w:hAnsi="Lato"/>
                <w:bCs/>
                <w:szCs w:val="22"/>
              </w:rPr>
              <w:t xml:space="preserve">Information concerning the </w:t>
            </w:r>
            <w:r w:rsidR="003D0FCC" w:rsidRPr="00F627B2">
              <w:rPr>
                <w:rFonts w:ascii="Lato" w:hAnsi="Lato"/>
                <w:bCs/>
                <w:szCs w:val="22"/>
              </w:rPr>
              <w:t xml:space="preserve">investment manager </w:t>
            </w:r>
            <w:r w:rsidRPr="00F627B2">
              <w:rPr>
                <w:rFonts w:ascii="Lato" w:hAnsi="Lato"/>
                <w:bCs/>
                <w:szCs w:val="22"/>
              </w:rPr>
              <w:t xml:space="preserve">and other </w:t>
            </w:r>
            <w:r w:rsidR="003D0FCC" w:rsidRPr="00F627B2">
              <w:rPr>
                <w:rFonts w:ascii="Lato" w:hAnsi="Lato"/>
                <w:bCs/>
                <w:szCs w:val="22"/>
              </w:rPr>
              <w:t>service providers</w:t>
            </w:r>
          </w:p>
        </w:tc>
        <w:tc>
          <w:tcPr>
            <w:tcW w:w="992" w:type="dxa"/>
            <w:gridSpan w:val="2"/>
            <w:tcBorders>
              <w:top w:val="nil"/>
              <w:left w:val="single" w:sz="4" w:space="0" w:color="auto"/>
              <w:bottom w:val="nil"/>
              <w:right w:val="nil"/>
            </w:tcBorders>
          </w:tcPr>
          <w:p w:rsidR="00AD368F" w:rsidRPr="00F627B2" w:rsidRDefault="00AD368F">
            <w:pPr>
              <w:spacing w:line="240" w:lineRule="auto"/>
              <w:rPr>
                <w:rFonts w:ascii="Lato" w:hAnsi="Lato"/>
                <w:bCs/>
                <w:szCs w:val="22"/>
              </w:rPr>
            </w:pPr>
          </w:p>
        </w:tc>
        <w:tc>
          <w:tcPr>
            <w:tcW w:w="236" w:type="dxa"/>
            <w:gridSpan w:val="2"/>
            <w:tcBorders>
              <w:top w:val="nil"/>
              <w:left w:val="nil"/>
              <w:bottom w:val="nil"/>
              <w:right w:val="nil"/>
            </w:tcBorders>
          </w:tcPr>
          <w:p w:rsidR="00AD368F" w:rsidRPr="00F627B2" w:rsidRDefault="00AD368F">
            <w:pPr>
              <w:spacing w:line="240" w:lineRule="auto"/>
              <w:rPr>
                <w:rFonts w:ascii="Lato" w:hAnsi="Lato"/>
                <w:bCs/>
                <w:szCs w:val="22"/>
              </w:rPr>
            </w:pPr>
          </w:p>
        </w:tc>
        <w:tc>
          <w:tcPr>
            <w:tcW w:w="709" w:type="dxa"/>
            <w:gridSpan w:val="3"/>
            <w:tcBorders>
              <w:top w:val="nil"/>
              <w:left w:val="nil"/>
              <w:bottom w:val="nil"/>
              <w:right w:val="nil"/>
            </w:tcBorders>
          </w:tcPr>
          <w:p w:rsidR="00AD368F" w:rsidRPr="00F627B2" w:rsidRDefault="00AD368F">
            <w:pPr>
              <w:spacing w:line="240" w:lineRule="auto"/>
              <w:rPr>
                <w:rFonts w:ascii="Lato" w:hAnsi="Lato"/>
                <w:bCs/>
                <w:szCs w:val="22"/>
              </w:rPr>
            </w:pPr>
          </w:p>
        </w:tc>
        <w:tc>
          <w:tcPr>
            <w:tcW w:w="264" w:type="dxa"/>
            <w:gridSpan w:val="2"/>
            <w:tcBorders>
              <w:top w:val="nil"/>
              <w:left w:val="nil"/>
              <w:bottom w:val="nil"/>
              <w:right w:val="nil"/>
            </w:tcBorders>
          </w:tcPr>
          <w:p w:rsidR="00AD368F" w:rsidRPr="00F627B2" w:rsidRDefault="00AD368F">
            <w:pPr>
              <w:spacing w:line="240" w:lineRule="auto"/>
              <w:rPr>
                <w:rFonts w:ascii="Lato" w:hAnsi="Lato"/>
                <w:bCs/>
                <w:szCs w:val="22"/>
              </w:rPr>
            </w:pPr>
          </w:p>
        </w:tc>
        <w:tc>
          <w:tcPr>
            <w:tcW w:w="455" w:type="dxa"/>
            <w:gridSpan w:val="2"/>
            <w:tcBorders>
              <w:top w:val="nil"/>
              <w:left w:val="nil"/>
              <w:bottom w:val="nil"/>
              <w:right w:val="nil"/>
            </w:tcBorders>
          </w:tcPr>
          <w:p w:rsidR="00AD368F" w:rsidRPr="00F627B2" w:rsidRDefault="00AD368F">
            <w:pPr>
              <w:spacing w:line="240" w:lineRule="auto"/>
              <w:rPr>
                <w:rFonts w:ascii="Lato" w:hAnsi="Lato"/>
                <w:bCs/>
                <w:szCs w:val="22"/>
              </w:rPr>
            </w:pPr>
          </w:p>
        </w:tc>
        <w:tc>
          <w:tcPr>
            <w:tcW w:w="264" w:type="dxa"/>
            <w:gridSpan w:val="4"/>
            <w:tcBorders>
              <w:top w:val="nil"/>
              <w:left w:val="nil"/>
              <w:bottom w:val="nil"/>
              <w:right w:val="nil"/>
            </w:tcBorders>
          </w:tcPr>
          <w:p w:rsidR="00AD368F" w:rsidRPr="00F627B2" w:rsidRDefault="00AD368F">
            <w:pPr>
              <w:spacing w:line="240" w:lineRule="auto"/>
              <w:rPr>
                <w:rFonts w:ascii="Lato" w:hAnsi="Lato"/>
                <w:bCs/>
                <w:szCs w:val="22"/>
              </w:rPr>
            </w:pPr>
          </w:p>
        </w:tc>
        <w:tc>
          <w:tcPr>
            <w:tcW w:w="556" w:type="dxa"/>
            <w:gridSpan w:val="2"/>
            <w:tcBorders>
              <w:top w:val="nil"/>
              <w:left w:val="nil"/>
              <w:bottom w:val="nil"/>
              <w:right w:val="nil"/>
            </w:tcBorders>
          </w:tcPr>
          <w:p w:rsidR="00AD368F" w:rsidRPr="00F627B2" w:rsidRDefault="00AD368F">
            <w:pPr>
              <w:spacing w:line="240" w:lineRule="auto"/>
              <w:rPr>
                <w:rFonts w:ascii="Lato" w:hAnsi="Lato"/>
                <w:bCs/>
                <w:szCs w:val="22"/>
              </w:rPr>
            </w:pPr>
          </w:p>
        </w:tc>
      </w:tr>
      <w:tr w:rsidR="00FB497D" w:rsidRPr="00F627B2" w:rsidTr="00F627B2">
        <w:trPr>
          <w:gridAfter w:val="2"/>
          <w:wAfter w:w="3800" w:type="dxa"/>
        </w:trPr>
        <w:tc>
          <w:tcPr>
            <w:tcW w:w="1107" w:type="dxa"/>
            <w:tcBorders>
              <w:top w:val="single" w:sz="4" w:space="0" w:color="auto"/>
              <w:left w:val="nil"/>
              <w:bottom w:val="nil"/>
              <w:right w:val="nil"/>
            </w:tcBorders>
          </w:tcPr>
          <w:p w:rsidR="00AD368F" w:rsidRPr="00F627B2" w:rsidRDefault="00AD368F">
            <w:pPr>
              <w:spacing w:line="240" w:lineRule="auto"/>
              <w:rPr>
                <w:rFonts w:ascii="Lato" w:hAnsi="Lato"/>
                <w:szCs w:val="22"/>
              </w:rPr>
            </w:pPr>
          </w:p>
        </w:tc>
        <w:tc>
          <w:tcPr>
            <w:tcW w:w="6974" w:type="dxa"/>
            <w:gridSpan w:val="2"/>
            <w:tcBorders>
              <w:top w:val="single" w:sz="4" w:space="0" w:color="auto"/>
              <w:left w:val="nil"/>
              <w:bottom w:val="nil"/>
              <w:right w:val="nil"/>
            </w:tcBorders>
          </w:tcPr>
          <w:p w:rsidR="00AD368F" w:rsidRPr="00F627B2" w:rsidRDefault="00AD368F">
            <w:pPr>
              <w:spacing w:line="240" w:lineRule="auto"/>
              <w:rPr>
                <w:rFonts w:ascii="Lato" w:hAnsi="Lato"/>
                <w:szCs w:val="22"/>
              </w:rPr>
            </w:pPr>
          </w:p>
        </w:tc>
        <w:tc>
          <w:tcPr>
            <w:tcW w:w="992" w:type="dxa"/>
            <w:gridSpan w:val="2"/>
            <w:tcBorders>
              <w:top w:val="nil"/>
              <w:left w:val="nil"/>
              <w:bottom w:val="single" w:sz="4" w:space="0" w:color="auto"/>
              <w:right w:val="nil"/>
            </w:tcBorders>
          </w:tcPr>
          <w:p w:rsidR="00AD368F" w:rsidRPr="00F627B2" w:rsidRDefault="00AD368F">
            <w:pPr>
              <w:spacing w:line="240" w:lineRule="auto"/>
              <w:rPr>
                <w:rFonts w:ascii="Lato" w:hAnsi="Lato"/>
                <w:b/>
                <w:bCs/>
                <w:szCs w:val="22"/>
              </w:rPr>
            </w:pPr>
          </w:p>
        </w:tc>
        <w:tc>
          <w:tcPr>
            <w:tcW w:w="236" w:type="dxa"/>
            <w:gridSpan w:val="2"/>
            <w:tcBorders>
              <w:top w:val="nil"/>
              <w:left w:val="nil"/>
              <w:bottom w:val="nil"/>
              <w:right w:val="nil"/>
            </w:tcBorders>
          </w:tcPr>
          <w:p w:rsidR="00AD368F" w:rsidRPr="00F627B2" w:rsidRDefault="00AD368F">
            <w:pPr>
              <w:spacing w:line="240" w:lineRule="auto"/>
              <w:rPr>
                <w:rFonts w:ascii="Lato" w:hAnsi="Lato"/>
                <w:b/>
                <w:bCs/>
                <w:szCs w:val="22"/>
              </w:rPr>
            </w:pPr>
          </w:p>
        </w:tc>
        <w:tc>
          <w:tcPr>
            <w:tcW w:w="709" w:type="dxa"/>
            <w:gridSpan w:val="3"/>
            <w:tcBorders>
              <w:top w:val="nil"/>
              <w:left w:val="nil"/>
              <w:bottom w:val="single" w:sz="4" w:space="0" w:color="auto"/>
              <w:right w:val="nil"/>
            </w:tcBorders>
          </w:tcPr>
          <w:p w:rsidR="00AD368F" w:rsidRPr="00F627B2" w:rsidRDefault="00AD368F">
            <w:pPr>
              <w:spacing w:line="240" w:lineRule="auto"/>
              <w:rPr>
                <w:rFonts w:ascii="Lato" w:hAnsi="Lato"/>
                <w:b/>
                <w:bCs/>
                <w:szCs w:val="22"/>
              </w:rPr>
            </w:pPr>
          </w:p>
        </w:tc>
        <w:tc>
          <w:tcPr>
            <w:tcW w:w="264" w:type="dxa"/>
            <w:gridSpan w:val="2"/>
            <w:tcBorders>
              <w:top w:val="nil"/>
              <w:left w:val="nil"/>
              <w:bottom w:val="nil"/>
              <w:right w:val="nil"/>
            </w:tcBorders>
          </w:tcPr>
          <w:p w:rsidR="00AD368F" w:rsidRPr="00F627B2" w:rsidRDefault="00AD368F">
            <w:pPr>
              <w:spacing w:line="240" w:lineRule="auto"/>
              <w:rPr>
                <w:rFonts w:ascii="Lato" w:hAnsi="Lato"/>
                <w:b/>
                <w:bCs/>
                <w:szCs w:val="22"/>
              </w:rPr>
            </w:pPr>
          </w:p>
        </w:tc>
        <w:tc>
          <w:tcPr>
            <w:tcW w:w="455" w:type="dxa"/>
            <w:gridSpan w:val="2"/>
            <w:tcBorders>
              <w:top w:val="nil"/>
              <w:left w:val="nil"/>
              <w:bottom w:val="single" w:sz="4" w:space="0" w:color="auto"/>
              <w:right w:val="nil"/>
            </w:tcBorders>
          </w:tcPr>
          <w:p w:rsidR="00AD368F" w:rsidRPr="00F627B2" w:rsidRDefault="00AD368F">
            <w:pPr>
              <w:spacing w:line="240" w:lineRule="auto"/>
              <w:rPr>
                <w:rFonts w:ascii="Lato" w:hAnsi="Lato"/>
                <w:b/>
                <w:bCs/>
                <w:szCs w:val="22"/>
              </w:rPr>
            </w:pPr>
          </w:p>
        </w:tc>
        <w:tc>
          <w:tcPr>
            <w:tcW w:w="264" w:type="dxa"/>
            <w:gridSpan w:val="4"/>
            <w:tcBorders>
              <w:top w:val="nil"/>
              <w:left w:val="nil"/>
              <w:bottom w:val="nil"/>
              <w:right w:val="nil"/>
            </w:tcBorders>
          </w:tcPr>
          <w:p w:rsidR="00AD368F" w:rsidRPr="00F627B2" w:rsidRDefault="00AD368F">
            <w:pPr>
              <w:spacing w:line="240" w:lineRule="auto"/>
              <w:rPr>
                <w:rFonts w:ascii="Lato" w:hAnsi="Lato"/>
                <w:b/>
                <w:bCs/>
                <w:szCs w:val="22"/>
              </w:rPr>
            </w:pPr>
          </w:p>
        </w:tc>
        <w:tc>
          <w:tcPr>
            <w:tcW w:w="556" w:type="dxa"/>
            <w:gridSpan w:val="2"/>
            <w:tcBorders>
              <w:top w:val="nil"/>
              <w:left w:val="nil"/>
              <w:bottom w:val="nil"/>
              <w:right w:val="nil"/>
            </w:tcBorders>
          </w:tcPr>
          <w:p w:rsidR="00AD368F" w:rsidRPr="00F627B2" w:rsidRDefault="00AD368F">
            <w:pPr>
              <w:spacing w:line="240" w:lineRule="auto"/>
              <w:rPr>
                <w:rFonts w:ascii="Lato" w:hAnsi="Lato"/>
                <w:b/>
                <w:bCs/>
                <w:szCs w:val="22"/>
              </w:rPr>
            </w:pPr>
          </w:p>
        </w:tc>
      </w:tr>
      <w:tr w:rsidR="00FB497D" w:rsidRPr="00F627B2" w:rsidTr="00F627B2">
        <w:trPr>
          <w:gridAfter w:val="2"/>
          <w:wAfter w:w="3800" w:type="dxa"/>
        </w:trPr>
        <w:tc>
          <w:tcPr>
            <w:tcW w:w="1107" w:type="dxa"/>
            <w:tcBorders>
              <w:top w:val="nil"/>
              <w:left w:val="nil"/>
              <w:bottom w:val="nil"/>
              <w:right w:val="nil"/>
            </w:tcBorders>
          </w:tcPr>
          <w:p w:rsidR="00AD368F" w:rsidRPr="00F627B2" w:rsidRDefault="00CE0866"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9</w:t>
            </w:r>
            <w:r w:rsidRPr="00F627B2">
              <w:rPr>
                <w:rFonts w:ascii="Lato" w:hAnsi="Lato"/>
                <w:szCs w:val="22"/>
              </w:rPr>
              <w:t>.1</w:t>
            </w:r>
          </w:p>
        </w:tc>
        <w:tc>
          <w:tcPr>
            <w:tcW w:w="6974" w:type="dxa"/>
            <w:gridSpan w:val="2"/>
            <w:tcBorders>
              <w:top w:val="nil"/>
              <w:left w:val="nil"/>
              <w:bottom w:val="nil"/>
              <w:right w:val="single" w:sz="4" w:space="0" w:color="auto"/>
            </w:tcBorders>
          </w:tcPr>
          <w:p w:rsidR="00AD368F" w:rsidRPr="00F627B2" w:rsidRDefault="00AD368F" w:rsidP="00AD368F">
            <w:pPr>
              <w:spacing w:line="240" w:lineRule="auto"/>
              <w:rPr>
                <w:rFonts w:ascii="Lato" w:hAnsi="Lato"/>
                <w:szCs w:val="22"/>
              </w:rPr>
            </w:pPr>
            <w:r w:rsidRPr="00F627B2">
              <w:rPr>
                <w:rFonts w:ascii="Lato" w:hAnsi="Lato"/>
                <w:szCs w:val="22"/>
              </w:rPr>
              <w:t xml:space="preserve">Disclose details of the service providers to the </w:t>
            </w:r>
            <w:r w:rsidR="006C49ED" w:rsidRPr="00F627B2">
              <w:rPr>
                <w:rFonts w:ascii="Lato" w:hAnsi="Lato"/>
                <w:szCs w:val="22"/>
              </w:rPr>
              <w:t>Retail Investor AIF</w:t>
            </w:r>
          </w:p>
        </w:tc>
        <w:tc>
          <w:tcPr>
            <w:tcW w:w="992" w:type="dxa"/>
            <w:gridSpan w:val="2"/>
            <w:tcBorders>
              <w:top w:val="single" w:sz="4" w:space="0" w:color="auto"/>
              <w:left w:val="single" w:sz="4" w:space="0" w:color="auto"/>
              <w:bottom w:val="single" w:sz="4" w:space="0" w:color="auto"/>
              <w:right w:val="single" w:sz="4" w:space="0" w:color="auto"/>
            </w:tcBorders>
          </w:tcPr>
          <w:p w:rsidR="00AD368F" w:rsidRPr="00F627B2" w:rsidRDefault="00AD368F">
            <w:pPr>
              <w:spacing w:line="240" w:lineRule="auto"/>
              <w:rPr>
                <w:rFonts w:ascii="Lato" w:hAnsi="Lato"/>
                <w:b/>
                <w:bCs/>
                <w:szCs w:val="22"/>
              </w:rPr>
            </w:pPr>
          </w:p>
        </w:tc>
        <w:tc>
          <w:tcPr>
            <w:tcW w:w="236" w:type="dxa"/>
            <w:gridSpan w:val="2"/>
            <w:tcBorders>
              <w:top w:val="nil"/>
              <w:left w:val="single" w:sz="4" w:space="0" w:color="auto"/>
              <w:bottom w:val="nil"/>
              <w:right w:val="single" w:sz="4" w:space="0" w:color="auto"/>
            </w:tcBorders>
          </w:tcPr>
          <w:p w:rsidR="00AD368F" w:rsidRPr="00F627B2" w:rsidRDefault="00AD368F">
            <w:pPr>
              <w:spacing w:line="240" w:lineRule="auto"/>
              <w:rPr>
                <w:rFonts w:ascii="Lato" w:hAnsi="Lato"/>
                <w:b/>
                <w:bCs/>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AD368F" w:rsidRPr="00F627B2" w:rsidRDefault="00AD368F">
            <w:pPr>
              <w:spacing w:line="240" w:lineRule="auto"/>
              <w:rPr>
                <w:rFonts w:ascii="Lato" w:hAnsi="Lato"/>
                <w:b/>
                <w:bCs/>
                <w:szCs w:val="22"/>
              </w:rPr>
            </w:pPr>
          </w:p>
        </w:tc>
        <w:tc>
          <w:tcPr>
            <w:tcW w:w="264" w:type="dxa"/>
            <w:gridSpan w:val="2"/>
            <w:tcBorders>
              <w:top w:val="nil"/>
              <w:left w:val="single" w:sz="4" w:space="0" w:color="auto"/>
              <w:bottom w:val="nil"/>
              <w:right w:val="single" w:sz="4" w:space="0" w:color="auto"/>
            </w:tcBorders>
          </w:tcPr>
          <w:p w:rsidR="00AD368F" w:rsidRPr="00F627B2" w:rsidRDefault="00AD368F">
            <w:pPr>
              <w:spacing w:line="240" w:lineRule="auto"/>
              <w:rPr>
                <w:rFonts w:ascii="Lato" w:hAnsi="Lato"/>
                <w:b/>
                <w:bCs/>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AD368F" w:rsidRPr="00F627B2" w:rsidRDefault="00AD368F">
            <w:pPr>
              <w:spacing w:line="240" w:lineRule="auto"/>
              <w:rPr>
                <w:rFonts w:ascii="Lato" w:hAnsi="Lato"/>
                <w:b/>
                <w:bCs/>
                <w:szCs w:val="22"/>
              </w:rPr>
            </w:pPr>
          </w:p>
        </w:tc>
        <w:tc>
          <w:tcPr>
            <w:tcW w:w="264" w:type="dxa"/>
            <w:gridSpan w:val="4"/>
            <w:tcBorders>
              <w:top w:val="nil"/>
              <w:left w:val="single" w:sz="4" w:space="0" w:color="auto"/>
              <w:bottom w:val="nil"/>
              <w:right w:val="nil"/>
            </w:tcBorders>
          </w:tcPr>
          <w:p w:rsidR="00AD368F" w:rsidRPr="00F627B2" w:rsidRDefault="00AD368F">
            <w:pPr>
              <w:spacing w:line="240" w:lineRule="auto"/>
              <w:rPr>
                <w:rFonts w:ascii="Lato" w:hAnsi="Lato"/>
                <w:b/>
                <w:bCs/>
                <w:szCs w:val="22"/>
              </w:rPr>
            </w:pPr>
          </w:p>
        </w:tc>
        <w:tc>
          <w:tcPr>
            <w:tcW w:w="556" w:type="dxa"/>
            <w:gridSpan w:val="2"/>
            <w:tcBorders>
              <w:top w:val="nil"/>
              <w:left w:val="nil"/>
              <w:bottom w:val="nil"/>
              <w:right w:val="nil"/>
            </w:tcBorders>
          </w:tcPr>
          <w:p w:rsidR="00AD368F" w:rsidRPr="00F627B2" w:rsidRDefault="00AD368F">
            <w:pPr>
              <w:spacing w:line="240" w:lineRule="auto"/>
              <w:rPr>
                <w:rFonts w:ascii="Lato" w:hAnsi="Lato"/>
                <w:b/>
                <w:bCs/>
                <w:szCs w:val="22"/>
              </w:rPr>
            </w:pPr>
          </w:p>
        </w:tc>
      </w:tr>
      <w:tr w:rsidR="00FB497D" w:rsidRPr="00F627B2" w:rsidTr="00F627B2">
        <w:trPr>
          <w:gridAfter w:val="2"/>
          <w:wAfter w:w="3800" w:type="dxa"/>
        </w:trPr>
        <w:tc>
          <w:tcPr>
            <w:tcW w:w="1107" w:type="dxa"/>
            <w:tcBorders>
              <w:top w:val="nil"/>
              <w:left w:val="nil"/>
              <w:bottom w:val="nil"/>
              <w:right w:val="nil"/>
            </w:tcBorders>
          </w:tcPr>
          <w:p w:rsidR="00AD368F" w:rsidRPr="00F627B2" w:rsidRDefault="00AD368F">
            <w:pPr>
              <w:spacing w:line="240" w:lineRule="auto"/>
              <w:rPr>
                <w:rFonts w:ascii="Lato" w:hAnsi="Lato"/>
                <w:szCs w:val="22"/>
              </w:rPr>
            </w:pPr>
          </w:p>
        </w:tc>
        <w:tc>
          <w:tcPr>
            <w:tcW w:w="6974" w:type="dxa"/>
            <w:gridSpan w:val="2"/>
            <w:tcBorders>
              <w:top w:val="nil"/>
              <w:left w:val="nil"/>
              <w:bottom w:val="nil"/>
              <w:right w:val="nil"/>
            </w:tcBorders>
          </w:tcPr>
          <w:p w:rsidR="00AD368F" w:rsidRPr="00F627B2" w:rsidRDefault="00AD368F">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AD368F" w:rsidRPr="00F627B2" w:rsidRDefault="00AD368F">
            <w:pPr>
              <w:spacing w:line="240" w:lineRule="auto"/>
              <w:rPr>
                <w:rFonts w:ascii="Lato" w:hAnsi="Lato"/>
                <w:szCs w:val="22"/>
              </w:rPr>
            </w:pPr>
          </w:p>
        </w:tc>
        <w:tc>
          <w:tcPr>
            <w:tcW w:w="236" w:type="dxa"/>
            <w:gridSpan w:val="2"/>
            <w:tcBorders>
              <w:top w:val="nil"/>
              <w:left w:val="nil"/>
              <w:bottom w:val="nil"/>
              <w:right w:val="nil"/>
            </w:tcBorders>
          </w:tcPr>
          <w:p w:rsidR="00AD368F" w:rsidRPr="00F627B2" w:rsidRDefault="00AD368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AD368F" w:rsidRPr="00F627B2" w:rsidRDefault="00AD368F">
            <w:pPr>
              <w:spacing w:line="240" w:lineRule="auto"/>
              <w:rPr>
                <w:rFonts w:ascii="Lato" w:hAnsi="Lato"/>
                <w:szCs w:val="22"/>
              </w:rPr>
            </w:pPr>
          </w:p>
        </w:tc>
        <w:tc>
          <w:tcPr>
            <w:tcW w:w="264" w:type="dxa"/>
            <w:gridSpan w:val="2"/>
            <w:tcBorders>
              <w:top w:val="nil"/>
              <w:left w:val="nil"/>
              <w:bottom w:val="nil"/>
              <w:right w:val="nil"/>
            </w:tcBorders>
          </w:tcPr>
          <w:p w:rsidR="00AD368F" w:rsidRPr="00F627B2" w:rsidRDefault="00AD368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AD368F" w:rsidRPr="00F627B2" w:rsidRDefault="00AD368F">
            <w:pPr>
              <w:spacing w:line="240" w:lineRule="auto"/>
              <w:rPr>
                <w:rFonts w:ascii="Lato" w:hAnsi="Lato"/>
                <w:szCs w:val="22"/>
              </w:rPr>
            </w:pPr>
          </w:p>
        </w:tc>
        <w:tc>
          <w:tcPr>
            <w:tcW w:w="264" w:type="dxa"/>
            <w:gridSpan w:val="4"/>
            <w:tcBorders>
              <w:top w:val="nil"/>
              <w:left w:val="nil"/>
              <w:bottom w:val="nil"/>
              <w:right w:val="nil"/>
            </w:tcBorders>
          </w:tcPr>
          <w:p w:rsidR="00AD368F" w:rsidRPr="00F627B2" w:rsidRDefault="00AD368F">
            <w:pPr>
              <w:spacing w:line="240" w:lineRule="auto"/>
              <w:rPr>
                <w:rFonts w:ascii="Lato" w:hAnsi="Lato"/>
                <w:szCs w:val="22"/>
              </w:rPr>
            </w:pPr>
          </w:p>
        </w:tc>
        <w:tc>
          <w:tcPr>
            <w:tcW w:w="556" w:type="dxa"/>
            <w:gridSpan w:val="2"/>
            <w:tcBorders>
              <w:top w:val="nil"/>
              <w:left w:val="nil"/>
              <w:bottom w:val="nil"/>
              <w:right w:val="nil"/>
            </w:tcBorders>
          </w:tcPr>
          <w:p w:rsidR="00AD368F" w:rsidRPr="00F627B2" w:rsidRDefault="00AD368F">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AD368F" w:rsidRPr="00F627B2" w:rsidRDefault="00CE0866"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9</w:t>
            </w:r>
            <w:r w:rsidRPr="00F627B2">
              <w:rPr>
                <w:rFonts w:ascii="Lato" w:hAnsi="Lato"/>
                <w:szCs w:val="22"/>
              </w:rPr>
              <w:t>.2</w:t>
            </w:r>
          </w:p>
        </w:tc>
        <w:tc>
          <w:tcPr>
            <w:tcW w:w="6974" w:type="dxa"/>
            <w:gridSpan w:val="2"/>
            <w:tcBorders>
              <w:top w:val="nil"/>
              <w:left w:val="nil"/>
              <w:bottom w:val="nil"/>
              <w:right w:val="single" w:sz="4" w:space="0" w:color="auto"/>
            </w:tcBorders>
          </w:tcPr>
          <w:p w:rsidR="00AD368F" w:rsidRPr="00F627B2" w:rsidRDefault="00AD368F">
            <w:pPr>
              <w:spacing w:line="240" w:lineRule="auto"/>
              <w:rPr>
                <w:rFonts w:ascii="Lato" w:hAnsi="Lato"/>
                <w:szCs w:val="22"/>
              </w:rPr>
            </w:pPr>
            <w:r w:rsidRPr="00F627B2">
              <w:rPr>
                <w:rFonts w:ascii="Lato" w:hAnsi="Lato"/>
                <w:szCs w:val="22"/>
              </w:rPr>
              <w:t>Name</w:t>
            </w:r>
          </w:p>
        </w:tc>
        <w:tc>
          <w:tcPr>
            <w:tcW w:w="992" w:type="dxa"/>
            <w:gridSpan w:val="2"/>
            <w:tcBorders>
              <w:top w:val="single" w:sz="4" w:space="0" w:color="auto"/>
              <w:left w:val="single" w:sz="4" w:space="0" w:color="auto"/>
              <w:bottom w:val="single" w:sz="4" w:space="0" w:color="auto"/>
              <w:right w:val="single" w:sz="4" w:space="0" w:color="auto"/>
            </w:tcBorders>
          </w:tcPr>
          <w:p w:rsidR="00AD368F" w:rsidRPr="00F627B2" w:rsidRDefault="00AD368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AD368F" w:rsidRPr="00F627B2" w:rsidRDefault="00AD368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AD368F" w:rsidRPr="00F627B2" w:rsidRDefault="00AD368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AD368F" w:rsidRPr="00F627B2" w:rsidRDefault="00AD368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AD368F" w:rsidRPr="00F627B2" w:rsidRDefault="00AD368F">
            <w:pPr>
              <w:spacing w:line="240" w:lineRule="auto"/>
              <w:rPr>
                <w:rFonts w:ascii="Lato" w:hAnsi="Lato"/>
                <w:szCs w:val="22"/>
              </w:rPr>
            </w:pPr>
          </w:p>
        </w:tc>
        <w:tc>
          <w:tcPr>
            <w:tcW w:w="264" w:type="dxa"/>
            <w:gridSpan w:val="4"/>
            <w:tcBorders>
              <w:top w:val="nil"/>
              <w:left w:val="single" w:sz="4" w:space="0" w:color="auto"/>
              <w:bottom w:val="nil"/>
              <w:right w:val="nil"/>
            </w:tcBorders>
          </w:tcPr>
          <w:p w:rsidR="00AD368F" w:rsidRPr="00F627B2" w:rsidRDefault="00AD368F">
            <w:pPr>
              <w:spacing w:line="240" w:lineRule="auto"/>
              <w:rPr>
                <w:rFonts w:ascii="Lato" w:hAnsi="Lato"/>
                <w:szCs w:val="22"/>
              </w:rPr>
            </w:pPr>
          </w:p>
        </w:tc>
        <w:tc>
          <w:tcPr>
            <w:tcW w:w="556" w:type="dxa"/>
            <w:gridSpan w:val="2"/>
            <w:tcBorders>
              <w:top w:val="nil"/>
              <w:left w:val="nil"/>
              <w:bottom w:val="nil"/>
              <w:right w:val="nil"/>
            </w:tcBorders>
          </w:tcPr>
          <w:p w:rsidR="00AD368F" w:rsidRPr="00F627B2" w:rsidRDefault="00AD368F">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AD368F" w:rsidRPr="00F627B2" w:rsidRDefault="00AD368F">
            <w:pPr>
              <w:spacing w:line="240" w:lineRule="auto"/>
              <w:rPr>
                <w:rFonts w:ascii="Lato" w:hAnsi="Lato"/>
                <w:szCs w:val="22"/>
              </w:rPr>
            </w:pPr>
          </w:p>
        </w:tc>
        <w:tc>
          <w:tcPr>
            <w:tcW w:w="6974" w:type="dxa"/>
            <w:gridSpan w:val="2"/>
            <w:tcBorders>
              <w:top w:val="nil"/>
              <w:left w:val="nil"/>
              <w:bottom w:val="nil"/>
              <w:right w:val="nil"/>
            </w:tcBorders>
          </w:tcPr>
          <w:p w:rsidR="00AD368F" w:rsidRPr="00F627B2" w:rsidRDefault="00AD368F">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AD368F" w:rsidRPr="00F627B2" w:rsidRDefault="00AD368F">
            <w:pPr>
              <w:spacing w:line="240" w:lineRule="auto"/>
              <w:rPr>
                <w:rFonts w:ascii="Lato" w:hAnsi="Lato"/>
                <w:szCs w:val="22"/>
              </w:rPr>
            </w:pPr>
          </w:p>
        </w:tc>
        <w:tc>
          <w:tcPr>
            <w:tcW w:w="236" w:type="dxa"/>
            <w:gridSpan w:val="2"/>
            <w:tcBorders>
              <w:top w:val="nil"/>
              <w:left w:val="nil"/>
              <w:bottom w:val="nil"/>
              <w:right w:val="nil"/>
            </w:tcBorders>
          </w:tcPr>
          <w:p w:rsidR="00AD368F" w:rsidRPr="00F627B2" w:rsidRDefault="00AD368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AD368F" w:rsidRPr="00F627B2" w:rsidRDefault="00AD368F">
            <w:pPr>
              <w:spacing w:line="240" w:lineRule="auto"/>
              <w:rPr>
                <w:rFonts w:ascii="Lato" w:hAnsi="Lato"/>
                <w:szCs w:val="22"/>
              </w:rPr>
            </w:pPr>
          </w:p>
        </w:tc>
        <w:tc>
          <w:tcPr>
            <w:tcW w:w="264" w:type="dxa"/>
            <w:gridSpan w:val="2"/>
            <w:tcBorders>
              <w:top w:val="nil"/>
              <w:left w:val="nil"/>
              <w:bottom w:val="nil"/>
              <w:right w:val="nil"/>
            </w:tcBorders>
          </w:tcPr>
          <w:p w:rsidR="00AD368F" w:rsidRPr="00F627B2" w:rsidRDefault="00AD368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AD368F" w:rsidRPr="00F627B2" w:rsidRDefault="00AD368F">
            <w:pPr>
              <w:spacing w:line="240" w:lineRule="auto"/>
              <w:rPr>
                <w:rFonts w:ascii="Lato" w:hAnsi="Lato"/>
                <w:szCs w:val="22"/>
              </w:rPr>
            </w:pPr>
          </w:p>
        </w:tc>
        <w:tc>
          <w:tcPr>
            <w:tcW w:w="264" w:type="dxa"/>
            <w:gridSpan w:val="4"/>
            <w:tcBorders>
              <w:top w:val="nil"/>
              <w:left w:val="nil"/>
              <w:bottom w:val="nil"/>
              <w:right w:val="nil"/>
            </w:tcBorders>
          </w:tcPr>
          <w:p w:rsidR="00AD368F" w:rsidRPr="00F627B2" w:rsidRDefault="00AD368F">
            <w:pPr>
              <w:spacing w:line="240" w:lineRule="auto"/>
              <w:rPr>
                <w:rFonts w:ascii="Lato" w:hAnsi="Lato"/>
                <w:szCs w:val="22"/>
              </w:rPr>
            </w:pPr>
          </w:p>
        </w:tc>
        <w:tc>
          <w:tcPr>
            <w:tcW w:w="556" w:type="dxa"/>
            <w:gridSpan w:val="2"/>
            <w:tcBorders>
              <w:top w:val="nil"/>
              <w:left w:val="nil"/>
              <w:bottom w:val="nil"/>
              <w:right w:val="nil"/>
            </w:tcBorders>
          </w:tcPr>
          <w:p w:rsidR="00AD368F" w:rsidRPr="00F627B2" w:rsidRDefault="00AD368F">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CE0866" w:rsidRPr="00F627B2" w:rsidRDefault="00CE0866"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9</w:t>
            </w:r>
            <w:r w:rsidRPr="00F627B2">
              <w:rPr>
                <w:rFonts w:ascii="Lato" w:hAnsi="Lato"/>
                <w:szCs w:val="22"/>
              </w:rPr>
              <w:t>.3</w:t>
            </w:r>
          </w:p>
        </w:tc>
        <w:tc>
          <w:tcPr>
            <w:tcW w:w="6974" w:type="dxa"/>
            <w:gridSpan w:val="2"/>
            <w:tcBorders>
              <w:top w:val="nil"/>
              <w:left w:val="nil"/>
              <w:bottom w:val="nil"/>
              <w:right w:val="single" w:sz="4" w:space="0" w:color="auto"/>
            </w:tcBorders>
          </w:tcPr>
          <w:p w:rsidR="00CE0866" w:rsidRPr="00F627B2" w:rsidRDefault="00CE0866">
            <w:pPr>
              <w:spacing w:line="240" w:lineRule="auto"/>
              <w:rPr>
                <w:rFonts w:ascii="Lato" w:hAnsi="Lato"/>
                <w:szCs w:val="22"/>
              </w:rPr>
            </w:pPr>
            <w:r w:rsidRPr="00F627B2">
              <w:rPr>
                <w:rFonts w:ascii="Lato" w:hAnsi="Lato"/>
                <w:szCs w:val="22"/>
              </w:rPr>
              <w:t>Address</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F627B2"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F627B2"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CE0866" w:rsidRPr="00F627B2"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CE0866" w:rsidRPr="00F627B2"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CE0866" w:rsidRPr="00F627B2"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CE0866" w:rsidRPr="00F627B2"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CE0866" w:rsidRPr="00F627B2" w:rsidRDefault="00CE0866"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9</w:t>
            </w:r>
            <w:r w:rsidRPr="00F627B2">
              <w:rPr>
                <w:rFonts w:ascii="Lato" w:hAnsi="Lato"/>
                <w:szCs w:val="22"/>
              </w:rPr>
              <w:t>.4</w:t>
            </w:r>
          </w:p>
        </w:tc>
        <w:tc>
          <w:tcPr>
            <w:tcW w:w="6974" w:type="dxa"/>
            <w:gridSpan w:val="2"/>
            <w:tcBorders>
              <w:top w:val="nil"/>
              <w:left w:val="nil"/>
              <w:bottom w:val="nil"/>
              <w:right w:val="single" w:sz="4" w:space="0" w:color="auto"/>
            </w:tcBorders>
          </w:tcPr>
          <w:p w:rsidR="00CE0866" w:rsidRPr="00F627B2" w:rsidRDefault="00CE0866">
            <w:pPr>
              <w:spacing w:line="240" w:lineRule="auto"/>
              <w:rPr>
                <w:rFonts w:ascii="Lato" w:hAnsi="Lato"/>
                <w:szCs w:val="22"/>
              </w:rPr>
            </w:pPr>
            <w:r w:rsidRPr="00F627B2">
              <w:rPr>
                <w:rFonts w:ascii="Lato" w:hAnsi="Lato"/>
                <w:szCs w:val="22"/>
              </w:rPr>
              <w:t>Main Activity</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F627B2"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F627B2"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CE0866" w:rsidRPr="00F627B2"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CE0866" w:rsidRPr="00F627B2"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CE0866" w:rsidRPr="00F627B2"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CE0866" w:rsidRPr="00F627B2"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CE0866" w:rsidRPr="00F627B2" w:rsidRDefault="00CE0866"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9</w:t>
            </w:r>
            <w:r w:rsidRPr="00F627B2">
              <w:rPr>
                <w:rFonts w:ascii="Lato" w:hAnsi="Lato"/>
                <w:szCs w:val="22"/>
              </w:rPr>
              <w:t>.5</w:t>
            </w:r>
          </w:p>
        </w:tc>
        <w:tc>
          <w:tcPr>
            <w:tcW w:w="6974" w:type="dxa"/>
            <w:gridSpan w:val="2"/>
            <w:tcBorders>
              <w:top w:val="nil"/>
              <w:left w:val="nil"/>
              <w:bottom w:val="nil"/>
              <w:right w:val="single" w:sz="4" w:space="0" w:color="auto"/>
            </w:tcBorders>
          </w:tcPr>
          <w:p w:rsidR="00CE0866" w:rsidRPr="00F627B2" w:rsidRDefault="003644B5" w:rsidP="00D92B51">
            <w:pPr>
              <w:spacing w:line="240" w:lineRule="auto"/>
              <w:rPr>
                <w:rFonts w:ascii="Lato" w:hAnsi="Lato"/>
                <w:szCs w:val="22"/>
              </w:rPr>
            </w:pPr>
            <w:r w:rsidRPr="00F627B2">
              <w:rPr>
                <w:rFonts w:ascii="Lato" w:hAnsi="Lato"/>
                <w:szCs w:val="22"/>
              </w:rPr>
              <w:t>D</w:t>
            </w:r>
            <w:r w:rsidR="00CE0866" w:rsidRPr="00F627B2">
              <w:rPr>
                <w:rFonts w:ascii="Lato" w:hAnsi="Lato"/>
                <w:szCs w:val="22"/>
              </w:rPr>
              <w:t xml:space="preserve">isclose the other </w:t>
            </w:r>
            <w:r w:rsidRPr="00F627B2">
              <w:rPr>
                <w:rFonts w:ascii="Lato" w:hAnsi="Lato"/>
                <w:szCs w:val="22"/>
              </w:rPr>
              <w:t>significant activities</w:t>
            </w:r>
            <w:r w:rsidR="003D0FCC" w:rsidRPr="00F627B2">
              <w:rPr>
                <w:rFonts w:ascii="Lato" w:hAnsi="Lato"/>
                <w:szCs w:val="22"/>
              </w:rPr>
              <w:t xml:space="preserve"> engaged in by the AIFM and</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F627B2"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F627B2"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CE0866" w:rsidRPr="00F627B2"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F627B2" w:rsidRDefault="003644B5" w:rsidP="003D0FCC">
            <w:pPr>
              <w:spacing w:line="240" w:lineRule="auto"/>
              <w:rPr>
                <w:rFonts w:ascii="Lato" w:hAnsi="Lato"/>
                <w:szCs w:val="22"/>
              </w:rPr>
            </w:pPr>
            <w:r w:rsidRPr="00F627B2">
              <w:rPr>
                <w:rFonts w:ascii="Lato" w:hAnsi="Lato"/>
                <w:szCs w:val="22"/>
              </w:rPr>
              <w:t>any entity performing investment management functions on its behalf</w:t>
            </w:r>
          </w:p>
        </w:tc>
        <w:tc>
          <w:tcPr>
            <w:tcW w:w="992" w:type="dxa"/>
            <w:gridSpan w:val="2"/>
            <w:tcBorders>
              <w:top w:val="single" w:sz="4" w:space="0" w:color="auto"/>
              <w:left w:val="nil"/>
              <w:bottom w:val="nil"/>
              <w:right w:val="nil"/>
            </w:tcBorders>
          </w:tcPr>
          <w:p w:rsidR="00CE0866" w:rsidRPr="00F627B2"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709" w:type="dxa"/>
            <w:gridSpan w:val="3"/>
            <w:tcBorders>
              <w:top w:val="single" w:sz="4" w:space="0" w:color="auto"/>
              <w:left w:val="nil"/>
              <w:bottom w:val="nil"/>
              <w:right w:val="nil"/>
            </w:tcBorders>
          </w:tcPr>
          <w:p w:rsidR="00CE0866" w:rsidRPr="00F627B2"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455" w:type="dxa"/>
            <w:gridSpan w:val="2"/>
            <w:tcBorders>
              <w:top w:val="single" w:sz="4" w:space="0" w:color="auto"/>
              <w:left w:val="nil"/>
              <w:bottom w:val="nil"/>
              <w:right w:val="nil"/>
            </w:tcBorders>
          </w:tcPr>
          <w:p w:rsidR="00CE0866" w:rsidRPr="00F627B2"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F2482E" w:rsidRPr="00F627B2"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F627B2" w:rsidRDefault="00F2482E">
            <w:pPr>
              <w:spacing w:line="240" w:lineRule="auto"/>
              <w:rPr>
                <w:rFonts w:ascii="Lato" w:hAnsi="Lato"/>
                <w:szCs w:val="22"/>
              </w:rPr>
            </w:pPr>
          </w:p>
        </w:tc>
        <w:tc>
          <w:tcPr>
            <w:tcW w:w="992" w:type="dxa"/>
            <w:gridSpan w:val="2"/>
            <w:tcBorders>
              <w:top w:val="nil"/>
              <w:left w:val="nil"/>
              <w:bottom w:val="single" w:sz="4" w:space="0" w:color="auto"/>
              <w:right w:val="nil"/>
            </w:tcBorders>
          </w:tcPr>
          <w:p w:rsidR="00F2482E" w:rsidRPr="00F627B2"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F627B2" w:rsidRDefault="00F2482E">
            <w:pPr>
              <w:spacing w:line="240" w:lineRule="auto"/>
              <w:rPr>
                <w:rFonts w:ascii="Lato" w:hAnsi="Lato"/>
                <w:szCs w:val="22"/>
              </w:rPr>
            </w:pPr>
          </w:p>
        </w:tc>
        <w:tc>
          <w:tcPr>
            <w:tcW w:w="709" w:type="dxa"/>
            <w:gridSpan w:val="3"/>
            <w:tcBorders>
              <w:top w:val="nil"/>
              <w:left w:val="nil"/>
              <w:bottom w:val="single" w:sz="4" w:space="0" w:color="auto"/>
              <w:right w:val="nil"/>
            </w:tcBorders>
          </w:tcPr>
          <w:p w:rsidR="00F2482E" w:rsidRPr="00F627B2" w:rsidRDefault="00F2482E">
            <w:pPr>
              <w:spacing w:line="240" w:lineRule="auto"/>
              <w:rPr>
                <w:rFonts w:ascii="Lato" w:hAnsi="Lato"/>
                <w:szCs w:val="22"/>
              </w:rPr>
            </w:pPr>
          </w:p>
        </w:tc>
        <w:tc>
          <w:tcPr>
            <w:tcW w:w="264" w:type="dxa"/>
            <w:gridSpan w:val="2"/>
            <w:tcBorders>
              <w:top w:val="nil"/>
              <w:left w:val="nil"/>
              <w:bottom w:val="nil"/>
              <w:right w:val="nil"/>
            </w:tcBorders>
          </w:tcPr>
          <w:p w:rsidR="00F2482E" w:rsidRPr="00F627B2" w:rsidRDefault="00F2482E">
            <w:pPr>
              <w:spacing w:line="240" w:lineRule="auto"/>
              <w:rPr>
                <w:rFonts w:ascii="Lato" w:hAnsi="Lato"/>
                <w:szCs w:val="22"/>
              </w:rPr>
            </w:pPr>
          </w:p>
        </w:tc>
        <w:tc>
          <w:tcPr>
            <w:tcW w:w="455" w:type="dxa"/>
            <w:gridSpan w:val="2"/>
            <w:tcBorders>
              <w:top w:val="nil"/>
              <w:left w:val="nil"/>
              <w:bottom w:val="single" w:sz="4" w:space="0" w:color="auto"/>
              <w:right w:val="nil"/>
            </w:tcBorders>
          </w:tcPr>
          <w:p w:rsidR="00F2482E" w:rsidRPr="00F627B2" w:rsidRDefault="00F2482E">
            <w:pPr>
              <w:spacing w:line="240" w:lineRule="auto"/>
              <w:rPr>
                <w:rFonts w:ascii="Lato" w:hAnsi="Lato"/>
                <w:szCs w:val="22"/>
              </w:rPr>
            </w:pPr>
          </w:p>
        </w:tc>
        <w:tc>
          <w:tcPr>
            <w:tcW w:w="264" w:type="dxa"/>
            <w:gridSpan w:val="4"/>
            <w:tcBorders>
              <w:top w:val="nil"/>
              <w:left w:val="nil"/>
              <w:bottom w:val="nil"/>
              <w:right w:val="nil"/>
            </w:tcBorders>
          </w:tcPr>
          <w:p w:rsidR="00F2482E" w:rsidRPr="00F627B2" w:rsidRDefault="00F2482E">
            <w:pPr>
              <w:spacing w:line="240" w:lineRule="auto"/>
              <w:rPr>
                <w:rFonts w:ascii="Lato" w:hAnsi="Lato"/>
                <w:szCs w:val="22"/>
              </w:rPr>
            </w:pPr>
          </w:p>
        </w:tc>
        <w:tc>
          <w:tcPr>
            <w:tcW w:w="556" w:type="dxa"/>
            <w:gridSpan w:val="2"/>
            <w:tcBorders>
              <w:top w:val="nil"/>
              <w:left w:val="nil"/>
              <w:bottom w:val="nil"/>
              <w:right w:val="nil"/>
            </w:tcBorders>
          </w:tcPr>
          <w:p w:rsidR="00F2482E" w:rsidRPr="00F627B2" w:rsidRDefault="00F2482E">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F2482E" w:rsidRPr="00F627B2" w:rsidRDefault="00F2482E"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9</w:t>
            </w:r>
            <w:r w:rsidRPr="00F627B2">
              <w:rPr>
                <w:rFonts w:ascii="Lato" w:hAnsi="Lato"/>
                <w:szCs w:val="22"/>
              </w:rPr>
              <w:t>.6</w:t>
            </w:r>
          </w:p>
        </w:tc>
        <w:tc>
          <w:tcPr>
            <w:tcW w:w="6974" w:type="dxa"/>
            <w:gridSpan w:val="2"/>
            <w:tcBorders>
              <w:top w:val="nil"/>
              <w:left w:val="nil"/>
              <w:bottom w:val="nil"/>
              <w:right w:val="single" w:sz="4" w:space="0" w:color="auto"/>
            </w:tcBorders>
          </w:tcPr>
          <w:p w:rsidR="00F2482E" w:rsidRPr="00F627B2" w:rsidRDefault="00F2482E" w:rsidP="003644B5">
            <w:pPr>
              <w:spacing w:line="240" w:lineRule="auto"/>
              <w:rPr>
                <w:rFonts w:ascii="Lato" w:hAnsi="Lato"/>
                <w:szCs w:val="22"/>
              </w:rPr>
            </w:pPr>
            <w:r w:rsidRPr="00F627B2">
              <w:rPr>
                <w:rFonts w:ascii="Lato" w:hAnsi="Lato"/>
                <w:szCs w:val="22"/>
              </w:rPr>
              <w:t xml:space="preserve">Disclose </w:t>
            </w:r>
            <w:r w:rsidR="003644B5" w:rsidRPr="00F627B2">
              <w:rPr>
                <w:rFonts w:ascii="Lato" w:hAnsi="Lato"/>
                <w:szCs w:val="22"/>
              </w:rPr>
              <w:t xml:space="preserve">details of </w:t>
            </w:r>
            <w:r w:rsidRPr="00F627B2">
              <w:rPr>
                <w:rFonts w:ascii="Lato" w:hAnsi="Lato"/>
                <w:szCs w:val="22"/>
              </w:rPr>
              <w:t xml:space="preserve">the investment adviser </w:t>
            </w:r>
            <w:r w:rsidR="003644B5" w:rsidRPr="00F627B2">
              <w:rPr>
                <w:rFonts w:ascii="Lato" w:hAnsi="Lato"/>
                <w:szCs w:val="22"/>
              </w:rPr>
              <w:t>where</w:t>
            </w:r>
            <w:r w:rsidRPr="00F627B2">
              <w:rPr>
                <w:rFonts w:ascii="Lato" w:hAnsi="Lato"/>
                <w:szCs w:val="22"/>
              </w:rPr>
              <w:t xml:space="preserve"> </w:t>
            </w:r>
            <w:r w:rsidR="003D0FCC" w:rsidRPr="00F627B2">
              <w:rPr>
                <w:rFonts w:ascii="Lato" w:hAnsi="Lato"/>
                <w:szCs w:val="22"/>
              </w:rPr>
              <w:t>that adviser is</w:t>
            </w:r>
          </w:p>
        </w:tc>
        <w:tc>
          <w:tcPr>
            <w:tcW w:w="992" w:type="dxa"/>
            <w:gridSpan w:val="2"/>
            <w:tcBorders>
              <w:top w:val="single" w:sz="4" w:space="0" w:color="auto"/>
              <w:left w:val="single" w:sz="4" w:space="0" w:color="auto"/>
              <w:bottom w:val="single" w:sz="4" w:space="0" w:color="auto"/>
              <w:right w:val="single" w:sz="4" w:space="0" w:color="auto"/>
            </w:tcBorders>
          </w:tcPr>
          <w:p w:rsidR="00F2482E" w:rsidRPr="00F627B2" w:rsidRDefault="00F2482E">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F2482E" w:rsidRPr="00F627B2" w:rsidRDefault="00F2482E">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F2482E" w:rsidRPr="00F627B2" w:rsidRDefault="00F2482E">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F2482E" w:rsidRPr="00F627B2" w:rsidRDefault="00F2482E">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F2482E" w:rsidRPr="00F627B2" w:rsidRDefault="00F2482E">
            <w:pPr>
              <w:spacing w:line="240" w:lineRule="auto"/>
              <w:rPr>
                <w:rFonts w:ascii="Lato" w:hAnsi="Lato"/>
                <w:szCs w:val="22"/>
              </w:rPr>
            </w:pPr>
          </w:p>
        </w:tc>
        <w:tc>
          <w:tcPr>
            <w:tcW w:w="264" w:type="dxa"/>
            <w:gridSpan w:val="4"/>
            <w:tcBorders>
              <w:top w:val="nil"/>
              <w:left w:val="single" w:sz="4" w:space="0" w:color="auto"/>
              <w:bottom w:val="nil"/>
              <w:right w:val="nil"/>
            </w:tcBorders>
          </w:tcPr>
          <w:p w:rsidR="00F2482E" w:rsidRPr="00F627B2" w:rsidRDefault="00F2482E">
            <w:pPr>
              <w:spacing w:line="240" w:lineRule="auto"/>
              <w:rPr>
                <w:rFonts w:ascii="Lato" w:hAnsi="Lato"/>
                <w:szCs w:val="22"/>
              </w:rPr>
            </w:pPr>
          </w:p>
        </w:tc>
        <w:tc>
          <w:tcPr>
            <w:tcW w:w="556" w:type="dxa"/>
            <w:gridSpan w:val="2"/>
            <w:tcBorders>
              <w:top w:val="nil"/>
              <w:left w:val="nil"/>
              <w:bottom w:val="nil"/>
              <w:right w:val="nil"/>
            </w:tcBorders>
          </w:tcPr>
          <w:p w:rsidR="00F2482E" w:rsidRPr="00F627B2" w:rsidRDefault="00F2482E">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F2482E" w:rsidRPr="00F627B2"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F627B2" w:rsidRDefault="003644B5">
            <w:pPr>
              <w:spacing w:line="240" w:lineRule="auto"/>
              <w:rPr>
                <w:rFonts w:ascii="Lato" w:hAnsi="Lato"/>
                <w:szCs w:val="22"/>
              </w:rPr>
            </w:pPr>
            <w:r w:rsidRPr="00F627B2">
              <w:rPr>
                <w:rFonts w:ascii="Lato" w:hAnsi="Lato"/>
                <w:szCs w:val="22"/>
              </w:rPr>
              <w:t>appointed directly by the Retail Investor AIF</w:t>
            </w:r>
          </w:p>
        </w:tc>
        <w:tc>
          <w:tcPr>
            <w:tcW w:w="992" w:type="dxa"/>
            <w:gridSpan w:val="2"/>
            <w:tcBorders>
              <w:top w:val="single" w:sz="4" w:space="0" w:color="auto"/>
              <w:left w:val="nil"/>
              <w:bottom w:val="nil"/>
              <w:right w:val="nil"/>
            </w:tcBorders>
          </w:tcPr>
          <w:p w:rsidR="00F2482E" w:rsidRPr="00F627B2"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F627B2" w:rsidRDefault="00F2482E">
            <w:pPr>
              <w:spacing w:line="240" w:lineRule="auto"/>
              <w:rPr>
                <w:rFonts w:ascii="Lato" w:hAnsi="Lato"/>
                <w:szCs w:val="22"/>
              </w:rPr>
            </w:pPr>
          </w:p>
        </w:tc>
        <w:tc>
          <w:tcPr>
            <w:tcW w:w="709" w:type="dxa"/>
            <w:gridSpan w:val="3"/>
            <w:tcBorders>
              <w:top w:val="single" w:sz="4" w:space="0" w:color="auto"/>
              <w:left w:val="nil"/>
              <w:bottom w:val="nil"/>
              <w:right w:val="nil"/>
            </w:tcBorders>
          </w:tcPr>
          <w:p w:rsidR="00F2482E" w:rsidRPr="00F627B2" w:rsidRDefault="00F2482E">
            <w:pPr>
              <w:spacing w:line="240" w:lineRule="auto"/>
              <w:rPr>
                <w:rFonts w:ascii="Lato" w:hAnsi="Lato"/>
                <w:szCs w:val="22"/>
              </w:rPr>
            </w:pPr>
          </w:p>
        </w:tc>
        <w:tc>
          <w:tcPr>
            <w:tcW w:w="264" w:type="dxa"/>
            <w:gridSpan w:val="2"/>
            <w:tcBorders>
              <w:top w:val="nil"/>
              <w:left w:val="nil"/>
              <w:bottom w:val="nil"/>
              <w:right w:val="nil"/>
            </w:tcBorders>
          </w:tcPr>
          <w:p w:rsidR="00F2482E" w:rsidRPr="00F627B2" w:rsidRDefault="00F2482E">
            <w:pPr>
              <w:spacing w:line="240" w:lineRule="auto"/>
              <w:rPr>
                <w:rFonts w:ascii="Lato" w:hAnsi="Lato"/>
                <w:szCs w:val="22"/>
              </w:rPr>
            </w:pPr>
          </w:p>
        </w:tc>
        <w:tc>
          <w:tcPr>
            <w:tcW w:w="455" w:type="dxa"/>
            <w:gridSpan w:val="2"/>
            <w:tcBorders>
              <w:top w:val="single" w:sz="4" w:space="0" w:color="auto"/>
              <w:left w:val="nil"/>
              <w:bottom w:val="nil"/>
              <w:right w:val="nil"/>
            </w:tcBorders>
          </w:tcPr>
          <w:p w:rsidR="00F2482E" w:rsidRPr="00F627B2" w:rsidRDefault="00F2482E">
            <w:pPr>
              <w:spacing w:line="240" w:lineRule="auto"/>
              <w:rPr>
                <w:rFonts w:ascii="Lato" w:hAnsi="Lato"/>
                <w:szCs w:val="22"/>
              </w:rPr>
            </w:pPr>
          </w:p>
        </w:tc>
        <w:tc>
          <w:tcPr>
            <w:tcW w:w="264" w:type="dxa"/>
            <w:gridSpan w:val="4"/>
            <w:tcBorders>
              <w:top w:val="nil"/>
              <w:left w:val="nil"/>
              <w:bottom w:val="nil"/>
              <w:right w:val="nil"/>
            </w:tcBorders>
          </w:tcPr>
          <w:p w:rsidR="00F2482E" w:rsidRPr="00F627B2" w:rsidRDefault="00F2482E">
            <w:pPr>
              <w:spacing w:line="240" w:lineRule="auto"/>
              <w:rPr>
                <w:rFonts w:ascii="Lato" w:hAnsi="Lato"/>
                <w:szCs w:val="22"/>
              </w:rPr>
            </w:pPr>
          </w:p>
        </w:tc>
        <w:tc>
          <w:tcPr>
            <w:tcW w:w="556" w:type="dxa"/>
            <w:gridSpan w:val="2"/>
            <w:tcBorders>
              <w:top w:val="nil"/>
              <w:left w:val="nil"/>
              <w:bottom w:val="nil"/>
              <w:right w:val="nil"/>
            </w:tcBorders>
          </w:tcPr>
          <w:p w:rsidR="00F2482E" w:rsidRPr="00F627B2" w:rsidRDefault="00F2482E">
            <w:pPr>
              <w:spacing w:line="240" w:lineRule="auto"/>
              <w:rPr>
                <w:rFonts w:ascii="Lato" w:hAnsi="Lato"/>
                <w:szCs w:val="22"/>
              </w:rPr>
            </w:pPr>
          </w:p>
        </w:tc>
      </w:tr>
      <w:tr w:rsidR="00FE342F" w:rsidRPr="00F627B2" w:rsidTr="00F627B2">
        <w:trPr>
          <w:gridAfter w:val="2"/>
          <w:wAfter w:w="3800" w:type="dxa"/>
        </w:trPr>
        <w:tc>
          <w:tcPr>
            <w:tcW w:w="1107" w:type="dxa"/>
            <w:tcBorders>
              <w:top w:val="nil"/>
              <w:left w:val="nil"/>
              <w:bottom w:val="nil"/>
              <w:right w:val="nil"/>
            </w:tcBorders>
          </w:tcPr>
          <w:p w:rsidR="00FE342F" w:rsidRPr="00F627B2"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F627B2" w:rsidRDefault="00FE342F">
            <w:pPr>
              <w:spacing w:line="240" w:lineRule="auto"/>
              <w:rPr>
                <w:rFonts w:ascii="Lato" w:hAnsi="Lato"/>
                <w:szCs w:val="22"/>
              </w:rPr>
            </w:pPr>
          </w:p>
        </w:tc>
        <w:tc>
          <w:tcPr>
            <w:tcW w:w="992" w:type="dxa"/>
            <w:gridSpan w:val="2"/>
            <w:tcBorders>
              <w:top w:val="nil"/>
              <w:left w:val="nil"/>
              <w:bottom w:val="nil"/>
              <w:right w:val="nil"/>
            </w:tcBorders>
          </w:tcPr>
          <w:p w:rsidR="00FE342F" w:rsidRPr="00F627B2"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F627B2" w:rsidRDefault="00FE342F">
            <w:pPr>
              <w:spacing w:line="240" w:lineRule="auto"/>
              <w:rPr>
                <w:rFonts w:ascii="Lato" w:hAnsi="Lato"/>
                <w:szCs w:val="22"/>
              </w:rPr>
            </w:pPr>
          </w:p>
        </w:tc>
        <w:tc>
          <w:tcPr>
            <w:tcW w:w="709" w:type="dxa"/>
            <w:gridSpan w:val="3"/>
            <w:tcBorders>
              <w:top w:val="nil"/>
              <w:left w:val="nil"/>
              <w:bottom w:val="nil"/>
              <w:right w:val="nil"/>
            </w:tcBorders>
          </w:tcPr>
          <w:p w:rsidR="00FE342F" w:rsidRPr="00F627B2"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F627B2" w:rsidRDefault="00FE342F">
            <w:pPr>
              <w:spacing w:line="240" w:lineRule="auto"/>
              <w:rPr>
                <w:rFonts w:ascii="Lato" w:hAnsi="Lato"/>
                <w:szCs w:val="22"/>
              </w:rPr>
            </w:pPr>
          </w:p>
        </w:tc>
        <w:tc>
          <w:tcPr>
            <w:tcW w:w="455" w:type="dxa"/>
            <w:gridSpan w:val="2"/>
            <w:tcBorders>
              <w:top w:val="nil"/>
              <w:left w:val="nil"/>
              <w:bottom w:val="nil"/>
              <w:right w:val="nil"/>
            </w:tcBorders>
          </w:tcPr>
          <w:p w:rsidR="00FE342F" w:rsidRPr="00F627B2"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F627B2"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F627B2" w:rsidRDefault="00FE342F">
            <w:pPr>
              <w:spacing w:line="240" w:lineRule="auto"/>
              <w:rPr>
                <w:rFonts w:ascii="Lato" w:hAnsi="Lato"/>
                <w:szCs w:val="22"/>
              </w:rPr>
            </w:pPr>
          </w:p>
        </w:tc>
      </w:tr>
      <w:tr w:rsidR="00FE342F" w:rsidRPr="00F627B2" w:rsidTr="00F627B2">
        <w:trPr>
          <w:gridAfter w:val="2"/>
          <w:wAfter w:w="3800" w:type="dxa"/>
        </w:trPr>
        <w:tc>
          <w:tcPr>
            <w:tcW w:w="1107" w:type="dxa"/>
            <w:tcBorders>
              <w:top w:val="nil"/>
              <w:left w:val="nil"/>
              <w:bottom w:val="nil"/>
              <w:right w:val="nil"/>
            </w:tcBorders>
          </w:tcPr>
          <w:p w:rsidR="00FE342F" w:rsidRPr="00F627B2"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F627B2" w:rsidRDefault="00FE342F">
            <w:pPr>
              <w:spacing w:line="240" w:lineRule="auto"/>
              <w:rPr>
                <w:rFonts w:ascii="Lato" w:hAnsi="Lato"/>
                <w:szCs w:val="22"/>
              </w:rPr>
            </w:pPr>
            <w:r w:rsidRPr="00F627B2">
              <w:rPr>
                <w:rFonts w:ascii="Lato" w:hAnsi="Lato"/>
                <w:szCs w:val="22"/>
              </w:rPr>
              <w:t>Delegation</w:t>
            </w:r>
          </w:p>
        </w:tc>
        <w:tc>
          <w:tcPr>
            <w:tcW w:w="992" w:type="dxa"/>
            <w:gridSpan w:val="2"/>
            <w:tcBorders>
              <w:top w:val="nil"/>
              <w:left w:val="nil"/>
              <w:bottom w:val="single" w:sz="4" w:space="0" w:color="auto"/>
              <w:right w:val="nil"/>
            </w:tcBorders>
          </w:tcPr>
          <w:p w:rsidR="00FE342F" w:rsidRPr="00F627B2"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F627B2" w:rsidRDefault="00FE342F">
            <w:pPr>
              <w:spacing w:line="240" w:lineRule="auto"/>
              <w:rPr>
                <w:rFonts w:ascii="Lato" w:hAnsi="Lato"/>
                <w:szCs w:val="22"/>
              </w:rPr>
            </w:pPr>
          </w:p>
        </w:tc>
        <w:tc>
          <w:tcPr>
            <w:tcW w:w="709" w:type="dxa"/>
            <w:gridSpan w:val="3"/>
            <w:tcBorders>
              <w:top w:val="nil"/>
              <w:left w:val="nil"/>
              <w:bottom w:val="single" w:sz="4" w:space="0" w:color="auto"/>
              <w:right w:val="nil"/>
            </w:tcBorders>
          </w:tcPr>
          <w:p w:rsidR="00FE342F" w:rsidRPr="00F627B2"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F627B2" w:rsidRDefault="00FE342F">
            <w:pPr>
              <w:spacing w:line="240" w:lineRule="auto"/>
              <w:rPr>
                <w:rFonts w:ascii="Lato" w:hAnsi="Lato"/>
                <w:szCs w:val="22"/>
              </w:rPr>
            </w:pPr>
          </w:p>
        </w:tc>
        <w:tc>
          <w:tcPr>
            <w:tcW w:w="455" w:type="dxa"/>
            <w:gridSpan w:val="2"/>
            <w:tcBorders>
              <w:top w:val="nil"/>
              <w:left w:val="nil"/>
              <w:bottom w:val="single" w:sz="4" w:space="0" w:color="auto"/>
              <w:right w:val="nil"/>
            </w:tcBorders>
          </w:tcPr>
          <w:p w:rsidR="00FE342F" w:rsidRPr="00F627B2"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F627B2"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F627B2" w:rsidRDefault="00FE342F">
            <w:pPr>
              <w:spacing w:line="240" w:lineRule="auto"/>
              <w:rPr>
                <w:rFonts w:ascii="Lato" w:hAnsi="Lato"/>
                <w:szCs w:val="22"/>
              </w:rPr>
            </w:pPr>
          </w:p>
        </w:tc>
      </w:tr>
      <w:tr w:rsidR="00FE342F" w:rsidRPr="00F627B2" w:rsidTr="00F627B2">
        <w:trPr>
          <w:gridAfter w:val="2"/>
          <w:wAfter w:w="3800" w:type="dxa"/>
        </w:trPr>
        <w:tc>
          <w:tcPr>
            <w:tcW w:w="1107" w:type="dxa"/>
            <w:tcBorders>
              <w:top w:val="nil"/>
              <w:left w:val="nil"/>
              <w:bottom w:val="nil"/>
              <w:right w:val="nil"/>
            </w:tcBorders>
          </w:tcPr>
          <w:p w:rsidR="00FE342F" w:rsidRPr="00F627B2" w:rsidRDefault="00FE342F">
            <w:pPr>
              <w:spacing w:line="240" w:lineRule="auto"/>
              <w:rPr>
                <w:rFonts w:ascii="Lato" w:hAnsi="Lato"/>
                <w:szCs w:val="22"/>
              </w:rPr>
            </w:pPr>
            <w:r w:rsidRPr="00F627B2">
              <w:rPr>
                <w:rFonts w:ascii="Lato" w:hAnsi="Lato"/>
                <w:szCs w:val="22"/>
              </w:rPr>
              <w:t>2.9.7</w:t>
            </w:r>
          </w:p>
        </w:tc>
        <w:tc>
          <w:tcPr>
            <w:tcW w:w="6974" w:type="dxa"/>
            <w:gridSpan w:val="2"/>
            <w:tcBorders>
              <w:top w:val="nil"/>
              <w:left w:val="nil"/>
              <w:bottom w:val="nil"/>
              <w:right w:val="single" w:sz="4" w:space="0" w:color="auto"/>
            </w:tcBorders>
          </w:tcPr>
          <w:p w:rsidR="00FE342F" w:rsidRPr="00F627B2" w:rsidRDefault="00FE342F" w:rsidP="00F627B2">
            <w:pPr>
              <w:spacing w:line="240" w:lineRule="auto"/>
              <w:rPr>
                <w:rFonts w:ascii="Lato" w:hAnsi="Lato"/>
                <w:szCs w:val="22"/>
              </w:rPr>
            </w:pPr>
            <w:r w:rsidRPr="00F627B2">
              <w:rPr>
                <w:rFonts w:ascii="Lato" w:hAnsi="Lato"/>
                <w:szCs w:val="22"/>
              </w:rPr>
              <w:t xml:space="preserve">Insert a description of any delegated management function as referred </w:t>
            </w:r>
          </w:p>
        </w:tc>
        <w:tc>
          <w:tcPr>
            <w:tcW w:w="992" w:type="dxa"/>
            <w:gridSpan w:val="2"/>
            <w:tcBorders>
              <w:top w:val="single" w:sz="4" w:space="0" w:color="auto"/>
              <w:left w:val="single" w:sz="4" w:space="0" w:color="auto"/>
              <w:bottom w:val="single" w:sz="4" w:space="0" w:color="auto"/>
              <w:right w:val="single" w:sz="4" w:space="0" w:color="auto"/>
            </w:tcBorders>
          </w:tcPr>
          <w:p w:rsidR="00FE342F" w:rsidRPr="00F627B2" w:rsidRDefault="00FE342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FE342F" w:rsidRPr="00F627B2" w:rsidRDefault="00FE342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FE342F" w:rsidRPr="00F627B2" w:rsidRDefault="00FE342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FE342F" w:rsidRPr="00F627B2" w:rsidRDefault="00FE342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FE342F" w:rsidRPr="00F627B2" w:rsidRDefault="00FE342F">
            <w:pPr>
              <w:spacing w:line="240" w:lineRule="auto"/>
              <w:rPr>
                <w:rFonts w:ascii="Lato" w:hAnsi="Lato"/>
                <w:szCs w:val="22"/>
              </w:rPr>
            </w:pPr>
          </w:p>
        </w:tc>
        <w:tc>
          <w:tcPr>
            <w:tcW w:w="264" w:type="dxa"/>
            <w:gridSpan w:val="4"/>
            <w:tcBorders>
              <w:top w:val="nil"/>
              <w:left w:val="single" w:sz="4" w:space="0" w:color="auto"/>
              <w:bottom w:val="nil"/>
              <w:right w:val="nil"/>
            </w:tcBorders>
          </w:tcPr>
          <w:p w:rsidR="00FE342F" w:rsidRPr="00F627B2"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F627B2" w:rsidRDefault="00FE342F">
            <w:pPr>
              <w:spacing w:line="240" w:lineRule="auto"/>
              <w:rPr>
                <w:rFonts w:ascii="Lato" w:hAnsi="Lato"/>
                <w:szCs w:val="22"/>
              </w:rPr>
            </w:pPr>
          </w:p>
        </w:tc>
      </w:tr>
      <w:tr w:rsidR="00FE342F" w:rsidRPr="00F627B2" w:rsidTr="00F627B2">
        <w:trPr>
          <w:gridAfter w:val="2"/>
          <w:wAfter w:w="3800" w:type="dxa"/>
        </w:trPr>
        <w:tc>
          <w:tcPr>
            <w:tcW w:w="1107" w:type="dxa"/>
            <w:tcBorders>
              <w:top w:val="nil"/>
              <w:left w:val="nil"/>
              <w:bottom w:val="nil"/>
              <w:right w:val="nil"/>
            </w:tcBorders>
          </w:tcPr>
          <w:p w:rsidR="00FE342F" w:rsidRPr="00F627B2"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F627B2" w:rsidRDefault="004F01CA" w:rsidP="00FE342F">
            <w:pPr>
              <w:spacing w:line="240" w:lineRule="auto"/>
              <w:rPr>
                <w:rFonts w:ascii="Lato" w:hAnsi="Lato"/>
                <w:szCs w:val="22"/>
              </w:rPr>
            </w:pPr>
            <w:r w:rsidRPr="001E4A73">
              <w:rPr>
                <w:rFonts w:ascii="Lato" w:hAnsi="Lato"/>
                <w:szCs w:val="22"/>
              </w:rPr>
              <w:t xml:space="preserve">to </w:t>
            </w:r>
            <w:r w:rsidR="00FE342F" w:rsidRPr="00F627B2">
              <w:rPr>
                <w:rFonts w:ascii="Lato" w:hAnsi="Lato"/>
                <w:szCs w:val="22"/>
              </w:rPr>
              <w:t>in the AIFMD Regulations by the AIFM</w:t>
            </w:r>
          </w:p>
        </w:tc>
        <w:tc>
          <w:tcPr>
            <w:tcW w:w="992" w:type="dxa"/>
            <w:gridSpan w:val="2"/>
            <w:tcBorders>
              <w:top w:val="single" w:sz="4" w:space="0" w:color="auto"/>
              <w:left w:val="nil"/>
              <w:bottom w:val="nil"/>
              <w:right w:val="nil"/>
            </w:tcBorders>
          </w:tcPr>
          <w:p w:rsidR="00FE342F" w:rsidRPr="00F627B2"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F627B2" w:rsidRDefault="00FE342F">
            <w:pPr>
              <w:spacing w:line="240" w:lineRule="auto"/>
              <w:rPr>
                <w:rFonts w:ascii="Lato" w:hAnsi="Lato"/>
                <w:szCs w:val="22"/>
              </w:rPr>
            </w:pPr>
          </w:p>
        </w:tc>
        <w:tc>
          <w:tcPr>
            <w:tcW w:w="709" w:type="dxa"/>
            <w:gridSpan w:val="3"/>
            <w:tcBorders>
              <w:top w:val="single" w:sz="4" w:space="0" w:color="auto"/>
              <w:left w:val="nil"/>
              <w:bottom w:val="nil"/>
              <w:right w:val="nil"/>
            </w:tcBorders>
          </w:tcPr>
          <w:p w:rsidR="00FE342F" w:rsidRPr="00F627B2"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F627B2" w:rsidRDefault="00FE342F">
            <w:pPr>
              <w:spacing w:line="240" w:lineRule="auto"/>
              <w:rPr>
                <w:rFonts w:ascii="Lato" w:hAnsi="Lato"/>
                <w:szCs w:val="22"/>
              </w:rPr>
            </w:pPr>
          </w:p>
        </w:tc>
        <w:tc>
          <w:tcPr>
            <w:tcW w:w="455" w:type="dxa"/>
            <w:gridSpan w:val="2"/>
            <w:tcBorders>
              <w:top w:val="single" w:sz="4" w:space="0" w:color="auto"/>
              <w:left w:val="nil"/>
              <w:bottom w:val="nil"/>
              <w:right w:val="nil"/>
            </w:tcBorders>
          </w:tcPr>
          <w:p w:rsidR="00FE342F" w:rsidRPr="00F627B2"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F627B2"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F627B2" w:rsidRDefault="00FE342F">
            <w:pPr>
              <w:spacing w:line="240" w:lineRule="auto"/>
              <w:rPr>
                <w:rFonts w:ascii="Lato" w:hAnsi="Lato"/>
                <w:szCs w:val="22"/>
              </w:rPr>
            </w:pPr>
          </w:p>
        </w:tc>
      </w:tr>
      <w:tr w:rsidR="00FE342F" w:rsidRPr="00F627B2" w:rsidTr="00F627B2">
        <w:trPr>
          <w:gridAfter w:val="2"/>
          <w:wAfter w:w="3800" w:type="dxa"/>
        </w:trPr>
        <w:tc>
          <w:tcPr>
            <w:tcW w:w="1107" w:type="dxa"/>
            <w:tcBorders>
              <w:top w:val="nil"/>
              <w:left w:val="nil"/>
              <w:bottom w:val="nil"/>
              <w:right w:val="nil"/>
            </w:tcBorders>
          </w:tcPr>
          <w:p w:rsidR="00FE342F" w:rsidRPr="00F627B2"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F627B2" w:rsidRDefault="00FE342F">
            <w:pPr>
              <w:spacing w:line="240" w:lineRule="auto"/>
              <w:rPr>
                <w:rFonts w:ascii="Lato" w:hAnsi="Lato"/>
                <w:szCs w:val="22"/>
              </w:rPr>
            </w:pPr>
          </w:p>
        </w:tc>
        <w:tc>
          <w:tcPr>
            <w:tcW w:w="992" w:type="dxa"/>
            <w:gridSpan w:val="2"/>
            <w:tcBorders>
              <w:top w:val="nil"/>
              <w:left w:val="nil"/>
              <w:bottom w:val="single" w:sz="4" w:space="0" w:color="auto"/>
              <w:right w:val="nil"/>
            </w:tcBorders>
          </w:tcPr>
          <w:p w:rsidR="00FE342F" w:rsidRPr="00F627B2"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F627B2" w:rsidRDefault="00FE342F">
            <w:pPr>
              <w:spacing w:line="240" w:lineRule="auto"/>
              <w:rPr>
                <w:rFonts w:ascii="Lato" w:hAnsi="Lato"/>
                <w:szCs w:val="22"/>
              </w:rPr>
            </w:pPr>
          </w:p>
        </w:tc>
        <w:tc>
          <w:tcPr>
            <w:tcW w:w="709" w:type="dxa"/>
            <w:gridSpan w:val="3"/>
            <w:tcBorders>
              <w:top w:val="nil"/>
              <w:left w:val="nil"/>
              <w:bottom w:val="single" w:sz="4" w:space="0" w:color="auto"/>
              <w:right w:val="nil"/>
            </w:tcBorders>
          </w:tcPr>
          <w:p w:rsidR="00FE342F" w:rsidRPr="00F627B2"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F627B2" w:rsidRDefault="00FE342F">
            <w:pPr>
              <w:spacing w:line="240" w:lineRule="auto"/>
              <w:rPr>
                <w:rFonts w:ascii="Lato" w:hAnsi="Lato"/>
                <w:szCs w:val="22"/>
              </w:rPr>
            </w:pPr>
          </w:p>
        </w:tc>
        <w:tc>
          <w:tcPr>
            <w:tcW w:w="455" w:type="dxa"/>
            <w:gridSpan w:val="2"/>
            <w:tcBorders>
              <w:top w:val="nil"/>
              <w:left w:val="nil"/>
              <w:bottom w:val="single" w:sz="4" w:space="0" w:color="auto"/>
              <w:right w:val="nil"/>
            </w:tcBorders>
          </w:tcPr>
          <w:p w:rsidR="00FE342F" w:rsidRPr="00F627B2"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F627B2"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F627B2" w:rsidRDefault="00FE342F">
            <w:pPr>
              <w:spacing w:line="240" w:lineRule="auto"/>
              <w:rPr>
                <w:rFonts w:ascii="Lato" w:hAnsi="Lato"/>
                <w:szCs w:val="22"/>
              </w:rPr>
            </w:pPr>
          </w:p>
        </w:tc>
      </w:tr>
      <w:tr w:rsidR="00FE342F" w:rsidRPr="00F627B2" w:rsidTr="00F627B2">
        <w:trPr>
          <w:gridAfter w:val="2"/>
          <w:wAfter w:w="3800" w:type="dxa"/>
        </w:trPr>
        <w:tc>
          <w:tcPr>
            <w:tcW w:w="1107" w:type="dxa"/>
            <w:tcBorders>
              <w:top w:val="nil"/>
              <w:left w:val="nil"/>
              <w:bottom w:val="nil"/>
              <w:right w:val="nil"/>
            </w:tcBorders>
          </w:tcPr>
          <w:p w:rsidR="00FE342F" w:rsidRPr="00F627B2" w:rsidRDefault="00FE342F">
            <w:pPr>
              <w:spacing w:line="240" w:lineRule="auto"/>
              <w:rPr>
                <w:rFonts w:ascii="Lato" w:hAnsi="Lato"/>
                <w:szCs w:val="22"/>
              </w:rPr>
            </w:pPr>
            <w:r w:rsidRPr="00F627B2">
              <w:rPr>
                <w:rFonts w:ascii="Lato" w:hAnsi="Lato"/>
                <w:szCs w:val="22"/>
              </w:rPr>
              <w:t>2.9.8</w:t>
            </w:r>
          </w:p>
        </w:tc>
        <w:tc>
          <w:tcPr>
            <w:tcW w:w="6974" w:type="dxa"/>
            <w:gridSpan w:val="2"/>
            <w:tcBorders>
              <w:top w:val="nil"/>
              <w:left w:val="nil"/>
              <w:bottom w:val="nil"/>
              <w:right w:val="single" w:sz="4" w:space="0" w:color="auto"/>
            </w:tcBorders>
          </w:tcPr>
          <w:p w:rsidR="00FE342F" w:rsidRPr="00F627B2" w:rsidRDefault="00FE342F" w:rsidP="00FE342F">
            <w:pPr>
              <w:spacing w:line="240" w:lineRule="auto"/>
              <w:rPr>
                <w:rFonts w:ascii="Lato" w:hAnsi="Lato"/>
                <w:szCs w:val="22"/>
              </w:rPr>
            </w:pPr>
            <w:r w:rsidRPr="00F627B2">
              <w:rPr>
                <w:rFonts w:ascii="Lato" w:hAnsi="Lato"/>
                <w:szCs w:val="22"/>
              </w:rPr>
              <w:t xml:space="preserve">Insert a description of any safe-keeping function delegated by the </w:t>
            </w:r>
          </w:p>
        </w:tc>
        <w:tc>
          <w:tcPr>
            <w:tcW w:w="992" w:type="dxa"/>
            <w:gridSpan w:val="2"/>
            <w:tcBorders>
              <w:top w:val="single" w:sz="4" w:space="0" w:color="auto"/>
              <w:left w:val="single" w:sz="4" w:space="0" w:color="auto"/>
              <w:bottom w:val="single" w:sz="4" w:space="0" w:color="auto"/>
              <w:right w:val="single" w:sz="4" w:space="0" w:color="auto"/>
            </w:tcBorders>
          </w:tcPr>
          <w:p w:rsidR="00FE342F" w:rsidRPr="00F627B2" w:rsidRDefault="00FE342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FE342F" w:rsidRPr="00F627B2" w:rsidRDefault="00FE342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FE342F" w:rsidRPr="00F627B2" w:rsidRDefault="00FE342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FE342F" w:rsidRPr="00F627B2" w:rsidRDefault="00FE342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FE342F" w:rsidRPr="00F627B2" w:rsidRDefault="00FE342F">
            <w:pPr>
              <w:spacing w:line="240" w:lineRule="auto"/>
              <w:rPr>
                <w:rFonts w:ascii="Lato" w:hAnsi="Lato"/>
                <w:szCs w:val="22"/>
              </w:rPr>
            </w:pPr>
          </w:p>
        </w:tc>
        <w:tc>
          <w:tcPr>
            <w:tcW w:w="264" w:type="dxa"/>
            <w:gridSpan w:val="4"/>
            <w:tcBorders>
              <w:top w:val="nil"/>
              <w:left w:val="single" w:sz="4" w:space="0" w:color="auto"/>
              <w:bottom w:val="nil"/>
              <w:right w:val="nil"/>
            </w:tcBorders>
          </w:tcPr>
          <w:p w:rsidR="00FE342F" w:rsidRPr="00F627B2"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F627B2" w:rsidRDefault="00FE342F">
            <w:pPr>
              <w:spacing w:line="240" w:lineRule="auto"/>
              <w:rPr>
                <w:rFonts w:ascii="Lato" w:hAnsi="Lato"/>
                <w:szCs w:val="22"/>
              </w:rPr>
            </w:pPr>
          </w:p>
        </w:tc>
      </w:tr>
      <w:tr w:rsidR="00FE342F" w:rsidRPr="00F627B2" w:rsidTr="00F627B2">
        <w:trPr>
          <w:gridAfter w:val="2"/>
          <w:wAfter w:w="3800" w:type="dxa"/>
        </w:trPr>
        <w:tc>
          <w:tcPr>
            <w:tcW w:w="1107" w:type="dxa"/>
            <w:tcBorders>
              <w:top w:val="nil"/>
              <w:left w:val="nil"/>
              <w:bottom w:val="nil"/>
              <w:right w:val="nil"/>
            </w:tcBorders>
          </w:tcPr>
          <w:p w:rsidR="00FE342F" w:rsidRPr="00F627B2"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F627B2" w:rsidRDefault="00FE342F">
            <w:pPr>
              <w:spacing w:line="240" w:lineRule="auto"/>
              <w:rPr>
                <w:rFonts w:ascii="Lato" w:hAnsi="Lato"/>
                <w:szCs w:val="22"/>
              </w:rPr>
            </w:pPr>
            <w:r w:rsidRPr="00F627B2">
              <w:rPr>
                <w:rFonts w:ascii="Lato" w:hAnsi="Lato"/>
                <w:szCs w:val="22"/>
              </w:rPr>
              <w:t>depositary, the identification of the delegate and any conflicts of interest that may arise from such delegations</w:t>
            </w:r>
          </w:p>
        </w:tc>
        <w:tc>
          <w:tcPr>
            <w:tcW w:w="992" w:type="dxa"/>
            <w:gridSpan w:val="2"/>
            <w:tcBorders>
              <w:top w:val="single" w:sz="4" w:space="0" w:color="auto"/>
              <w:left w:val="nil"/>
              <w:bottom w:val="nil"/>
              <w:right w:val="nil"/>
            </w:tcBorders>
          </w:tcPr>
          <w:p w:rsidR="00FE342F" w:rsidRPr="00F627B2"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F627B2" w:rsidRDefault="00FE342F">
            <w:pPr>
              <w:spacing w:line="240" w:lineRule="auto"/>
              <w:rPr>
                <w:rFonts w:ascii="Lato" w:hAnsi="Lato"/>
                <w:szCs w:val="22"/>
              </w:rPr>
            </w:pPr>
          </w:p>
        </w:tc>
        <w:tc>
          <w:tcPr>
            <w:tcW w:w="709" w:type="dxa"/>
            <w:gridSpan w:val="3"/>
            <w:tcBorders>
              <w:top w:val="single" w:sz="4" w:space="0" w:color="auto"/>
              <w:left w:val="nil"/>
              <w:bottom w:val="nil"/>
              <w:right w:val="nil"/>
            </w:tcBorders>
          </w:tcPr>
          <w:p w:rsidR="00FE342F" w:rsidRPr="00F627B2"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F627B2" w:rsidRDefault="00FE342F">
            <w:pPr>
              <w:spacing w:line="240" w:lineRule="auto"/>
              <w:rPr>
                <w:rFonts w:ascii="Lato" w:hAnsi="Lato"/>
                <w:szCs w:val="22"/>
              </w:rPr>
            </w:pPr>
          </w:p>
        </w:tc>
        <w:tc>
          <w:tcPr>
            <w:tcW w:w="455" w:type="dxa"/>
            <w:gridSpan w:val="2"/>
            <w:tcBorders>
              <w:top w:val="single" w:sz="4" w:space="0" w:color="auto"/>
              <w:left w:val="nil"/>
              <w:bottom w:val="nil"/>
              <w:right w:val="nil"/>
            </w:tcBorders>
          </w:tcPr>
          <w:p w:rsidR="00FE342F" w:rsidRPr="00F627B2"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F627B2"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F627B2" w:rsidRDefault="00FE342F">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single" w:sz="4" w:space="0" w:color="auto"/>
              <w:right w:val="nil"/>
            </w:tcBorders>
          </w:tcPr>
          <w:p w:rsidR="009F373B" w:rsidRPr="00F627B2" w:rsidRDefault="009F373B">
            <w:pPr>
              <w:spacing w:line="240" w:lineRule="auto"/>
              <w:rPr>
                <w:rFonts w:ascii="Lato" w:hAnsi="Lato"/>
                <w:szCs w:val="22"/>
              </w:rPr>
            </w:pPr>
          </w:p>
        </w:tc>
        <w:tc>
          <w:tcPr>
            <w:tcW w:w="6974" w:type="dxa"/>
            <w:gridSpan w:val="2"/>
            <w:tcBorders>
              <w:top w:val="nil"/>
              <w:left w:val="nil"/>
              <w:bottom w:val="single" w:sz="4" w:space="0" w:color="auto"/>
              <w:right w:val="nil"/>
            </w:tcBorders>
          </w:tcPr>
          <w:p w:rsidR="009F373B" w:rsidRPr="00F627B2" w:rsidRDefault="009F373B">
            <w:pPr>
              <w:spacing w:line="240" w:lineRule="auto"/>
              <w:rPr>
                <w:rFonts w:ascii="Lato" w:hAnsi="Lato"/>
                <w:szCs w:val="22"/>
              </w:rPr>
            </w:pPr>
          </w:p>
        </w:tc>
        <w:tc>
          <w:tcPr>
            <w:tcW w:w="992" w:type="dxa"/>
            <w:gridSpan w:val="2"/>
            <w:tcBorders>
              <w:top w:val="nil"/>
              <w:left w:val="nil"/>
              <w:bottom w:val="nil"/>
              <w:right w:val="nil"/>
            </w:tcBorders>
          </w:tcPr>
          <w:p w:rsidR="009F373B" w:rsidRPr="00F627B2" w:rsidRDefault="009F373B">
            <w:pPr>
              <w:spacing w:line="240" w:lineRule="auto"/>
              <w:rPr>
                <w:rFonts w:ascii="Lato" w:hAnsi="Lato"/>
                <w:szCs w:val="22"/>
              </w:rPr>
            </w:pPr>
          </w:p>
        </w:tc>
        <w:tc>
          <w:tcPr>
            <w:tcW w:w="236" w:type="dxa"/>
            <w:gridSpan w:val="2"/>
            <w:tcBorders>
              <w:top w:val="nil"/>
              <w:left w:val="nil"/>
              <w:bottom w:val="nil"/>
              <w:right w:val="nil"/>
            </w:tcBorders>
          </w:tcPr>
          <w:p w:rsidR="009F373B" w:rsidRPr="00F627B2" w:rsidRDefault="009F373B">
            <w:pPr>
              <w:spacing w:line="240" w:lineRule="auto"/>
              <w:rPr>
                <w:rFonts w:ascii="Lato" w:hAnsi="Lato"/>
                <w:szCs w:val="22"/>
              </w:rPr>
            </w:pPr>
          </w:p>
        </w:tc>
        <w:tc>
          <w:tcPr>
            <w:tcW w:w="709" w:type="dxa"/>
            <w:gridSpan w:val="3"/>
            <w:tcBorders>
              <w:top w:val="nil"/>
              <w:left w:val="nil"/>
              <w:bottom w:val="nil"/>
              <w:right w:val="nil"/>
            </w:tcBorders>
          </w:tcPr>
          <w:p w:rsidR="009F373B" w:rsidRPr="00F627B2" w:rsidRDefault="009F373B">
            <w:pPr>
              <w:spacing w:line="240" w:lineRule="auto"/>
              <w:rPr>
                <w:rFonts w:ascii="Lato" w:hAnsi="Lato"/>
                <w:szCs w:val="22"/>
              </w:rPr>
            </w:pPr>
          </w:p>
        </w:tc>
        <w:tc>
          <w:tcPr>
            <w:tcW w:w="264" w:type="dxa"/>
            <w:gridSpan w:val="2"/>
            <w:tcBorders>
              <w:top w:val="nil"/>
              <w:left w:val="nil"/>
              <w:bottom w:val="nil"/>
              <w:right w:val="nil"/>
            </w:tcBorders>
          </w:tcPr>
          <w:p w:rsidR="009F373B" w:rsidRPr="00F627B2" w:rsidRDefault="009F373B">
            <w:pPr>
              <w:spacing w:line="240" w:lineRule="auto"/>
              <w:rPr>
                <w:rFonts w:ascii="Lato" w:hAnsi="Lato"/>
                <w:szCs w:val="22"/>
              </w:rPr>
            </w:pPr>
          </w:p>
        </w:tc>
        <w:tc>
          <w:tcPr>
            <w:tcW w:w="455" w:type="dxa"/>
            <w:gridSpan w:val="2"/>
            <w:tcBorders>
              <w:top w:val="nil"/>
              <w:left w:val="nil"/>
              <w:bottom w:val="nil"/>
              <w:right w:val="nil"/>
            </w:tcBorders>
          </w:tcPr>
          <w:p w:rsidR="009F373B" w:rsidRPr="00F627B2" w:rsidRDefault="009F373B">
            <w:pPr>
              <w:spacing w:line="240" w:lineRule="auto"/>
              <w:rPr>
                <w:rFonts w:ascii="Lato" w:hAnsi="Lato"/>
                <w:szCs w:val="22"/>
              </w:rPr>
            </w:pPr>
          </w:p>
        </w:tc>
        <w:tc>
          <w:tcPr>
            <w:tcW w:w="264" w:type="dxa"/>
            <w:gridSpan w:val="4"/>
            <w:tcBorders>
              <w:top w:val="nil"/>
              <w:left w:val="nil"/>
              <w:bottom w:val="nil"/>
              <w:right w:val="nil"/>
            </w:tcBorders>
          </w:tcPr>
          <w:p w:rsidR="009F373B" w:rsidRPr="00F627B2" w:rsidRDefault="009F373B">
            <w:pPr>
              <w:spacing w:line="240" w:lineRule="auto"/>
              <w:rPr>
                <w:rFonts w:ascii="Lato" w:hAnsi="Lato"/>
                <w:szCs w:val="22"/>
              </w:rPr>
            </w:pPr>
          </w:p>
        </w:tc>
        <w:tc>
          <w:tcPr>
            <w:tcW w:w="556" w:type="dxa"/>
            <w:gridSpan w:val="2"/>
            <w:tcBorders>
              <w:top w:val="nil"/>
              <w:left w:val="nil"/>
              <w:bottom w:val="nil"/>
              <w:right w:val="nil"/>
            </w:tcBorders>
          </w:tcPr>
          <w:p w:rsidR="009F373B" w:rsidRPr="00F627B2" w:rsidRDefault="009F373B">
            <w:pPr>
              <w:spacing w:line="240" w:lineRule="auto"/>
              <w:rPr>
                <w:rFonts w:ascii="Lato" w:hAnsi="Lato"/>
                <w:szCs w:val="22"/>
              </w:rPr>
            </w:pPr>
          </w:p>
        </w:tc>
      </w:tr>
      <w:tr w:rsidR="00FB497D" w:rsidRPr="00F627B2" w:rsidTr="00F627B2">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9F373B" w:rsidRPr="00F627B2" w:rsidRDefault="009F373B"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10</w:t>
            </w:r>
          </w:p>
        </w:tc>
        <w:tc>
          <w:tcPr>
            <w:tcW w:w="6974" w:type="dxa"/>
            <w:gridSpan w:val="2"/>
            <w:tcBorders>
              <w:top w:val="single" w:sz="4" w:space="0" w:color="auto"/>
              <w:left w:val="single" w:sz="4" w:space="0" w:color="auto"/>
              <w:bottom w:val="single" w:sz="4" w:space="0" w:color="auto"/>
              <w:right w:val="single" w:sz="4" w:space="0" w:color="auto"/>
            </w:tcBorders>
          </w:tcPr>
          <w:p w:rsidR="009F373B" w:rsidRPr="00F627B2" w:rsidRDefault="009F373B" w:rsidP="009F373B">
            <w:pPr>
              <w:pStyle w:val="Heading1"/>
              <w:spacing w:before="0" w:after="0" w:line="240" w:lineRule="auto"/>
              <w:rPr>
                <w:rFonts w:ascii="Lato" w:hAnsi="Lato"/>
                <w:color w:val="auto"/>
                <w:sz w:val="22"/>
                <w:szCs w:val="22"/>
              </w:rPr>
            </w:pPr>
            <w:r w:rsidRPr="00F627B2">
              <w:rPr>
                <w:rFonts w:ascii="Lato" w:hAnsi="Lato"/>
                <w:color w:val="auto"/>
                <w:sz w:val="22"/>
                <w:szCs w:val="22"/>
              </w:rPr>
              <w:t>Material Contracts</w:t>
            </w:r>
          </w:p>
        </w:tc>
        <w:tc>
          <w:tcPr>
            <w:tcW w:w="992" w:type="dxa"/>
            <w:gridSpan w:val="2"/>
            <w:tcBorders>
              <w:top w:val="nil"/>
              <w:left w:val="single" w:sz="4" w:space="0" w:color="auto"/>
              <w:bottom w:val="nil"/>
              <w:right w:val="nil"/>
            </w:tcBorders>
          </w:tcPr>
          <w:p w:rsidR="009F373B" w:rsidRPr="00F627B2"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709" w:type="dxa"/>
            <w:gridSpan w:val="3"/>
            <w:tcBorders>
              <w:top w:val="nil"/>
              <w:left w:val="nil"/>
              <w:bottom w:val="nil"/>
              <w:right w:val="nil"/>
            </w:tcBorders>
          </w:tcPr>
          <w:p w:rsidR="009F373B" w:rsidRPr="00F627B2"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455"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246" w:type="dxa"/>
            <w:gridSpan w:val="3"/>
            <w:tcBorders>
              <w:top w:val="nil"/>
              <w:left w:val="nil"/>
              <w:bottom w:val="nil"/>
              <w:right w:val="nil"/>
            </w:tcBorders>
          </w:tcPr>
          <w:p w:rsidR="009F373B" w:rsidRPr="00F627B2" w:rsidRDefault="009F373B" w:rsidP="009F373B">
            <w:pPr>
              <w:spacing w:line="240" w:lineRule="auto"/>
              <w:rPr>
                <w:rFonts w:ascii="Lato" w:hAnsi="Lato"/>
                <w:szCs w:val="22"/>
              </w:rPr>
            </w:pPr>
          </w:p>
        </w:tc>
        <w:tc>
          <w:tcPr>
            <w:tcW w:w="574" w:type="dxa"/>
            <w:gridSpan w:val="3"/>
            <w:tcBorders>
              <w:top w:val="nil"/>
              <w:left w:val="nil"/>
              <w:bottom w:val="nil"/>
              <w:right w:val="nil"/>
            </w:tcBorders>
          </w:tcPr>
          <w:p w:rsidR="009F373B" w:rsidRPr="00F627B2" w:rsidRDefault="009F373B" w:rsidP="009F373B">
            <w:pPr>
              <w:spacing w:line="240" w:lineRule="auto"/>
              <w:rPr>
                <w:rFonts w:ascii="Lato" w:hAnsi="Lato"/>
                <w:szCs w:val="22"/>
              </w:rPr>
            </w:pPr>
          </w:p>
        </w:tc>
      </w:tr>
      <w:tr w:rsidR="00FB497D" w:rsidRPr="00F627B2" w:rsidTr="00F627B2">
        <w:trPr>
          <w:gridAfter w:val="2"/>
          <w:wAfter w:w="3800" w:type="dxa"/>
        </w:trPr>
        <w:tc>
          <w:tcPr>
            <w:tcW w:w="1107" w:type="dxa"/>
            <w:tcBorders>
              <w:top w:val="single" w:sz="4" w:space="0" w:color="auto"/>
              <w:left w:val="nil"/>
              <w:bottom w:val="nil"/>
              <w:right w:val="nil"/>
            </w:tcBorders>
          </w:tcPr>
          <w:p w:rsidR="009F373B" w:rsidRPr="00F627B2" w:rsidRDefault="009F373B"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10</w:t>
            </w:r>
            <w:r w:rsidRPr="00F627B2">
              <w:rPr>
                <w:rFonts w:ascii="Lato" w:hAnsi="Lato"/>
                <w:szCs w:val="22"/>
              </w:rPr>
              <w:t>.1</w:t>
            </w:r>
          </w:p>
        </w:tc>
        <w:tc>
          <w:tcPr>
            <w:tcW w:w="6974" w:type="dxa"/>
            <w:gridSpan w:val="2"/>
            <w:tcBorders>
              <w:top w:val="single" w:sz="4" w:space="0" w:color="auto"/>
              <w:left w:val="nil"/>
              <w:bottom w:val="nil"/>
              <w:right w:val="single" w:sz="4" w:space="0" w:color="auto"/>
            </w:tcBorders>
          </w:tcPr>
          <w:p w:rsidR="009F373B" w:rsidRPr="00F627B2" w:rsidRDefault="009F373B" w:rsidP="009F373B">
            <w:pPr>
              <w:spacing w:line="240" w:lineRule="auto"/>
              <w:rPr>
                <w:rFonts w:ascii="Lato" w:hAnsi="Lato"/>
                <w:szCs w:val="22"/>
              </w:rPr>
            </w:pPr>
            <w:r w:rsidRPr="00F627B2">
              <w:rPr>
                <w:rFonts w:ascii="Lato" w:hAnsi="Lato"/>
                <w:szCs w:val="22"/>
              </w:rPr>
              <w:t>Disclose the material provisions of the contracts between</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F627B2"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F627B2"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F627B2"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F627B2"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F627B2"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F627B2"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F373B" w:rsidRPr="00F627B2" w:rsidRDefault="009F373B" w:rsidP="009F373B">
            <w:pPr>
              <w:spacing w:line="240" w:lineRule="auto"/>
              <w:jc w:val="right"/>
              <w:rPr>
                <w:rFonts w:ascii="Lato" w:hAnsi="Lato"/>
                <w:szCs w:val="22"/>
              </w:rPr>
            </w:pPr>
          </w:p>
        </w:tc>
        <w:tc>
          <w:tcPr>
            <w:tcW w:w="6974" w:type="dxa"/>
            <w:gridSpan w:val="2"/>
            <w:tcBorders>
              <w:top w:val="nil"/>
              <w:left w:val="nil"/>
              <w:bottom w:val="nil"/>
              <w:right w:val="nil"/>
            </w:tcBorders>
          </w:tcPr>
          <w:p w:rsidR="009F373B" w:rsidRPr="00F627B2" w:rsidRDefault="009F373B" w:rsidP="003D0FCC">
            <w:pPr>
              <w:spacing w:line="240" w:lineRule="auto"/>
              <w:rPr>
                <w:rFonts w:ascii="Lato" w:hAnsi="Lato"/>
                <w:szCs w:val="22"/>
              </w:rPr>
            </w:pPr>
            <w:r w:rsidRPr="00F627B2">
              <w:rPr>
                <w:rFonts w:ascii="Lato" w:hAnsi="Lato"/>
                <w:szCs w:val="22"/>
              </w:rPr>
              <w:t>third parties and the management company, general partner</w:t>
            </w:r>
            <w:r w:rsidR="00E60C57" w:rsidRPr="00F627B2">
              <w:rPr>
                <w:rFonts w:ascii="Lato" w:hAnsi="Lato"/>
                <w:szCs w:val="22"/>
              </w:rPr>
              <w:t>, ICAV</w:t>
            </w:r>
            <w:r w:rsidRPr="00F627B2">
              <w:rPr>
                <w:rFonts w:ascii="Lato" w:hAnsi="Lato"/>
                <w:szCs w:val="22"/>
              </w:rPr>
              <w:t xml:space="preserve">or investment company which may be relevant to unitholders. </w:t>
            </w:r>
          </w:p>
        </w:tc>
        <w:tc>
          <w:tcPr>
            <w:tcW w:w="992"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709" w:type="dxa"/>
            <w:gridSpan w:val="3"/>
            <w:tcBorders>
              <w:top w:val="nil"/>
              <w:left w:val="nil"/>
              <w:bottom w:val="nil"/>
              <w:right w:val="nil"/>
            </w:tcBorders>
          </w:tcPr>
          <w:p w:rsidR="009F373B" w:rsidRPr="00F627B2"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455"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F627B2"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F373B" w:rsidRPr="00F627B2" w:rsidRDefault="009F373B" w:rsidP="009F373B">
            <w:pPr>
              <w:spacing w:line="240" w:lineRule="auto"/>
              <w:jc w:val="right"/>
              <w:rPr>
                <w:rFonts w:ascii="Lato" w:hAnsi="Lato"/>
                <w:szCs w:val="22"/>
              </w:rPr>
            </w:pPr>
          </w:p>
        </w:tc>
        <w:tc>
          <w:tcPr>
            <w:tcW w:w="697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992" w:type="dxa"/>
            <w:gridSpan w:val="2"/>
            <w:tcBorders>
              <w:top w:val="nil"/>
              <w:left w:val="nil"/>
              <w:bottom w:val="single" w:sz="4" w:space="0" w:color="auto"/>
              <w:right w:val="nil"/>
            </w:tcBorders>
          </w:tcPr>
          <w:p w:rsidR="009F373B" w:rsidRPr="00F627B2"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709" w:type="dxa"/>
            <w:gridSpan w:val="3"/>
            <w:tcBorders>
              <w:top w:val="nil"/>
              <w:left w:val="nil"/>
              <w:bottom w:val="single" w:sz="4" w:space="0" w:color="auto"/>
              <w:right w:val="nil"/>
            </w:tcBorders>
          </w:tcPr>
          <w:p w:rsidR="009F373B" w:rsidRPr="00F627B2"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455" w:type="dxa"/>
            <w:gridSpan w:val="2"/>
            <w:tcBorders>
              <w:top w:val="nil"/>
              <w:left w:val="nil"/>
              <w:bottom w:val="single" w:sz="4" w:space="0" w:color="auto"/>
              <w:right w:val="nil"/>
            </w:tcBorders>
          </w:tcPr>
          <w:p w:rsidR="009F373B" w:rsidRPr="00F627B2"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F627B2"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r>
      <w:tr w:rsidR="003C4584" w:rsidRPr="00F627B2" w:rsidTr="00F627B2">
        <w:trPr>
          <w:gridAfter w:val="2"/>
          <w:wAfter w:w="3800" w:type="dxa"/>
        </w:trPr>
        <w:tc>
          <w:tcPr>
            <w:tcW w:w="1107" w:type="dxa"/>
            <w:tcBorders>
              <w:top w:val="nil"/>
              <w:left w:val="nil"/>
              <w:bottom w:val="nil"/>
              <w:right w:val="nil"/>
            </w:tcBorders>
          </w:tcPr>
          <w:p w:rsidR="003C4584" w:rsidRPr="00F627B2" w:rsidRDefault="003C4584" w:rsidP="008040CA">
            <w:pPr>
              <w:spacing w:line="240" w:lineRule="auto"/>
              <w:rPr>
                <w:rFonts w:ascii="Lato" w:hAnsi="Lato"/>
                <w:szCs w:val="22"/>
              </w:rPr>
            </w:pPr>
            <w:r w:rsidRPr="00F627B2">
              <w:rPr>
                <w:rFonts w:ascii="Lato" w:hAnsi="Lato"/>
                <w:szCs w:val="22"/>
              </w:rPr>
              <w:t>2.10.2</w:t>
            </w:r>
          </w:p>
        </w:tc>
        <w:tc>
          <w:tcPr>
            <w:tcW w:w="6974" w:type="dxa"/>
            <w:gridSpan w:val="2"/>
            <w:tcBorders>
              <w:top w:val="nil"/>
              <w:left w:val="nil"/>
              <w:bottom w:val="nil"/>
              <w:right w:val="single" w:sz="4" w:space="0" w:color="auto"/>
            </w:tcBorders>
          </w:tcPr>
          <w:p w:rsidR="003C4584" w:rsidRPr="00F627B2" w:rsidRDefault="003C4584" w:rsidP="003C4584">
            <w:pPr>
              <w:spacing w:line="240" w:lineRule="auto"/>
              <w:rPr>
                <w:rFonts w:ascii="Lato" w:hAnsi="Lato"/>
                <w:szCs w:val="22"/>
              </w:rPr>
            </w:pPr>
            <w:r w:rsidRPr="00F627B2">
              <w:rPr>
                <w:rFonts w:ascii="Lato" w:hAnsi="Lato"/>
                <w:szCs w:val="22"/>
              </w:rPr>
              <w:t xml:space="preserve">Insert a description of the main legal implications of the contractual </w:t>
            </w:r>
          </w:p>
        </w:tc>
        <w:tc>
          <w:tcPr>
            <w:tcW w:w="992" w:type="dxa"/>
            <w:gridSpan w:val="2"/>
            <w:tcBorders>
              <w:top w:val="single" w:sz="4" w:space="0" w:color="auto"/>
              <w:left w:val="single" w:sz="4" w:space="0" w:color="auto"/>
              <w:bottom w:val="single" w:sz="4" w:space="0" w:color="auto"/>
              <w:right w:val="single" w:sz="4" w:space="0" w:color="auto"/>
            </w:tcBorders>
          </w:tcPr>
          <w:p w:rsidR="003C4584" w:rsidRPr="00F627B2" w:rsidRDefault="003C4584"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C4584" w:rsidRPr="00F627B2" w:rsidRDefault="003C4584"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C4584" w:rsidRPr="00F627B2" w:rsidRDefault="003C4584"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C4584" w:rsidRPr="00F627B2" w:rsidRDefault="003C4584"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C4584" w:rsidRPr="00F627B2" w:rsidRDefault="003C4584"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3C4584" w:rsidRPr="00F627B2" w:rsidRDefault="003C4584" w:rsidP="009F373B">
            <w:pPr>
              <w:spacing w:line="240" w:lineRule="auto"/>
              <w:rPr>
                <w:rFonts w:ascii="Lato" w:hAnsi="Lato"/>
                <w:szCs w:val="22"/>
              </w:rPr>
            </w:pPr>
          </w:p>
        </w:tc>
        <w:tc>
          <w:tcPr>
            <w:tcW w:w="556" w:type="dxa"/>
            <w:gridSpan w:val="2"/>
            <w:tcBorders>
              <w:top w:val="nil"/>
              <w:left w:val="nil"/>
              <w:bottom w:val="nil"/>
              <w:right w:val="nil"/>
            </w:tcBorders>
          </w:tcPr>
          <w:p w:rsidR="003C4584" w:rsidRPr="00F627B2" w:rsidRDefault="003C4584" w:rsidP="009F373B">
            <w:pPr>
              <w:spacing w:line="240" w:lineRule="auto"/>
              <w:rPr>
                <w:rFonts w:ascii="Lato" w:hAnsi="Lato"/>
                <w:szCs w:val="22"/>
              </w:rPr>
            </w:pPr>
          </w:p>
        </w:tc>
      </w:tr>
      <w:tr w:rsidR="003C4584" w:rsidRPr="00F627B2" w:rsidTr="00F627B2">
        <w:trPr>
          <w:gridAfter w:val="2"/>
          <w:wAfter w:w="3800" w:type="dxa"/>
        </w:trPr>
        <w:tc>
          <w:tcPr>
            <w:tcW w:w="1107" w:type="dxa"/>
            <w:tcBorders>
              <w:top w:val="nil"/>
              <w:left w:val="nil"/>
              <w:bottom w:val="nil"/>
              <w:right w:val="nil"/>
            </w:tcBorders>
          </w:tcPr>
          <w:p w:rsidR="003C4584" w:rsidRPr="00F627B2" w:rsidRDefault="003C4584" w:rsidP="009F373B">
            <w:pPr>
              <w:spacing w:line="240" w:lineRule="auto"/>
              <w:jc w:val="right"/>
              <w:rPr>
                <w:rFonts w:ascii="Lato" w:hAnsi="Lato"/>
                <w:szCs w:val="22"/>
              </w:rPr>
            </w:pPr>
          </w:p>
        </w:tc>
        <w:tc>
          <w:tcPr>
            <w:tcW w:w="6974" w:type="dxa"/>
            <w:gridSpan w:val="2"/>
            <w:tcBorders>
              <w:top w:val="nil"/>
              <w:left w:val="nil"/>
              <w:bottom w:val="nil"/>
              <w:right w:val="nil"/>
            </w:tcBorders>
          </w:tcPr>
          <w:p w:rsidR="003C4584" w:rsidRPr="00F627B2" w:rsidRDefault="003C4584" w:rsidP="003D0FCC">
            <w:pPr>
              <w:spacing w:line="240" w:lineRule="auto"/>
              <w:jc w:val="both"/>
              <w:rPr>
                <w:rFonts w:ascii="Lato" w:hAnsi="Lato"/>
                <w:szCs w:val="22"/>
              </w:rPr>
            </w:pPr>
            <w:r w:rsidRPr="00F627B2">
              <w:rPr>
                <w:rFonts w:ascii="Lato" w:hAnsi="Lato"/>
                <w:szCs w:val="22"/>
              </w:rPr>
              <w:t xml:space="preserve">relationship entered into for the purpose of investment, including information on jurisdiction, on the applicable law and on the existence or not of any legal instruments providing for the recognition and enforcement of judgments in the territory where the </w:t>
            </w:r>
            <w:r w:rsidR="003D0FCC" w:rsidRPr="00F627B2">
              <w:rPr>
                <w:rFonts w:ascii="Lato" w:hAnsi="Lato"/>
                <w:szCs w:val="22"/>
              </w:rPr>
              <w:t xml:space="preserve">Retail Investor </w:t>
            </w:r>
            <w:r w:rsidRPr="00F627B2">
              <w:rPr>
                <w:rFonts w:ascii="Lato" w:hAnsi="Lato"/>
                <w:szCs w:val="22"/>
              </w:rPr>
              <w:t>AIF is established</w:t>
            </w:r>
          </w:p>
        </w:tc>
        <w:tc>
          <w:tcPr>
            <w:tcW w:w="992" w:type="dxa"/>
            <w:gridSpan w:val="2"/>
            <w:tcBorders>
              <w:top w:val="single" w:sz="4" w:space="0" w:color="auto"/>
              <w:left w:val="nil"/>
              <w:bottom w:val="nil"/>
              <w:right w:val="nil"/>
            </w:tcBorders>
          </w:tcPr>
          <w:p w:rsidR="003C4584" w:rsidRPr="00F627B2" w:rsidRDefault="003C4584" w:rsidP="009F373B">
            <w:pPr>
              <w:spacing w:line="240" w:lineRule="auto"/>
              <w:rPr>
                <w:rFonts w:ascii="Lato" w:hAnsi="Lato"/>
                <w:szCs w:val="22"/>
              </w:rPr>
            </w:pPr>
          </w:p>
        </w:tc>
        <w:tc>
          <w:tcPr>
            <w:tcW w:w="236" w:type="dxa"/>
            <w:gridSpan w:val="2"/>
            <w:tcBorders>
              <w:top w:val="nil"/>
              <w:left w:val="nil"/>
              <w:bottom w:val="nil"/>
              <w:right w:val="nil"/>
            </w:tcBorders>
          </w:tcPr>
          <w:p w:rsidR="003C4584" w:rsidRPr="00F627B2" w:rsidRDefault="003C4584" w:rsidP="009F373B">
            <w:pPr>
              <w:spacing w:line="240" w:lineRule="auto"/>
              <w:rPr>
                <w:rFonts w:ascii="Lato" w:hAnsi="Lato"/>
                <w:szCs w:val="22"/>
              </w:rPr>
            </w:pPr>
          </w:p>
        </w:tc>
        <w:tc>
          <w:tcPr>
            <w:tcW w:w="709" w:type="dxa"/>
            <w:gridSpan w:val="3"/>
            <w:tcBorders>
              <w:top w:val="single" w:sz="4" w:space="0" w:color="auto"/>
              <w:left w:val="nil"/>
              <w:bottom w:val="nil"/>
              <w:right w:val="nil"/>
            </w:tcBorders>
          </w:tcPr>
          <w:p w:rsidR="003C4584" w:rsidRPr="00F627B2" w:rsidRDefault="003C4584" w:rsidP="009F373B">
            <w:pPr>
              <w:spacing w:line="240" w:lineRule="auto"/>
              <w:rPr>
                <w:rFonts w:ascii="Lato" w:hAnsi="Lato"/>
                <w:szCs w:val="22"/>
              </w:rPr>
            </w:pPr>
          </w:p>
        </w:tc>
        <w:tc>
          <w:tcPr>
            <w:tcW w:w="264" w:type="dxa"/>
            <w:gridSpan w:val="2"/>
            <w:tcBorders>
              <w:top w:val="nil"/>
              <w:left w:val="nil"/>
              <w:bottom w:val="nil"/>
              <w:right w:val="nil"/>
            </w:tcBorders>
          </w:tcPr>
          <w:p w:rsidR="003C4584" w:rsidRPr="00F627B2" w:rsidRDefault="003C4584" w:rsidP="009F373B">
            <w:pPr>
              <w:spacing w:line="240" w:lineRule="auto"/>
              <w:rPr>
                <w:rFonts w:ascii="Lato" w:hAnsi="Lato"/>
                <w:szCs w:val="22"/>
              </w:rPr>
            </w:pPr>
          </w:p>
        </w:tc>
        <w:tc>
          <w:tcPr>
            <w:tcW w:w="455" w:type="dxa"/>
            <w:gridSpan w:val="2"/>
            <w:tcBorders>
              <w:top w:val="single" w:sz="4" w:space="0" w:color="auto"/>
              <w:left w:val="nil"/>
              <w:bottom w:val="nil"/>
              <w:right w:val="nil"/>
            </w:tcBorders>
          </w:tcPr>
          <w:p w:rsidR="003C4584" w:rsidRPr="00F627B2" w:rsidRDefault="003C4584" w:rsidP="009F373B">
            <w:pPr>
              <w:spacing w:line="240" w:lineRule="auto"/>
              <w:rPr>
                <w:rFonts w:ascii="Lato" w:hAnsi="Lato"/>
                <w:szCs w:val="22"/>
              </w:rPr>
            </w:pPr>
          </w:p>
        </w:tc>
        <w:tc>
          <w:tcPr>
            <w:tcW w:w="264" w:type="dxa"/>
            <w:gridSpan w:val="4"/>
            <w:tcBorders>
              <w:top w:val="nil"/>
              <w:left w:val="nil"/>
              <w:bottom w:val="nil"/>
              <w:right w:val="nil"/>
            </w:tcBorders>
          </w:tcPr>
          <w:p w:rsidR="003C4584" w:rsidRPr="00F627B2" w:rsidRDefault="003C4584" w:rsidP="009F373B">
            <w:pPr>
              <w:spacing w:line="240" w:lineRule="auto"/>
              <w:rPr>
                <w:rFonts w:ascii="Lato" w:hAnsi="Lato"/>
                <w:szCs w:val="22"/>
              </w:rPr>
            </w:pPr>
          </w:p>
        </w:tc>
        <w:tc>
          <w:tcPr>
            <w:tcW w:w="556" w:type="dxa"/>
            <w:gridSpan w:val="2"/>
            <w:tcBorders>
              <w:top w:val="nil"/>
              <w:left w:val="nil"/>
              <w:bottom w:val="nil"/>
              <w:right w:val="nil"/>
            </w:tcBorders>
          </w:tcPr>
          <w:p w:rsidR="003C4584" w:rsidRPr="00F627B2" w:rsidRDefault="003C4584" w:rsidP="009F373B">
            <w:pPr>
              <w:spacing w:line="240" w:lineRule="auto"/>
              <w:rPr>
                <w:rFonts w:ascii="Lato" w:hAnsi="Lato"/>
                <w:szCs w:val="22"/>
              </w:rPr>
            </w:pPr>
          </w:p>
        </w:tc>
      </w:tr>
      <w:tr w:rsidR="003C4584" w:rsidRPr="00F627B2" w:rsidTr="00F627B2">
        <w:trPr>
          <w:gridAfter w:val="2"/>
          <w:wAfter w:w="3800" w:type="dxa"/>
        </w:trPr>
        <w:tc>
          <w:tcPr>
            <w:tcW w:w="1107" w:type="dxa"/>
            <w:tcBorders>
              <w:top w:val="nil"/>
              <w:left w:val="nil"/>
              <w:bottom w:val="nil"/>
              <w:right w:val="nil"/>
            </w:tcBorders>
          </w:tcPr>
          <w:p w:rsidR="003C4584" w:rsidRPr="00F627B2" w:rsidRDefault="003C4584" w:rsidP="009F373B">
            <w:pPr>
              <w:spacing w:line="240" w:lineRule="auto"/>
              <w:jc w:val="right"/>
              <w:rPr>
                <w:rFonts w:ascii="Lato" w:hAnsi="Lato"/>
                <w:szCs w:val="22"/>
              </w:rPr>
            </w:pPr>
          </w:p>
        </w:tc>
        <w:tc>
          <w:tcPr>
            <w:tcW w:w="6974" w:type="dxa"/>
            <w:gridSpan w:val="2"/>
            <w:tcBorders>
              <w:top w:val="nil"/>
              <w:left w:val="nil"/>
              <w:bottom w:val="nil"/>
              <w:right w:val="nil"/>
            </w:tcBorders>
          </w:tcPr>
          <w:p w:rsidR="003C4584" w:rsidRPr="00F627B2" w:rsidRDefault="003C4584" w:rsidP="009F373B">
            <w:pPr>
              <w:spacing w:line="240" w:lineRule="auto"/>
              <w:rPr>
                <w:rFonts w:ascii="Lato" w:hAnsi="Lato"/>
                <w:szCs w:val="22"/>
              </w:rPr>
            </w:pPr>
          </w:p>
        </w:tc>
        <w:tc>
          <w:tcPr>
            <w:tcW w:w="992" w:type="dxa"/>
            <w:gridSpan w:val="2"/>
            <w:tcBorders>
              <w:top w:val="nil"/>
              <w:left w:val="nil"/>
              <w:bottom w:val="nil"/>
              <w:right w:val="nil"/>
            </w:tcBorders>
          </w:tcPr>
          <w:p w:rsidR="003C4584" w:rsidRPr="00F627B2" w:rsidRDefault="003C4584" w:rsidP="009F373B">
            <w:pPr>
              <w:spacing w:line="240" w:lineRule="auto"/>
              <w:rPr>
                <w:rFonts w:ascii="Lato" w:hAnsi="Lato"/>
                <w:szCs w:val="22"/>
              </w:rPr>
            </w:pPr>
          </w:p>
        </w:tc>
        <w:tc>
          <w:tcPr>
            <w:tcW w:w="236" w:type="dxa"/>
            <w:gridSpan w:val="2"/>
            <w:tcBorders>
              <w:top w:val="nil"/>
              <w:left w:val="nil"/>
              <w:bottom w:val="nil"/>
              <w:right w:val="nil"/>
            </w:tcBorders>
          </w:tcPr>
          <w:p w:rsidR="003C4584" w:rsidRPr="00F627B2" w:rsidRDefault="003C4584" w:rsidP="009F373B">
            <w:pPr>
              <w:spacing w:line="240" w:lineRule="auto"/>
              <w:rPr>
                <w:rFonts w:ascii="Lato" w:hAnsi="Lato"/>
                <w:szCs w:val="22"/>
              </w:rPr>
            </w:pPr>
          </w:p>
        </w:tc>
        <w:tc>
          <w:tcPr>
            <w:tcW w:w="709" w:type="dxa"/>
            <w:gridSpan w:val="3"/>
            <w:tcBorders>
              <w:top w:val="nil"/>
              <w:left w:val="nil"/>
              <w:bottom w:val="nil"/>
              <w:right w:val="nil"/>
            </w:tcBorders>
          </w:tcPr>
          <w:p w:rsidR="003C4584" w:rsidRPr="00F627B2" w:rsidRDefault="003C4584" w:rsidP="009F373B">
            <w:pPr>
              <w:spacing w:line="240" w:lineRule="auto"/>
              <w:rPr>
                <w:rFonts w:ascii="Lato" w:hAnsi="Lato"/>
                <w:szCs w:val="22"/>
              </w:rPr>
            </w:pPr>
          </w:p>
        </w:tc>
        <w:tc>
          <w:tcPr>
            <w:tcW w:w="264" w:type="dxa"/>
            <w:gridSpan w:val="2"/>
            <w:tcBorders>
              <w:top w:val="nil"/>
              <w:left w:val="nil"/>
              <w:bottom w:val="nil"/>
              <w:right w:val="nil"/>
            </w:tcBorders>
          </w:tcPr>
          <w:p w:rsidR="003C4584" w:rsidRPr="00F627B2" w:rsidRDefault="003C4584" w:rsidP="009F373B">
            <w:pPr>
              <w:spacing w:line="240" w:lineRule="auto"/>
              <w:rPr>
                <w:rFonts w:ascii="Lato" w:hAnsi="Lato"/>
                <w:szCs w:val="22"/>
              </w:rPr>
            </w:pPr>
          </w:p>
        </w:tc>
        <w:tc>
          <w:tcPr>
            <w:tcW w:w="455" w:type="dxa"/>
            <w:gridSpan w:val="2"/>
            <w:tcBorders>
              <w:top w:val="nil"/>
              <w:left w:val="nil"/>
              <w:bottom w:val="nil"/>
              <w:right w:val="nil"/>
            </w:tcBorders>
          </w:tcPr>
          <w:p w:rsidR="003C4584" w:rsidRPr="00F627B2" w:rsidRDefault="003C4584" w:rsidP="009F373B">
            <w:pPr>
              <w:spacing w:line="240" w:lineRule="auto"/>
              <w:rPr>
                <w:rFonts w:ascii="Lato" w:hAnsi="Lato"/>
                <w:szCs w:val="22"/>
              </w:rPr>
            </w:pPr>
          </w:p>
        </w:tc>
        <w:tc>
          <w:tcPr>
            <w:tcW w:w="264" w:type="dxa"/>
            <w:gridSpan w:val="4"/>
            <w:tcBorders>
              <w:top w:val="nil"/>
              <w:left w:val="nil"/>
              <w:bottom w:val="nil"/>
              <w:right w:val="nil"/>
            </w:tcBorders>
          </w:tcPr>
          <w:p w:rsidR="003C4584" w:rsidRPr="00F627B2" w:rsidRDefault="003C4584" w:rsidP="009F373B">
            <w:pPr>
              <w:spacing w:line="240" w:lineRule="auto"/>
              <w:rPr>
                <w:rFonts w:ascii="Lato" w:hAnsi="Lato"/>
                <w:szCs w:val="22"/>
              </w:rPr>
            </w:pPr>
          </w:p>
        </w:tc>
        <w:tc>
          <w:tcPr>
            <w:tcW w:w="556" w:type="dxa"/>
            <w:gridSpan w:val="2"/>
            <w:tcBorders>
              <w:top w:val="nil"/>
              <w:left w:val="nil"/>
              <w:bottom w:val="nil"/>
              <w:right w:val="nil"/>
            </w:tcBorders>
          </w:tcPr>
          <w:p w:rsidR="003C4584" w:rsidRPr="00F627B2" w:rsidRDefault="003C4584" w:rsidP="009F373B">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F373B" w:rsidRPr="00F627B2" w:rsidRDefault="009F373B"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10</w:t>
            </w:r>
            <w:r w:rsidRPr="00F627B2">
              <w:rPr>
                <w:rFonts w:ascii="Lato" w:hAnsi="Lato"/>
                <w:szCs w:val="22"/>
              </w:rPr>
              <w:t>.</w:t>
            </w:r>
            <w:r w:rsidR="003C4584" w:rsidRPr="00F627B2">
              <w:rPr>
                <w:rFonts w:ascii="Lato" w:hAnsi="Lato"/>
                <w:szCs w:val="22"/>
              </w:rPr>
              <w:t>3</w:t>
            </w:r>
          </w:p>
        </w:tc>
        <w:tc>
          <w:tcPr>
            <w:tcW w:w="697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r w:rsidRPr="00F627B2">
              <w:rPr>
                <w:rFonts w:ascii="Lato" w:hAnsi="Lato"/>
                <w:szCs w:val="22"/>
              </w:rPr>
              <w:t xml:space="preserve">Paying Agents/Distributors </w:t>
            </w:r>
          </w:p>
        </w:tc>
        <w:tc>
          <w:tcPr>
            <w:tcW w:w="992"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709" w:type="dxa"/>
            <w:gridSpan w:val="3"/>
            <w:tcBorders>
              <w:top w:val="nil"/>
              <w:left w:val="nil"/>
              <w:bottom w:val="nil"/>
              <w:right w:val="nil"/>
            </w:tcBorders>
          </w:tcPr>
          <w:p w:rsidR="009F373B" w:rsidRPr="00F627B2"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455"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F627B2"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F373B" w:rsidRPr="00F627B2" w:rsidRDefault="009F373B" w:rsidP="009F373B">
            <w:pPr>
              <w:spacing w:line="240" w:lineRule="auto"/>
              <w:rPr>
                <w:rFonts w:ascii="Lato" w:hAnsi="Lato"/>
                <w:szCs w:val="22"/>
              </w:rPr>
            </w:pPr>
            <w:r w:rsidRPr="00F627B2">
              <w:rPr>
                <w:rFonts w:ascii="Lato" w:hAnsi="Lato"/>
                <w:szCs w:val="22"/>
              </w:rPr>
              <w:t>a)</w:t>
            </w:r>
          </w:p>
        </w:tc>
        <w:tc>
          <w:tcPr>
            <w:tcW w:w="697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r w:rsidRPr="00F627B2">
              <w:rPr>
                <w:rFonts w:ascii="Lato" w:hAnsi="Lato"/>
                <w:szCs w:val="22"/>
              </w:rPr>
              <w:t>Where appointment may be required by local regulations in EEA  countries, provide that</w:t>
            </w:r>
          </w:p>
        </w:tc>
        <w:tc>
          <w:tcPr>
            <w:tcW w:w="992" w:type="dxa"/>
            <w:gridSpan w:val="2"/>
            <w:tcBorders>
              <w:top w:val="nil"/>
              <w:left w:val="nil"/>
              <w:bottom w:val="single" w:sz="4" w:space="0" w:color="auto"/>
              <w:right w:val="nil"/>
            </w:tcBorders>
          </w:tcPr>
          <w:p w:rsidR="009F373B" w:rsidRPr="00F627B2"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709" w:type="dxa"/>
            <w:gridSpan w:val="3"/>
            <w:tcBorders>
              <w:top w:val="nil"/>
              <w:left w:val="nil"/>
              <w:bottom w:val="single" w:sz="4" w:space="0" w:color="auto"/>
              <w:right w:val="nil"/>
            </w:tcBorders>
          </w:tcPr>
          <w:p w:rsidR="009F373B" w:rsidRPr="00F627B2"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455" w:type="dxa"/>
            <w:gridSpan w:val="2"/>
            <w:tcBorders>
              <w:top w:val="nil"/>
              <w:left w:val="nil"/>
              <w:bottom w:val="single" w:sz="4" w:space="0" w:color="auto"/>
              <w:right w:val="nil"/>
            </w:tcBorders>
          </w:tcPr>
          <w:p w:rsidR="009F373B" w:rsidRPr="00F627B2"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F627B2"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F373B" w:rsidRPr="00F627B2" w:rsidRDefault="009F373B" w:rsidP="009F373B">
            <w:pPr>
              <w:spacing w:line="240" w:lineRule="auto"/>
              <w:jc w:val="right"/>
              <w:rPr>
                <w:rFonts w:ascii="Lato" w:hAnsi="Lato"/>
                <w:szCs w:val="22"/>
              </w:rPr>
            </w:pPr>
            <w:r w:rsidRPr="00F627B2">
              <w:rPr>
                <w:rFonts w:ascii="Lato" w:hAnsi="Lato"/>
                <w:szCs w:val="22"/>
              </w:rPr>
              <w:t>(i)</w:t>
            </w:r>
          </w:p>
        </w:tc>
        <w:tc>
          <w:tcPr>
            <w:tcW w:w="6974" w:type="dxa"/>
            <w:gridSpan w:val="2"/>
            <w:tcBorders>
              <w:top w:val="nil"/>
              <w:left w:val="nil"/>
              <w:bottom w:val="nil"/>
              <w:right w:val="single" w:sz="4" w:space="0" w:color="auto"/>
            </w:tcBorders>
          </w:tcPr>
          <w:p w:rsidR="009F373B" w:rsidRPr="00F627B2" w:rsidRDefault="009F373B" w:rsidP="009F373B">
            <w:pPr>
              <w:spacing w:line="240" w:lineRule="auto"/>
              <w:rPr>
                <w:rFonts w:ascii="Lato" w:hAnsi="Lato"/>
                <w:szCs w:val="22"/>
              </w:rPr>
            </w:pPr>
            <w:r w:rsidRPr="00F627B2">
              <w:rPr>
                <w:rFonts w:ascii="Lato" w:hAnsi="Lato"/>
                <w:szCs w:val="22"/>
              </w:rPr>
              <w:t xml:space="preserve">Local regulations in EEA countries may require the </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F627B2"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F627B2"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F627B2"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F627B2"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F627B2"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F627B2"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F373B" w:rsidRPr="00F627B2"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r w:rsidRPr="00F627B2">
              <w:rPr>
                <w:rFonts w:ascii="Lato" w:hAnsi="Lato"/>
                <w:szCs w:val="22"/>
              </w:rPr>
              <w:t>appointment of paying agents and maintenance of accounts by such agents through which subscriptions and redemption monies may be paid; and</w:t>
            </w:r>
          </w:p>
        </w:tc>
        <w:tc>
          <w:tcPr>
            <w:tcW w:w="992" w:type="dxa"/>
            <w:gridSpan w:val="2"/>
            <w:tcBorders>
              <w:top w:val="single" w:sz="4" w:space="0" w:color="auto"/>
              <w:left w:val="nil"/>
              <w:bottom w:val="single" w:sz="4" w:space="0" w:color="auto"/>
              <w:right w:val="nil"/>
            </w:tcBorders>
          </w:tcPr>
          <w:p w:rsidR="009F373B" w:rsidRPr="00F627B2"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9F373B" w:rsidRPr="00F627B2"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9F373B" w:rsidRPr="00F627B2"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F627B2"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F373B" w:rsidRPr="00F627B2" w:rsidRDefault="009F373B" w:rsidP="009F373B">
            <w:pPr>
              <w:spacing w:line="240" w:lineRule="auto"/>
              <w:jc w:val="right"/>
              <w:rPr>
                <w:rFonts w:ascii="Lato" w:hAnsi="Lato"/>
                <w:szCs w:val="22"/>
              </w:rPr>
            </w:pPr>
            <w:r w:rsidRPr="00F627B2">
              <w:rPr>
                <w:rFonts w:ascii="Lato" w:hAnsi="Lato"/>
                <w:szCs w:val="22"/>
              </w:rPr>
              <w:t>(ii)</w:t>
            </w:r>
          </w:p>
        </w:tc>
        <w:tc>
          <w:tcPr>
            <w:tcW w:w="6974" w:type="dxa"/>
            <w:gridSpan w:val="2"/>
            <w:tcBorders>
              <w:top w:val="nil"/>
              <w:left w:val="nil"/>
              <w:bottom w:val="nil"/>
              <w:right w:val="single" w:sz="4" w:space="0" w:color="auto"/>
            </w:tcBorders>
          </w:tcPr>
          <w:p w:rsidR="009F373B" w:rsidRPr="00F627B2" w:rsidRDefault="009F373B" w:rsidP="009F373B">
            <w:pPr>
              <w:spacing w:line="240" w:lineRule="auto"/>
              <w:rPr>
                <w:rFonts w:ascii="Lato" w:hAnsi="Lato"/>
                <w:szCs w:val="22"/>
              </w:rPr>
            </w:pPr>
            <w:r w:rsidRPr="00F627B2">
              <w:rPr>
                <w:rFonts w:ascii="Lato" w:hAnsi="Lato"/>
                <w:szCs w:val="22"/>
              </w:rPr>
              <w:t xml:space="preserve">Investors who choose or are obliged under local regulations </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F627B2"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F627B2"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F627B2"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F627B2"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F627B2"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F627B2"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F373B" w:rsidRPr="00F627B2"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r w:rsidRPr="00F627B2">
              <w:rPr>
                <w:rFonts w:ascii="Lato" w:hAnsi="Lato"/>
                <w:szCs w:val="22"/>
              </w:rPr>
              <w:t xml:space="preserve">to pay/receive subscription/redemption monies via an intermediary entity rather than directly to the </w:t>
            </w:r>
            <w:r w:rsidR="00EF4BC6" w:rsidRPr="00F627B2">
              <w:rPr>
                <w:rFonts w:ascii="Lato" w:hAnsi="Lato"/>
                <w:szCs w:val="22"/>
              </w:rPr>
              <w:t xml:space="preserve">depositary </w:t>
            </w:r>
            <w:r w:rsidRPr="00F627B2">
              <w:rPr>
                <w:rFonts w:ascii="Lato" w:hAnsi="Lato"/>
                <w:szCs w:val="22"/>
              </w:rPr>
              <w:t xml:space="preserve">of the </w:t>
            </w:r>
            <w:r w:rsidR="00EF4BC6" w:rsidRPr="00F627B2">
              <w:rPr>
                <w:rFonts w:ascii="Lato" w:hAnsi="Lato"/>
                <w:szCs w:val="22"/>
              </w:rPr>
              <w:t>Retail Investor AIF</w:t>
            </w:r>
            <w:r w:rsidRPr="00F627B2">
              <w:rPr>
                <w:rFonts w:ascii="Lato" w:hAnsi="Lato"/>
                <w:szCs w:val="22"/>
              </w:rPr>
              <w:t xml:space="preserve"> (e.g. a sub-distributor or agent in the local jurisdiction) bear a credit risk against that intermediate entity with respect to</w:t>
            </w:r>
          </w:p>
          <w:p w:rsidR="009F373B" w:rsidRPr="00F627B2" w:rsidRDefault="009F373B" w:rsidP="009F373B">
            <w:pPr>
              <w:numPr>
                <w:ilvl w:val="0"/>
                <w:numId w:val="2"/>
              </w:numPr>
              <w:spacing w:line="240" w:lineRule="auto"/>
              <w:rPr>
                <w:rFonts w:ascii="Lato" w:hAnsi="Lato"/>
                <w:szCs w:val="22"/>
              </w:rPr>
            </w:pPr>
            <w:r w:rsidRPr="00F627B2">
              <w:rPr>
                <w:rFonts w:ascii="Lato" w:hAnsi="Lato"/>
                <w:szCs w:val="22"/>
              </w:rPr>
              <w:t xml:space="preserve">subscription monies prior to the transmission of such monies to the </w:t>
            </w:r>
            <w:r w:rsidR="00EF4BC6" w:rsidRPr="00F627B2">
              <w:rPr>
                <w:rFonts w:ascii="Lato" w:hAnsi="Lato"/>
                <w:szCs w:val="22"/>
              </w:rPr>
              <w:t xml:space="preserve">depositary </w:t>
            </w:r>
            <w:r w:rsidRPr="00F627B2">
              <w:rPr>
                <w:rFonts w:ascii="Lato" w:hAnsi="Lato"/>
                <w:szCs w:val="22"/>
              </w:rPr>
              <w:t xml:space="preserve">for the account of the </w:t>
            </w:r>
            <w:r w:rsidR="00EF4BC6" w:rsidRPr="00F627B2">
              <w:rPr>
                <w:rFonts w:ascii="Lato" w:hAnsi="Lato"/>
                <w:szCs w:val="22"/>
              </w:rPr>
              <w:t>Retail Investor AIF;</w:t>
            </w:r>
            <w:r w:rsidRPr="00F627B2">
              <w:rPr>
                <w:rFonts w:ascii="Lato" w:hAnsi="Lato"/>
                <w:szCs w:val="22"/>
              </w:rPr>
              <w:t xml:space="preserve"> </w:t>
            </w:r>
          </w:p>
          <w:p w:rsidR="009F373B" w:rsidRPr="00F627B2" w:rsidRDefault="009F373B" w:rsidP="00EF4BC6">
            <w:pPr>
              <w:numPr>
                <w:ilvl w:val="0"/>
                <w:numId w:val="2"/>
              </w:numPr>
              <w:spacing w:line="240" w:lineRule="auto"/>
              <w:rPr>
                <w:rFonts w:ascii="Lato" w:hAnsi="Lato"/>
                <w:szCs w:val="22"/>
              </w:rPr>
            </w:pPr>
            <w:r w:rsidRPr="00F627B2">
              <w:rPr>
                <w:rFonts w:ascii="Lato" w:hAnsi="Lato"/>
                <w:szCs w:val="22"/>
              </w:rPr>
              <w:t xml:space="preserve">redemption monies payable by such intermediate entity to the relevant investor; </w:t>
            </w:r>
          </w:p>
        </w:tc>
        <w:tc>
          <w:tcPr>
            <w:tcW w:w="992" w:type="dxa"/>
            <w:gridSpan w:val="2"/>
            <w:tcBorders>
              <w:top w:val="single" w:sz="4" w:space="0" w:color="auto"/>
              <w:left w:val="nil"/>
              <w:bottom w:val="nil"/>
              <w:right w:val="nil"/>
            </w:tcBorders>
          </w:tcPr>
          <w:p w:rsidR="009F373B" w:rsidRPr="00F627B2"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709" w:type="dxa"/>
            <w:gridSpan w:val="3"/>
            <w:tcBorders>
              <w:top w:val="single" w:sz="4" w:space="0" w:color="auto"/>
              <w:left w:val="nil"/>
              <w:bottom w:val="nil"/>
              <w:right w:val="nil"/>
            </w:tcBorders>
          </w:tcPr>
          <w:p w:rsidR="009F373B" w:rsidRPr="00F627B2"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455" w:type="dxa"/>
            <w:gridSpan w:val="2"/>
            <w:tcBorders>
              <w:top w:val="single" w:sz="4" w:space="0" w:color="auto"/>
              <w:left w:val="nil"/>
              <w:bottom w:val="nil"/>
              <w:right w:val="nil"/>
            </w:tcBorders>
          </w:tcPr>
          <w:p w:rsidR="009F373B" w:rsidRPr="00F627B2"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F627B2"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F373B" w:rsidRPr="00F627B2"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F627B2" w:rsidRDefault="00EF4BC6" w:rsidP="009F373B">
            <w:pPr>
              <w:spacing w:line="240" w:lineRule="auto"/>
              <w:rPr>
                <w:rFonts w:ascii="Lato" w:hAnsi="Lato"/>
                <w:szCs w:val="22"/>
              </w:rPr>
            </w:pPr>
            <w:r w:rsidRPr="00F627B2">
              <w:rPr>
                <w:rFonts w:ascii="Lato" w:hAnsi="Lato"/>
                <w:szCs w:val="22"/>
              </w:rPr>
              <w:t>and</w:t>
            </w:r>
          </w:p>
        </w:tc>
        <w:tc>
          <w:tcPr>
            <w:tcW w:w="992" w:type="dxa"/>
            <w:gridSpan w:val="2"/>
            <w:tcBorders>
              <w:top w:val="nil"/>
              <w:left w:val="nil"/>
              <w:bottom w:val="single" w:sz="4" w:space="0" w:color="auto"/>
              <w:right w:val="nil"/>
            </w:tcBorders>
          </w:tcPr>
          <w:p w:rsidR="009F373B" w:rsidRPr="00F627B2"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709" w:type="dxa"/>
            <w:gridSpan w:val="3"/>
            <w:tcBorders>
              <w:top w:val="nil"/>
              <w:left w:val="nil"/>
              <w:bottom w:val="single" w:sz="4" w:space="0" w:color="auto"/>
              <w:right w:val="nil"/>
            </w:tcBorders>
          </w:tcPr>
          <w:p w:rsidR="009F373B" w:rsidRPr="00F627B2"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455" w:type="dxa"/>
            <w:gridSpan w:val="2"/>
            <w:tcBorders>
              <w:top w:val="nil"/>
              <w:left w:val="nil"/>
              <w:bottom w:val="single" w:sz="4" w:space="0" w:color="auto"/>
              <w:right w:val="nil"/>
            </w:tcBorders>
          </w:tcPr>
          <w:p w:rsidR="009F373B" w:rsidRPr="00F627B2"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F627B2"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F373B" w:rsidRPr="00F627B2" w:rsidRDefault="009F373B" w:rsidP="009F373B">
            <w:pPr>
              <w:spacing w:line="240" w:lineRule="auto"/>
              <w:jc w:val="right"/>
              <w:rPr>
                <w:rFonts w:ascii="Lato" w:hAnsi="Lato"/>
                <w:szCs w:val="22"/>
              </w:rPr>
            </w:pPr>
            <w:r w:rsidRPr="00F627B2">
              <w:rPr>
                <w:rFonts w:ascii="Lato" w:hAnsi="Lato"/>
                <w:szCs w:val="22"/>
              </w:rPr>
              <w:t>(iii)</w:t>
            </w:r>
          </w:p>
        </w:tc>
        <w:tc>
          <w:tcPr>
            <w:tcW w:w="6974" w:type="dxa"/>
            <w:gridSpan w:val="2"/>
            <w:tcBorders>
              <w:top w:val="nil"/>
              <w:left w:val="nil"/>
              <w:bottom w:val="nil"/>
              <w:right w:val="single" w:sz="4" w:space="0" w:color="auto"/>
            </w:tcBorders>
          </w:tcPr>
          <w:p w:rsidR="009F373B" w:rsidRPr="00F627B2" w:rsidRDefault="009F373B" w:rsidP="009F373B">
            <w:pPr>
              <w:spacing w:line="240" w:lineRule="auto"/>
              <w:rPr>
                <w:rFonts w:ascii="Lato" w:hAnsi="Lato"/>
                <w:szCs w:val="22"/>
              </w:rPr>
            </w:pPr>
            <w:r w:rsidRPr="00F627B2">
              <w:rPr>
                <w:rFonts w:ascii="Lato" w:hAnsi="Lato"/>
                <w:szCs w:val="22"/>
              </w:rPr>
              <w:t xml:space="preserve">fees of sub-distributors and paying agents will be borne by </w:t>
            </w:r>
            <w:r w:rsidR="00B7175D" w:rsidRPr="00F627B2">
              <w:rPr>
                <w:rFonts w:ascii="Lato" w:hAnsi="Lato"/>
                <w:szCs w:val="22"/>
              </w:rPr>
              <w:t>the Retail</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F627B2"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F627B2"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F627B2"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F627B2"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F627B2"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F627B2"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F373B" w:rsidRPr="00F627B2"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r w:rsidRPr="00F627B2">
              <w:rPr>
                <w:rFonts w:ascii="Lato" w:hAnsi="Lato"/>
                <w:szCs w:val="22"/>
              </w:rPr>
              <w:t>I</w:t>
            </w:r>
            <w:r w:rsidR="00934F55" w:rsidRPr="00F627B2">
              <w:rPr>
                <w:rFonts w:ascii="Lato" w:hAnsi="Lato"/>
                <w:szCs w:val="22"/>
              </w:rPr>
              <w:t xml:space="preserve">nvestor </w:t>
            </w:r>
            <w:r w:rsidRPr="00F627B2">
              <w:rPr>
                <w:rFonts w:ascii="Lato" w:hAnsi="Lato"/>
                <w:szCs w:val="22"/>
              </w:rPr>
              <w:t>AIF</w:t>
            </w:r>
          </w:p>
        </w:tc>
        <w:tc>
          <w:tcPr>
            <w:tcW w:w="992" w:type="dxa"/>
            <w:gridSpan w:val="2"/>
            <w:tcBorders>
              <w:top w:val="single" w:sz="4" w:space="0" w:color="auto"/>
              <w:left w:val="nil"/>
              <w:bottom w:val="nil"/>
              <w:right w:val="nil"/>
            </w:tcBorders>
          </w:tcPr>
          <w:p w:rsidR="009F373B" w:rsidRPr="00F627B2"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709" w:type="dxa"/>
            <w:gridSpan w:val="3"/>
            <w:tcBorders>
              <w:top w:val="single" w:sz="4" w:space="0" w:color="auto"/>
              <w:left w:val="nil"/>
              <w:bottom w:val="nil"/>
              <w:right w:val="nil"/>
            </w:tcBorders>
          </w:tcPr>
          <w:p w:rsidR="009F373B" w:rsidRPr="00F627B2"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455" w:type="dxa"/>
            <w:gridSpan w:val="2"/>
            <w:tcBorders>
              <w:top w:val="single" w:sz="4" w:space="0" w:color="auto"/>
              <w:left w:val="nil"/>
              <w:bottom w:val="nil"/>
              <w:right w:val="nil"/>
            </w:tcBorders>
          </w:tcPr>
          <w:p w:rsidR="009F373B" w:rsidRPr="00F627B2"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F627B2"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F373B" w:rsidRPr="00F627B2"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992" w:type="dxa"/>
            <w:gridSpan w:val="2"/>
            <w:tcBorders>
              <w:top w:val="nil"/>
              <w:left w:val="nil"/>
              <w:bottom w:val="single" w:sz="4" w:space="0" w:color="auto"/>
              <w:right w:val="nil"/>
            </w:tcBorders>
          </w:tcPr>
          <w:p w:rsidR="009F373B" w:rsidRPr="00F627B2"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709" w:type="dxa"/>
            <w:gridSpan w:val="3"/>
            <w:tcBorders>
              <w:top w:val="nil"/>
              <w:left w:val="nil"/>
              <w:bottom w:val="single" w:sz="4" w:space="0" w:color="auto"/>
              <w:right w:val="nil"/>
            </w:tcBorders>
          </w:tcPr>
          <w:p w:rsidR="009F373B" w:rsidRPr="00F627B2"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c>
          <w:tcPr>
            <w:tcW w:w="455" w:type="dxa"/>
            <w:gridSpan w:val="2"/>
            <w:tcBorders>
              <w:top w:val="nil"/>
              <w:left w:val="nil"/>
              <w:bottom w:val="single" w:sz="4" w:space="0" w:color="auto"/>
              <w:right w:val="nil"/>
            </w:tcBorders>
          </w:tcPr>
          <w:p w:rsidR="009F373B" w:rsidRPr="00F627B2"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F627B2"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F373B" w:rsidRPr="00F627B2" w:rsidRDefault="009F373B" w:rsidP="009F373B">
            <w:pPr>
              <w:spacing w:line="240" w:lineRule="auto"/>
              <w:rPr>
                <w:rFonts w:ascii="Lato" w:hAnsi="Lato"/>
                <w:szCs w:val="22"/>
              </w:rPr>
            </w:pPr>
            <w:r w:rsidRPr="00F627B2">
              <w:rPr>
                <w:rFonts w:ascii="Lato" w:hAnsi="Lato"/>
                <w:szCs w:val="22"/>
              </w:rPr>
              <w:t>b)</w:t>
            </w:r>
          </w:p>
        </w:tc>
        <w:tc>
          <w:tcPr>
            <w:tcW w:w="6974" w:type="dxa"/>
            <w:gridSpan w:val="2"/>
            <w:tcBorders>
              <w:top w:val="nil"/>
              <w:left w:val="nil"/>
              <w:bottom w:val="nil"/>
              <w:right w:val="single" w:sz="4" w:space="0" w:color="auto"/>
            </w:tcBorders>
          </w:tcPr>
          <w:p w:rsidR="009F373B" w:rsidRPr="00F627B2" w:rsidRDefault="009F373B" w:rsidP="009F373B">
            <w:pPr>
              <w:spacing w:line="240" w:lineRule="auto"/>
              <w:rPr>
                <w:rFonts w:ascii="Lato" w:hAnsi="Lato"/>
                <w:szCs w:val="22"/>
              </w:rPr>
            </w:pPr>
            <w:r w:rsidRPr="00F627B2">
              <w:rPr>
                <w:rFonts w:ascii="Lato" w:hAnsi="Lato"/>
                <w:szCs w:val="22"/>
              </w:rPr>
              <w:t>If applicable, indicate the intention to appoint a distributor</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F627B2"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F627B2"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F627B2"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F627B2"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F627B2"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F627B2"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F627B2" w:rsidRDefault="009F373B" w:rsidP="009F373B">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9F373B" w:rsidRPr="00F627B2" w:rsidRDefault="009F373B">
            <w:pPr>
              <w:spacing w:line="240" w:lineRule="auto"/>
              <w:rPr>
                <w:rFonts w:ascii="Lato" w:hAnsi="Lato"/>
                <w:szCs w:val="22"/>
              </w:rPr>
            </w:pPr>
          </w:p>
        </w:tc>
        <w:tc>
          <w:tcPr>
            <w:tcW w:w="6974" w:type="dxa"/>
            <w:gridSpan w:val="2"/>
            <w:tcBorders>
              <w:top w:val="nil"/>
              <w:left w:val="nil"/>
              <w:bottom w:val="nil"/>
              <w:right w:val="nil"/>
            </w:tcBorders>
          </w:tcPr>
          <w:p w:rsidR="009F373B" w:rsidRPr="00F627B2" w:rsidRDefault="009F373B">
            <w:pPr>
              <w:spacing w:line="240" w:lineRule="auto"/>
              <w:rPr>
                <w:rFonts w:ascii="Lato" w:hAnsi="Lato"/>
                <w:szCs w:val="22"/>
              </w:rPr>
            </w:pPr>
          </w:p>
        </w:tc>
        <w:tc>
          <w:tcPr>
            <w:tcW w:w="992" w:type="dxa"/>
            <w:gridSpan w:val="2"/>
            <w:tcBorders>
              <w:top w:val="nil"/>
              <w:left w:val="nil"/>
              <w:bottom w:val="nil"/>
              <w:right w:val="nil"/>
            </w:tcBorders>
          </w:tcPr>
          <w:p w:rsidR="009F373B" w:rsidRPr="00F627B2" w:rsidRDefault="009F373B">
            <w:pPr>
              <w:spacing w:line="240" w:lineRule="auto"/>
              <w:rPr>
                <w:rFonts w:ascii="Lato" w:hAnsi="Lato"/>
                <w:szCs w:val="22"/>
              </w:rPr>
            </w:pPr>
          </w:p>
        </w:tc>
        <w:tc>
          <w:tcPr>
            <w:tcW w:w="236" w:type="dxa"/>
            <w:gridSpan w:val="2"/>
            <w:tcBorders>
              <w:top w:val="nil"/>
              <w:left w:val="nil"/>
              <w:bottom w:val="nil"/>
              <w:right w:val="nil"/>
            </w:tcBorders>
          </w:tcPr>
          <w:p w:rsidR="009F373B" w:rsidRPr="00F627B2" w:rsidRDefault="009F373B">
            <w:pPr>
              <w:spacing w:line="240" w:lineRule="auto"/>
              <w:rPr>
                <w:rFonts w:ascii="Lato" w:hAnsi="Lato"/>
                <w:szCs w:val="22"/>
              </w:rPr>
            </w:pPr>
          </w:p>
        </w:tc>
        <w:tc>
          <w:tcPr>
            <w:tcW w:w="709" w:type="dxa"/>
            <w:gridSpan w:val="3"/>
            <w:tcBorders>
              <w:top w:val="nil"/>
              <w:left w:val="nil"/>
              <w:bottom w:val="nil"/>
              <w:right w:val="nil"/>
            </w:tcBorders>
          </w:tcPr>
          <w:p w:rsidR="009F373B" w:rsidRPr="00F627B2" w:rsidRDefault="009F373B">
            <w:pPr>
              <w:spacing w:line="240" w:lineRule="auto"/>
              <w:rPr>
                <w:rFonts w:ascii="Lato" w:hAnsi="Lato"/>
                <w:szCs w:val="22"/>
              </w:rPr>
            </w:pPr>
          </w:p>
        </w:tc>
        <w:tc>
          <w:tcPr>
            <w:tcW w:w="264" w:type="dxa"/>
            <w:gridSpan w:val="2"/>
            <w:tcBorders>
              <w:top w:val="nil"/>
              <w:left w:val="nil"/>
              <w:bottom w:val="nil"/>
              <w:right w:val="nil"/>
            </w:tcBorders>
          </w:tcPr>
          <w:p w:rsidR="009F373B" w:rsidRPr="00F627B2" w:rsidRDefault="009F373B">
            <w:pPr>
              <w:spacing w:line="240" w:lineRule="auto"/>
              <w:rPr>
                <w:rFonts w:ascii="Lato" w:hAnsi="Lato"/>
                <w:szCs w:val="22"/>
              </w:rPr>
            </w:pPr>
          </w:p>
        </w:tc>
        <w:tc>
          <w:tcPr>
            <w:tcW w:w="455" w:type="dxa"/>
            <w:gridSpan w:val="2"/>
            <w:tcBorders>
              <w:top w:val="nil"/>
              <w:left w:val="nil"/>
              <w:bottom w:val="nil"/>
              <w:right w:val="nil"/>
            </w:tcBorders>
          </w:tcPr>
          <w:p w:rsidR="009F373B" w:rsidRPr="00F627B2" w:rsidRDefault="009F373B">
            <w:pPr>
              <w:spacing w:line="240" w:lineRule="auto"/>
              <w:rPr>
                <w:rFonts w:ascii="Lato" w:hAnsi="Lato"/>
                <w:szCs w:val="22"/>
              </w:rPr>
            </w:pPr>
          </w:p>
        </w:tc>
        <w:tc>
          <w:tcPr>
            <w:tcW w:w="264" w:type="dxa"/>
            <w:gridSpan w:val="4"/>
            <w:tcBorders>
              <w:top w:val="nil"/>
              <w:left w:val="nil"/>
              <w:bottom w:val="nil"/>
              <w:right w:val="nil"/>
            </w:tcBorders>
          </w:tcPr>
          <w:p w:rsidR="009F373B" w:rsidRPr="00F627B2" w:rsidRDefault="009F373B">
            <w:pPr>
              <w:spacing w:line="240" w:lineRule="auto"/>
              <w:rPr>
                <w:rFonts w:ascii="Lato" w:hAnsi="Lato"/>
                <w:szCs w:val="22"/>
              </w:rPr>
            </w:pPr>
          </w:p>
        </w:tc>
        <w:tc>
          <w:tcPr>
            <w:tcW w:w="556" w:type="dxa"/>
            <w:gridSpan w:val="2"/>
            <w:tcBorders>
              <w:top w:val="nil"/>
              <w:left w:val="nil"/>
              <w:bottom w:val="nil"/>
              <w:right w:val="nil"/>
            </w:tcBorders>
          </w:tcPr>
          <w:p w:rsidR="009F373B" w:rsidRPr="00F627B2" w:rsidRDefault="009F373B">
            <w:pPr>
              <w:spacing w:line="240" w:lineRule="auto"/>
              <w:rPr>
                <w:rFonts w:ascii="Lato" w:hAnsi="Lato"/>
                <w:szCs w:val="22"/>
              </w:rPr>
            </w:pPr>
          </w:p>
        </w:tc>
      </w:tr>
      <w:tr w:rsidR="00FB497D" w:rsidRPr="00F627B2" w:rsidTr="00F627B2">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CE0866" w:rsidRPr="00F627B2" w:rsidRDefault="00CE0866"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11</w:t>
            </w:r>
          </w:p>
        </w:tc>
        <w:tc>
          <w:tcPr>
            <w:tcW w:w="6974" w:type="dxa"/>
            <w:gridSpan w:val="2"/>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r w:rsidRPr="00F627B2">
              <w:rPr>
                <w:rFonts w:ascii="Lato" w:hAnsi="Lato"/>
                <w:szCs w:val="22"/>
              </w:rPr>
              <w:t>General Information</w:t>
            </w:r>
          </w:p>
        </w:tc>
        <w:tc>
          <w:tcPr>
            <w:tcW w:w="992" w:type="dxa"/>
            <w:gridSpan w:val="2"/>
            <w:tcBorders>
              <w:top w:val="nil"/>
              <w:left w:val="single" w:sz="4" w:space="0" w:color="auto"/>
              <w:bottom w:val="nil"/>
              <w:right w:val="nil"/>
            </w:tcBorders>
          </w:tcPr>
          <w:p w:rsidR="00CE0866" w:rsidRPr="00F627B2" w:rsidRDefault="00CE0866">
            <w:pPr>
              <w:spacing w:line="240" w:lineRule="auto"/>
              <w:rPr>
                <w:rFonts w:ascii="Lato" w:hAnsi="Lato"/>
                <w:b/>
                <w:bCs/>
                <w:szCs w:val="22"/>
              </w:rPr>
            </w:pPr>
          </w:p>
        </w:tc>
        <w:tc>
          <w:tcPr>
            <w:tcW w:w="236" w:type="dxa"/>
            <w:gridSpan w:val="2"/>
            <w:tcBorders>
              <w:top w:val="nil"/>
              <w:left w:val="nil"/>
              <w:bottom w:val="nil"/>
              <w:right w:val="nil"/>
            </w:tcBorders>
          </w:tcPr>
          <w:p w:rsidR="00CE0866" w:rsidRPr="00F627B2" w:rsidRDefault="00CE0866">
            <w:pPr>
              <w:spacing w:line="240" w:lineRule="auto"/>
              <w:rPr>
                <w:rFonts w:ascii="Lato" w:hAnsi="Lato"/>
                <w:b/>
                <w:bCs/>
                <w:szCs w:val="22"/>
              </w:rPr>
            </w:pPr>
          </w:p>
        </w:tc>
        <w:tc>
          <w:tcPr>
            <w:tcW w:w="709" w:type="dxa"/>
            <w:gridSpan w:val="3"/>
            <w:tcBorders>
              <w:top w:val="nil"/>
              <w:left w:val="nil"/>
              <w:bottom w:val="nil"/>
              <w:right w:val="nil"/>
            </w:tcBorders>
          </w:tcPr>
          <w:p w:rsidR="00CE0866" w:rsidRPr="00F627B2" w:rsidRDefault="00CE0866">
            <w:pPr>
              <w:spacing w:line="240" w:lineRule="auto"/>
              <w:rPr>
                <w:rFonts w:ascii="Lato" w:hAnsi="Lato"/>
                <w:b/>
                <w:bCs/>
                <w:szCs w:val="22"/>
              </w:rPr>
            </w:pPr>
          </w:p>
        </w:tc>
        <w:tc>
          <w:tcPr>
            <w:tcW w:w="264"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455"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single" w:sz="4" w:space="0" w:color="auto"/>
              <w:left w:val="nil"/>
              <w:bottom w:val="nil"/>
              <w:right w:val="nil"/>
            </w:tcBorders>
          </w:tcPr>
          <w:p w:rsidR="00CE0866" w:rsidRPr="00F627B2" w:rsidRDefault="00CE0866">
            <w:pPr>
              <w:spacing w:line="240" w:lineRule="auto"/>
              <w:rPr>
                <w:rFonts w:ascii="Lato" w:hAnsi="Lato"/>
                <w:szCs w:val="22"/>
              </w:rPr>
            </w:pPr>
          </w:p>
        </w:tc>
        <w:tc>
          <w:tcPr>
            <w:tcW w:w="6974" w:type="dxa"/>
            <w:gridSpan w:val="2"/>
            <w:tcBorders>
              <w:top w:val="single" w:sz="4" w:space="0" w:color="auto"/>
              <w:left w:val="nil"/>
              <w:bottom w:val="nil"/>
              <w:right w:val="nil"/>
            </w:tcBorders>
          </w:tcPr>
          <w:p w:rsidR="00CE0866" w:rsidRPr="00F627B2" w:rsidRDefault="00CE0866">
            <w:pPr>
              <w:spacing w:line="240" w:lineRule="auto"/>
              <w:rPr>
                <w:rFonts w:ascii="Lato" w:hAnsi="Lato"/>
                <w:szCs w:val="22"/>
              </w:rPr>
            </w:pPr>
          </w:p>
        </w:tc>
        <w:tc>
          <w:tcPr>
            <w:tcW w:w="992"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709" w:type="dxa"/>
            <w:gridSpan w:val="3"/>
            <w:tcBorders>
              <w:top w:val="nil"/>
              <w:left w:val="nil"/>
              <w:bottom w:val="nil"/>
              <w:right w:val="nil"/>
            </w:tcBorders>
          </w:tcPr>
          <w:p w:rsidR="00CE0866" w:rsidRPr="00F627B2"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455"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CE0866" w:rsidRPr="00F627B2" w:rsidRDefault="00CE0866" w:rsidP="003C3E16">
            <w:pPr>
              <w:spacing w:line="240" w:lineRule="auto"/>
              <w:rPr>
                <w:rFonts w:ascii="Lato" w:hAnsi="Lato"/>
                <w:szCs w:val="22"/>
              </w:rPr>
            </w:pPr>
            <w:r w:rsidRPr="00F627B2">
              <w:rPr>
                <w:rFonts w:ascii="Lato" w:hAnsi="Lato"/>
                <w:szCs w:val="22"/>
              </w:rPr>
              <w:t>2.</w:t>
            </w:r>
            <w:r w:rsidR="003C3E16" w:rsidRPr="00F627B2">
              <w:rPr>
                <w:rFonts w:ascii="Lato" w:hAnsi="Lato"/>
                <w:szCs w:val="22"/>
              </w:rPr>
              <w:t>11</w:t>
            </w:r>
            <w:r w:rsidRPr="00F627B2">
              <w:rPr>
                <w:rFonts w:ascii="Lato" w:hAnsi="Lato"/>
                <w:szCs w:val="22"/>
              </w:rPr>
              <w:t>.1</w:t>
            </w:r>
          </w:p>
        </w:tc>
        <w:tc>
          <w:tcPr>
            <w:tcW w:w="6974" w:type="dxa"/>
            <w:gridSpan w:val="2"/>
            <w:tcBorders>
              <w:top w:val="nil"/>
              <w:left w:val="nil"/>
              <w:bottom w:val="nil"/>
              <w:right w:val="nil"/>
            </w:tcBorders>
          </w:tcPr>
          <w:p w:rsidR="00CE0866" w:rsidRPr="00F627B2" w:rsidRDefault="00CE0866">
            <w:pPr>
              <w:pStyle w:val="Heading1"/>
              <w:spacing w:before="0" w:after="0" w:line="240" w:lineRule="auto"/>
              <w:rPr>
                <w:rFonts w:ascii="Lato" w:hAnsi="Lato"/>
                <w:color w:val="auto"/>
                <w:sz w:val="22"/>
                <w:szCs w:val="22"/>
              </w:rPr>
            </w:pPr>
            <w:r w:rsidRPr="00F627B2">
              <w:rPr>
                <w:rFonts w:ascii="Lato" w:hAnsi="Lato"/>
                <w:color w:val="auto"/>
                <w:sz w:val="22"/>
                <w:szCs w:val="22"/>
              </w:rPr>
              <w:t>Conflict of Interests</w:t>
            </w:r>
          </w:p>
        </w:tc>
        <w:tc>
          <w:tcPr>
            <w:tcW w:w="992" w:type="dxa"/>
            <w:gridSpan w:val="2"/>
            <w:tcBorders>
              <w:top w:val="nil"/>
              <w:left w:val="nil"/>
              <w:bottom w:val="single" w:sz="4" w:space="0" w:color="auto"/>
              <w:right w:val="nil"/>
            </w:tcBorders>
          </w:tcPr>
          <w:p w:rsidR="00CE0866" w:rsidRPr="00F627B2"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709" w:type="dxa"/>
            <w:gridSpan w:val="3"/>
            <w:tcBorders>
              <w:top w:val="nil"/>
              <w:left w:val="nil"/>
              <w:bottom w:val="single" w:sz="4" w:space="0" w:color="auto"/>
              <w:right w:val="nil"/>
            </w:tcBorders>
          </w:tcPr>
          <w:p w:rsidR="00CE0866" w:rsidRPr="00F627B2"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455" w:type="dxa"/>
            <w:gridSpan w:val="2"/>
            <w:tcBorders>
              <w:top w:val="nil"/>
              <w:left w:val="nil"/>
              <w:bottom w:val="single" w:sz="4" w:space="0" w:color="auto"/>
              <w:right w:val="nil"/>
            </w:tcBorders>
          </w:tcPr>
          <w:p w:rsidR="00CE0866" w:rsidRPr="00F627B2"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CE0866" w:rsidRPr="00F627B2" w:rsidRDefault="00CE0866">
            <w:pPr>
              <w:spacing w:line="240" w:lineRule="auto"/>
              <w:rPr>
                <w:rFonts w:ascii="Lato" w:hAnsi="Lato"/>
                <w:szCs w:val="22"/>
              </w:rPr>
            </w:pPr>
            <w:r w:rsidRPr="00F627B2">
              <w:rPr>
                <w:rFonts w:ascii="Lato" w:hAnsi="Lato"/>
                <w:szCs w:val="22"/>
              </w:rPr>
              <w:t>a)</w:t>
            </w:r>
          </w:p>
        </w:tc>
        <w:tc>
          <w:tcPr>
            <w:tcW w:w="6974" w:type="dxa"/>
            <w:gridSpan w:val="2"/>
            <w:tcBorders>
              <w:top w:val="nil"/>
              <w:left w:val="nil"/>
              <w:bottom w:val="nil"/>
              <w:right w:val="single" w:sz="4" w:space="0" w:color="auto"/>
            </w:tcBorders>
          </w:tcPr>
          <w:p w:rsidR="00CE0866" w:rsidRPr="00F627B2" w:rsidRDefault="00CE0866">
            <w:pPr>
              <w:spacing w:line="240" w:lineRule="auto"/>
              <w:rPr>
                <w:rFonts w:ascii="Lato" w:hAnsi="Lato"/>
                <w:szCs w:val="22"/>
              </w:rPr>
            </w:pPr>
            <w:r w:rsidRPr="00F627B2">
              <w:rPr>
                <w:rFonts w:ascii="Lato" w:hAnsi="Lato"/>
                <w:szCs w:val="22"/>
              </w:rPr>
              <w:t xml:space="preserve">Disclose a description of the potential conflicts of interest </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F627B2"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F627B2"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CE0866" w:rsidRPr="00F627B2"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F627B2" w:rsidRDefault="00CE0866">
            <w:pPr>
              <w:spacing w:line="240" w:lineRule="auto"/>
              <w:rPr>
                <w:rFonts w:ascii="Lato" w:hAnsi="Lato"/>
                <w:szCs w:val="22"/>
              </w:rPr>
            </w:pPr>
            <w:r w:rsidRPr="00F627B2">
              <w:rPr>
                <w:rFonts w:ascii="Lato" w:hAnsi="Lato"/>
                <w:szCs w:val="22"/>
              </w:rPr>
              <w:t xml:space="preserve">which could arise between the </w:t>
            </w:r>
            <w:r w:rsidR="00F617E3" w:rsidRPr="00F627B2">
              <w:rPr>
                <w:rFonts w:ascii="Lato" w:hAnsi="Lato"/>
                <w:szCs w:val="22"/>
              </w:rPr>
              <w:t xml:space="preserve">AIFM, </w:t>
            </w:r>
            <w:r w:rsidRPr="00F627B2">
              <w:rPr>
                <w:rFonts w:ascii="Lato" w:hAnsi="Lato"/>
                <w:szCs w:val="22"/>
              </w:rPr>
              <w:t>management company, general partner, investment manager and the Retail Investor AIF</w:t>
            </w:r>
          </w:p>
        </w:tc>
        <w:tc>
          <w:tcPr>
            <w:tcW w:w="992" w:type="dxa"/>
            <w:gridSpan w:val="2"/>
            <w:tcBorders>
              <w:top w:val="single" w:sz="4" w:space="0" w:color="auto"/>
              <w:left w:val="nil"/>
              <w:bottom w:val="nil"/>
              <w:right w:val="nil"/>
            </w:tcBorders>
          </w:tcPr>
          <w:p w:rsidR="00CE0866" w:rsidRPr="00F627B2"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709" w:type="dxa"/>
            <w:gridSpan w:val="3"/>
            <w:tcBorders>
              <w:top w:val="single" w:sz="4" w:space="0" w:color="auto"/>
              <w:left w:val="nil"/>
              <w:bottom w:val="nil"/>
              <w:right w:val="nil"/>
            </w:tcBorders>
          </w:tcPr>
          <w:p w:rsidR="00CE0866" w:rsidRPr="00F627B2"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455" w:type="dxa"/>
            <w:gridSpan w:val="2"/>
            <w:tcBorders>
              <w:top w:val="single" w:sz="4" w:space="0" w:color="auto"/>
              <w:left w:val="nil"/>
              <w:bottom w:val="nil"/>
              <w:right w:val="nil"/>
            </w:tcBorders>
          </w:tcPr>
          <w:p w:rsidR="00CE0866" w:rsidRPr="00F627B2"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CE0866" w:rsidRPr="00F627B2"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992" w:type="dxa"/>
            <w:gridSpan w:val="2"/>
            <w:tcBorders>
              <w:top w:val="nil"/>
              <w:left w:val="nil"/>
              <w:bottom w:val="single" w:sz="4" w:space="0" w:color="auto"/>
              <w:right w:val="nil"/>
            </w:tcBorders>
          </w:tcPr>
          <w:p w:rsidR="00CE0866" w:rsidRPr="00F627B2"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709" w:type="dxa"/>
            <w:gridSpan w:val="3"/>
            <w:tcBorders>
              <w:top w:val="nil"/>
              <w:left w:val="nil"/>
              <w:bottom w:val="single" w:sz="4" w:space="0" w:color="auto"/>
              <w:right w:val="nil"/>
            </w:tcBorders>
          </w:tcPr>
          <w:p w:rsidR="00CE0866" w:rsidRPr="00F627B2"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455" w:type="dxa"/>
            <w:gridSpan w:val="2"/>
            <w:tcBorders>
              <w:top w:val="nil"/>
              <w:left w:val="nil"/>
              <w:bottom w:val="single" w:sz="4" w:space="0" w:color="auto"/>
              <w:right w:val="nil"/>
            </w:tcBorders>
          </w:tcPr>
          <w:p w:rsidR="00CE0866" w:rsidRPr="00F627B2"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CE0866" w:rsidRPr="00F627B2" w:rsidRDefault="00CE0866">
            <w:pPr>
              <w:spacing w:line="240" w:lineRule="auto"/>
              <w:rPr>
                <w:rFonts w:ascii="Lato" w:hAnsi="Lato"/>
                <w:szCs w:val="22"/>
              </w:rPr>
            </w:pPr>
            <w:r w:rsidRPr="00F627B2">
              <w:rPr>
                <w:rFonts w:ascii="Lato" w:hAnsi="Lato"/>
                <w:szCs w:val="22"/>
              </w:rPr>
              <w:t>b)</w:t>
            </w:r>
          </w:p>
        </w:tc>
        <w:tc>
          <w:tcPr>
            <w:tcW w:w="6974" w:type="dxa"/>
            <w:gridSpan w:val="2"/>
            <w:tcBorders>
              <w:top w:val="nil"/>
              <w:left w:val="nil"/>
              <w:bottom w:val="nil"/>
              <w:right w:val="single" w:sz="4" w:space="0" w:color="auto"/>
            </w:tcBorders>
          </w:tcPr>
          <w:p w:rsidR="00CE0866" w:rsidRPr="00F627B2" w:rsidRDefault="00CE0866" w:rsidP="00AD368F">
            <w:pPr>
              <w:spacing w:line="240" w:lineRule="auto"/>
              <w:rPr>
                <w:rFonts w:ascii="Lato" w:hAnsi="Lato"/>
                <w:szCs w:val="22"/>
              </w:rPr>
            </w:pPr>
            <w:r w:rsidRPr="00F627B2">
              <w:rPr>
                <w:rFonts w:ascii="Lato" w:hAnsi="Lato"/>
                <w:szCs w:val="22"/>
              </w:rPr>
              <w:t>Indicate</w:t>
            </w:r>
            <w:r w:rsidR="00956AD4" w:rsidRPr="00F627B2">
              <w:rPr>
                <w:rFonts w:ascii="Lato" w:hAnsi="Lato"/>
                <w:szCs w:val="22"/>
              </w:rPr>
              <w:t xml:space="preserve"> where applicable</w:t>
            </w:r>
            <w:r w:rsidRPr="00F627B2">
              <w:rPr>
                <w:rFonts w:ascii="Lato" w:hAnsi="Lato"/>
                <w:szCs w:val="22"/>
              </w:rPr>
              <w:t xml:space="preserve"> how these will be resolved </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F627B2"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F627B2"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CE0866" w:rsidRPr="00F627B2"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F627B2" w:rsidRDefault="00CE0866" w:rsidP="000D40C4">
            <w:pPr>
              <w:spacing w:line="240" w:lineRule="auto"/>
              <w:rPr>
                <w:rFonts w:ascii="Lato" w:hAnsi="Lato"/>
                <w:szCs w:val="22"/>
              </w:rPr>
            </w:pPr>
          </w:p>
        </w:tc>
        <w:tc>
          <w:tcPr>
            <w:tcW w:w="992" w:type="dxa"/>
            <w:gridSpan w:val="2"/>
            <w:tcBorders>
              <w:top w:val="single" w:sz="4" w:space="0" w:color="auto"/>
              <w:left w:val="nil"/>
              <w:bottom w:val="nil"/>
              <w:right w:val="nil"/>
            </w:tcBorders>
          </w:tcPr>
          <w:p w:rsidR="00CE0866" w:rsidRPr="00F627B2"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709" w:type="dxa"/>
            <w:gridSpan w:val="3"/>
            <w:tcBorders>
              <w:top w:val="single" w:sz="4" w:space="0" w:color="auto"/>
              <w:left w:val="nil"/>
              <w:bottom w:val="nil"/>
              <w:right w:val="nil"/>
            </w:tcBorders>
          </w:tcPr>
          <w:p w:rsidR="00CE0866" w:rsidRPr="00F627B2"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455" w:type="dxa"/>
            <w:gridSpan w:val="2"/>
            <w:tcBorders>
              <w:top w:val="single" w:sz="4" w:space="0" w:color="auto"/>
              <w:left w:val="nil"/>
              <w:bottom w:val="nil"/>
              <w:right w:val="nil"/>
            </w:tcBorders>
          </w:tcPr>
          <w:p w:rsidR="00CE0866" w:rsidRPr="00F627B2"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CE0866" w:rsidRPr="00F627B2" w:rsidRDefault="00CE0866">
            <w:pPr>
              <w:spacing w:line="240" w:lineRule="auto"/>
              <w:rPr>
                <w:rFonts w:ascii="Lato" w:hAnsi="Lato"/>
                <w:szCs w:val="22"/>
              </w:rPr>
            </w:pPr>
            <w:r w:rsidRPr="00F627B2">
              <w:rPr>
                <w:rFonts w:ascii="Lato" w:hAnsi="Lato"/>
                <w:szCs w:val="22"/>
              </w:rPr>
              <w:t>c)</w:t>
            </w:r>
          </w:p>
        </w:tc>
        <w:tc>
          <w:tcPr>
            <w:tcW w:w="6974" w:type="dxa"/>
            <w:gridSpan w:val="2"/>
            <w:tcBorders>
              <w:top w:val="nil"/>
              <w:left w:val="nil"/>
              <w:bottom w:val="nil"/>
              <w:right w:val="single" w:sz="4" w:space="0" w:color="auto"/>
            </w:tcBorders>
          </w:tcPr>
          <w:p w:rsidR="00CE0866" w:rsidRPr="00F627B2" w:rsidRDefault="00CE0866" w:rsidP="004226CE">
            <w:pPr>
              <w:spacing w:line="240" w:lineRule="auto"/>
              <w:rPr>
                <w:rFonts w:ascii="Lato" w:hAnsi="Lato"/>
                <w:szCs w:val="22"/>
              </w:rPr>
            </w:pPr>
            <w:r w:rsidRPr="00F627B2">
              <w:rPr>
                <w:rFonts w:ascii="Lato" w:hAnsi="Lato"/>
                <w:szCs w:val="22"/>
              </w:rPr>
              <w:t xml:space="preserve">Disclose where it is envisaged that transactions with a </w:t>
            </w:r>
            <w:r w:rsidR="00960C3F" w:rsidRPr="00F627B2">
              <w:rPr>
                <w:rFonts w:ascii="Lato" w:hAnsi="Lato"/>
                <w:szCs w:val="22"/>
              </w:rPr>
              <w:t>general</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F627B2"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F627B2"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CE0866" w:rsidRPr="00F627B2"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F627B2" w:rsidRDefault="004226CE" w:rsidP="007C6D1C">
            <w:pPr>
              <w:spacing w:line="240" w:lineRule="auto"/>
              <w:rPr>
                <w:rFonts w:ascii="Lato" w:hAnsi="Lato"/>
                <w:szCs w:val="22"/>
              </w:rPr>
            </w:pPr>
            <w:r w:rsidRPr="00F627B2">
              <w:rPr>
                <w:rFonts w:ascii="Lato" w:hAnsi="Lato"/>
                <w:szCs w:val="22"/>
              </w:rPr>
              <w:t xml:space="preserve">partner, </w:t>
            </w:r>
            <w:r w:rsidR="007C6D1C" w:rsidRPr="00F627B2">
              <w:rPr>
                <w:rFonts w:ascii="Lato" w:hAnsi="Lato"/>
                <w:szCs w:val="22"/>
              </w:rPr>
              <w:t>management company</w:t>
            </w:r>
            <w:r w:rsidR="00CE0866" w:rsidRPr="00F627B2">
              <w:rPr>
                <w:rFonts w:ascii="Lato" w:hAnsi="Lato"/>
                <w:szCs w:val="22"/>
              </w:rPr>
              <w:t>, depositary, AIFM, investment manager and/or its</w:t>
            </w:r>
            <w:r w:rsidRPr="00F627B2">
              <w:rPr>
                <w:rFonts w:ascii="Lato" w:hAnsi="Lato"/>
                <w:szCs w:val="22"/>
              </w:rPr>
              <w:t xml:space="preserve"> </w:t>
            </w:r>
            <w:r w:rsidR="00CE0866" w:rsidRPr="00F627B2">
              <w:rPr>
                <w:rFonts w:ascii="Lato" w:hAnsi="Lato"/>
                <w:szCs w:val="22"/>
              </w:rPr>
              <w:t>delegate or associated or group companies may be entered into</w:t>
            </w:r>
          </w:p>
        </w:tc>
        <w:tc>
          <w:tcPr>
            <w:tcW w:w="992" w:type="dxa"/>
            <w:gridSpan w:val="2"/>
            <w:tcBorders>
              <w:top w:val="single" w:sz="4" w:space="0" w:color="auto"/>
              <w:left w:val="nil"/>
              <w:bottom w:val="nil"/>
              <w:right w:val="nil"/>
            </w:tcBorders>
          </w:tcPr>
          <w:p w:rsidR="00CE0866" w:rsidRPr="00F627B2"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709" w:type="dxa"/>
            <w:gridSpan w:val="3"/>
            <w:tcBorders>
              <w:top w:val="single" w:sz="4" w:space="0" w:color="auto"/>
              <w:left w:val="nil"/>
              <w:bottom w:val="nil"/>
              <w:right w:val="nil"/>
            </w:tcBorders>
          </w:tcPr>
          <w:p w:rsidR="00CE0866" w:rsidRPr="00F627B2"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455" w:type="dxa"/>
            <w:gridSpan w:val="2"/>
            <w:tcBorders>
              <w:top w:val="single" w:sz="4" w:space="0" w:color="auto"/>
              <w:left w:val="nil"/>
              <w:bottom w:val="nil"/>
              <w:right w:val="nil"/>
            </w:tcBorders>
          </w:tcPr>
          <w:p w:rsidR="00CE0866" w:rsidRPr="00F627B2"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CE0866" w:rsidRPr="00F627B2"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992" w:type="dxa"/>
            <w:gridSpan w:val="2"/>
            <w:tcBorders>
              <w:top w:val="nil"/>
              <w:left w:val="nil"/>
              <w:bottom w:val="single" w:sz="4" w:space="0" w:color="auto"/>
              <w:right w:val="nil"/>
            </w:tcBorders>
          </w:tcPr>
          <w:p w:rsidR="00CE0866" w:rsidRPr="00F627B2"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709" w:type="dxa"/>
            <w:gridSpan w:val="3"/>
            <w:tcBorders>
              <w:top w:val="nil"/>
              <w:left w:val="nil"/>
              <w:bottom w:val="single" w:sz="4" w:space="0" w:color="auto"/>
              <w:right w:val="nil"/>
            </w:tcBorders>
          </w:tcPr>
          <w:p w:rsidR="00CE0866" w:rsidRPr="00F627B2"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F627B2" w:rsidRDefault="00CE0866">
            <w:pPr>
              <w:spacing w:line="240" w:lineRule="auto"/>
              <w:rPr>
                <w:rFonts w:ascii="Lato" w:hAnsi="Lato"/>
                <w:szCs w:val="22"/>
              </w:rPr>
            </w:pPr>
          </w:p>
        </w:tc>
        <w:tc>
          <w:tcPr>
            <w:tcW w:w="455" w:type="dxa"/>
            <w:gridSpan w:val="2"/>
            <w:tcBorders>
              <w:top w:val="nil"/>
              <w:left w:val="nil"/>
              <w:bottom w:val="single" w:sz="4" w:space="0" w:color="auto"/>
              <w:right w:val="nil"/>
            </w:tcBorders>
          </w:tcPr>
          <w:p w:rsidR="00CE0866" w:rsidRPr="00F627B2"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CE0866" w:rsidRPr="00F627B2" w:rsidRDefault="005D011A">
            <w:pPr>
              <w:spacing w:line="240" w:lineRule="auto"/>
              <w:rPr>
                <w:rFonts w:ascii="Lato" w:hAnsi="Lato"/>
                <w:szCs w:val="22"/>
              </w:rPr>
            </w:pPr>
            <w:r w:rsidRPr="00F627B2">
              <w:rPr>
                <w:rFonts w:ascii="Lato" w:hAnsi="Lato"/>
                <w:szCs w:val="22"/>
              </w:rPr>
              <w:t>d</w:t>
            </w:r>
            <w:r w:rsidR="00CE0866" w:rsidRPr="00F627B2">
              <w:rPr>
                <w:rFonts w:ascii="Lato" w:hAnsi="Lato"/>
                <w:szCs w:val="22"/>
              </w:rPr>
              <w:t>)</w:t>
            </w:r>
          </w:p>
        </w:tc>
        <w:tc>
          <w:tcPr>
            <w:tcW w:w="6974" w:type="dxa"/>
            <w:gridSpan w:val="2"/>
            <w:tcBorders>
              <w:top w:val="nil"/>
              <w:left w:val="nil"/>
              <w:bottom w:val="nil"/>
              <w:right w:val="single" w:sz="4" w:space="0" w:color="auto"/>
            </w:tcBorders>
          </w:tcPr>
          <w:p w:rsidR="00CE0866" w:rsidRPr="00F627B2" w:rsidRDefault="00CE0866" w:rsidP="006803D9">
            <w:pPr>
              <w:spacing w:line="240" w:lineRule="auto"/>
              <w:rPr>
                <w:rFonts w:ascii="Lato" w:hAnsi="Lato"/>
                <w:szCs w:val="22"/>
              </w:rPr>
            </w:pPr>
            <w:r w:rsidRPr="00F627B2">
              <w:rPr>
                <w:rFonts w:ascii="Lato" w:hAnsi="Lato"/>
                <w:szCs w:val="22"/>
              </w:rPr>
              <w:t>Where</w:t>
            </w:r>
            <w:r w:rsidR="00642629" w:rsidRPr="00F627B2">
              <w:rPr>
                <w:rFonts w:ascii="Lato" w:hAnsi="Lato"/>
                <w:szCs w:val="22"/>
              </w:rPr>
              <w:t xml:space="preserve"> Securities have been valued by a competent person</w:t>
            </w:r>
            <w:r w:rsidR="006803D9" w:rsidRPr="00F627B2">
              <w:rPr>
                <w:rFonts w:ascii="Lato" w:hAnsi="Lato"/>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F627B2"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F627B2"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F627B2"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F627B2"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F627B2" w:rsidRDefault="00CE0866">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5D011A" w:rsidRPr="00F627B2" w:rsidRDefault="005D011A">
            <w:pPr>
              <w:spacing w:line="240" w:lineRule="auto"/>
              <w:rPr>
                <w:rFonts w:ascii="Lato" w:hAnsi="Lato"/>
                <w:szCs w:val="22"/>
              </w:rPr>
            </w:pPr>
          </w:p>
        </w:tc>
        <w:tc>
          <w:tcPr>
            <w:tcW w:w="6974" w:type="dxa"/>
            <w:gridSpan w:val="2"/>
            <w:tcBorders>
              <w:top w:val="nil"/>
              <w:left w:val="nil"/>
              <w:bottom w:val="nil"/>
              <w:right w:val="nil"/>
            </w:tcBorders>
          </w:tcPr>
          <w:p w:rsidR="005D011A" w:rsidRPr="00F627B2" w:rsidRDefault="006803D9">
            <w:pPr>
              <w:spacing w:line="240" w:lineRule="auto"/>
              <w:rPr>
                <w:rFonts w:ascii="Lato" w:hAnsi="Lato"/>
                <w:szCs w:val="22"/>
              </w:rPr>
            </w:pPr>
            <w:r w:rsidRPr="00F627B2">
              <w:rPr>
                <w:rFonts w:ascii="Lato" w:hAnsi="Lato"/>
                <w:szCs w:val="22"/>
              </w:rPr>
              <w:t>and that ‘competent person’ is a related  party to the R</w:t>
            </w:r>
            <w:r w:rsidR="00D0447E" w:rsidRPr="00F627B2">
              <w:rPr>
                <w:rFonts w:ascii="Lato" w:hAnsi="Lato"/>
                <w:szCs w:val="22"/>
              </w:rPr>
              <w:t xml:space="preserve">etail </w:t>
            </w:r>
            <w:r w:rsidRPr="00F627B2">
              <w:rPr>
                <w:rFonts w:ascii="Lato" w:hAnsi="Lato"/>
                <w:szCs w:val="22"/>
              </w:rPr>
              <w:t>I</w:t>
            </w:r>
            <w:r w:rsidR="00D0447E" w:rsidRPr="00F627B2">
              <w:rPr>
                <w:rFonts w:ascii="Lato" w:hAnsi="Lato"/>
                <w:szCs w:val="22"/>
              </w:rPr>
              <w:t xml:space="preserve">nvestor </w:t>
            </w:r>
            <w:r w:rsidRPr="00F627B2">
              <w:rPr>
                <w:rFonts w:ascii="Lato" w:hAnsi="Lato"/>
                <w:szCs w:val="22"/>
              </w:rPr>
              <w:t>AIF disclose the possible conflicts of interest which may arise</w:t>
            </w:r>
          </w:p>
        </w:tc>
        <w:tc>
          <w:tcPr>
            <w:tcW w:w="992" w:type="dxa"/>
            <w:gridSpan w:val="2"/>
            <w:tcBorders>
              <w:top w:val="nil"/>
              <w:left w:val="nil"/>
              <w:bottom w:val="nil"/>
              <w:right w:val="nil"/>
            </w:tcBorders>
          </w:tcPr>
          <w:p w:rsidR="005D011A" w:rsidRPr="00F627B2" w:rsidRDefault="005D011A">
            <w:pPr>
              <w:spacing w:line="240" w:lineRule="auto"/>
              <w:rPr>
                <w:rFonts w:ascii="Lato" w:hAnsi="Lato"/>
                <w:szCs w:val="22"/>
              </w:rPr>
            </w:pPr>
          </w:p>
        </w:tc>
        <w:tc>
          <w:tcPr>
            <w:tcW w:w="236" w:type="dxa"/>
            <w:gridSpan w:val="2"/>
            <w:tcBorders>
              <w:top w:val="nil"/>
              <w:left w:val="nil"/>
              <w:bottom w:val="nil"/>
              <w:right w:val="nil"/>
            </w:tcBorders>
          </w:tcPr>
          <w:p w:rsidR="005D011A" w:rsidRPr="00F627B2" w:rsidRDefault="005D011A">
            <w:pPr>
              <w:spacing w:line="240" w:lineRule="auto"/>
              <w:rPr>
                <w:rFonts w:ascii="Lato" w:hAnsi="Lato"/>
                <w:szCs w:val="22"/>
              </w:rPr>
            </w:pPr>
          </w:p>
        </w:tc>
        <w:tc>
          <w:tcPr>
            <w:tcW w:w="709" w:type="dxa"/>
            <w:gridSpan w:val="3"/>
            <w:tcBorders>
              <w:top w:val="nil"/>
              <w:left w:val="nil"/>
              <w:bottom w:val="nil"/>
              <w:right w:val="nil"/>
            </w:tcBorders>
          </w:tcPr>
          <w:p w:rsidR="005D011A" w:rsidRPr="00F627B2" w:rsidRDefault="005D011A">
            <w:pPr>
              <w:spacing w:line="240" w:lineRule="auto"/>
              <w:rPr>
                <w:rFonts w:ascii="Lato" w:hAnsi="Lato"/>
                <w:szCs w:val="22"/>
              </w:rPr>
            </w:pPr>
          </w:p>
        </w:tc>
        <w:tc>
          <w:tcPr>
            <w:tcW w:w="264" w:type="dxa"/>
            <w:gridSpan w:val="2"/>
            <w:tcBorders>
              <w:top w:val="nil"/>
              <w:left w:val="nil"/>
              <w:bottom w:val="nil"/>
              <w:right w:val="nil"/>
            </w:tcBorders>
          </w:tcPr>
          <w:p w:rsidR="005D011A" w:rsidRPr="00F627B2" w:rsidRDefault="005D011A">
            <w:pPr>
              <w:spacing w:line="240" w:lineRule="auto"/>
              <w:rPr>
                <w:rFonts w:ascii="Lato" w:hAnsi="Lato"/>
                <w:szCs w:val="22"/>
              </w:rPr>
            </w:pPr>
          </w:p>
        </w:tc>
        <w:tc>
          <w:tcPr>
            <w:tcW w:w="455" w:type="dxa"/>
            <w:gridSpan w:val="2"/>
            <w:tcBorders>
              <w:top w:val="nil"/>
              <w:left w:val="nil"/>
              <w:bottom w:val="nil"/>
              <w:right w:val="nil"/>
            </w:tcBorders>
          </w:tcPr>
          <w:p w:rsidR="005D011A" w:rsidRPr="00F627B2" w:rsidRDefault="005D011A">
            <w:pPr>
              <w:spacing w:line="240" w:lineRule="auto"/>
              <w:rPr>
                <w:rFonts w:ascii="Lato" w:hAnsi="Lato"/>
                <w:szCs w:val="22"/>
              </w:rPr>
            </w:pPr>
          </w:p>
        </w:tc>
        <w:tc>
          <w:tcPr>
            <w:tcW w:w="264" w:type="dxa"/>
            <w:gridSpan w:val="4"/>
            <w:tcBorders>
              <w:top w:val="nil"/>
              <w:left w:val="nil"/>
              <w:bottom w:val="nil"/>
              <w:right w:val="nil"/>
            </w:tcBorders>
          </w:tcPr>
          <w:p w:rsidR="005D011A" w:rsidRPr="00F627B2" w:rsidRDefault="005D011A">
            <w:pPr>
              <w:spacing w:line="240" w:lineRule="auto"/>
              <w:rPr>
                <w:rFonts w:ascii="Lato" w:hAnsi="Lato"/>
                <w:szCs w:val="22"/>
              </w:rPr>
            </w:pPr>
          </w:p>
        </w:tc>
        <w:tc>
          <w:tcPr>
            <w:tcW w:w="556" w:type="dxa"/>
            <w:gridSpan w:val="2"/>
            <w:tcBorders>
              <w:top w:val="nil"/>
              <w:left w:val="nil"/>
              <w:bottom w:val="nil"/>
              <w:right w:val="nil"/>
            </w:tcBorders>
          </w:tcPr>
          <w:p w:rsidR="005D011A" w:rsidRPr="00F627B2" w:rsidRDefault="005D011A">
            <w:pPr>
              <w:spacing w:line="240" w:lineRule="auto"/>
              <w:rPr>
                <w:rFonts w:ascii="Lato" w:hAnsi="Lato"/>
                <w:szCs w:val="22"/>
              </w:rPr>
            </w:pPr>
          </w:p>
        </w:tc>
      </w:tr>
      <w:tr w:rsidR="00FB497D" w:rsidRPr="00F627B2" w:rsidTr="00F627B2">
        <w:trPr>
          <w:gridAfter w:val="2"/>
          <w:wAfter w:w="3800" w:type="dxa"/>
        </w:trPr>
        <w:tc>
          <w:tcPr>
            <w:tcW w:w="1107" w:type="dxa"/>
            <w:tcBorders>
              <w:top w:val="nil"/>
              <w:left w:val="nil"/>
              <w:bottom w:val="nil"/>
              <w:right w:val="nil"/>
            </w:tcBorders>
          </w:tcPr>
          <w:p w:rsidR="006803D9" w:rsidRPr="00F627B2" w:rsidRDefault="006803D9">
            <w:pPr>
              <w:spacing w:line="240" w:lineRule="auto"/>
              <w:rPr>
                <w:rFonts w:ascii="Lato" w:hAnsi="Lato"/>
                <w:szCs w:val="22"/>
              </w:rPr>
            </w:pPr>
          </w:p>
        </w:tc>
        <w:tc>
          <w:tcPr>
            <w:tcW w:w="6974" w:type="dxa"/>
            <w:gridSpan w:val="2"/>
            <w:tcBorders>
              <w:top w:val="nil"/>
              <w:left w:val="nil"/>
              <w:bottom w:val="nil"/>
              <w:right w:val="nil"/>
            </w:tcBorders>
          </w:tcPr>
          <w:p w:rsidR="006803D9" w:rsidRPr="00F627B2" w:rsidRDefault="006803D9">
            <w:pPr>
              <w:spacing w:line="240" w:lineRule="auto"/>
              <w:rPr>
                <w:rFonts w:ascii="Lato" w:hAnsi="Lato"/>
                <w:szCs w:val="22"/>
              </w:rPr>
            </w:pPr>
          </w:p>
        </w:tc>
        <w:tc>
          <w:tcPr>
            <w:tcW w:w="992" w:type="dxa"/>
            <w:gridSpan w:val="2"/>
            <w:tcBorders>
              <w:top w:val="nil"/>
              <w:left w:val="nil"/>
              <w:bottom w:val="single" w:sz="4" w:space="0" w:color="auto"/>
              <w:right w:val="nil"/>
            </w:tcBorders>
          </w:tcPr>
          <w:p w:rsidR="006803D9" w:rsidRPr="00F627B2" w:rsidRDefault="006803D9">
            <w:pPr>
              <w:spacing w:line="240" w:lineRule="auto"/>
              <w:rPr>
                <w:rFonts w:ascii="Lato" w:hAnsi="Lato"/>
                <w:szCs w:val="22"/>
              </w:rPr>
            </w:pPr>
          </w:p>
        </w:tc>
        <w:tc>
          <w:tcPr>
            <w:tcW w:w="236" w:type="dxa"/>
            <w:gridSpan w:val="2"/>
            <w:tcBorders>
              <w:top w:val="nil"/>
              <w:left w:val="nil"/>
              <w:bottom w:val="nil"/>
              <w:right w:val="nil"/>
            </w:tcBorders>
          </w:tcPr>
          <w:p w:rsidR="006803D9" w:rsidRPr="00F627B2" w:rsidRDefault="006803D9">
            <w:pPr>
              <w:spacing w:line="240" w:lineRule="auto"/>
              <w:rPr>
                <w:rFonts w:ascii="Lato" w:hAnsi="Lato"/>
                <w:szCs w:val="22"/>
              </w:rPr>
            </w:pPr>
          </w:p>
        </w:tc>
        <w:tc>
          <w:tcPr>
            <w:tcW w:w="709" w:type="dxa"/>
            <w:gridSpan w:val="3"/>
            <w:tcBorders>
              <w:top w:val="nil"/>
              <w:left w:val="nil"/>
              <w:bottom w:val="single" w:sz="4" w:space="0" w:color="auto"/>
              <w:right w:val="nil"/>
            </w:tcBorders>
          </w:tcPr>
          <w:p w:rsidR="006803D9" w:rsidRPr="00F627B2" w:rsidRDefault="006803D9">
            <w:pPr>
              <w:spacing w:line="240" w:lineRule="auto"/>
              <w:rPr>
                <w:rFonts w:ascii="Lato" w:hAnsi="Lato"/>
                <w:szCs w:val="22"/>
              </w:rPr>
            </w:pPr>
          </w:p>
        </w:tc>
        <w:tc>
          <w:tcPr>
            <w:tcW w:w="264" w:type="dxa"/>
            <w:gridSpan w:val="2"/>
            <w:tcBorders>
              <w:top w:val="nil"/>
              <w:left w:val="nil"/>
              <w:bottom w:val="nil"/>
              <w:right w:val="nil"/>
            </w:tcBorders>
          </w:tcPr>
          <w:p w:rsidR="006803D9" w:rsidRPr="00F627B2" w:rsidRDefault="006803D9">
            <w:pPr>
              <w:spacing w:line="240" w:lineRule="auto"/>
              <w:rPr>
                <w:rFonts w:ascii="Lato" w:hAnsi="Lato"/>
                <w:szCs w:val="22"/>
              </w:rPr>
            </w:pPr>
          </w:p>
        </w:tc>
        <w:tc>
          <w:tcPr>
            <w:tcW w:w="455" w:type="dxa"/>
            <w:gridSpan w:val="2"/>
            <w:tcBorders>
              <w:top w:val="nil"/>
              <w:left w:val="nil"/>
              <w:bottom w:val="single" w:sz="4" w:space="0" w:color="auto"/>
              <w:right w:val="nil"/>
            </w:tcBorders>
          </w:tcPr>
          <w:p w:rsidR="006803D9" w:rsidRPr="00F627B2" w:rsidRDefault="006803D9">
            <w:pPr>
              <w:spacing w:line="240" w:lineRule="auto"/>
              <w:rPr>
                <w:rFonts w:ascii="Lato" w:hAnsi="Lato"/>
                <w:szCs w:val="22"/>
              </w:rPr>
            </w:pPr>
          </w:p>
        </w:tc>
        <w:tc>
          <w:tcPr>
            <w:tcW w:w="264" w:type="dxa"/>
            <w:gridSpan w:val="4"/>
            <w:tcBorders>
              <w:top w:val="nil"/>
              <w:left w:val="nil"/>
              <w:bottom w:val="nil"/>
              <w:right w:val="nil"/>
            </w:tcBorders>
          </w:tcPr>
          <w:p w:rsidR="006803D9" w:rsidRPr="00F627B2" w:rsidRDefault="006803D9">
            <w:pPr>
              <w:spacing w:line="240" w:lineRule="auto"/>
              <w:rPr>
                <w:rFonts w:ascii="Lato" w:hAnsi="Lato"/>
                <w:szCs w:val="22"/>
              </w:rPr>
            </w:pPr>
          </w:p>
        </w:tc>
        <w:tc>
          <w:tcPr>
            <w:tcW w:w="556" w:type="dxa"/>
            <w:gridSpan w:val="2"/>
            <w:tcBorders>
              <w:top w:val="nil"/>
              <w:left w:val="nil"/>
              <w:bottom w:val="nil"/>
              <w:right w:val="nil"/>
            </w:tcBorders>
          </w:tcPr>
          <w:p w:rsidR="006803D9" w:rsidRPr="00F627B2" w:rsidRDefault="006803D9">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pPr>
              <w:spacing w:line="240" w:lineRule="auto"/>
              <w:rPr>
                <w:rFonts w:ascii="Lato" w:hAnsi="Lato"/>
                <w:szCs w:val="22"/>
              </w:rPr>
            </w:pPr>
            <w:r w:rsidRPr="00F627B2">
              <w:rPr>
                <w:rFonts w:ascii="Lato" w:hAnsi="Lato"/>
                <w:szCs w:val="22"/>
              </w:rPr>
              <w:t>2.11.2</w:t>
            </w:r>
          </w:p>
        </w:tc>
        <w:tc>
          <w:tcPr>
            <w:tcW w:w="6974" w:type="dxa"/>
            <w:gridSpan w:val="2"/>
            <w:tcBorders>
              <w:top w:val="nil"/>
              <w:left w:val="nil"/>
              <w:bottom w:val="nil"/>
              <w:right w:val="single" w:sz="4" w:space="0" w:color="auto"/>
            </w:tcBorders>
          </w:tcPr>
          <w:p w:rsidR="004F67F8" w:rsidRPr="00F627B2" w:rsidRDefault="004F67F8" w:rsidP="004F67F8">
            <w:pPr>
              <w:spacing w:line="240" w:lineRule="auto"/>
              <w:rPr>
                <w:rFonts w:ascii="Lato" w:hAnsi="Lato"/>
                <w:szCs w:val="22"/>
              </w:rPr>
            </w:pPr>
            <w:r w:rsidRPr="00F627B2">
              <w:rPr>
                <w:rFonts w:ascii="Lato" w:hAnsi="Lato"/>
                <w:szCs w:val="22"/>
              </w:rPr>
              <w:t xml:space="preserve">Disclose a description of how the AIFM ensures a fair treatment of </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F627B2" w:rsidRDefault="004F67F8">
            <w:pPr>
              <w:spacing w:line="240" w:lineRule="auto"/>
              <w:rPr>
                <w:rFonts w:ascii="Lato" w:hAnsi="Lato"/>
                <w:szCs w:val="22"/>
              </w:rPr>
            </w:pPr>
            <w:r w:rsidRPr="00F627B2">
              <w:rPr>
                <w:rFonts w:ascii="Lato" w:hAnsi="Lato"/>
                <w:szCs w:val="22"/>
              </w:rPr>
              <w:t xml:space="preserve">unitholders and, whenever a unitholder obtains preferential treatment or the right to obtain preferential treatment, a description of that preferential treatment, the type of unitholders who obtain such preferential treatment and, where relevant, their legal or economic links with the </w:t>
            </w:r>
            <w:r w:rsidR="00CF4050" w:rsidRPr="00F627B2">
              <w:rPr>
                <w:rFonts w:ascii="Lato" w:hAnsi="Lato"/>
                <w:szCs w:val="22"/>
              </w:rPr>
              <w:t xml:space="preserve">Retail Investor </w:t>
            </w:r>
            <w:r w:rsidRPr="00F627B2">
              <w:rPr>
                <w:rFonts w:ascii="Lato" w:hAnsi="Lato"/>
                <w:szCs w:val="22"/>
              </w:rPr>
              <w:t>AIF or AIFM</w:t>
            </w:r>
          </w:p>
        </w:tc>
        <w:tc>
          <w:tcPr>
            <w:tcW w:w="992" w:type="dxa"/>
            <w:gridSpan w:val="2"/>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992"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rsidP="004F67F8">
            <w:pPr>
              <w:spacing w:line="240" w:lineRule="auto"/>
              <w:rPr>
                <w:rFonts w:ascii="Lato" w:hAnsi="Lato"/>
                <w:szCs w:val="22"/>
              </w:rPr>
            </w:pPr>
            <w:r w:rsidRPr="00F627B2">
              <w:rPr>
                <w:rFonts w:ascii="Lato" w:hAnsi="Lato"/>
                <w:szCs w:val="22"/>
              </w:rPr>
              <w:t>2.11.3</w:t>
            </w:r>
          </w:p>
        </w:tc>
        <w:tc>
          <w:tcPr>
            <w:tcW w:w="6974" w:type="dxa"/>
            <w:gridSpan w:val="2"/>
            <w:tcBorders>
              <w:top w:val="nil"/>
              <w:left w:val="nil"/>
              <w:bottom w:val="nil"/>
              <w:right w:val="nil"/>
            </w:tcBorders>
          </w:tcPr>
          <w:p w:rsidR="004F67F8" w:rsidRPr="00F627B2" w:rsidRDefault="004F67F8">
            <w:pPr>
              <w:pStyle w:val="Heading1"/>
              <w:spacing w:before="0" w:after="0" w:line="240" w:lineRule="auto"/>
              <w:rPr>
                <w:rFonts w:ascii="Lato" w:hAnsi="Lato"/>
                <w:color w:val="auto"/>
                <w:sz w:val="22"/>
                <w:szCs w:val="22"/>
              </w:rPr>
            </w:pPr>
            <w:r w:rsidRPr="00F627B2">
              <w:rPr>
                <w:rFonts w:ascii="Lato" w:hAnsi="Lato"/>
                <w:color w:val="auto"/>
                <w:sz w:val="22"/>
                <w:szCs w:val="22"/>
              </w:rPr>
              <w:t>Dealings by management company, general partner, depositary, AIFM, investment manager or by delegates or group companies of these</w:t>
            </w:r>
          </w:p>
        </w:tc>
        <w:tc>
          <w:tcPr>
            <w:tcW w:w="992"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992"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rsidP="005D011A">
            <w:pPr>
              <w:spacing w:line="240" w:lineRule="auto"/>
              <w:jc w:val="right"/>
              <w:rPr>
                <w:rFonts w:ascii="Lato" w:hAnsi="Lato"/>
                <w:szCs w:val="22"/>
              </w:rPr>
            </w:pPr>
            <w:r w:rsidRPr="00F627B2">
              <w:rPr>
                <w:rFonts w:ascii="Lato" w:hAnsi="Lato"/>
                <w:szCs w:val="22"/>
              </w:rPr>
              <w:t>(i)</w:t>
            </w:r>
          </w:p>
        </w:tc>
        <w:tc>
          <w:tcPr>
            <w:tcW w:w="6974" w:type="dxa"/>
            <w:gridSpan w:val="2"/>
            <w:tcBorders>
              <w:top w:val="nil"/>
              <w:left w:val="nil"/>
              <w:bottom w:val="nil"/>
              <w:right w:val="single" w:sz="4" w:space="0" w:color="auto"/>
            </w:tcBorders>
          </w:tcPr>
          <w:p w:rsidR="004F67F8" w:rsidRPr="00F627B2" w:rsidRDefault="004F67F8" w:rsidP="004F67F8">
            <w:pPr>
              <w:spacing w:line="240" w:lineRule="auto"/>
              <w:rPr>
                <w:rFonts w:ascii="Lato" w:hAnsi="Lato"/>
                <w:szCs w:val="22"/>
              </w:rPr>
            </w:pPr>
            <w:r w:rsidRPr="00F627B2">
              <w:rPr>
                <w:rFonts w:ascii="Lato" w:hAnsi="Lato"/>
                <w:szCs w:val="22"/>
              </w:rPr>
              <w:t>The Retail Investor AIF shall only enter into a transaction with</w:t>
            </w:r>
            <w:r w:rsidRPr="00F627B2" w:rsidDel="00950044">
              <w:rPr>
                <w:rFonts w:ascii="Lato" w:hAnsi="Lato"/>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rsidP="005D011A">
            <w:pPr>
              <w:spacing w:line="240" w:lineRule="auto"/>
              <w:jc w:val="right"/>
              <w:rPr>
                <w:rFonts w:ascii="Lato" w:hAnsi="Lato"/>
                <w:szCs w:val="22"/>
              </w:rPr>
            </w:pPr>
          </w:p>
        </w:tc>
        <w:tc>
          <w:tcPr>
            <w:tcW w:w="6974" w:type="dxa"/>
            <w:gridSpan w:val="2"/>
            <w:tcBorders>
              <w:top w:val="nil"/>
              <w:left w:val="nil"/>
              <w:bottom w:val="nil"/>
              <w:right w:val="nil"/>
            </w:tcBorders>
          </w:tcPr>
          <w:p w:rsidR="004F67F8" w:rsidRPr="00F627B2" w:rsidRDefault="004F67F8" w:rsidP="005C7409">
            <w:pPr>
              <w:spacing w:line="240" w:lineRule="auto"/>
              <w:rPr>
                <w:rFonts w:ascii="Lato" w:hAnsi="Lato"/>
                <w:szCs w:val="22"/>
              </w:rPr>
            </w:pPr>
            <w:r w:rsidRPr="00F627B2">
              <w:rPr>
                <w:rFonts w:ascii="Lato" w:hAnsi="Lato"/>
                <w:szCs w:val="22"/>
              </w:rPr>
              <w:t>a management company, general partner, depositary, AIFM, investment manager or by delegates or group companies of these where it is negotiated at arm</w:t>
            </w:r>
            <w:r w:rsidR="00314452" w:rsidRPr="00F627B2">
              <w:rPr>
                <w:rFonts w:ascii="Lato" w:hAnsi="Lato"/>
                <w:szCs w:val="22"/>
              </w:rPr>
              <w:t>’</w:t>
            </w:r>
            <w:r w:rsidRPr="00F627B2">
              <w:rPr>
                <w:rFonts w:ascii="Lato" w:hAnsi="Lato"/>
                <w:szCs w:val="22"/>
              </w:rPr>
              <w:t>s length. Transactions must be in the best interests of the unitholders.</w:t>
            </w:r>
          </w:p>
        </w:tc>
        <w:tc>
          <w:tcPr>
            <w:tcW w:w="992" w:type="dxa"/>
            <w:gridSpan w:val="2"/>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992"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rsidP="005D011A">
            <w:pPr>
              <w:spacing w:line="240" w:lineRule="auto"/>
              <w:jc w:val="right"/>
              <w:rPr>
                <w:rFonts w:ascii="Lato" w:hAnsi="Lato"/>
                <w:szCs w:val="22"/>
              </w:rPr>
            </w:pPr>
            <w:r w:rsidRPr="00F627B2">
              <w:rPr>
                <w:rFonts w:ascii="Lato" w:hAnsi="Lato"/>
                <w:szCs w:val="22"/>
              </w:rPr>
              <w:t>(ii)</w:t>
            </w:r>
          </w:p>
        </w:tc>
        <w:tc>
          <w:tcPr>
            <w:tcW w:w="6974" w:type="dxa"/>
            <w:gridSpan w:val="2"/>
            <w:tcBorders>
              <w:top w:val="nil"/>
              <w:left w:val="nil"/>
              <w:bottom w:val="nil"/>
              <w:right w:val="nil"/>
            </w:tcBorders>
          </w:tcPr>
          <w:p w:rsidR="004F67F8" w:rsidRPr="00F627B2" w:rsidDel="00FE56B8" w:rsidRDefault="004F67F8">
            <w:pPr>
              <w:spacing w:line="240" w:lineRule="auto"/>
              <w:rPr>
                <w:rFonts w:ascii="Lato" w:hAnsi="Lato"/>
                <w:szCs w:val="22"/>
              </w:rPr>
            </w:pPr>
            <w:r w:rsidRPr="00F627B2">
              <w:rPr>
                <w:rFonts w:ascii="Lato" w:hAnsi="Lato"/>
                <w:szCs w:val="22"/>
              </w:rPr>
              <w:t>Transactions permitted are subject to:</w:t>
            </w:r>
          </w:p>
        </w:tc>
        <w:tc>
          <w:tcPr>
            <w:tcW w:w="992"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pPr>
              <w:spacing w:line="240" w:lineRule="auto"/>
              <w:rPr>
                <w:rFonts w:ascii="Lato" w:hAnsi="Lato"/>
                <w:szCs w:val="22"/>
              </w:rPr>
            </w:pPr>
          </w:p>
        </w:tc>
        <w:tc>
          <w:tcPr>
            <w:tcW w:w="6974" w:type="dxa"/>
            <w:gridSpan w:val="2"/>
            <w:tcBorders>
              <w:top w:val="nil"/>
              <w:left w:val="nil"/>
              <w:bottom w:val="nil"/>
              <w:right w:val="single" w:sz="4" w:space="0" w:color="auto"/>
            </w:tcBorders>
          </w:tcPr>
          <w:p w:rsidR="004F67F8" w:rsidRPr="00F627B2" w:rsidRDefault="004F67F8">
            <w:pPr>
              <w:spacing w:line="240" w:lineRule="auto"/>
              <w:rPr>
                <w:rFonts w:ascii="Lato" w:hAnsi="Lato"/>
                <w:szCs w:val="22"/>
              </w:rPr>
            </w:pPr>
            <w:r w:rsidRPr="00F627B2">
              <w:rPr>
                <w:rFonts w:ascii="Lato" w:hAnsi="Lato"/>
                <w:szCs w:val="22"/>
              </w:rPr>
              <w:t>(a) certified valuation by a person approved by the</w:t>
            </w:r>
            <w:r w:rsidR="003D0FCC" w:rsidRPr="00F627B2">
              <w:rPr>
                <w:rFonts w:ascii="Lato" w:hAnsi="Lato"/>
                <w:szCs w:val="22"/>
              </w:rPr>
              <w:t xml:space="preserve"> depositary, or the</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F627B2" w:rsidRDefault="004F67F8">
            <w:pPr>
              <w:spacing w:line="240" w:lineRule="auto"/>
              <w:rPr>
                <w:rFonts w:ascii="Lato" w:hAnsi="Lato"/>
                <w:szCs w:val="22"/>
              </w:rPr>
            </w:pPr>
            <w:r w:rsidRPr="00F627B2">
              <w:rPr>
                <w:rFonts w:ascii="Lato" w:hAnsi="Lato"/>
                <w:szCs w:val="22"/>
              </w:rPr>
              <w:t>Retail Investor AIF in the case of transactions involving the depositary, as independent and competent; or</w:t>
            </w:r>
          </w:p>
        </w:tc>
        <w:tc>
          <w:tcPr>
            <w:tcW w:w="992" w:type="dxa"/>
            <w:gridSpan w:val="2"/>
            <w:tcBorders>
              <w:top w:val="single" w:sz="4" w:space="0" w:color="auto"/>
              <w:left w:val="nil"/>
              <w:bottom w:val="single" w:sz="4" w:space="0" w:color="auto"/>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pPr>
              <w:spacing w:line="240" w:lineRule="auto"/>
              <w:rPr>
                <w:rFonts w:ascii="Lato" w:hAnsi="Lato"/>
                <w:szCs w:val="22"/>
              </w:rPr>
            </w:pPr>
          </w:p>
        </w:tc>
        <w:tc>
          <w:tcPr>
            <w:tcW w:w="6974" w:type="dxa"/>
            <w:gridSpan w:val="2"/>
            <w:tcBorders>
              <w:top w:val="nil"/>
              <w:left w:val="nil"/>
              <w:bottom w:val="nil"/>
              <w:right w:val="single" w:sz="4" w:space="0" w:color="auto"/>
            </w:tcBorders>
          </w:tcPr>
          <w:p w:rsidR="004F67F8" w:rsidRPr="00F627B2" w:rsidRDefault="004F67F8">
            <w:pPr>
              <w:spacing w:line="240" w:lineRule="auto"/>
              <w:rPr>
                <w:rFonts w:ascii="Lato" w:hAnsi="Lato"/>
                <w:szCs w:val="22"/>
              </w:rPr>
            </w:pPr>
            <w:r w:rsidRPr="00F627B2">
              <w:rPr>
                <w:rFonts w:ascii="Lato" w:hAnsi="Lato"/>
                <w:szCs w:val="22"/>
              </w:rPr>
              <w:t>(b) execution on best terms on organised investment</w:t>
            </w:r>
            <w:r w:rsidR="003D0FCC" w:rsidRPr="00F627B2">
              <w:rPr>
                <w:rFonts w:ascii="Lato" w:hAnsi="Lato"/>
                <w:szCs w:val="22"/>
              </w:rPr>
              <w:t xml:space="preserve"> exchanges under</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F627B2" w:rsidRDefault="004F67F8">
            <w:pPr>
              <w:spacing w:line="240" w:lineRule="auto"/>
              <w:rPr>
                <w:rFonts w:ascii="Lato" w:hAnsi="Lato"/>
                <w:szCs w:val="22"/>
              </w:rPr>
            </w:pPr>
            <w:r w:rsidRPr="00F627B2">
              <w:rPr>
                <w:rFonts w:ascii="Lato" w:hAnsi="Lato"/>
                <w:szCs w:val="22"/>
              </w:rPr>
              <w:t>their rules; or</w:t>
            </w:r>
          </w:p>
        </w:tc>
        <w:tc>
          <w:tcPr>
            <w:tcW w:w="992" w:type="dxa"/>
            <w:gridSpan w:val="2"/>
            <w:tcBorders>
              <w:top w:val="single" w:sz="4" w:space="0" w:color="auto"/>
              <w:left w:val="nil"/>
              <w:bottom w:val="single" w:sz="4" w:space="0" w:color="auto"/>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pPr>
              <w:spacing w:line="240" w:lineRule="auto"/>
              <w:rPr>
                <w:rFonts w:ascii="Lato" w:hAnsi="Lato"/>
                <w:szCs w:val="22"/>
              </w:rPr>
            </w:pPr>
          </w:p>
        </w:tc>
        <w:tc>
          <w:tcPr>
            <w:tcW w:w="6974" w:type="dxa"/>
            <w:gridSpan w:val="2"/>
            <w:tcBorders>
              <w:top w:val="nil"/>
              <w:left w:val="nil"/>
              <w:bottom w:val="nil"/>
              <w:right w:val="single" w:sz="4" w:space="0" w:color="auto"/>
            </w:tcBorders>
          </w:tcPr>
          <w:p w:rsidR="004F67F8" w:rsidRPr="00F627B2" w:rsidRDefault="004F67F8">
            <w:pPr>
              <w:spacing w:line="240" w:lineRule="auto"/>
              <w:rPr>
                <w:rFonts w:ascii="Lato" w:hAnsi="Lato"/>
                <w:szCs w:val="22"/>
              </w:rPr>
            </w:pPr>
            <w:r w:rsidRPr="00F627B2">
              <w:rPr>
                <w:rFonts w:ascii="Lato" w:hAnsi="Lato"/>
                <w:szCs w:val="22"/>
              </w:rPr>
              <w:t>(c) where (a) and (b) are not practical, execution on terms</w:t>
            </w:r>
            <w:r w:rsidR="003D0FCC" w:rsidRPr="00F627B2">
              <w:rPr>
                <w:rFonts w:ascii="Lato" w:hAnsi="Lato"/>
                <w:szCs w:val="22"/>
              </w:rPr>
              <w:t xml:space="preserve"> which the</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F627B2" w:rsidRDefault="004F67F8" w:rsidP="003D0FCC">
            <w:pPr>
              <w:spacing w:line="240" w:lineRule="auto"/>
              <w:jc w:val="both"/>
              <w:rPr>
                <w:rFonts w:ascii="Lato" w:hAnsi="Lato"/>
                <w:szCs w:val="22"/>
              </w:rPr>
            </w:pPr>
            <w:r w:rsidRPr="00F627B2">
              <w:rPr>
                <w:rFonts w:ascii="Lato" w:hAnsi="Lato"/>
                <w:szCs w:val="22"/>
              </w:rPr>
              <w:t>depositary, or the Retail Investor AIF in the case of transactions involving the depositary, is satisfied conform to the principles outlined in paragraph (i) of this section.</w:t>
            </w:r>
          </w:p>
        </w:tc>
        <w:tc>
          <w:tcPr>
            <w:tcW w:w="992" w:type="dxa"/>
            <w:gridSpan w:val="2"/>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992"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rsidP="003C3E16">
            <w:pPr>
              <w:spacing w:line="240" w:lineRule="auto"/>
              <w:rPr>
                <w:rFonts w:ascii="Lato" w:hAnsi="Lato"/>
                <w:szCs w:val="22"/>
              </w:rPr>
            </w:pPr>
            <w:r w:rsidRPr="00F627B2">
              <w:rPr>
                <w:rFonts w:ascii="Lato" w:hAnsi="Lato"/>
                <w:szCs w:val="22"/>
              </w:rPr>
              <w:t>2.11.</w:t>
            </w:r>
            <w:r w:rsidR="00CF4050" w:rsidRPr="00F627B2">
              <w:rPr>
                <w:rFonts w:ascii="Lato" w:hAnsi="Lato"/>
                <w:szCs w:val="22"/>
              </w:rPr>
              <w:t>4</w:t>
            </w:r>
          </w:p>
        </w:tc>
        <w:tc>
          <w:tcPr>
            <w:tcW w:w="6974" w:type="dxa"/>
            <w:gridSpan w:val="2"/>
            <w:tcBorders>
              <w:top w:val="nil"/>
              <w:left w:val="nil"/>
              <w:bottom w:val="nil"/>
              <w:right w:val="nil"/>
            </w:tcBorders>
          </w:tcPr>
          <w:p w:rsidR="004F67F8" w:rsidRPr="00F627B2" w:rsidRDefault="004F67F8">
            <w:pPr>
              <w:pStyle w:val="Heading1"/>
              <w:spacing w:before="0" w:after="0" w:line="240" w:lineRule="auto"/>
              <w:rPr>
                <w:rFonts w:ascii="Lato" w:hAnsi="Lato"/>
                <w:color w:val="auto"/>
                <w:sz w:val="22"/>
                <w:szCs w:val="22"/>
              </w:rPr>
            </w:pPr>
            <w:r w:rsidRPr="00F627B2">
              <w:rPr>
                <w:rFonts w:ascii="Lato" w:hAnsi="Lato"/>
                <w:color w:val="auto"/>
                <w:sz w:val="22"/>
                <w:szCs w:val="22"/>
              </w:rPr>
              <w:t xml:space="preserve">Soft commissions </w:t>
            </w:r>
          </w:p>
        </w:tc>
        <w:tc>
          <w:tcPr>
            <w:tcW w:w="992"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pPr>
              <w:spacing w:line="240" w:lineRule="auto"/>
              <w:rPr>
                <w:rFonts w:ascii="Lato" w:hAnsi="Lato"/>
                <w:szCs w:val="22"/>
              </w:rPr>
            </w:pPr>
          </w:p>
        </w:tc>
        <w:tc>
          <w:tcPr>
            <w:tcW w:w="6974" w:type="dxa"/>
            <w:gridSpan w:val="2"/>
            <w:tcBorders>
              <w:top w:val="nil"/>
              <w:left w:val="nil"/>
              <w:bottom w:val="nil"/>
              <w:right w:val="single" w:sz="4" w:space="0" w:color="auto"/>
            </w:tcBorders>
          </w:tcPr>
          <w:p w:rsidR="004F67F8" w:rsidRPr="00F627B2" w:rsidRDefault="004F67F8">
            <w:pPr>
              <w:spacing w:line="240" w:lineRule="auto"/>
              <w:rPr>
                <w:rFonts w:ascii="Lato" w:hAnsi="Lato"/>
                <w:szCs w:val="22"/>
              </w:rPr>
            </w:pPr>
            <w:r w:rsidRPr="00F627B2">
              <w:rPr>
                <w:rFonts w:ascii="Lato" w:hAnsi="Lato"/>
                <w:szCs w:val="22"/>
              </w:rPr>
              <w:t>Disclose a description of soft commission arrangements</w:t>
            </w:r>
            <w:r w:rsidR="003D0FCC" w:rsidRPr="00F627B2">
              <w:rPr>
                <w:rFonts w:ascii="Lato" w:hAnsi="Lato"/>
                <w:szCs w:val="22"/>
              </w:rPr>
              <w:t xml:space="preserve"> which may be</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F627B2" w:rsidRDefault="004F67F8">
            <w:pPr>
              <w:spacing w:line="240" w:lineRule="auto"/>
              <w:rPr>
                <w:rFonts w:ascii="Lato" w:hAnsi="Lato"/>
                <w:szCs w:val="22"/>
              </w:rPr>
            </w:pPr>
            <w:r w:rsidRPr="00F627B2">
              <w:rPr>
                <w:rFonts w:ascii="Lato" w:hAnsi="Lato"/>
                <w:szCs w:val="22"/>
              </w:rPr>
              <w:t>entered into by a Retail Investor AIF.</w:t>
            </w:r>
          </w:p>
        </w:tc>
        <w:tc>
          <w:tcPr>
            <w:tcW w:w="992" w:type="dxa"/>
            <w:gridSpan w:val="2"/>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512C41" w:rsidRPr="00F627B2" w:rsidTr="00F627B2">
        <w:trPr>
          <w:gridAfter w:val="2"/>
          <w:wAfter w:w="3800" w:type="dxa"/>
        </w:trPr>
        <w:tc>
          <w:tcPr>
            <w:tcW w:w="1107" w:type="dxa"/>
            <w:tcBorders>
              <w:top w:val="nil"/>
              <w:left w:val="nil"/>
              <w:bottom w:val="nil"/>
              <w:right w:val="nil"/>
            </w:tcBorders>
          </w:tcPr>
          <w:p w:rsidR="00512C41" w:rsidRPr="00F627B2" w:rsidRDefault="00512C41">
            <w:pPr>
              <w:spacing w:line="240" w:lineRule="auto"/>
              <w:rPr>
                <w:rFonts w:ascii="Lato" w:hAnsi="Lato"/>
                <w:szCs w:val="22"/>
              </w:rPr>
            </w:pPr>
          </w:p>
        </w:tc>
        <w:tc>
          <w:tcPr>
            <w:tcW w:w="6974" w:type="dxa"/>
            <w:gridSpan w:val="2"/>
            <w:tcBorders>
              <w:top w:val="nil"/>
              <w:left w:val="nil"/>
              <w:bottom w:val="nil"/>
              <w:right w:val="nil"/>
            </w:tcBorders>
          </w:tcPr>
          <w:p w:rsidR="00512C41" w:rsidRPr="00F627B2" w:rsidRDefault="00512C41">
            <w:pPr>
              <w:spacing w:line="240" w:lineRule="auto"/>
              <w:rPr>
                <w:rFonts w:ascii="Lato" w:hAnsi="Lato"/>
                <w:szCs w:val="22"/>
              </w:rPr>
            </w:pPr>
          </w:p>
        </w:tc>
        <w:tc>
          <w:tcPr>
            <w:tcW w:w="992" w:type="dxa"/>
            <w:gridSpan w:val="2"/>
            <w:tcBorders>
              <w:top w:val="nil"/>
              <w:left w:val="nil"/>
              <w:bottom w:val="single" w:sz="4" w:space="0" w:color="auto"/>
              <w:right w:val="nil"/>
            </w:tcBorders>
          </w:tcPr>
          <w:p w:rsidR="00512C41" w:rsidRPr="00F627B2" w:rsidRDefault="00512C41">
            <w:pPr>
              <w:spacing w:line="240" w:lineRule="auto"/>
              <w:rPr>
                <w:rFonts w:ascii="Lato" w:hAnsi="Lato"/>
                <w:szCs w:val="22"/>
              </w:rPr>
            </w:pPr>
          </w:p>
        </w:tc>
        <w:tc>
          <w:tcPr>
            <w:tcW w:w="236" w:type="dxa"/>
            <w:gridSpan w:val="2"/>
            <w:tcBorders>
              <w:top w:val="nil"/>
              <w:left w:val="nil"/>
              <w:bottom w:val="nil"/>
              <w:right w:val="nil"/>
            </w:tcBorders>
          </w:tcPr>
          <w:p w:rsidR="00512C41" w:rsidRPr="00F627B2" w:rsidRDefault="00512C41">
            <w:pPr>
              <w:spacing w:line="240" w:lineRule="auto"/>
              <w:rPr>
                <w:rFonts w:ascii="Lato" w:hAnsi="Lato"/>
                <w:szCs w:val="22"/>
              </w:rPr>
            </w:pPr>
          </w:p>
        </w:tc>
        <w:tc>
          <w:tcPr>
            <w:tcW w:w="709" w:type="dxa"/>
            <w:gridSpan w:val="3"/>
            <w:tcBorders>
              <w:top w:val="nil"/>
              <w:left w:val="nil"/>
              <w:bottom w:val="single" w:sz="4" w:space="0" w:color="auto"/>
              <w:right w:val="nil"/>
            </w:tcBorders>
          </w:tcPr>
          <w:p w:rsidR="00512C41" w:rsidRPr="00F627B2" w:rsidRDefault="00512C41">
            <w:pPr>
              <w:spacing w:line="240" w:lineRule="auto"/>
              <w:rPr>
                <w:rFonts w:ascii="Lato" w:hAnsi="Lato"/>
                <w:szCs w:val="22"/>
              </w:rPr>
            </w:pPr>
          </w:p>
        </w:tc>
        <w:tc>
          <w:tcPr>
            <w:tcW w:w="264" w:type="dxa"/>
            <w:gridSpan w:val="2"/>
            <w:tcBorders>
              <w:top w:val="nil"/>
              <w:left w:val="nil"/>
              <w:bottom w:val="nil"/>
              <w:right w:val="nil"/>
            </w:tcBorders>
          </w:tcPr>
          <w:p w:rsidR="00512C41" w:rsidRPr="00F627B2" w:rsidRDefault="00512C41">
            <w:pPr>
              <w:spacing w:line="240" w:lineRule="auto"/>
              <w:rPr>
                <w:rFonts w:ascii="Lato" w:hAnsi="Lato"/>
                <w:szCs w:val="22"/>
              </w:rPr>
            </w:pPr>
          </w:p>
        </w:tc>
        <w:tc>
          <w:tcPr>
            <w:tcW w:w="455" w:type="dxa"/>
            <w:gridSpan w:val="2"/>
            <w:tcBorders>
              <w:top w:val="nil"/>
              <w:left w:val="nil"/>
              <w:bottom w:val="single" w:sz="4" w:space="0" w:color="auto"/>
              <w:right w:val="nil"/>
            </w:tcBorders>
          </w:tcPr>
          <w:p w:rsidR="00512C41" w:rsidRPr="00F627B2" w:rsidRDefault="00512C41">
            <w:pPr>
              <w:spacing w:line="240" w:lineRule="auto"/>
              <w:rPr>
                <w:rFonts w:ascii="Lato" w:hAnsi="Lato"/>
                <w:szCs w:val="22"/>
              </w:rPr>
            </w:pPr>
          </w:p>
        </w:tc>
        <w:tc>
          <w:tcPr>
            <w:tcW w:w="264" w:type="dxa"/>
            <w:gridSpan w:val="4"/>
            <w:tcBorders>
              <w:top w:val="nil"/>
              <w:left w:val="nil"/>
              <w:bottom w:val="nil"/>
              <w:right w:val="nil"/>
            </w:tcBorders>
          </w:tcPr>
          <w:p w:rsidR="00512C41" w:rsidRPr="00F627B2"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F627B2" w:rsidRDefault="00512C41">
            <w:pPr>
              <w:spacing w:line="240" w:lineRule="auto"/>
              <w:rPr>
                <w:rFonts w:ascii="Lato" w:hAnsi="Lato"/>
                <w:szCs w:val="22"/>
              </w:rPr>
            </w:pPr>
          </w:p>
        </w:tc>
      </w:tr>
      <w:tr w:rsidR="00512C41" w:rsidRPr="00F627B2" w:rsidTr="00F627B2">
        <w:trPr>
          <w:gridAfter w:val="2"/>
          <w:wAfter w:w="3800" w:type="dxa"/>
        </w:trPr>
        <w:tc>
          <w:tcPr>
            <w:tcW w:w="1107" w:type="dxa"/>
            <w:tcBorders>
              <w:top w:val="nil"/>
              <w:left w:val="nil"/>
              <w:bottom w:val="nil"/>
              <w:right w:val="nil"/>
            </w:tcBorders>
          </w:tcPr>
          <w:p w:rsidR="00512C41" w:rsidRPr="00F627B2" w:rsidRDefault="00512C41">
            <w:pPr>
              <w:spacing w:line="240" w:lineRule="auto"/>
              <w:rPr>
                <w:rFonts w:ascii="Lato" w:hAnsi="Lato"/>
                <w:szCs w:val="22"/>
              </w:rPr>
            </w:pPr>
            <w:r w:rsidRPr="00F627B2">
              <w:rPr>
                <w:rFonts w:ascii="Lato" w:hAnsi="Lato"/>
                <w:szCs w:val="22"/>
              </w:rPr>
              <w:t>2.11.</w:t>
            </w:r>
            <w:r w:rsidR="00CF4050" w:rsidRPr="00F627B2">
              <w:rPr>
                <w:rFonts w:ascii="Lato" w:hAnsi="Lato"/>
                <w:szCs w:val="22"/>
              </w:rPr>
              <w:t>5</w:t>
            </w:r>
          </w:p>
        </w:tc>
        <w:tc>
          <w:tcPr>
            <w:tcW w:w="6974" w:type="dxa"/>
            <w:gridSpan w:val="2"/>
            <w:tcBorders>
              <w:top w:val="nil"/>
              <w:left w:val="nil"/>
              <w:bottom w:val="nil"/>
              <w:right w:val="single" w:sz="4" w:space="0" w:color="auto"/>
            </w:tcBorders>
          </w:tcPr>
          <w:p w:rsidR="00512C41" w:rsidRPr="00F627B2" w:rsidRDefault="00512C41" w:rsidP="00512C41">
            <w:pPr>
              <w:spacing w:line="240" w:lineRule="auto"/>
              <w:rPr>
                <w:rFonts w:ascii="Lato" w:hAnsi="Lato"/>
                <w:szCs w:val="22"/>
              </w:rPr>
            </w:pPr>
            <w:r w:rsidRPr="00F627B2">
              <w:rPr>
                <w:rFonts w:ascii="Lato" w:hAnsi="Lato"/>
                <w:szCs w:val="22"/>
              </w:rPr>
              <w:t>Disclose that the AIFM will inform investors before they invest in the</w:t>
            </w:r>
          </w:p>
        </w:tc>
        <w:tc>
          <w:tcPr>
            <w:tcW w:w="992" w:type="dxa"/>
            <w:gridSpan w:val="2"/>
            <w:tcBorders>
              <w:top w:val="single" w:sz="4" w:space="0" w:color="auto"/>
              <w:left w:val="single" w:sz="4" w:space="0" w:color="auto"/>
              <w:bottom w:val="single" w:sz="4" w:space="0" w:color="auto"/>
              <w:right w:val="single" w:sz="4" w:space="0" w:color="auto"/>
            </w:tcBorders>
          </w:tcPr>
          <w:p w:rsidR="00512C41" w:rsidRPr="00F627B2" w:rsidRDefault="00512C41">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512C41" w:rsidRPr="00F627B2" w:rsidRDefault="00512C41">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512C41" w:rsidRPr="00F627B2" w:rsidRDefault="00512C41">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512C41" w:rsidRPr="00F627B2" w:rsidRDefault="00512C41">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512C41" w:rsidRPr="00F627B2" w:rsidRDefault="00512C41">
            <w:pPr>
              <w:spacing w:line="240" w:lineRule="auto"/>
              <w:rPr>
                <w:rFonts w:ascii="Lato" w:hAnsi="Lato"/>
                <w:szCs w:val="22"/>
              </w:rPr>
            </w:pPr>
          </w:p>
        </w:tc>
        <w:tc>
          <w:tcPr>
            <w:tcW w:w="264" w:type="dxa"/>
            <w:gridSpan w:val="4"/>
            <w:tcBorders>
              <w:top w:val="nil"/>
              <w:left w:val="single" w:sz="4" w:space="0" w:color="auto"/>
              <w:bottom w:val="nil"/>
              <w:right w:val="nil"/>
            </w:tcBorders>
          </w:tcPr>
          <w:p w:rsidR="00512C41" w:rsidRPr="00F627B2"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F627B2" w:rsidRDefault="00512C41">
            <w:pPr>
              <w:spacing w:line="240" w:lineRule="auto"/>
              <w:rPr>
                <w:rFonts w:ascii="Lato" w:hAnsi="Lato"/>
                <w:szCs w:val="22"/>
              </w:rPr>
            </w:pPr>
          </w:p>
        </w:tc>
      </w:tr>
      <w:tr w:rsidR="00512C41" w:rsidRPr="00F627B2" w:rsidTr="00F627B2">
        <w:trPr>
          <w:gridAfter w:val="2"/>
          <w:wAfter w:w="3800" w:type="dxa"/>
        </w:trPr>
        <w:tc>
          <w:tcPr>
            <w:tcW w:w="1107" w:type="dxa"/>
            <w:tcBorders>
              <w:top w:val="nil"/>
              <w:left w:val="nil"/>
              <w:bottom w:val="nil"/>
              <w:right w:val="nil"/>
            </w:tcBorders>
          </w:tcPr>
          <w:p w:rsidR="00512C41" w:rsidRPr="00F627B2" w:rsidRDefault="00512C41">
            <w:pPr>
              <w:spacing w:line="240" w:lineRule="auto"/>
              <w:rPr>
                <w:rFonts w:ascii="Lato" w:hAnsi="Lato"/>
                <w:szCs w:val="22"/>
              </w:rPr>
            </w:pPr>
          </w:p>
        </w:tc>
        <w:tc>
          <w:tcPr>
            <w:tcW w:w="6974" w:type="dxa"/>
            <w:gridSpan w:val="2"/>
            <w:tcBorders>
              <w:top w:val="nil"/>
              <w:left w:val="nil"/>
              <w:bottom w:val="nil"/>
              <w:right w:val="nil"/>
            </w:tcBorders>
          </w:tcPr>
          <w:p w:rsidR="00512C41" w:rsidRPr="00F627B2" w:rsidRDefault="00512C41" w:rsidP="003D0FCC">
            <w:pPr>
              <w:spacing w:line="240" w:lineRule="auto"/>
              <w:jc w:val="both"/>
              <w:rPr>
                <w:rFonts w:ascii="Lato" w:hAnsi="Lato"/>
                <w:szCs w:val="22"/>
              </w:rPr>
            </w:pPr>
            <w:r w:rsidRPr="00F627B2">
              <w:rPr>
                <w:rFonts w:ascii="Lato" w:hAnsi="Lato"/>
                <w:szCs w:val="22"/>
              </w:rPr>
              <w:t>Retail Investor AIF of any arrangement made by the depositary  to contractually discharge itself of any liability</w:t>
            </w:r>
          </w:p>
        </w:tc>
        <w:tc>
          <w:tcPr>
            <w:tcW w:w="992" w:type="dxa"/>
            <w:gridSpan w:val="2"/>
            <w:tcBorders>
              <w:top w:val="single" w:sz="4" w:space="0" w:color="auto"/>
              <w:left w:val="nil"/>
              <w:bottom w:val="nil"/>
              <w:right w:val="nil"/>
            </w:tcBorders>
          </w:tcPr>
          <w:p w:rsidR="00512C41" w:rsidRPr="00F627B2" w:rsidRDefault="00512C41">
            <w:pPr>
              <w:spacing w:line="240" w:lineRule="auto"/>
              <w:rPr>
                <w:rFonts w:ascii="Lato" w:hAnsi="Lato"/>
                <w:szCs w:val="22"/>
              </w:rPr>
            </w:pPr>
          </w:p>
        </w:tc>
        <w:tc>
          <w:tcPr>
            <w:tcW w:w="236" w:type="dxa"/>
            <w:gridSpan w:val="2"/>
            <w:tcBorders>
              <w:top w:val="nil"/>
              <w:left w:val="nil"/>
              <w:bottom w:val="nil"/>
              <w:right w:val="nil"/>
            </w:tcBorders>
          </w:tcPr>
          <w:p w:rsidR="00512C41" w:rsidRPr="00F627B2" w:rsidRDefault="00512C41">
            <w:pPr>
              <w:spacing w:line="240" w:lineRule="auto"/>
              <w:rPr>
                <w:rFonts w:ascii="Lato" w:hAnsi="Lato"/>
                <w:szCs w:val="22"/>
              </w:rPr>
            </w:pPr>
          </w:p>
        </w:tc>
        <w:tc>
          <w:tcPr>
            <w:tcW w:w="709" w:type="dxa"/>
            <w:gridSpan w:val="3"/>
            <w:tcBorders>
              <w:top w:val="single" w:sz="4" w:space="0" w:color="auto"/>
              <w:left w:val="nil"/>
              <w:bottom w:val="nil"/>
              <w:right w:val="nil"/>
            </w:tcBorders>
          </w:tcPr>
          <w:p w:rsidR="00512C41" w:rsidRPr="00F627B2" w:rsidRDefault="00512C41">
            <w:pPr>
              <w:spacing w:line="240" w:lineRule="auto"/>
              <w:rPr>
                <w:rFonts w:ascii="Lato" w:hAnsi="Lato"/>
                <w:szCs w:val="22"/>
              </w:rPr>
            </w:pPr>
          </w:p>
        </w:tc>
        <w:tc>
          <w:tcPr>
            <w:tcW w:w="264" w:type="dxa"/>
            <w:gridSpan w:val="2"/>
            <w:tcBorders>
              <w:top w:val="nil"/>
              <w:left w:val="nil"/>
              <w:bottom w:val="nil"/>
              <w:right w:val="nil"/>
            </w:tcBorders>
          </w:tcPr>
          <w:p w:rsidR="00512C41" w:rsidRPr="00F627B2" w:rsidRDefault="00512C41">
            <w:pPr>
              <w:spacing w:line="240" w:lineRule="auto"/>
              <w:rPr>
                <w:rFonts w:ascii="Lato" w:hAnsi="Lato"/>
                <w:szCs w:val="22"/>
              </w:rPr>
            </w:pPr>
          </w:p>
        </w:tc>
        <w:tc>
          <w:tcPr>
            <w:tcW w:w="455" w:type="dxa"/>
            <w:gridSpan w:val="2"/>
            <w:tcBorders>
              <w:top w:val="single" w:sz="4" w:space="0" w:color="auto"/>
              <w:left w:val="nil"/>
              <w:bottom w:val="nil"/>
              <w:right w:val="nil"/>
            </w:tcBorders>
          </w:tcPr>
          <w:p w:rsidR="00512C41" w:rsidRPr="00F627B2" w:rsidRDefault="00512C41">
            <w:pPr>
              <w:spacing w:line="240" w:lineRule="auto"/>
              <w:rPr>
                <w:rFonts w:ascii="Lato" w:hAnsi="Lato"/>
                <w:szCs w:val="22"/>
              </w:rPr>
            </w:pPr>
          </w:p>
        </w:tc>
        <w:tc>
          <w:tcPr>
            <w:tcW w:w="264" w:type="dxa"/>
            <w:gridSpan w:val="4"/>
            <w:tcBorders>
              <w:top w:val="nil"/>
              <w:left w:val="nil"/>
              <w:bottom w:val="nil"/>
              <w:right w:val="nil"/>
            </w:tcBorders>
          </w:tcPr>
          <w:p w:rsidR="00512C41" w:rsidRPr="00F627B2"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F627B2" w:rsidRDefault="00512C41">
            <w:pPr>
              <w:spacing w:line="240" w:lineRule="auto"/>
              <w:rPr>
                <w:rFonts w:ascii="Lato" w:hAnsi="Lato"/>
                <w:szCs w:val="22"/>
              </w:rPr>
            </w:pPr>
          </w:p>
        </w:tc>
      </w:tr>
      <w:tr w:rsidR="00512C41" w:rsidRPr="00F627B2" w:rsidTr="00F627B2">
        <w:trPr>
          <w:gridAfter w:val="2"/>
          <w:wAfter w:w="3800" w:type="dxa"/>
        </w:trPr>
        <w:tc>
          <w:tcPr>
            <w:tcW w:w="1107" w:type="dxa"/>
            <w:tcBorders>
              <w:top w:val="nil"/>
              <w:left w:val="nil"/>
              <w:bottom w:val="nil"/>
              <w:right w:val="nil"/>
            </w:tcBorders>
          </w:tcPr>
          <w:p w:rsidR="00512C41" w:rsidRPr="00F627B2" w:rsidRDefault="00512C41">
            <w:pPr>
              <w:spacing w:line="240" w:lineRule="auto"/>
              <w:rPr>
                <w:rFonts w:ascii="Lato" w:hAnsi="Lato"/>
                <w:szCs w:val="22"/>
              </w:rPr>
            </w:pPr>
          </w:p>
        </w:tc>
        <w:tc>
          <w:tcPr>
            <w:tcW w:w="6974" w:type="dxa"/>
            <w:gridSpan w:val="2"/>
            <w:tcBorders>
              <w:top w:val="nil"/>
              <w:left w:val="nil"/>
              <w:bottom w:val="nil"/>
              <w:right w:val="nil"/>
            </w:tcBorders>
          </w:tcPr>
          <w:p w:rsidR="00512C41" w:rsidRPr="00F627B2" w:rsidRDefault="00512C41">
            <w:pPr>
              <w:spacing w:line="240" w:lineRule="auto"/>
              <w:rPr>
                <w:rFonts w:ascii="Lato" w:hAnsi="Lato"/>
                <w:szCs w:val="22"/>
              </w:rPr>
            </w:pPr>
          </w:p>
        </w:tc>
        <w:tc>
          <w:tcPr>
            <w:tcW w:w="992" w:type="dxa"/>
            <w:gridSpan w:val="2"/>
            <w:tcBorders>
              <w:top w:val="nil"/>
              <w:left w:val="nil"/>
              <w:bottom w:val="single" w:sz="4" w:space="0" w:color="auto"/>
              <w:right w:val="nil"/>
            </w:tcBorders>
          </w:tcPr>
          <w:p w:rsidR="00512C41" w:rsidRPr="00F627B2" w:rsidRDefault="00512C41">
            <w:pPr>
              <w:spacing w:line="240" w:lineRule="auto"/>
              <w:rPr>
                <w:rFonts w:ascii="Lato" w:hAnsi="Lato"/>
                <w:szCs w:val="22"/>
              </w:rPr>
            </w:pPr>
          </w:p>
        </w:tc>
        <w:tc>
          <w:tcPr>
            <w:tcW w:w="236" w:type="dxa"/>
            <w:gridSpan w:val="2"/>
            <w:tcBorders>
              <w:top w:val="nil"/>
              <w:left w:val="nil"/>
              <w:bottom w:val="nil"/>
              <w:right w:val="nil"/>
            </w:tcBorders>
          </w:tcPr>
          <w:p w:rsidR="00512C41" w:rsidRPr="00F627B2" w:rsidRDefault="00512C41">
            <w:pPr>
              <w:spacing w:line="240" w:lineRule="auto"/>
              <w:rPr>
                <w:rFonts w:ascii="Lato" w:hAnsi="Lato"/>
                <w:szCs w:val="22"/>
              </w:rPr>
            </w:pPr>
          </w:p>
        </w:tc>
        <w:tc>
          <w:tcPr>
            <w:tcW w:w="709" w:type="dxa"/>
            <w:gridSpan w:val="3"/>
            <w:tcBorders>
              <w:top w:val="nil"/>
              <w:left w:val="nil"/>
              <w:bottom w:val="single" w:sz="4" w:space="0" w:color="auto"/>
              <w:right w:val="nil"/>
            </w:tcBorders>
          </w:tcPr>
          <w:p w:rsidR="00512C41" w:rsidRPr="00F627B2" w:rsidRDefault="00512C41">
            <w:pPr>
              <w:spacing w:line="240" w:lineRule="auto"/>
              <w:rPr>
                <w:rFonts w:ascii="Lato" w:hAnsi="Lato"/>
                <w:szCs w:val="22"/>
              </w:rPr>
            </w:pPr>
          </w:p>
        </w:tc>
        <w:tc>
          <w:tcPr>
            <w:tcW w:w="264" w:type="dxa"/>
            <w:gridSpan w:val="2"/>
            <w:tcBorders>
              <w:top w:val="nil"/>
              <w:left w:val="nil"/>
              <w:bottom w:val="nil"/>
              <w:right w:val="nil"/>
            </w:tcBorders>
          </w:tcPr>
          <w:p w:rsidR="00512C41" w:rsidRPr="00F627B2" w:rsidRDefault="00512C41">
            <w:pPr>
              <w:spacing w:line="240" w:lineRule="auto"/>
              <w:rPr>
                <w:rFonts w:ascii="Lato" w:hAnsi="Lato"/>
                <w:szCs w:val="22"/>
              </w:rPr>
            </w:pPr>
          </w:p>
        </w:tc>
        <w:tc>
          <w:tcPr>
            <w:tcW w:w="455" w:type="dxa"/>
            <w:gridSpan w:val="2"/>
            <w:tcBorders>
              <w:top w:val="nil"/>
              <w:left w:val="nil"/>
              <w:bottom w:val="single" w:sz="4" w:space="0" w:color="auto"/>
              <w:right w:val="nil"/>
            </w:tcBorders>
          </w:tcPr>
          <w:p w:rsidR="00512C41" w:rsidRPr="00F627B2" w:rsidRDefault="00512C41">
            <w:pPr>
              <w:spacing w:line="240" w:lineRule="auto"/>
              <w:rPr>
                <w:rFonts w:ascii="Lato" w:hAnsi="Lato"/>
                <w:szCs w:val="22"/>
              </w:rPr>
            </w:pPr>
          </w:p>
        </w:tc>
        <w:tc>
          <w:tcPr>
            <w:tcW w:w="264" w:type="dxa"/>
            <w:gridSpan w:val="4"/>
            <w:tcBorders>
              <w:top w:val="nil"/>
              <w:left w:val="nil"/>
              <w:bottom w:val="nil"/>
              <w:right w:val="nil"/>
            </w:tcBorders>
          </w:tcPr>
          <w:p w:rsidR="00512C41" w:rsidRPr="00F627B2"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F627B2" w:rsidRDefault="00512C41">
            <w:pPr>
              <w:spacing w:line="240" w:lineRule="auto"/>
              <w:rPr>
                <w:rFonts w:ascii="Lato" w:hAnsi="Lato"/>
                <w:szCs w:val="22"/>
              </w:rPr>
            </w:pPr>
          </w:p>
        </w:tc>
      </w:tr>
      <w:tr w:rsidR="00512C41" w:rsidRPr="00F627B2" w:rsidTr="00F627B2">
        <w:trPr>
          <w:gridAfter w:val="2"/>
          <w:wAfter w:w="3800" w:type="dxa"/>
        </w:trPr>
        <w:tc>
          <w:tcPr>
            <w:tcW w:w="1107" w:type="dxa"/>
            <w:tcBorders>
              <w:top w:val="nil"/>
              <w:left w:val="nil"/>
              <w:bottom w:val="nil"/>
              <w:right w:val="nil"/>
            </w:tcBorders>
          </w:tcPr>
          <w:p w:rsidR="00512C41" w:rsidRPr="00F627B2" w:rsidRDefault="00512C41">
            <w:pPr>
              <w:spacing w:line="240" w:lineRule="auto"/>
              <w:rPr>
                <w:rFonts w:ascii="Lato" w:hAnsi="Lato"/>
                <w:szCs w:val="22"/>
              </w:rPr>
            </w:pPr>
            <w:r w:rsidRPr="00F627B2">
              <w:rPr>
                <w:rFonts w:ascii="Lato" w:hAnsi="Lato"/>
                <w:szCs w:val="22"/>
              </w:rPr>
              <w:t>2.11.</w:t>
            </w:r>
            <w:r w:rsidR="00CF4050" w:rsidRPr="00F627B2">
              <w:rPr>
                <w:rFonts w:ascii="Lato" w:hAnsi="Lato"/>
                <w:szCs w:val="22"/>
              </w:rPr>
              <w:t>6</w:t>
            </w:r>
          </w:p>
        </w:tc>
        <w:tc>
          <w:tcPr>
            <w:tcW w:w="6974" w:type="dxa"/>
            <w:gridSpan w:val="2"/>
            <w:tcBorders>
              <w:top w:val="nil"/>
              <w:left w:val="nil"/>
              <w:bottom w:val="nil"/>
              <w:right w:val="single" w:sz="4" w:space="0" w:color="auto"/>
            </w:tcBorders>
          </w:tcPr>
          <w:p w:rsidR="00512C41" w:rsidRPr="00F627B2" w:rsidRDefault="00512C41" w:rsidP="00512C41">
            <w:pPr>
              <w:spacing w:line="240" w:lineRule="auto"/>
              <w:rPr>
                <w:rFonts w:ascii="Lato" w:hAnsi="Lato"/>
                <w:szCs w:val="22"/>
              </w:rPr>
            </w:pPr>
            <w:r w:rsidRPr="00F627B2">
              <w:rPr>
                <w:rFonts w:ascii="Lato" w:hAnsi="Lato"/>
                <w:szCs w:val="22"/>
              </w:rPr>
              <w:t>Disclose that the AIFM must also inform unitholders of any changes</w:t>
            </w:r>
          </w:p>
        </w:tc>
        <w:tc>
          <w:tcPr>
            <w:tcW w:w="992" w:type="dxa"/>
            <w:gridSpan w:val="2"/>
            <w:tcBorders>
              <w:top w:val="single" w:sz="4" w:space="0" w:color="auto"/>
              <w:left w:val="single" w:sz="4" w:space="0" w:color="auto"/>
              <w:bottom w:val="single" w:sz="4" w:space="0" w:color="auto"/>
              <w:right w:val="single" w:sz="4" w:space="0" w:color="auto"/>
            </w:tcBorders>
          </w:tcPr>
          <w:p w:rsidR="00512C41" w:rsidRPr="00F627B2" w:rsidRDefault="00512C41">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512C41" w:rsidRPr="00F627B2" w:rsidRDefault="00512C41">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512C41" w:rsidRPr="00F627B2" w:rsidRDefault="00512C41">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512C41" w:rsidRPr="00F627B2" w:rsidRDefault="00512C41">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512C41" w:rsidRPr="00F627B2" w:rsidRDefault="00512C41">
            <w:pPr>
              <w:spacing w:line="240" w:lineRule="auto"/>
              <w:rPr>
                <w:rFonts w:ascii="Lato" w:hAnsi="Lato"/>
                <w:szCs w:val="22"/>
              </w:rPr>
            </w:pPr>
          </w:p>
        </w:tc>
        <w:tc>
          <w:tcPr>
            <w:tcW w:w="264" w:type="dxa"/>
            <w:gridSpan w:val="4"/>
            <w:tcBorders>
              <w:top w:val="nil"/>
              <w:left w:val="single" w:sz="4" w:space="0" w:color="auto"/>
              <w:bottom w:val="nil"/>
              <w:right w:val="nil"/>
            </w:tcBorders>
          </w:tcPr>
          <w:p w:rsidR="00512C41" w:rsidRPr="00F627B2"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F627B2" w:rsidRDefault="00512C41">
            <w:pPr>
              <w:spacing w:line="240" w:lineRule="auto"/>
              <w:rPr>
                <w:rFonts w:ascii="Lato" w:hAnsi="Lato"/>
                <w:szCs w:val="22"/>
              </w:rPr>
            </w:pPr>
          </w:p>
        </w:tc>
      </w:tr>
      <w:tr w:rsidR="00512C41" w:rsidRPr="00F627B2" w:rsidTr="00F627B2">
        <w:trPr>
          <w:gridAfter w:val="2"/>
          <w:wAfter w:w="3800" w:type="dxa"/>
        </w:trPr>
        <w:tc>
          <w:tcPr>
            <w:tcW w:w="1107" w:type="dxa"/>
            <w:tcBorders>
              <w:top w:val="nil"/>
              <w:left w:val="nil"/>
              <w:bottom w:val="nil"/>
              <w:right w:val="nil"/>
            </w:tcBorders>
          </w:tcPr>
          <w:p w:rsidR="00512C41" w:rsidRPr="00F627B2" w:rsidRDefault="00512C41">
            <w:pPr>
              <w:spacing w:line="240" w:lineRule="auto"/>
              <w:rPr>
                <w:rFonts w:ascii="Lato" w:hAnsi="Lato"/>
                <w:szCs w:val="22"/>
              </w:rPr>
            </w:pPr>
          </w:p>
        </w:tc>
        <w:tc>
          <w:tcPr>
            <w:tcW w:w="6974" w:type="dxa"/>
            <w:gridSpan w:val="2"/>
            <w:tcBorders>
              <w:top w:val="nil"/>
              <w:left w:val="nil"/>
              <w:bottom w:val="nil"/>
              <w:right w:val="nil"/>
            </w:tcBorders>
          </w:tcPr>
          <w:p w:rsidR="00512C41" w:rsidRPr="00F627B2" w:rsidRDefault="00512C41" w:rsidP="00512C41">
            <w:pPr>
              <w:spacing w:line="240" w:lineRule="auto"/>
              <w:rPr>
                <w:rFonts w:ascii="Lato" w:hAnsi="Lato"/>
                <w:szCs w:val="22"/>
              </w:rPr>
            </w:pPr>
            <w:r w:rsidRPr="00F627B2">
              <w:rPr>
                <w:rFonts w:ascii="Lato" w:hAnsi="Lato"/>
                <w:szCs w:val="22"/>
              </w:rPr>
              <w:t>with respect to depositary liability without delay</w:t>
            </w:r>
          </w:p>
        </w:tc>
        <w:tc>
          <w:tcPr>
            <w:tcW w:w="992" w:type="dxa"/>
            <w:gridSpan w:val="2"/>
            <w:tcBorders>
              <w:top w:val="single" w:sz="4" w:space="0" w:color="auto"/>
              <w:left w:val="nil"/>
              <w:bottom w:val="nil"/>
              <w:right w:val="nil"/>
            </w:tcBorders>
          </w:tcPr>
          <w:p w:rsidR="00512C41" w:rsidRPr="00F627B2" w:rsidRDefault="00512C41">
            <w:pPr>
              <w:spacing w:line="240" w:lineRule="auto"/>
              <w:rPr>
                <w:rFonts w:ascii="Lato" w:hAnsi="Lato"/>
                <w:szCs w:val="22"/>
              </w:rPr>
            </w:pPr>
          </w:p>
        </w:tc>
        <w:tc>
          <w:tcPr>
            <w:tcW w:w="236" w:type="dxa"/>
            <w:gridSpan w:val="2"/>
            <w:tcBorders>
              <w:top w:val="nil"/>
              <w:left w:val="nil"/>
              <w:bottom w:val="nil"/>
              <w:right w:val="nil"/>
            </w:tcBorders>
          </w:tcPr>
          <w:p w:rsidR="00512C41" w:rsidRPr="00F627B2" w:rsidRDefault="00512C41">
            <w:pPr>
              <w:spacing w:line="240" w:lineRule="auto"/>
              <w:rPr>
                <w:rFonts w:ascii="Lato" w:hAnsi="Lato"/>
                <w:szCs w:val="22"/>
              </w:rPr>
            </w:pPr>
          </w:p>
        </w:tc>
        <w:tc>
          <w:tcPr>
            <w:tcW w:w="709" w:type="dxa"/>
            <w:gridSpan w:val="3"/>
            <w:tcBorders>
              <w:top w:val="single" w:sz="4" w:space="0" w:color="auto"/>
              <w:left w:val="nil"/>
              <w:bottom w:val="nil"/>
              <w:right w:val="nil"/>
            </w:tcBorders>
          </w:tcPr>
          <w:p w:rsidR="00512C41" w:rsidRPr="00F627B2" w:rsidRDefault="00512C41">
            <w:pPr>
              <w:spacing w:line="240" w:lineRule="auto"/>
              <w:rPr>
                <w:rFonts w:ascii="Lato" w:hAnsi="Lato"/>
                <w:szCs w:val="22"/>
              </w:rPr>
            </w:pPr>
          </w:p>
        </w:tc>
        <w:tc>
          <w:tcPr>
            <w:tcW w:w="264" w:type="dxa"/>
            <w:gridSpan w:val="2"/>
            <w:tcBorders>
              <w:top w:val="nil"/>
              <w:left w:val="nil"/>
              <w:bottom w:val="nil"/>
              <w:right w:val="nil"/>
            </w:tcBorders>
          </w:tcPr>
          <w:p w:rsidR="00512C41" w:rsidRPr="00F627B2" w:rsidRDefault="00512C41">
            <w:pPr>
              <w:spacing w:line="240" w:lineRule="auto"/>
              <w:rPr>
                <w:rFonts w:ascii="Lato" w:hAnsi="Lato"/>
                <w:szCs w:val="22"/>
              </w:rPr>
            </w:pPr>
          </w:p>
        </w:tc>
        <w:tc>
          <w:tcPr>
            <w:tcW w:w="455" w:type="dxa"/>
            <w:gridSpan w:val="2"/>
            <w:tcBorders>
              <w:top w:val="single" w:sz="4" w:space="0" w:color="auto"/>
              <w:left w:val="nil"/>
              <w:bottom w:val="nil"/>
              <w:right w:val="nil"/>
            </w:tcBorders>
          </w:tcPr>
          <w:p w:rsidR="00512C41" w:rsidRPr="00F627B2" w:rsidRDefault="00512C41">
            <w:pPr>
              <w:spacing w:line="240" w:lineRule="auto"/>
              <w:rPr>
                <w:rFonts w:ascii="Lato" w:hAnsi="Lato"/>
                <w:szCs w:val="22"/>
              </w:rPr>
            </w:pPr>
          </w:p>
        </w:tc>
        <w:tc>
          <w:tcPr>
            <w:tcW w:w="264" w:type="dxa"/>
            <w:gridSpan w:val="4"/>
            <w:tcBorders>
              <w:top w:val="nil"/>
              <w:left w:val="nil"/>
              <w:bottom w:val="nil"/>
              <w:right w:val="nil"/>
            </w:tcBorders>
          </w:tcPr>
          <w:p w:rsidR="00512C41" w:rsidRPr="00F627B2"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F627B2" w:rsidRDefault="00512C41">
            <w:pPr>
              <w:spacing w:line="240" w:lineRule="auto"/>
              <w:rPr>
                <w:rFonts w:ascii="Lato" w:hAnsi="Lato"/>
                <w:szCs w:val="22"/>
              </w:rPr>
            </w:pPr>
          </w:p>
        </w:tc>
      </w:tr>
      <w:tr w:rsidR="004F67F8" w:rsidRPr="00F627B2" w:rsidTr="00F627B2">
        <w:trPr>
          <w:gridAfter w:val="2"/>
          <w:wAfter w:w="3800" w:type="dxa"/>
        </w:trPr>
        <w:tc>
          <w:tcPr>
            <w:tcW w:w="1107" w:type="dxa"/>
            <w:tcBorders>
              <w:top w:val="nil"/>
              <w:left w:val="nil"/>
              <w:bottom w:val="nil"/>
              <w:right w:val="nil"/>
            </w:tcBorders>
          </w:tcPr>
          <w:p w:rsidR="004F67F8" w:rsidRPr="00F627B2"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F627B2" w:rsidRDefault="004F67F8">
            <w:pPr>
              <w:spacing w:line="240" w:lineRule="auto"/>
              <w:rPr>
                <w:rFonts w:ascii="Lato" w:hAnsi="Lato"/>
                <w:b/>
                <w:bCs/>
                <w:szCs w:val="22"/>
              </w:rPr>
            </w:pPr>
          </w:p>
        </w:tc>
        <w:tc>
          <w:tcPr>
            <w:tcW w:w="992"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4F67F8" w:rsidRPr="00F627B2" w:rsidRDefault="004F67F8" w:rsidP="003C3E16">
            <w:pPr>
              <w:pStyle w:val="Header"/>
              <w:spacing w:line="240" w:lineRule="auto"/>
              <w:rPr>
                <w:rFonts w:ascii="Lato" w:hAnsi="Lato"/>
                <w:szCs w:val="22"/>
              </w:rPr>
            </w:pPr>
            <w:r w:rsidRPr="00F627B2">
              <w:rPr>
                <w:rFonts w:ascii="Lato" w:hAnsi="Lato"/>
                <w:szCs w:val="22"/>
              </w:rPr>
              <w:t>2.12</w:t>
            </w:r>
          </w:p>
        </w:tc>
        <w:tc>
          <w:tcPr>
            <w:tcW w:w="6974"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r w:rsidRPr="00F627B2">
              <w:rPr>
                <w:rFonts w:ascii="Lato" w:hAnsi="Lato"/>
                <w:szCs w:val="22"/>
              </w:rPr>
              <w:t>Reports and Accounts</w:t>
            </w:r>
          </w:p>
        </w:tc>
        <w:tc>
          <w:tcPr>
            <w:tcW w:w="992" w:type="dxa"/>
            <w:gridSpan w:val="2"/>
            <w:tcBorders>
              <w:top w:val="nil"/>
              <w:left w:val="single" w:sz="4" w:space="0" w:color="auto"/>
              <w:bottom w:val="nil"/>
              <w:right w:val="nil"/>
            </w:tcBorders>
          </w:tcPr>
          <w:p w:rsidR="004F67F8" w:rsidRPr="00F627B2" w:rsidRDefault="004F67F8">
            <w:pPr>
              <w:spacing w:line="240" w:lineRule="auto"/>
              <w:rPr>
                <w:rFonts w:ascii="Lato" w:hAnsi="Lato"/>
                <w:b/>
                <w:bCs/>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b/>
                <w:bCs/>
                <w:szCs w:val="22"/>
              </w:rPr>
            </w:pPr>
          </w:p>
        </w:tc>
        <w:tc>
          <w:tcPr>
            <w:tcW w:w="709" w:type="dxa"/>
            <w:gridSpan w:val="3"/>
            <w:tcBorders>
              <w:top w:val="nil"/>
              <w:left w:val="nil"/>
              <w:bottom w:val="nil"/>
              <w:right w:val="nil"/>
            </w:tcBorders>
          </w:tcPr>
          <w:p w:rsidR="004F67F8" w:rsidRPr="00F627B2" w:rsidRDefault="004F67F8">
            <w:pPr>
              <w:spacing w:line="240" w:lineRule="auto"/>
              <w:rPr>
                <w:rFonts w:ascii="Lato" w:hAnsi="Lato"/>
                <w:b/>
                <w:bCs/>
                <w:szCs w:val="22"/>
              </w:rPr>
            </w:pPr>
          </w:p>
        </w:tc>
        <w:tc>
          <w:tcPr>
            <w:tcW w:w="264" w:type="dxa"/>
            <w:gridSpan w:val="2"/>
            <w:tcBorders>
              <w:top w:val="nil"/>
              <w:left w:val="nil"/>
              <w:bottom w:val="nil"/>
              <w:right w:val="single" w:sz="4" w:space="0" w:color="auto"/>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2"/>
          <w:wAfter w:w="3800" w:type="dxa"/>
        </w:trPr>
        <w:tc>
          <w:tcPr>
            <w:tcW w:w="1107" w:type="dxa"/>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6974" w:type="dxa"/>
            <w:gridSpan w:val="2"/>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992"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rsidP="003C3E16">
            <w:pPr>
              <w:spacing w:line="240" w:lineRule="auto"/>
              <w:rPr>
                <w:rFonts w:ascii="Lato" w:hAnsi="Lato"/>
                <w:szCs w:val="22"/>
              </w:rPr>
            </w:pPr>
          </w:p>
        </w:tc>
        <w:tc>
          <w:tcPr>
            <w:tcW w:w="7193" w:type="dxa"/>
            <w:gridSpan w:val="2"/>
            <w:tcBorders>
              <w:top w:val="nil"/>
              <w:left w:val="nil"/>
              <w:bottom w:val="nil"/>
              <w:right w:val="nil"/>
            </w:tcBorders>
          </w:tcPr>
          <w:p w:rsidR="004F67F8" w:rsidRPr="00F627B2" w:rsidRDefault="004F67F8" w:rsidP="00E63F22">
            <w:pPr>
              <w:spacing w:line="240" w:lineRule="auto"/>
              <w:rPr>
                <w:rFonts w:ascii="Lato" w:hAnsi="Lato"/>
                <w:szCs w:val="22"/>
              </w:rPr>
            </w:pPr>
            <w:r w:rsidRPr="00F627B2">
              <w:rPr>
                <w:rFonts w:ascii="Lato" w:hAnsi="Lato"/>
                <w:szCs w:val="22"/>
              </w:rPr>
              <w:t>Disclose the accounting dates as follows:</w:t>
            </w:r>
          </w:p>
        </w:tc>
        <w:tc>
          <w:tcPr>
            <w:tcW w:w="737"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pPr>
              <w:spacing w:line="240" w:lineRule="auto"/>
              <w:rPr>
                <w:rFonts w:ascii="Lato" w:hAnsi="Lato"/>
                <w:szCs w:val="22"/>
              </w:rPr>
            </w:pPr>
            <w:r w:rsidRPr="00F627B2">
              <w:rPr>
                <w:rFonts w:ascii="Lato" w:hAnsi="Lato"/>
                <w:szCs w:val="22"/>
              </w:rPr>
              <w:t>2.12.1</w:t>
            </w:r>
          </w:p>
        </w:tc>
        <w:tc>
          <w:tcPr>
            <w:tcW w:w="7193" w:type="dxa"/>
            <w:gridSpan w:val="2"/>
            <w:tcBorders>
              <w:top w:val="nil"/>
              <w:left w:val="nil"/>
              <w:bottom w:val="nil"/>
              <w:right w:val="single" w:sz="4" w:space="0" w:color="auto"/>
            </w:tcBorders>
          </w:tcPr>
          <w:p w:rsidR="004F67F8" w:rsidRPr="00F627B2" w:rsidRDefault="004F67F8">
            <w:pPr>
              <w:spacing w:line="240" w:lineRule="auto"/>
              <w:rPr>
                <w:rFonts w:ascii="Lato" w:hAnsi="Lato"/>
                <w:szCs w:val="22"/>
              </w:rPr>
            </w:pPr>
            <w:r w:rsidRPr="00F627B2">
              <w:rPr>
                <w:rFonts w:ascii="Lato" w:hAnsi="Lato"/>
                <w:szCs w:val="22"/>
              </w:rPr>
              <w:t xml:space="preserve">Annual accounting date;  </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37"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rsidP="003C3E16">
            <w:pPr>
              <w:spacing w:line="240" w:lineRule="auto"/>
              <w:rPr>
                <w:rFonts w:ascii="Lato" w:hAnsi="Lato"/>
                <w:szCs w:val="22"/>
              </w:rPr>
            </w:pPr>
            <w:r w:rsidRPr="00F627B2">
              <w:rPr>
                <w:rFonts w:ascii="Lato" w:hAnsi="Lato"/>
                <w:szCs w:val="22"/>
              </w:rPr>
              <w:t>2.12.2</w:t>
            </w:r>
          </w:p>
        </w:tc>
        <w:tc>
          <w:tcPr>
            <w:tcW w:w="7193" w:type="dxa"/>
            <w:gridSpan w:val="2"/>
            <w:tcBorders>
              <w:top w:val="nil"/>
              <w:left w:val="nil"/>
              <w:bottom w:val="nil"/>
              <w:right w:val="single" w:sz="4" w:space="0" w:color="auto"/>
            </w:tcBorders>
          </w:tcPr>
          <w:p w:rsidR="004F67F8" w:rsidRPr="00F627B2" w:rsidRDefault="004F67F8">
            <w:pPr>
              <w:spacing w:line="240" w:lineRule="auto"/>
              <w:rPr>
                <w:rFonts w:ascii="Lato" w:hAnsi="Lato"/>
                <w:szCs w:val="22"/>
              </w:rPr>
            </w:pPr>
            <w:r w:rsidRPr="00F627B2">
              <w:rPr>
                <w:rFonts w:ascii="Lato" w:hAnsi="Lato"/>
                <w:szCs w:val="22"/>
              </w:rPr>
              <w:t>Date of the initial annual reports;</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rsidP="003C3E16">
            <w:pPr>
              <w:spacing w:line="240" w:lineRule="auto"/>
              <w:rPr>
                <w:rFonts w:ascii="Lato" w:hAnsi="Lato"/>
                <w:szCs w:val="22"/>
              </w:rPr>
            </w:pPr>
            <w:r w:rsidRPr="00F627B2">
              <w:rPr>
                <w:rFonts w:ascii="Lato" w:hAnsi="Lato"/>
                <w:szCs w:val="22"/>
              </w:rPr>
              <w:t>2.12.3</w:t>
            </w:r>
          </w:p>
        </w:tc>
        <w:tc>
          <w:tcPr>
            <w:tcW w:w="7193" w:type="dxa"/>
            <w:gridSpan w:val="2"/>
            <w:tcBorders>
              <w:top w:val="nil"/>
              <w:left w:val="nil"/>
              <w:bottom w:val="nil"/>
              <w:right w:val="single" w:sz="4" w:space="0" w:color="auto"/>
            </w:tcBorders>
          </w:tcPr>
          <w:p w:rsidR="004F67F8" w:rsidRPr="00F627B2" w:rsidRDefault="004F67F8">
            <w:pPr>
              <w:spacing w:line="240" w:lineRule="auto"/>
              <w:rPr>
                <w:rFonts w:ascii="Lato" w:hAnsi="Lato"/>
                <w:szCs w:val="22"/>
              </w:rPr>
            </w:pPr>
            <w:r w:rsidRPr="00F627B2">
              <w:rPr>
                <w:rFonts w:ascii="Lato" w:hAnsi="Lato"/>
                <w:szCs w:val="22"/>
              </w:rPr>
              <w:t xml:space="preserve">The half yearly accounting date; and </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rsidP="003C3E16">
            <w:pPr>
              <w:spacing w:line="240" w:lineRule="auto"/>
              <w:rPr>
                <w:rFonts w:ascii="Lato" w:hAnsi="Lato"/>
                <w:szCs w:val="22"/>
              </w:rPr>
            </w:pPr>
            <w:r w:rsidRPr="00F627B2">
              <w:rPr>
                <w:rFonts w:ascii="Lato" w:hAnsi="Lato"/>
                <w:szCs w:val="22"/>
              </w:rPr>
              <w:t>2.12.4</w:t>
            </w:r>
          </w:p>
        </w:tc>
        <w:tc>
          <w:tcPr>
            <w:tcW w:w="7193" w:type="dxa"/>
            <w:gridSpan w:val="2"/>
            <w:tcBorders>
              <w:top w:val="nil"/>
              <w:left w:val="nil"/>
              <w:bottom w:val="nil"/>
              <w:right w:val="single" w:sz="4" w:space="0" w:color="auto"/>
            </w:tcBorders>
          </w:tcPr>
          <w:p w:rsidR="004F67F8" w:rsidRPr="00F627B2" w:rsidRDefault="004F67F8">
            <w:pPr>
              <w:spacing w:line="240" w:lineRule="auto"/>
              <w:rPr>
                <w:rFonts w:ascii="Lato" w:hAnsi="Lato"/>
                <w:szCs w:val="22"/>
              </w:rPr>
            </w:pPr>
            <w:r w:rsidRPr="00F627B2">
              <w:rPr>
                <w:rFonts w:ascii="Lato" w:hAnsi="Lato"/>
                <w:szCs w:val="22"/>
              </w:rPr>
              <w:t xml:space="preserve">Date of the initial half yearly report. </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37"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rsidP="003C3E16">
            <w:pPr>
              <w:spacing w:line="240" w:lineRule="auto"/>
              <w:rPr>
                <w:rFonts w:ascii="Lato" w:hAnsi="Lato"/>
                <w:szCs w:val="22"/>
              </w:rPr>
            </w:pPr>
            <w:r w:rsidRPr="00F627B2">
              <w:rPr>
                <w:rFonts w:ascii="Lato" w:hAnsi="Lato"/>
                <w:szCs w:val="22"/>
              </w:rPr>
              <w:t>2.12.5</w:t>
            </w:r>
          </w:p>
        </w:tc>
        <w:tc>
          <w:tcPr>
            <w:tcW w:w="7193" w:type="dxa"/>
            <w:gridSpan w:val="2"/>
            <w:tcBorders>
              <w:top w:val="nil"/>
              <w:left w:val="nil"/>
              <w:bottom w:val="nil"/>
              <w:right w:val="single" w:sz="4" w:space="0" w:color="auto"/>
            </w:tcBorders>
          </w:tcPr>
          <w:p w:rsidR="004F67F8" w:rsidRPr="00F627B2" w:rsidRDefault="004F67F8">
            <w:pPr>
              <w:pStyle w:val="Heading3"/>
              <w:spacing w:before="0" w:after="0" w:line="240" w:lineRule="auto"/>
              <w:rPr>
                <w:rFonts w:ascii="Lato" w:hAnsi="Lato"/>
                <w:b w:val="0"/>
                <w:bCs/>
                <w:color w:val="auto"/>
                <w:sz w:val="22"/>
                <w:szCs w:val="22"/>
              </w:rPr>
            </w:pPr>
            <w:r w:rsidRPr="00F627B2">
              <w:rPr>
                <w:rFonts w:ascii="Lato" w:hAnsi="Lato"/>
                <w:b w:val="0"/>
                <w:bCs/>
                <w:color w:val="auto"/>
                <w:sz w:val="22"/>
                <w:szCs w:val="22"/>
              </w:rPr>
              <w:t xml:space="preserve">Confirm the first set of accounts (be they semi-annual/ </w:t>
            </w:r>
            <w:r w:rsidR="003D0FCC" w:rsidRPr="00F627B2">
              <w:rPr>
                <w:rFonts w:ascii="Lato" w:hAnsi="Lato"/>
                <w:b w:val="0"/>
                <w:color w:val="auto"/>
                <w:sz w:val="22"/>
                <w:szCs w:val="22"/>
              </w:rPr>
              <w:t>annual) are</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F627B2" w:rsidRDefault="004F67F8" w:rsidP="003D0FCC">
            <w:pPr>
              <w:spacing w:line="240" w:lineRule="auto"/>
              <w:rPr>
                <w:rFonts w:ascii="Lato" w:hAnsi="Lato"/>
                <w:szCs w:val="22"/>
              </w:rPr>
            </w:pPr>
            <w:r w:rsidRPr="00F627B2">
              <w:rPr>
                <w:rFonts w:ascii="Lato" w:hAnsi="Lato"/>
                <w:szCs w:val="22"/>
              </w:rPr>
              <w:t>within 9 months of the launch date and published within 2 months if semi</w:t>
            </w:r>
            <w:r w:rsidR="003D0FCC" w:rsidRPr="00F627B2">
              <w:rPr>
                <w:rFonts w:ascii="Lato" w:hAnsi="Lato"/>
                <w:szCs w:val="22"/>
              </w:rPr>
              <w:t>-</w:t>
            </w:r>
            <w:r w:rsidRPr="00F627B2">
              <w:rPr>
                <w:rFonts w:ascii="Lato" w:hAnsi="Lato"/>
                <w:szCs w:val="22"/>
              </w:rPr>
              <w:t>annual and 6 months if annual.</w:t>
            </w:r>
          </w:p>
        </w:tc>
        <w:tc>
          <w:tcPr>
            <w:tcW w:w="737" w:type="dxa"/>
            <w:gridSpan w:val="2"/>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37"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rsidP="003C3E16">
            <w:pPr>
              <w:spacing w:line="240" w:lineRule="auto"/>
              <w:rPr>
                <w:rFonts w:ascii="Lato" w:hAnsi="Lato"/>
                <w:szCs w:val="22"/>
              </w:rPr>
            </w:pPr>
            <w:r w:rsidRPr="00F627B2">
              <w:rPr>
                <w:rFonts w:ascii="Lato" w:hAnsi="Lato"/>
                <w:szCs w:val="22"/>
              </w:rPr>
              <w:t>2.12.6</w:t>
            </w:r>
          </w:p>
        </w:tc>
        <w:tc>
          <w:tcPr>
            <w:tcW w:w="7193" w:type="dxa"/>
            <w:gridSpan w:val="2"/>
            <w:tcBorders>
              <w:top w:val="nil"/>
              <w:left w:val="nil"/>
              <w:bottom w:val="nil"/>
              <w:right w:val="single" w:sz="4" w:space="0" w:color="auto"/>
            </w:tcBorders>
          </w:tcPr>
          <w:p w:rsidR="004F67F8" w:rsidRPr="00F627B2" w:rsidRDefault="004F67F8">
            <w:pPr>
              <w:spacing w:line="240" w:lineRule="auto"/>
              <w:rPr>
                <w:rFonts w:ascii="Lato" w:hAnsi="Lato"/>
                <w:szCs w:val="22"/>
              </w:rPr>
            </w:pPr>
            <w:r w:rsidRPr="00F627B2">
              <w:rPr>
                <w:rFonts w:ascii="Lato" w:hAnsi="Lato"/>
                <w:szCs w:val="22"/>
              </w:rPr>
              <w:t xml:space="preserve">Confirm the first Annual Audited Accounts are within </w:t>
            </w:r>
            <w:r w:rsidR="003D0FCC" w:rsidRPr="00F627B2">
              <w:rPr>
                <w:rFonts w:ascii="Lato" w:hAnsi="Lato"/>
                <w:szCs w:val="22"/>
              </w:rPr>
              <w:t>18 months</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F627B2" w:rsidRDefault="004F67F8" w:rsidP="007A39A7">
            <w:pPr>
              <w:spacing w:line="240" w:lineRule="auto"/>
              <w:rPr>
                <w:rFonts w:ascii="Lato" w:hAnsi="Lato"/>
                <w:szCs w:val="22"/>
              </w:rPr>
            </w:pPr>
            <w:r w:rsidRPr="00F627B2">
              <w:rPr>
                <w:rFonts w:ascii="Lato" w:hAnsi="Lato"/>
                <w:szCs w:val="22"/>
              </w:rPr>
              <w:t>of incorporation/establishment and published within 6 months</w:t>
            </w:r>
          </w:p>
        </w:tc>
        <w:tc>
          <w:tcPr>
            <w:tcW w:w="737" w:type="dxa"/>
            <w:gridSpan w:val="2"/>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37"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rsidP="003C3E16">
            <w:pPr>
              <w:spacing w:line="240" w:lineRule="auto"/>
              <w:rPr>
                <w:rFonts w:ascii="Lato" w:hAnsi="Lato"/>
                <w:szCs w:val="22"/>
              </w:rPr>
            </w:pPr>
            <w:r w:rsidRPr="00F627B2">
              <w:rPr>
                <w:rFonts w:ascii="Lato" w:hAnsi="Lato"/>
                <w:szCs w:val="22"/>
              </w:rPr>
              <w:t>2.12.7</w:t>
            </w:r>
          </w:p>
        </w:tc>
        <w:tc>
          <w:tcPr>
            <w:tcW w:w="7193" w:type="dxa"/>
            <w:gridSpan w:val="2"/>
            <w:tcBorders>
              <w:top w:val="nil"/>
              <w:left w:val="nil"/>
              <w:bottom w:val="nil"/>
              <w:right w:val="nil"/>
            </w:tcBorders>
          </w:tcPr>
          <w:p w:rsidR="004F67F8" w:rsidRPr="00F627B2" w:rsidRDefault="004F67F8">
            <w:pPr>
              <w:spacing w:line="240" w:lineRule="auto"/>
              <w:rPr>
                <w:rFonts w:ascii="Lato" w:hAnsi="Lato"/>
                <w:szCs w:val="22"/>
              </w:rPr>
            </w:pPr>
            <w:r w:rsidRPr="00F627B2">
              <w:rPr>
                <w:rFonts w:ascii="Lato" w:hAnsi="Lato"/>
                <w:szCs w:val="22"/>
              </w:rPr>
              <w:t>Disclose where the</w:t>
            </w:r>
          </w:p>
        </w:tc>
        <w:tc>
          <w:tcPr>
            <w:tcW w:w="737"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rsidP="003D0FCC">
            <w:pPr>
              <w:spacing w:line="240" w:lineRule="auto"/>
              <w:jc w:val="right"/>
              <w:rPr>
                <w:rFonts w:ascii="Lato" w:hAnsi="Lato"/>
                <w:szCs w:val="22"/>
              </w:rPr>
            </w:pPr>
            <w:r w:rsidRPr="00F627B2">
              <w:rPr>
                <w:rFonts w:ascii="Lato" w:hAnsi="Lato"/>
                <w:szCs w:val="22"/>
              </w:rPr>
              <w:t>a)</w:t>
            </w:r>
          </w:p>
        </w:tc>
        <w:tc>
          <w:tcPr>
            <w:tcW w:w="7193" w:type="dxa"/>
            <w:gridSpan w:val="2"/>
            <w:tcBorders>
              <w:top w:val="nil"/>
              <w:left w:val="nil"/>
              <w:bottom w:val="nil"/>
              <w:right w:val="single" w:sz="4" w:space="0" w:color="auto"/>
            </w:tcBorders>
          </w:tcPr>
          <w:p w:rsidR="004F67F8" w:rsidRPr="00F627B2" w:rsidRDefault="004F67F8">
            <w:pPr>
              <w:spacing w:line="240" w:lineRule="auto"/>
              <w:rPr>
                <w:rFonts w:ascii="Lato" w:hAnsi="Lato"/>
                <w:szCs w:val="22"/>
              </w:rPr>
            </w:pPr>
            <w:r w:rsidRPr="00F627B2">
              <w:rPr>
                <w:rFonts w:ascii="Lato" w:hAnsi="Lato"/>
                <w:szCs w:val="22"/>
              </w:rPr>
              <w:t>the constitutional document if not annexed and</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rsidP="003D0FCC">
            <w:pPr>
              <w:spacing w:line="240" w:lineRule="auto"/>
              <w:jc w:val="right"/>
              <w:rPr>
                <w:rFonts w:ascii="Lato" w:hAnsi="Lato"/>
                <w:szCs w:val="22"/>
              </w:rPr>
            </w:pPr>
          </w:p>
        </w:tc>
        <w:tc>
          <w:tcPr>
            <w:tcW w:w="7193" w:type="dxa"/>
            <w:gridSpan w:val="2"/>
            <w:tcBorders>
              <w:top w:val="nil"/>
              <w:left w:val="nil"/>
              <w:bottom w:val="nil"/>
              <w:right w:val="nil"/>
            </w:tcBorders>
          </w:tcPr>
          <w:p w:rsidR="004F67F8" w:rsidRPr="00F627B2" w:rsidRDefault="004F67F8" w:rsidP="001C4307">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rsidP="003D0FCC">
            <w:pPr>
              <w:spacing w:line="240" w:lineRule="auto"/>
              <w:jc w:val="right"/>
              <w:rPr>
                <w:rFonts w:ascii="Lato" w:hAnsi="Lato"/>
                <w:szCs w:val="22"/>
              </w:rPr>
            </w:pPr>
            <w:r w:rsidRPr="00F627B2">
              <w:rPr>
                <w:rFonts w:ascii="Lato" w:hAnsi="Lato"/>
                <w:szCs w:val="22"/>
              </w:rPr>
              <w:t>b)</w:t>
            </w:r>
          </w:p>
        </w:tc>
        <w:tc>
          <w:tcPr>
            <w:tcW w:w="7193" w:type="dxa"/>
            <w:gridSpan w:val="2"/>
            <w:tcBorders>
              <w:top w:val="nil"/>
              <w:left w:val="nil"/>
              <w:bottom w:val="nil"/>
              <w:right w:val="single" w:sz="4" w:space="0" w:color="auto"/>
            </w:tcBorders>
          </w:tcPr>
          <w:p w:rsidR="004F67F8" w:rsidRPr="00F627B2" w:rsidRDefault="004F67F8">
            <w:pPr>
              <w:spacing w:line="240" w:lineRule="auto"/>
              <w:rPr>
                <w:rFonts w:ascii="Lato" w:hAnsi="Lato"/>
                <w:szCs w:val="22"/>
              </w:rPr>
            </w:pPr>
            <w:r w:rsidRPr="00F627B2">
              <w:rPr>
                <w:rFonts w:ascii="Lato" w:hAnsi="Lato"/>
                <w:szCs w:val="22"/>
              </w:rPr>
              <w:t xml:space="preserve">the annual reports </w:t>
            </w:r>
            <w:r w:rsidRPr="00F627B2">
              <w:rPr>
                <w:rFonts w:ascii="Lato" w:hAnsi="Lato"/>
                <w:szCs w:val="22"/>
                <w:u w:val="single"/>
              </w:rPr>
              <w:t>may be obtained</w:t>
            </w:r>
            <w:r w:rsidRPr="00F627B2">
              <w:rPr>
                <w:rFonts w:ascii="Lato" w:hAnsi="Lato"/>
                <w:szCs w:val="22"/>
              </w:rPr>
              <w:t xml:space="preserve"> </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F627B2"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4F67F8" w:rsidRPr="00F627B2" w:rsidTr="00F627B2">
        <w:trPr>
          <w:gridAfter w:val="1"/>
          <w:wAfter w:w="3686" w:type="dxa"/>
        </w:trPr>
        <w:tc>
          <w:tcPr>
            <w:tcW w:w="1223" w:type="dxa"/>
            <w:gridSpan w:val="2"/>
            <w:tcBorders>
              <w:top w:val="nil"/>
              <w:left w:val="nil"/>
              <w:bottom w:val="nil"/>
              <w:right w:val="nil"/>
            </w:tcBorders>
          </w:tcPr>
          <w:p w:rsidR="004F67F8" w:rsidRPr="00F627B2" w:rsidRDefault="004F67F8" w:rsidP="003D0FCC">
            <w:pPr>
              <w:spacing w:line="240" w:lineRule="auto"/>
              <w:jc w:val="right"/>
              <w:rPr>
                <w:rFonts w:ascii="Lato" w:hAnsi="Lato"/>
                <w:szCs w:val="22"/>
              </w:rPr>
            </w:pPr>
          </w:p>
        </w:tc>
        <w:tc>
          <w:tcPr>
            <w:tcW w:w="7193" w:type="dxa"/>
            <w:gridSpan w:val="2"/>
            <w:tcBorders>
              <w:top w:val="nil"/>
              <w:left w:val="nil"/>
              <w:bottom w:val="nil"/>
              <w:right w:val="nil"/>
            </w:tcBorders>
          </w:tcPr>
          <w:p w:rsidR="004F67F8" w:rsidRPr="00F627B2" w:rsidRDefault="004F67F8">
            <w:pPr>
              <w:spacing w:line="240" w:lineRule="auto"/>
              <w:rPr>
                <w:rFonts w:ascii="Lato" w:hAnsi="Lato"/>
                <w:szCs w:val="22"/>
              </w:rPr>
            </w:pPr>
            <w:r w:rsidRPr="00F627B2">
              <w:rPr>
                <w:rFonts w:ascii="Lato" w:hAnsi="Lato"/>
                <w:szCs w:val="22"/>
              </w:rPr>
              <w:t>(available for inspection is not acceptable)</w:t>
            </w:r>
          </w:p>
        </w:tc>
        <w:tc>
          <w:tcPr>
            <w:tcW w:w="737" w:type="dxa"/>
            <w:gridSpan w:val="2"/>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F627B2"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F627B2"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F627B2"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F627B2" w:rsidRDefault="004F67F8">
            <w:pPr>
              <w:spacing w:line="240" w:lineRule="auto"/>
              <w:rPr>
                <w:rFonts w:ascii="Lato" w:hAnsi="Lato"/>
                <w:szCs w:val="22"/>
              </w:rPr>
            </w:pPr>
          </w:p>
        </w:tc>
      </w:tr>
      <w:tr w:rsidR="0064392C" w:rsidRPr="00F627B2" w:rsidTr="00F627B2">
        <w:trPr>
          <w:gridAfter w:val="1"/>
          <w:wAfter w:w="3686" w:type="dxa"/>
        </w:trPr>
        <w:tc>
          <w:tcPr>
            <w:tcW w:w="1223" w:type="dxa"/>
            <w:gridSpan w:val="2"/>
            <w:tcBorders>
              <w:top w:val="nil"/>
              <w:left w:val="nil"/>
              <w:bottom w:val="nil"/>
              <w:right w:val="nil"/>
            </w:tcBorders>
          </w:tcPr>
          <w:p w:rsidR="0064392C" w:rsidRPr="00F627B2" w:rsidRDefault="0064392C" w:rsidP="003D0FCC">
            <w:pPr>
              <w:spacing w:line="240" w:lineRule="auto"/>
              <w:jc w:val="right"/>
              <w:rPr>
                <w:rFonts w:ascii="Lato" w:hAnsi="Lato"/>
                <w:szCs w:val="22"/>
              </w:rPr>
            </w:pPr>
          </w:p>
        </w:tc>
        <w:tc>
          <w:tcPr>
            <w:tcW w:w="7193" w:type="dxa"/>
            <w:gridSpan w:val="2"/>
            <w:tcBorders>
              <w:top w:val="nil"/>
              <w:left w:val="nil"/>
              <w:bottom w:val="nil"/>
              <w:right w:val="nil"/>
            </w:tcBorders>
          </w:tcPr>
          <w:p w:rsidR="0064392C" w:rsidRPr="00F627B2" w:rsidRDefault="0064392C">
            <w:pPr>
              <w:spacing w:line="240" w:lineRule="auto"/>
              <w:rPr>
                <w:rFonts w:ascii="Lato" w:hAnsi="Lato"/>
                <w:szCs w:val="22"/>
              </w:rPr>
            </w:pPr>
          </w:p>
        </w:tc>
        <w:tc>
          <w:tcPr>
            <w:tcW w:w="737" w:type="dxa"/>
            <w:gridSpan w:val="2"/>
            <w:tcBorders>
              <w:top w:val="nil"/>
              <w:left w:val="nil"/>
              <w:bottom w:val="single" w:sz="4" w:space="0" w:color="auto"/>
              <w:right w:val="nil"/>
            </w:tcBorders>
          </w:tcPr>
          <w:p w:rsidR="0064392C" w:rsidRPr="00F627B2" w:rsidRDefault="0064392C">
            <w:pPr>
              <w:spacing w:line="240" w:lineRule="auto"/>
              <w:rPr>
                <w:rFonts w:ascii="Lato" w:hAnsi="Lato"/>
                <w:szCs w:val="22"/>
              </w:rPr>
            </w:pPr>
          </w:p>
        </w:tc>
        <w:tc>
          <w:tcPr>
            <w:tcW w:w="236" w:type="dxa"/>
            <w:gridSpan w:val="2"/>
            <w:tcBorders>
              <w:top w:val="nil"/>
              <w:left w:val="nil"/>
              <w:bottom w:val="nil"/>
              <w:right w:val="nil"/>
            </w:tcBorders>
          </w:tcPr>
          <w:p w:rsidR="0064392C" w:rsidRPr="00F627B2" w:rsidRDefault="0064392C">
            <w:pPr>
              <w:spacing w:line="240" w:lineRule="auto"/>
              <w:rPr>
                <w:rFonts w:ascii="Lato" w:hAnsi="Lato"/>
                <w:szCs w:val="22"/>
              </w:rPr>
            </w:pPr>
          </w:p>
        </w:tc>
        <w:tc>
          <w:tcPr>
            <w:tcW w:w="709" w:type="dxa"/>
            <w:gridSpan w:val="3"/>
            <w:tcBorders>
              <w:top w:val="nil"/>
              <w:left w:val="nil"/>
              <w:bottom w:val="single" w:sz="4" w:space="0" w:color="auto"/>
              <w:right w:val="nil"/>
            </w:tcBorders>
          </w:tcPr>
          <w:p w:rsidR="0064392C" w:rsidRPr="00F627B2" w:rsidRDefault="0064392C">
            <w:pPr>
              <w:spacing w:line="240" w:lineRule="auto"/>
              <w:rPr>
                <w:rFonts w:ascii="Lato" w:hAnsi="Lato"/>
                <w:szCs w:val="22"/>
              </w:rPr>
            </w:pPr>
          </w:p>
        </w:tc>
        <w:tc>
          <w:tcPr>
            <w:tcW w:w="264" w:type="dxa"/>
            <w:gridSpan w:val="2"/>
            <w:tcBorders>
              <w:top w:val="nil"/>
              <w:left w:val="nil"/>
              <w:bottom w:val="nil"/>
              <w:right w:val="nil"/>
            </w:tcBorders>
          </w:tcPr>
          <w:p w:rsidR="0064392C" w:rsidRPr="00F627B2" w:rsidRDefault="0064392C">
            <w:pPr>
              <w:spacing w:line="240" w:lineRule="auto"/>
              <w:rPr>
                <w:rFonts w:ascii="Lato" w:hAnsi="Lato"/>
                <w:szCs w:val="22"/>
              </w:rPr>
            </w:pPr>
          </w:p>
        </w:tc>
        <w:tc>
          <w:tcPr>
            <w:tcW w:w="455" w:type="dxa"/>
            <w:gridSpan w:val="2"/>
            <w:tcBorders>
              <w:top w:val="nil"/>
              <w:left w:val="nil"/>
              <w:bottom w:val="single" w:sz="4" w:space="0" w:color="auto"/>
              <w:right w:val="nil"/>
            </w:tcBorders>
          </w:tcPr>
          <w:p w:rsidR="0064392C" w:rsidRPr="00F627B2" w:rsidRDefault="0064392C">
            <w:pPr>
              <w:spacing w:line="240" w:lineRule="auto"/>
              <w:rPr>
                <w:rFonts w:ascii="Lato" w:hAnsi="Lato"/>
                <w:szCs w:val="22"/>
              </w:rPr>
            </w:pPr>
          </w:p>
        </w:tc>
        <w:tc>
          <w:tcPr>
            <w:tcW w:w="264" w:type="dxa"/>
            <w:gridSpan w:val="4"/>
            <w:tcBorders>
              <w:top w:val="nil"/>
              <w:left w:val="nil"/>
              <w:bottom w:val="nil"/>
              <w:right w:val="nil"/>
            </w:tcBorders>
          </w:tcPr>
          <w:p w:rsidR="0064392C" w:rsidRPr="00F627B2" w:rsidRDefault="0064392C">
            <w:pPr>
              <w:spacing w:line="240" w:lineRule="auto"/>
              <w:rPr>
                <w:rFonts w:ascii="Lato" w:hAnsi="Lato"/>
                <w:szCs w:val="22"/>
              </w:rPr>
            </w:pPr>
          </w:p>
        </w:tc>
        <w:tc>
          <w:tcPr>
            <w:tcW w:w="590" w:type="dxa"/>
            <w:gridSpan w:val="2"/>
            <w:tcBorders>
              <w:top w:val="nil"/>
              <w:left w:val="nil"/>
              <w:bottom w:val="nil"/>
              <w:right w:val="nil"/>
            </w:tcBorders>
          </w:tcPr>
          <w:p w:rsidR="0064392C" w:rsidRPr="00F627B2" w:rsidRDefault="0064392C">
            <w:pPr>
              <w:spacing w:line="240" w:lineRule="auto"/>
              <w:rPr>
                <w:rFonts w:ascii="Lato" w:hAnsi="Lato"/>
                <w:szCs w:val="22"/>
              </w:rPr>
            </w:pPr>
          </w:p>
        </w:tc>
      </w:tr>
      <w:tr w:rsidR="0064392C" w:rsidRPr="00F627B2" w:rsidTr="00F627B2">
        <w:trPr>
          <w:gridAfter w:val="1"/>
          <w:wAfter w:w="3686" w:type="dxa"/>
        </w:trPr>
        <w:tc>
          <w:tcPr>
            <w:tcW w:w="1223" w:type="dxa"/>
            <w:gridSpan w:val="2"/>
            <w:tcBorders>
              <w:top w:val="nil"/>
              <w:left w:val="nil"/>
              <w:bottom w:val="nil"/>
              <w:right w:val="nil"/>
            </w:tcBorders>
          </w:tcPr>
          <w:p w:rsidR="0064392C" w:rsidRPr="00F627B2" w:rsidRDefault="0064392C" w:rsidP="003D0FCC">
            <w:pPr>
              <w:spacing w:line="240" w:lineRule="auto"/>
              <w:jc w:val="right"/>
              <w:rPr>
                <w:rFonts w:ascii="Lato" w:hAnsi="Lato"/>
                <w:szCs w:val="22"/>
              </w:rPr>
            </w:pPr>
            <w:r w:rsidRPr="00F627B2">
              <w:rPr>
                <w:rFonts w:ascii="Lato" w:hAnsi="Lato"/>
                <w:szCs w:val="22"/>
              </w:rPr>
              <w:t>c)</w:t>
            </w:r>
          </w:p>
        </w:tc>
        <w:tc>
          <w:tcPr>
            <w:tcW w:w="7193" w:type="dxa"/>
            <w:gridSpan w:val="2"/>
            <w:tcBorders>
              <w:top w:val="nil"/>
              <w:left w:val="nil"/>
              <w:bottom w:val="nil"/>
              <w:right w:val="single" w:sz="4" w:space="0" w:color="auto"/>
            </w:tcBorders>
          </w:tcPr>
          <w:p w:rsidR="0064392C" w:rsidRPr="00F627B2" w:rsidRDefault="0064392C">
            <w:pPr>
              <w:spacing w:line="240" w:lineRule="auto"/>
              <w:rPr>
                <w:rFonts w:ascii="Lato" w:hAnsi="Lato"/>
                <w:szCs w:val="22"/>
              </w:rPr>
            </w:pPr>
            <w:r w:rsidRPr="00F627B2">
              <w:rPr>
                <w:rFonts w:ascii="Lato" w:hAnsi="Lato"/>
                <w:szCs w:val="22"/>
              </w:rPr>
              <w:t>where available, any historical performance of the Retail Investor AIF</w:t>
            </w:r>
          </w:p>
        </w:tc>
        <w:tc>
          <w:tcPr>
            <w:tcW w:w="737" w:type="dxa"/>
            <w:gridSpan w:val="2"/>
            <w:tcBorders>
              <w:top w:val="single" w:sz="4" w:space="0" w:color="auto"/>
              <w:left w:val="single" w:sz="4" w:space="0" w:color="auto"/>
              <w:bottom w:val="single" w:sz="4" w:space="0" w:color="auto"/>
              <w:right w:val="single" w:sz="4" w:space="0" w:color="auto"/>
            </w:tcBorders>
          </w:tcPr>
          <w:p w:rsidR="0064392C" w:rsidRPr="00F627B2" w:rsidRDefault="0064392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64392C" w:rsidRPr="00F627B2" w:rsidRDefault="0064392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64392C" w:rsidRPr="00F627B2" w:rsidRDefault="0064392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64392C" w:rsidRPr="00F627B2" w:rsidRDefault="0064392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64392C" w:rsidRPr="00F627B2" w:rsidRDefault="0064392C">
            <w:pPr>
              <w:spacing w:line="240" w:lineRule="auto"/>
              <w:rPr>
                <w:rFonts w:ascii="Lato" w:hAnsi="Lato"/>
                <w:szCs w:val="22"/>
              </w:rPr>
            </w:pPr>
          </w:p>
        </w:tc>
        <w:tc>
          <w:tcPr>
            <w:tcW w:w="264" w:type="dxa"/>
            <w:gridSpan w:val="4"/>
            <w:tcBorders>
              <w:top w:val="nil"/>
              <w:left w:val="single" w:sz="4" w:space="0" w:color="auto"/>
              <w:bottom w:val="nil"/>
              <w:right w:val="nil"/>
            </w:tcBorders>
          </w:tcPr>
          <w:p w:rsidR="0064392C" w:rsidRPr="00F627B2" w:rsidRDefault="0064392C">
            <w:pPr>
              <w:spacing w:line="240" w:lineRule="auto"/>
              <w:rPr>
                <w:rFonts w:ascii="Lato" w:hAnsi="Lato"/>
                <w:szCs w:val="22"/>
              </w:rPr>
            </w:pPr>
          </w:p>
        </w:tc>
        <w:tc>
          <w:tcPr>
            <w:tcW w:w="590" w:type="dxa"/>
            <w:gridSpan w:val="2"/>
            <w:tcBorders>
              <w:top w:val="nil"/>
              <w:left w:val="nil"/>
              <w:bottom w:val="nil"/>
              <w:right w:val="nil"/>
            </w:tcBorders>
          </w:tcPr>
          <w:p w:rsidR="0064392C" w:rsidRPr="00F627B2" w:rsidRDefault="0064392C">
            <w:pPr>
              <w:spacing w:line="240" w:lineRule="auto"/>
              <w:rPr>
                <w:rFonts w:ascii="Lato" w:hAnsi="Lato"/>
                <w:szCs w:val="22"/>
              </w:rPr>
            </w:pPr>
          </w:p>
        </w:tc>
      </w:tr>
      <w:tr w:rsidR="005D411D" w:rsidRPr="00F627B2" w:rsidTr="00F627B2">
        <w:trPr>
          <w:gridAfter w:val="1"/>
          <w:wAfter w:w="3686" w:type="dxa"/>
        </w:trPr>
        <w:tc>
          <w:tcPr>
            <w:tcW w:w="1223" w:type="dxa"/>
            <w:gridSpan w:val="2"/>
            <w:tcBorders>
              <w:top w:val="nil"/>
              <w:left w:val="nil"/>
              <w:bottom w:val="nil"/>
              <w:right w:val="nil"/>
            </w:tcBorders>
          </w:tcPr>
          <w:p w:rsidR="005D411D" w:rsidRPr="00F627B2" w:rsidRDefault="005D411D" w:rsidP="003D0FCC">
            <w:pPr>
              <w:spacing w:line="240" w:lineRule="auto"/>
              <w:jc w:val="right"/>
              <w:rPr>
                <w:rFonts w:ascii="Lato" w:hAnsi="Lato"/>
                <w:szCs w:val="22"/>
              </w:rPr>
            </w:pPr>
          </w:p>
        </w:tc>
        <w:tc>
          <w:tcPr>
            <w:tcW w:w="7193" w:type="dxa"/>
            <w:gridSpan w:val="2"/>
            <w:tcBorders>
              <w:top w:val="nil"/>
              <w:left w:val="nil"/>
              <w:bottom w:val="nil"/>
              <w:right w:val="nil"/>
            </w:tcBorders>
          </w:tcPr>
          <w:p w:rsidR="005D411D" w:rsidRPr="00F627B2" w:rsidRDefault="005D411D">
            <w:pPr>
              <w:spacing w:line="240" w:lineRule="auto"/>
              <w:rPr>
                <w:rFonts w:ascii="Lato" w:hAnsi="Lato"/>
                <w:szCs w:val="22"/>
              </w:rPr>
            </w:pPr>
          </w:p>
        </w:tc>
        <w:tc>
          <w:tcPr>
            <w:tcW w:w="737" w:type="dxa"/>
            <w:gridSpan w:val="2"/>
            <w:tcBorders>
              <w:top w:val="single" w:sz="4" w:space="0" w:color="auto"/>
              <w:left w:val="nil"/>
              <w:bottom w:val="nil"/>
              <w:right w:val="nil"/>
            </w:tcBorders>
          </w:tcPr>
          <w:p w:rsidR="005D411D" w:rsidRPr="00F627B2" w:rsidRDefault="005D411D">
            <w:pPr>
              <w:spacing w:line="240" w:lineRule="auto"/>
              <w:rPr>
                <w:rFonts w:ascii="Lato" w:hAnsi="Lato"/>
                <w:szCs w:val="22"/>
              </w:rPr>
            </w:pPr>
          </w:p>
        </w:tc>
        <w:tc>
          <w:tcPr>
            <w:tcW w:w="236" w:type="dxa"/>
            <w:gridSpan w:val="2"/>
            <w:tcBorders>
              <w:top w:val="nil"/>
              <w:left w:val="nil"/>
              <w:bottom w:val="nil"/>
              <w:right w:val="nil"/>
            </w:tcBorders>
          </w:tcPr>
          <w:p w:rsidR="005D411D" w:rsidRPr="00F627B2" w:rsidRDefault="005D411D">
            <w:pPr>
              <w:spacing w:line="240" w:lineRule="auto"/>
              <w:rPr>
                <w:rFonts w:ascii="Lato" w:hAnsi="Lato"/>
                <w:szCs w:val="22"/>
              </w:rPr>
            </w:pPr>
          </w:p>
        </w:tc>
        <w:tc>
          <w:tcPr>
            <w:tcW w:w="709" w:type="dxa"/>
            <w:gridSpan w:val="3"/>
            <w:tcBorders>
              <w:top w:val="single" w:sz="4" w:space="0" w:color="auto"/>
              <w:left w:val="nil"/>
              <w:bottom w:val="nil"/>
              <w:right w:val="nil"/>
            </w:tcBorders>
          </w:tcPr>
          <w:p w:rsidR="005D411D" w:rsidRPr="00F627B2" w:rsidRDefault="005D411D">
            <w:pPr>
              <w:spacing w:line="240" w:lineRule="auto"/>
              <w:rPr>
                <w:rFonts w:ascii="Lato" w:hAnsi="Lato"/>
                <w:szCs w:val="22"/>
              </w:rPr>
            </w:pPr>
          </w:p>
        </w:tc>
        <w:tc>
          <w:tcPr>
            <w:tcW w:w="264" w:type="dxa"/>
            <w:gridSpan w:val="2"/>
            <w:tcBorders>
              <w:top w:val="nil"/>
              <w:left w:val="nil"/>
              <w:bottom w:val="nil"/>
              <w:right w:val="nil"/>
            </w:tcBorders>
          </w:tcPr>
          <w:p w:rsidR="005D411D" w:rsidRPr="00F627B2" w:rsidRDefault="005D411D">
            <w:pPr>
              <w:spacing w:line="240" w:lineRule="auto"/>
              <w:rPr>
                <w:rFonts w:ascii="Lato" w:hAnsi="Lato"/>
                <w:szCs w:val="22"/>
              </w:rPr>
            </w:pPr>
          </w:p>
        </w:tc>
        <w:tc>
          <w:tcPr>
            <w:tcW w:w="455" w:type="dxa"/>
            <w:gridSpan w:val="2"/>
            <w:tcBorders>
              <w:top w:val="single" w:sz="4" w:space="0" w:color="auto"/>
              <w:left w:val="nil"/>
              <w:bottom w:val="nil"/>
              <w:right w:val="nil"/>
            </w:tcBorders>
          </w:tcPr>
          <w:p w:rsidR="005D411D" w:rsidRPr="00F627B2" w:rsidRDefault="005D411D">
            <w:pPr>
              <w:spacing w:line="240" w:lineRule="auto"/>
              <w:rPr>
                <w:rFonts w:ascii="Lato" w:hAnsi="Lato"/>
                <w:szCs w:val="22"/>
              </w:rPr>
            </w:pPr>
          </w:p>
        </w:tc>
        <w:tc>
          <w:tcPr>
            <w:tcW w:w="264" w:type="dxa"/>
            <w:gridSpan w:val="4"/>
            <w:tcBorders>
              <w:top w:val="nil"/>
              <w:left w:val="nil"/>
              <w:bottom w:val="nil"/>
              <w:right w:val="nil"/>
            </w:tcBorders>
          </w:tcPr>
          <w:p w:rsidR="005D411D" w:rsidRPr="00F627B2" w:rsidRDefault="005D411D">
            <w:pPr>
              <w:spacing w:line="240" w:lineRule="auto"/>
              <w:rPr>
                <w:rFonts w:ascii="Lato" w:hAnsi="Lato"/>
                <w:szCs w:val="22"/>
              </w:rPr>
            </w:pPr>
          </w:p>
        </w:tc>
        <w:tc>
          <w:tcPr>
            <w:tcW w:w="590" w:type="dxa"/>
            <w:gridSpan w:val="2"/>
            <w:tcBorders>
              <w:top w:val="nil"/>
              <w:left w:val="nil"/>
              <w:bottom w:val="nil"/>
              <w:right w:val="nil"/>
            </w:tcBorders>
          </w:tcPr>
          <w:p w:rsidR="005D411D" w:rsidRPr="00F627B2" w:rsidRDefault="005D411D">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3D0FCC">
            <w:pPr>
              <w:spacing w:line="240" w:lineRule="auto"/>
              <w:jc w:val="right"/>
              <w:rPr>
                <w:rFonts w:ascii="Lato" w:hAnsi="Lato"/>
                <w:szCs w:val="22"/>
              </w:rPr>
            </w:pPr>
            <w:r w:rsidRPr="00F627B2">
              <w:rPr>
                <w:rFonts w:ascii="Lato" w:hAnsi="Lato"/>
                <w:szCs w:val="22"/>
              </w:rPr>
              <w:t>d)</w:t>
            </w:r>
          </w:p>
        </w:tc>
        <w:tc>
          <w:tcPr>
            <w:tcW w:w="7193" w:type="dxa"/>
            <w:gridSpan w:val="2"/>
            <w:tcBorders>
              <w:top w:val="nil"/>
              <w:left w:val="nil"/>
              <w:bottom w:val="nil"/>
              <w:right w:val="nil"/>
            </w:tcBorders>
          </w:tcPr>
          <w:p w:rsidR="00362BDC" w:rsidRPr="00F627B2" w:rsidRDefault="00362BDC" w:rsidP="00362BDC">
            <w:pPr>
              <w:spacing w:line="240" w:lineRule="auto"/>
              <w:rPr>
                <w:rFonts w:ascii="Lato" w:hAnsi="Lato"/>
                <w:szCs w:val="22"/>
              </w:rPr>
            </w:pPr>
            <w:r w:rsidRPr="00F627B2">
              <w:rPr>
                <w:rFonts w:ascii="Lato" w:hAnsi="Lato"/>
                <w:szCs w:val="22"/>
              </w:rPr>
              <w:t>The AIFM must, for each of the EU AIFs that it manages and for each</w:t>
            </w: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3D0FCC">
            <w:pPr>
              <w:spacing w:line="240" w:lineRule="auto"/>
              <w:jc w:val="right"/>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of the AIFs that it markets in the European Union, periodically disclose to unitholders:</w:t>
            </w: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F627B2" w:rsidRDefault="00362BDC" w:rsidP="00362BDC">
            <w:pPr>
              <w:spacing w:line="240" w:lineRule="auto"/>
              <w:rPr>
                <w:rFonts w:ascii="Lato" w:hAnsi="Lato"/>
                <w:szCs w:val="22"/>
              </w:rPr>
            </w:pPr>
            <w:r w:rsidRPr="00F627B2">
              <w:rPr>
                <w:rFonts w:ascii="Lato" w:hAnsi="Lato"/>
                <w:szCs w:val="22"/>
              </w:rPr>
              <w:t>(i)the percentage of the Retail Investor AIF’s assets which are subject</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to special arrangements arising from their illiquid nature</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 xml:space="preserve">(ii) any new arrangements for managing the liquidity of the Retail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Investor AIF</w:t>
            </w:r>
          </w:p>
        </w:tc>
        <w:tc>
          <w:tcPr>
            <w:tcW w:w="737" w:type="dxa"/>
            <w:gridSpan w:val="2"/>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F627B2" w:rsidRDefault="00362BDC" w:rsidP="00362BDC">
            <w:pPr>
              <w:spacing w:line="240" w:lineRule="auto"/>
              <w:rPr>
                <w:rFonts w:ascii="Lato" w:hAnsi="Lato"/>
                <w:szCs w:val="22"/>
              </w:rPr>
            </w:pPr>
            <w:r w:rsidRPr="00F627B2">
              <w:rPr>
                <w:rFonts w:ascii="Lato" w:hAnsi="Lato"/>
                <w:szCs w:val="22"/>
              </w:rPr>
              <w:t>(iii)the current risk profile of the Retail Investor AIF and the risk</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362BDC">
            <w:pPr>
              <w:spacing w:line="240" w:lineRule="auto"/>
              <w:rPr>
                <w:rFonts w:ascii="Lato" w:hAnsi="Lato"/>
                <w:szCs w:val="22"/>
              </w:rPr>
            </w:pPr>
            <w:r w:rsidRPr="00F627B2">
              <w:rPr>
                <w:rFonts w:ascii="Lato" w:hAnsi="Lato"/>
                <w:szCs w:val="22"/>
              </w:rPr>
              <w:t>management systems employed by the AIFM to manage those risks</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E3558" w:rsidP="003D0FCC">
            <w:pPr>
              <w:spacing w:line="240" w:lineRule="auto"/>
              <w:jc w:val="right"/>
              <w:rPr>
                <w:rFonts w:ascii="Lato" w:hAnsi="Lato"/>
                <w:szCs w:val="22"/>
              </w:rPr>
            </w:pPr>
            <w:r w:rsidRPr="00F627B2">
              <w:rPr>
                <w:rFonts w:ascii="Lato" w:hAnsi="Lato"/>
                <w:szCs w:val="22"/>
              </w:rPr>
              <w:t>e)</w:t>
            </w:r>
          </w:p>
        </w:tc>
        <w:tc>
          <w:tcPr>
            <w:tcW w:w="7193" w:type="dxa"/>
            <w:gridSpan w:val="2"/>
            <w:tcBorders>
              <w:top w:val="nil"/>
              <w:left w:val="nil"/>
              <w:bottom w:val="nil"/>
              <w:right w:val="nil"/>
            </w:tcBorders>
          </w:tcPr>
          <w:p w:rsidR="00362BDC" w:rsidRPr="00F627B2" w:rsidRDefault="00362BDC" w:rsidP="00362BDC">
            <w:pPr>
              <w:spacing w:line="240" w:lineRule="auto"/>
              <w:rPr>
                <w:rFonts w:ascii="Lato" w:hAnsi="Lato"/>
                <w:szCs w:val="22"/>
              </w:rPr>
            </w:pPr>
            <w:r w:rsidRPr="00F627B2">
              <w:rPr>
                <w:rFonts w:ascii="Lato" w:hAnsi="Lato"/>
                <w:szCs w:val="22"/>
              </w:rPr>
              <w:t>Where the AIFM manages EU AIFs employing leverage it must, for each such AIF disclose, on a regular basis:</w:t>
            </w: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(i)any cha</w:t>
            </w:r>
            <w:r w:rsidR="0034133B" w:rsidRPr="00F627B2">
              <w:rPr>
                <w:rFonts w:ascii="Lato" w:hAnsi="Lato"/>
                <w:szCs w:val="22"/>
              </w:rPr>
              <w:t>n</w:t>
            </w:r>
            <w:r w:rsidRPr="00F627B2">
              <w:rPr>
                <w:rFonts w:ascii="Lato" w:hAnsi="Lato"/>
                <w:szCs w:val="22"/>
              </w:rPr>
              <w:t>ges to the maximum level of leverage which the AIFM may</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362BDC">
            <w:pPr>
              <w:spacing w:line="240" w:lineRule="auto"/>
              <w:rPr>
                <w:rFonts w:ascii="Lato" w:hAnsi="Lato"/>
                <w:szCs w:val="22"/>
              </w:rPr>
            </w:pPr>
            <w:r w:rsidRPr="00F627B2">
              <w:rPr>
                <w:rFonts w:ascii="Lato" w:hAnsi="Lato"/>
                <w:szCs w:val="22"/>
              </w:rPr>
              <w:t xml:space="preserve">employ on behalf of the AIF as well as any right of The reuse of </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362BDC">
            <w:pPr>
              <w:spacing w:line="240" w:lineRule="auto"/>
              <w:rPr>
                <w:rFonts w:ascii="Lato" w:hAnsi="Lato"/>
                <w:szCs w:val="22"/>
              </w:rPr>
            </w:pPr>
            <w:r w:rsidRPr="00F627B2">
              <w:rPr>
                <w:rFonts w:ascii="Lato" w:hAnsi="Lato"/>
                <w:szCs w:val="22"/>
              </w:rPr>
              <w:t>collateral or any guarantee granted under the leveraging arrangement</w:t>
            </w: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(ii)the total amount of leverage employed by that AIF</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single" w:sz="4" w:space="0" w:color="auto"/>
              <w:left w:val="single" w:sz="4" w:space="0" w:color="auto"/>
              <w:bottom w:val="single" w:sz="4" w:space="0" w:color="auto"/>
              <w:right w:val="single" w:sz="4" w:space="0" w:color="auto"/>
            </w:tcBorders>
          </w:tcPr>
          <w:p w:rsidR="00362BDC" w:rsidRPr="00F627B2" w:rsidRDefault="00362BDC" w:rsidP="003C3E16">
            <w:pPr>
              <w:spacing w:line="240" w:lineRule="auto"/>
              <w:rPr>
                <w:rFonts w:ascii="Lato" w:hAnsi="Lato"/>
                <w:szCs w:val="22"/>
              </w:rPr>
            </w:pPr>
            <w:r w:rsidRPr="00F627B2">
              <w:rPr>
                <w:rFonts w:ascii="Lato" w:hAnsi="Lato"/>
                <w:szCs w:val="22"/>
              </w:rPr>
              <w:t>2.13</w:t>
            </w:r>
          </w:p>
        </w:tc>
        <w:tc>
          <w:tcPr>
            <w:tcW w:w="7193" w:type="dxa"/>
            <w:gridSpan w:val="2"/>
            <w:tcBorders>
              <w:top w:val="single" w:sz="4" w:space="0" w:color="auto"/>
              <w:left w:val="single" w:sz="4" w:space="0" w:color="auto"/>
              <w:bottom w:val="single" w:sz="4" w:space="0" w:color="auto"/>
              <w:right w:val="single" w:sz="4" w:space="0" w:color="auto"/>
            </w:tcBorders>
          </w:tcPr>
          <w:p w:rsidR="00362BDC" w:rsidRPr="00F627B2" w:rsidRDefault="00362BDC" w:rsidP="006803D9">
            <w:pPr>
              <w:pStyle w:val="Heading4"/>
              <w:rPr>
                <w:rFonts w:ascii="Lato" w:hAnsi="Lato"/>
                <w:b w:val="0"/>
                <w:bCs w:val="0"/>
                <w:sz w:val="22"/>
                <w:szCs w:val="22"/>
              </w:rPr>
            </w:pPr>
            <w:r w:rsidRPr="00F627B2">
              <w:rPr>
                <w:rFonts w:ascii="Lato" w:hAnsi="Lato"/>
                <w:b w:val="0"/>
                <w:bCs w:val="0"/>
                <w:sz w:val="22"/>
                <w:szCs w:val="22"/>
              </w:rPr>
              <w:t>Subscription and Redemption Procedures</w:t>
            </w:r>
          </w:p>
        </w:tc>
        <w:tc>
          <w:tcPr>
            <w:tcW w:w="737" w:type="dxa"/>
            <w:gridSpan w:val="2"/>
            <w:tcBorders>
              <w:top w:val="nil"/>
              <w:left w:val="single" w:sz="4" w:space="0" w:color="auto"/>
              <w:bottom w:val="nil"/>
              <w:right w:val="nil"/>
            </w:tcBorders>
          </w:tcPr>
          <w:p w:rsidR="00362BDC" w:rsidRPr="00F627B2" w:rsidRDefault="00362BDC">
            <w:pPr>
              <w:spacing w:line="240" w:lineRule="auto"/>
              <w:rPr>
                <w:rFonts w:ascii="Lato" w:hAnsi="Lato"/>
                <w:b/>
                <w:bCs/>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b/>
                <w:bCs/>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b/>
                <w:bCs/>
                <w:szCs w:val="22"/>
              </w:rPr>
            </w:pPr>
          </w:p>
        </w:tc>
        <w:tc>
          <w:tcPr>
            <w:tcW w:w="264"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8416" w:type="dxa"/>
            <w:gridSpan w:val="4"/>
            <w:tcBorders>
              <w:top w:val="single" w:sz="4" w:space="0" w:color="auto"/>
              <w:left w:val="nil"/>
              <w:bottom w:val="nil"/>
              <w:right w:val="nil"/>
            </w:tcBorders>
          </w:tcPr>
          <w:p w:rsidR="00362BDC" w:rsidRPr="00F627B2" w:rsidRDefault="00362BDC">
            <w:pPr>
              <w:pStyle w:val="Heading3"/>
              <w:spacing w:before="0" w:after="0" w:line="240" w:lineRule="auto"/>
              <w:rPr>
                <w:rFonts w:ascii="Lato" w:hAnsi="Lato"/>
                <w:color w:val="auto"/>
                <w:sz w:val="22"/>
                <w:szCs w:val="22"/>
              </w:rPr>
            </w:pP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3C3E16">
            <w:pPr>
              <w:spacing w:line="240" w:lineRule="auto"/>
              <w:rPr>
                <w:rFonts w:ascii="Lato" w:hAnsi="Lato"/>
                <w:szCs w:val="22"/>
              </w:rPr>
            </w:pPr>
            <w:r w:rsidRPr="00F627B2">
              <w:rPr>
                <w:rFonts w:ascii="Lato" w:hAnsi="Lato"/>
                <w:szCs w:val="22"/>
              </w:rPr>
              <w:t>2.13.1</w:t>
            </w:r>
          </w:p>
        </w:tc>
        <w:tc>
          <w:tcPr>
            <w:tcW w:w="7193" w:type="dxa"/>
            <w:gridSpan w:val="2"/>
            <w:tcBorders>
              <w:top w:val="nil"/>
              <w:left w:val="nil"/>
              <w:bottom w:val="nil"/>
              <w:right w:val="single" w:sz="4" w:space="0" w:color="auto"/>
            </w:tcBorders>
          </w:tcPr>
          <w:p w:rsidR="00362BDC" w:rsidRPr="00F627B2" w:rsidRDefault="00362BDC" w:rsidP="0064392C">
            <w:pPr>
              <w:spacing w:line="240" w:lineRule="auto"/>
              <w:rPr>
                <w:rFonts w:ascii="Lato" w:hAnsi="Lato"/>
                <w:szCs w:val="22"/>
              </w:rPr>
            </w:pPr>
            <w:r w:rsidRPr="00F627B2">
              <w:rPr>
                <w:rFonts w:ascii="Lato" w:hAnsi="Lato"/>
                <w:szCs w:val="22"/>
              </w:rPr>
              <w:t xml:space="preserve">Disclose procedures and conditions for the issue or sale and repurchase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E63F22">
            <w:pPr>
              <w:spacing w:line="240" w:lineRule="auto"/>
              <w:rPr>
                <w:rFonts w:ascii="Lato" w:hAnsi="Lato"/>
                <w:szCs w:val="22"/>
              </w:rPr>
            </w:pPr>
            <w:r w:rsidRPr="00F627B2">
              <w:rPr>
                <w:rFonts w:ascii="Lato" w:hAnsi="Lato"/>
                <w:szCs w:val="22"/>
              </w:rPr>
              <w:t xml:space="preserve">or redemption of units/shares </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5712BD">
            <w:pPr>
              <w:spacing w:line="240" w:lineRule="auto"/>
              <w:rPr>
                <w:rFonts w:ascii="Lato" w:hAnsi="Lato"/>
                <w:szCs w:val="22"/>
              </w:rPr>
            </w:pP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3C3E16">
            <w:pPr>
              <w:spacing w:line="240" w:lineRule="auto"/>
              <w:rPr>
                <w:rFonts w:ascii="Lato" w:hAnsi="Lato"/>
                <w:szCs w:val="22"/>
              </w:rPr>
            </w:pPr>
            <w:r w:rsidRPr="00F627B2">
              <w:rPr>
                <w:rFonts w:ascii="Lato" w:hAnsi="Lato"/>
                <w:szCs w:val="22"/>
              </w:rPr>
              <w:t>2.13.2</w:t>
            </w:r>
          </w:p>
        </w:tc>
        <w:tc>
          <w:tcPr>
            <w:tcW w:w="7193" w:type="dxa"/>
            <w:gridSpan w:val="2"/>
            <w:tcBorders>
              <w:top w:val="nil"/>
              <w:left w:val="nil"/>
              <w:bottom w:val="nil"/>
              <w:right w:val="single" w:sz="4" w:space="0" w:color="auto"/>
            </w:tcBorders>
          </w:tcPr>
          <w:p w:rsidR="00362BDC" w:rsidRPr="00F627B2" w:rsidRDefault="00362BDC" w:rsidP="00FE4AA9">
            <w:pPr>
              <w:spacing w:line="240" w:lineRule="auto"/>
              <w:rPr>
                <w:rFonts w:ascii="Lato" w:hAnsi="Lato"/>
                <w:szCs w:val="22"/>
              </w:rPr>
            </w:pPr>
            <w:r w:rsidRPr="00F627B2">
              <w:rPr>
                <w:rFonts w:ascii="Lato" w:hAnsi="Lato"/>
                <w:szCs w:val="22"/>
              </w:rPr>
              <w:t xml:space="preserve">Dealing in the units of a Retail Investor AIF </w:t>
            </w:r>
            <w:r w:rsidR="00FE4AA9" w:rsidRPr="00F627B2">
              <w:rPr>
                <w:rFonts w:ascii="Lato" w:hAnsi="Lato"/>
                <w:szCs w:val="22"/>
              </w:rPr>
              <w:t xml:space="preserve">shall </w:t>
            </w:r>
            <w:r w:rsidRPr="00F627B2">
              <w:rPr>
                <w:rFonts w:ascii="Lato" w:hAnsi="Lato"/>
                <w:szCs w:val="22"/>
              </w:rPr>
              <w:t xml:space="preserve">be carried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5D011A">
            <w:pPr>
              <w:spacing w:line="240" w:lineRule="auto"/>
              <w:rPr>
                <w:rFonts w:ascii="Lato" w:hAnsi="Lato"/>
                <w:szCs w:val="22"/>
              </w:rPr>
            </w:pPr>
            <w:r w:rsidRPr="00F627B2">
              <w:rPr>
                <w:rFonts w:ascii="Lato" w:hAnsi="Lato"/>
                <w:szCs w:val="22"/>
              </w:rPr>
              <w:t>out at forward prices i.e. the Net Asset Value next computed after receipt of subscription and redemption requests.</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2.13.3</w:t>
            </w:r>
          </w:p>
        </w:tc>
        <w:tc>
          <w:tcPr>
            <w:tcW w:w="7193"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Disclose a description of the Retail Investor AIF’s liquidity risk</w:t>
            </w:r>
            <w:r w:rsidR="00B7175D" w:rsidRPr="00F627B2">
              <w:rPr>
                <w:rFonts w:ascii="Lato" w:hAnsi="Lato"/>
                <w:szCs w:val="22"/>
              </w:rPr>
              <w:t xml:space="preserve"> management</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3C3E16">
            <w:pPr>
              <w:spacing w:line="240" w:lineRule="auto"/>
              <w:rPr>
                <w:rFonts w:ascii="Lato" w:hAnsi="Lato"/>
                <w:szCs w:val="22"/>
              </w:rPr>
            </w:pPr>
            <w:r w:rsidRPr="00F627B2">
              <w:rPr>
                <w:rFonts w:ascii="Lato" w:hAnsi="Lato"/>
                <w:szCs w:val="22"/>
              </w:rPr>
              <w:t>2.13.</w:t>
            </w:r>
            <w:r w:rsidR="00CF4050" w:rsidRPr="00F627B2">
              <w:rPr>
                <w:rFonts w:ascii="Lato" w:hAnsi="Lato"/>
                <w:szCs w:val="22"/>
              </w:rPr>
              <w:t>4</w:t>
            </w: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u w:val="single"/>
              </w:rPr>
              <w:t>Dealing Day(s)</w:t>
            </w: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a)</w:t>
            </w:r>
          </w:p>
        </w:tc>
        <w:tc>
          <w:tcPr>
            <w:tcW w:w="7193" w:type="dxa"/>
            <w:gridSpan w:val="2"/>
            <w:tcBorders>
              <w:top w:val="nil"/>
              <w:left w:val="nil"/>
              <w:bottom w:val="nil"/>
              <w:right w:val="single" w:sz="4" w:space="0" w:color="auto"/>
            </w:tcBorders>
          </w:tcPr>
          <w:p w:rsidR="00362BDC" w:rsidRPr="00F627B2" w:rsidRDefault="00362BDC" w:rsidP="009F373B">
            <w:pPr>
              <w:spacing w:line="240" w:lineRule="auto"/>
              <w:rPr>
                <w:rFonts w:ascii="Lato" w:hAnsi="Lato"/>
                <w:szCs w:val="22"/>
              </w:rPr>
            </w:pPr>
            <w:r w:rsidRPr="00F627B2">
              <w:rPr>
                <w:rFonts w:ascii="Lato" w:hAnsi="Lato"/>
                <w:szCs w:val="22"/>
              </w:rPr>
              <w:t xml:space="preserve">Where the Retail Investor AIF is open-ended, confirm that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903969">
            <w:pPr>
              <w:spacing w:line="240" w:lineRule="auto"/>
              <w:rPr>
                <w:rFonts w:ascii="Lato" w:hAnsi="Lato"/>
                <w:szCs w:val="22"/>
              </w:rPr>
            </w:pPr>
            <w:r w:rsidRPr="00F627B2">
              <w:rPr>
                <w:rFonts w:ascii="Lato" w:hAnsi="Lato"/>
                <w:szCs w:val="22"/>
              </w:rPr>
              <w:t>at least one dealing day per month is provided for.</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b)</w:t>
            </w:r>
          </w:p>
        </w:tc>
        <w:tc>
          <w:tcPr>
            <w:tcW w:w="7193"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 xml:space="preserve">If the prospectus provides for </w:t>
            </w:r>
            <w:r w:rsidRPr="00F627B2">
              <w:rPr>
                <w:rFonts w:ascii="Lato" w:hAnsi="Lato"/>
                <w:b/>
                <w:bCs/>
                <w:szCs w:val="22"/>
              </w:rPr>
              <w:t>‘or’</w:t>
            </w:r>
            <w:r w:rsidRPr="00F627B2">
              <w:rPr>
                <w:rFonts w:ascii="Lato" w:hAnsi="Lato"/>
                <w:szCs w:val="22"/>
              </w:rPr>
              <w:t xml:space="preserve"> such other dealing days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as the Directors determine, insert:</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jc w:val="right"/>
              <w:rPr>
                <w:rFonts w:ascii="Lato" w:hAnsi="Lato"/>
                <w:szCs w:val="22"/>
              </w:rPr>
            </w:pPr>
            <w:r w:rsidRPr="00F627B2">
              <w:rPr>
                <w:rFonts w:ascii="Lato" w:hAnsi="Lato"/>
                <w:szCs w:val="22"/>
              </w:rPr>
              <w:t>(i)</w:t>
            </w:r>
          </w:p>
        </w:tc>
        <w:tc>
          <w:tcPr>
            <w:tcW w:w="7193"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provided there is at least one per month</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jc w:val="right"/>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and</w:t>
            </w: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jc w:val="right"/>
              <w:rPr>
                <w:rFonts w:ascii="Lato" w:hAnsi="Lato"/>
                <w:szCs w:val="22"/>
              </w:rPr>
            </w:pPr>
            <w:r w:rsidRPr="00F627B2">
              <w:rPr>
                <w:rFonts w:ascii="Lato" w:hAnsi="Lato"/>
                <w:szCs w:val="22"/>
              </w:rPr>
              <w:t>(ii)</w:t>
            </w:r>
          </w:p>
        </w:tc>
        <w:tc>
          <w:tcPr>
            <w:tcW w:w="7193"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all shareholders/unitholders will be notified in advance</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 xml:space="preserve">     </w:t>
            </w:r>
          </w:p>
        </w:tc>
        <w:tc>
          <w:tcPr>
            <w:tcW w:w="737" w:type="dxa"/>
            <w:gridSpan w:val="2"/>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c)</w:t>
            </w:r>
          </w:p>
        </w:tc>
        <w:tc>
          <w:tcPr>
            <w:tcW w:w="7193"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 xml:space="preserve">If the prospectus provides for </w:t>
            </w:r>
            <w:r w:rsidRPr="00F627B2">
              <w:rPr>
                <w:rFonts w:ascii="Lato" w:hAnsi="Lato"/>
                <w:b/>
                <w:bCs/>
                <w:szCs w:val="22"/>
              </w:rPr>
              <w:t>‘and’</w:t>
            </w:r>
            <w:r w:rsidRPr="00F627B2">
              <w:rPr>
                <w:rFonts w:ascii="Lato" w:hAnsi="Lato"/>
                <w:szCs w:val="22"/>
              </w:rPr>
              <w:t xml:space="preserve"> such other dealing days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as the Directors determine, insert:</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all shareholders/unitholders will be notified in advance</w:t>
            </w: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pStyle w:val="Heading1"/>
              <w:spacing w:before="0" w:after="0" w:line="240" w:lineRule="auto"/>
              <w:rPr>
                <w:rFonts w:ascii="Lato" w:hAnsi="Lato"/>
                <w:i/>
                <w:color w:val="auto"/>
                <w:sz w:val="22"/>
                <w:szCs w:val="22"/>
                <w:u w:val="single"/>
              </w:rPr>
            </w:pPr>
            <w:r w:rsidRPr="00F627B2">
              <w:rPr>
                <w:rFonts w:ascii="Lato" w:hAnsi="Lato"/>
                <w:color w:val="auto"/>
                <w:sz w:val="22"/>
                <w:szCs w:val="22"/>
                <w:u w:val="single"/>
              </w:rPr>
              <w:t>Subscriptions</w:t>
            </w: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Disclose</w:t>
            </w: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3C3E16">
            <w:pPr>
              <w:spacing w:line="240" w:lineRule="auto"/>
              <w:rPr>
                <w:rFonts w:ascii="Lato" w:hAnsi="Lato"/>
                <w:szCs w:val="22"/>
              </w:rPr>
            </w:pPr>
            <w:r w:rsidRPr="00F627B2">
              <w:rPr>
                <w:rFonts w:ascii="Lato" w:hAnsi="Lato"/>
                <w:szCs w:val="22"/>
              </w:rPr>
              <w:t>2.13.</w:t>
            </w:r>
            <w:r w:rsidR="00CF4050" w:rsidRPr="00F627B2">
              <w:rPr>
                <w:rFonts w:ascii="Lato" w:hAnsi="Lato"/>
                <w:szCs w:val="22"/>
              </w:rPr>
              <w:t>5</w:t>
            </w:r>
          </w:p>
        </w:tc>
        <w:tc>
          <w:tcPr>
            <w:tcW w:w="7193" w:type="dxa"/>
            <w:gridSpan w:val="2"/>
            <w:tcBorders>
              <w:top w:val="nil"/>
              <w:left w:val="nil"/>
              <w:bottom w:val="nil"/>
              <w:right w:val="single" w:sz="4" w:space="0" w:color="auto"/>
            </w:tcBorders>
          </w:tcPr>
          <w:p w:rsidR="00362BDC" w:rsidRPr="00F627B2" w:rsidRDefault="00362BDC" w:rsidP="005418AB">
            <w:pPr>
              <w:spacing w:line="240" w:lineRule="auto"/>
              <w:rPr>
                <w:rFonts w:ascii="Lato" w:hAnsi="Lato"/>
                <w:szCs w:val="22"/>
              </w:rPr>
            </w:pPr>
            <w:r w:rsidRPr="00F627B2">
              <w:rPr>
                <w:rFonts w:ascii="Lato" w:hAnsi="Lato"/>
                <w:szCs w:val="22"/>
              </w:rPr>
              <w:t xml:space="preserve">The method and frequency of the calculation of sale or issue </w:t>
            </w:r>
            <w:r w:rsidR="00A32B81" w:rsidRPr="00F627B2">
              <w:rPr>
                <w:rFonts w:ascii="Lato" w:hAnsi="Lato"/>
                <w:szCs w:val="22"/>
              </w:rPr>
              <w:t>price</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5418AB">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3C3E16">
            <w:pPr>
              <w:spacing w:line="240" w:lineRule="auto"/>
              <w:rPr>
                <w:rFonts w:ascii="Lato" w:hAnsi="Lato"/>
                <w:szCs w:val="22"/>
              </w:rPr>
            </w:pPr>
            <w:r w:rsidRPr="00F627B2">
              <w:rPr>
                <w:rFonts w:ascii="Lato" w:hAnsi="Lato"/>
                <w:szCs w:val="22"/>
              </w:rPr>
              <w:t>2.13.</w:t>
            </w:r>
            <w:r w:rsidR="00CF4050" w:rsidRPr="00F627B2">
              <w:rPr>
                <w:rFonts w:ascii="Lato" w:hAnsi="Lato"/>
                <w:szCs w:val="22"/>
              </w:rPr>
              <w:t>6</w:t>
            </w:r>
          </w:p>
        </w:tc>
        <w:tc>
          <w:tcPr>
            <w:tcW w:w="7193" w:type="dxa"/>
            <w:gridSpan w:val="2"/>
            <w:tcBorders>
              <w:top w:val="nil"/>
              <w:left w:val="nil"/>
              <w:bottom w:val="nil"/>
              <w:right w:val="single" w:sz="4" w:space="0" w:color="auto"/>
            </w:tcBorders>
          </w:tcPr>
          <w:p w:rsidR="00362BDC" w:rsidRPr="00F627B2" w:rsidRDefault="00362BDC" w:rsidP="00F26116">
            <w:pPr>
              <w:spacing w:line="240" w:lineRule="auto"/>
              <w:rPr>
                <w:rFonts w:ascii="Lato" w:hAnsi="Lato"/>
                <w:szCs w:val="22"/>
              </w:rPr>
            </w:pPr>
            <w:r w:rsidRPr="00F627B2">
              <w:rPr>
                <w:rFonts w:ascii="Lato" w:hAnsi="Lato"/>
                <w:szCs w:val="22"/>
              </w:rPr>
              <w:t xml:space="preserve">Disclose that units of the Retail Investor AIF will be issued or sold at a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3C3E16">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722E56">
            <w:pPr>
              <w:spacing w:line="240" w:lineRule="auto"/>
              <w:rPr>
                <w:rFonts w:ascii="Lato" w:hAnsi="Lato"/>
                <w:szCs w:val="22"/>
              </w:rPr>
            </w:pPr>
            <w:r w:rsidRPr="00F627B2">
              <w:rPr>
                <w:rFonts w:ascii="Lato" w:hAnsi="Lato"/>
                <w:szCs w:val="22"/>
              </w:rPr>
              <w:t>price arrived at by dividing the net asset value of the Retail Investor AIF by the number of units outstanding; such price may be increased by duties and charges.</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3C3E16">
            <w:pPr>
              <w:spacing w:line="240" w:lineRule="auto"/>
              <w:rPr>
                <w:rFonts w:ascii="Lato" w:hAnsi="Lato"/>
                <w:szCs w:val="22"/>
              </w:rPr>
            </w:pPr>
            <w:r w:rsidRPr="00F627B2">
              <w:rPr>
                <w:rFonts w:ascii="Lato" w:hAnsi="Lato"/>
                <w:szCs w:val="22"/>
              </w:rPr>
              <w:t>2.13.</w:t>
            </w:r>
            <w:r w:rsidR="00CF4050" w:rsidRPr="00F627B2">
              <w:rPr>
                <w:rFonts w:ascii="Lato" w:hAnsi="Lato"/>
                <w:szCs w:val="22"/>
              </w:rPr>
              <w:t>7</w:t>
            </w:r>
          </w:p>
        </w:tc>
        <w:tc>
          <w:tcPr>
            <w:tcW w:w="7193"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The maximum subscription charge (if any);</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3C3E16">
            <w:pPr>
              <w:spacing w:line="240" w:lineRule="auto"/>
              <w:rPr>
                <w:rFonts w:ascii="Lato" w:hAnsi="Lato"/>
                <w:szCs w:val="22"/>
              </w:rPr>
            </w:pPr>
            <w:r w:rsidRPr="00F627B2">
              <w:rPr>
                <w:rFonts w:ascii="Lato" w:hAnsi="Lato"/>
                <w:szCs w:val="22"/>
              </w:rPr>
              <w:t>2.13.</w:t>
            </w:r>
            <w:r w:rsidR="00CF4050" w:rsidRPr="00F627B2">
              <w:rPr>
                <w:rFonts w:ascii="Lato" w:hAnsi="Lato"/>
                <w:szCs w:val="22"/>
              </w:rPr>
              <w:t>8</w:t>
            </w:r>
          </w:p>
        </w:tc>
        <w:tc>
          <w:tcPr>
            <w:tcW w:w="7193"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The initial offer price;</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3C3E16">
            <w:pPr>
              <w:spacing w:line="240" w:lineRule="auto"/>
              <w:rPr>
                <w:rFonts w:ascii="Lato" w:hAnsi="Lato"/>
                <w:szCs w:val="22"/>
              </w:rPr>
            </w:pPr>
            <w:r w:rsidRPr="00F627B2">
              <w:rPr>
                <w:rFonts w:ascii="Lato" w:hAnsi="Lato"/>
                <w:szCs w:val="22"/>
              </w:rPr>
              <w:t>2.13.</w:t>
            </w:r>
            <w:r w:rsidR="00CF4050" w:rsidRPr="00F627B2">
              <w:rPr>
                <w:rFonts w:ascii="Lato" w:hAnsi="Lato"/>
                <w:szCs w:val="22"/>
              </w:rPr>
              <w:t>9</w:t>
            </w:r>
          </w:p>
        </w:tc>
        <w:tc>
          <w:tcPr>
            <w:tcW w:w="7193" w:type="dxa"/>
            <w:gridSpan w:val="2"/>
            <w:tcBorders>
              <w:top w:val="nil"/>
              <w:left w:val="nil"/>
              <w:bottom w:val="nil"/>
              <w:right w:val="single" w:sz="4" w:space="0" w:color="auto"/>
            </w:tcBorders>
          </w:tcPr>
          <w:p w:rsidR="00362BDC" w:rsidRPr="00F627B2" w:rsidRDefault="00362BDC" w:rsidP="005D011A">
            <w:pPr>
              <w:spacing w:line="240" w:lineRule="auto"/>
              <w:rPr>
                <w:rFonts w:ascii="Lato" w:hAnsi="Lato"/>
                <w:szCs w:val="22"/>
              </w:rPr>
            </w:pPr>
            <w:r w:rsidRPr="00F627B2">
              <w:rPr>
                <w:rFonts w:ascii="Lato" w:hAnsi="Lato"/>
                <w:szCs w:val="22"/>
              </w:rPr>
              <w:t xml:space="preserve">The initial offer period;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C60858">
            <w:pPr>
              <w:spacing w:line="240" w:lineRule="auto"/>
              <w:rPr>
                <w:rFonts w:ascii="Lato" w:hAnsi="Lato"/>
                <w:szCs w:val="22"/>
              </w:rPr>
            </w:pPr>
            <w:r w:rsidRPr="00F627B2">
              <w:rPr>
                <w:rFonts w:ascii="Lato" w:hAnsi="Lato"/>
                <w:szCs w:val="22"/>
              </w:rPr>
              <w:t xml:space="preserve">Note: The offer period cannot commence prior to the authorisation of the Retail Investor AIF or approval in the case of a sub-fund and must be for a period no longer than six months.  </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9F373B">
            <w:pPr>
              <w:spacing w:line="240" w:lineRule="auto"/>
              <w:rPr>
                <w:rFonts w:ascii="Lato" w:hAnsi="Lato"/>
                <w:szCs w:val="22"/>
              </w:rPr>
            </w:pPr>
            <w:r w:rsidRPr="00F627B2">
              <w:rPr>
                <w:rFonts w:ascii="Lato" w:hAnsi="Lato"/>
                <w:szCs w:val="22"/>
              </w:rPr>
              <w:t xml:space="preserve">Confirm that the offer period will be for a period no longer </w:t>
            </w: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9F373B">
            <w:pPr>
              <w:spacing w:line="240" w:lineRule="auto"/>
              <w:rPr>
                <w:rFonts w:ascii="Lato" w:hAnsi="Lato"/>
                <w:szCs w:val="22"/>
              </w:rPr>
            </w:pPr>
            <w:r w:rsidRPr="00F627B2">
              <w:rPr>
                <w:rFonts w:ascii="Lato" w:hAnsi="Lato"/>
                <w:szCs w:val="22"/>
              </w:rPr>
              <w:t>than six months</w:t>
            </w: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5D011A">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F627B2" w:rsidRDefault="00362BDC" w:rsidP="009A3DBD">
            <w:pPr>
              <w:spacing w:line="240" w:lineRule="auto"/>
              <w:rPr>
                <w:rFonts w:ascii="Lato" w:hAnsi="Lato"/>
                <w:szCs w:val="22"/>
              </w:rPr>
            </w:pPr>
            <w:r w:rsidRPr="00F627B2">
              <w:rPr>
                <w:rFonts w:ascii="Lato" w:hAnsi="Lato"/>
                <w:szCs w:val="22"/>
              </w:rPr>
              <w:t>In the case of R</w:t>
            </w:r>
            <w:r w:rsidR="007A45D1" w:rsidRPr="00F627B2">
              <w:rPr>
                <w:rFonts w:ascii="Lato" w:hAnsi="Lato"/>
                <w:szCs w:val="22"/>
              </w:rPr>
              <w:t xml:space="preserve">etail </w:t>
            </w:r>
            <w:r w:rsidRPr="00F627B2">
              <w:rPr>
                <w:rFonts w:ascii="Lato" w:hAnsi="Lato"/>
                <w:szCs w:val="22"/>
              </w:rPr>
              <w:t>I</w:t>
            </w:r>
            <w:r w:rsidR="007A45D1" w:rsidRPr="00F627B2">
              <w:rPr>
                <w:rFonts w:ascii="Lato" w:hAnsi="Lato"/>
                <w:szCs w:val="22"/>
              </w:rPr>
              <w:t xml:space="preserve">nvestor </w:t>
            </w:r>
            <w:r w:rsidRPr="00F627B2">
              <w:rPr>
                <w:rFonts w:ascii="Lato" w:hAnsi="Lato"/>
                <w:szCs w:val="22"/>
              </w:rPr>
              <w:t xml:space="preserve">AIFs which are established as </w:t>
            </w:r>
            <w:r w:rsidR="009A3DBD" w:rsidRPr="00F627B2">
              <w:rPr>
                <w:rFonts w:ascii="Lato" w:hAnsi="Lato"/>
                <w:szCs w:val="22"/>
              </w:rPr>
              <w:t xml:space="preserve">venture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9A3DBD" w:rsidP="005D011A">
            <w:pPr>
              <w:spacing w:line="240" w:lineRule="auto"/>
              <w:rPr>
                <w:rFonts w:ascii="Lato" w:hAnsi="Lato"/>
                <w:szCs w:val="22"/>
              </w:rPr>
            </w:pPr>
            <w:r w:rsidRPr="00F627B2">
              <w:rPr>
                <w:rFonts w:ascii="Lato" w:hAnsi="Lato"/>
                <w:szCs w:val="22"/>
              </w:rPr>
              <w:t xml:space="preserve">capital, development capital, private </w:t>
            </w:r>
            <w:r w:rsidR="007A45D1" w:rsidRPr="00F627B2">
              <w:rPr>
                <w:rFonts w:ascii="Lato" w:hAnsi="Lato"/>
                <w:szCs w:val="22"/>
              </w:rPr>
              <w:t xml:space="preserve">equity </w:t>
            </w:r>
            <w:r w:rsidR="00362BDC" w:rsidRPr="00F627B2">
              <w:rPr>
                <w:rFonts w:ascii="Lato" w:hAnsi="Lato"/>
                <w:szCs w:val="22"/>
              </w:rPr>
              <w:t>or real estate R</w:t>
            </w:r>
            <w:r w:rsidR="007A45D1" w:rsidRPr="00F627B2">
              <w:rPr>
                <w:rFonts w:ascii="Lato" w:hAnsi="Lato"/>
                <w:szCs w:val="22"/>
              </w:rPr>
              <w:t xml:space="preserve">etail </w:t>
            </w:r>
            <w:r w:rsidR="00362BDC" w:rsidRPr="00F627B2">
              <w:rPr>
                <w:rFonts w:ascii="Lato" w:hAnsi="Lato"/>
                <w:szCs w:val="22"/>
              </w:rPr>
              <w:t>I</w:t>
            </w:r>
            <w:r w:rsidR="007A45D1" w:rsidRPr="00F627B2">
              <w:rPr>
                <w:rFonts w:ascii="Lato" w:hAnsi="Lato"/>
                <w:szCs w:val="22"/>
              </w:rPr>
              <w:t xml:space="preserve">nvestor </w:t>
            </w:r>
            <w:r w:rsidR="00362BDC" w:rsidRPr="00F627B2">
              <w:rPr>
                <w:rFonts w:ascii="Lato" w:hAnsi="Lato"/>
                <w:szCs w:val="22"/>
              </w:rPr>
              <w:t>AIFs this period may extend up to one year provided that the terms of the offer ensure that early unitholders are not prejudiced by the arrangements.</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8235B4" w:rsidRPr="00F627B2" w:rsidTr="00F627B2">
        <w:trPr>
          <w:gridAfter w:val="1"/>
          <w:wAfter w:w="3686" w:type="dxa"/>
        </w:trPr>
        <w:tc>
          <w:tcPr>
            <w:tcW w:w="1223" w:type="dxa"/>
            <w:gridSpan w:val="2"/>
            <w:tcBorders>
              <w:top w:val="nil"/>
              <w:left w:val="nil"/>
              <w:bottom w:val="nil"/>
              <w:right w:val="nil"/>
            </w:tcBorders>
          </w:tcPr>
          <w:p w:rsidR="008235B4" w:rsidRPr="00F627B2" w:rsidRDefault="008235B4">
            <w:pPr>
              <w:spacing w:line="240" w:lineRule="auto"/>
              <w:rPr>
                <w:rFonts w:ascii="Lato" w:hAnsi="Lato"/>
                <w:szCs w:val="22"/>
              </w:rPr>
            </w:pPr>
          </w:p>
        </w:tc>
        <w:tc>
          <w:tcPr>
            <w:tcW w:w="7193" w:type="dxa"/>
            <w:gridSpan w:val="2"/>
            <w:tcBorders>
              <w:top w:val="nil"/>
              <w:left w:val="nil"/>
              <w:bottom w:val="nil"/>
              <w:right w:val="nil"/>
            </w:tcBorders>
          </w:tcPr>
          <w:p w:rsidR="008235B4" w:rsidRPr="00F627B2" w:rsidRDefault="008235B4" w:rsidP="005D011A">
            <w:pPr>
              <w:spacing w:line="240" w:lineRule="auto"/>
              <w:rPr>
                <w:rFonts w:ascii="Lato" w:hAnsi="Lato"/>
                <w:szCs w:val="22"/>
              </w:rPr>
            </w:pPr>
          </w:p>
        </w:tc>
        <w:tc>
          <w:tcPr>
            <w:tcW w:w="737" w:type="dxa"/>
            <w:gridSpan w:val="2"/>
            <w:tcBorders>
              <w:top w:val="nil"/>
              <w:left w:val="nil"/>
              <w:bottom w:val="nil"/>
              <w:right w:val="nil"/>
            </w:tcBorders>
          </w:tcPr>
          <w:p w:rsidR="008235B4" w:rsidRPr="00F627B2" w:rsidRDefault="008235B4">
            <w:pPr>
              <w:spacing w:line="240" w:lineRule="auto"/>
              <w:rPr>
                <w:rFonts w:ascii="Lato" w:hAnsi="Lato"/>
                <w:szCs w:val="22"/>
              </w:rPr>
            </w:pPr>
          </w:p>
        </w:tc>
        <w:tc>
          <w:tcPr>
            <w:tcW w:w="236" w:type="dxa"/>
            <w:gridSpan w:val="2"/>
            <w:tcBorders>
              <w:top w:val="nil"/>
              <w:left w:val="nil"/>
              <w:bottom w:val="nil"/>
              <w:right w:val="nil"/>
            </w:tcBorders>
          </w:tcPr>
          <w:p w:rsidR="008235B4" w:rsidRPr="00F627B2" w:rsidRDefault="008235B4">
            <w:pPr>
              <w:spacing w:line="240" w:lineRule="auto"/>
              <w:rPr>
                <w:rFonts w:ascii="Lato" w:hAnsi="Lato"/>
                <w:szCs w:val="22"/>
              </w:rPr>
            </w:pPr>
          </w:p>
        </w:tc>
        <w:tc>
          <w:tcPr>
            <w:tcW w:w="709" w:type="dxa"/>
            <w:gridSpan w:val="3"/>
            <w:tcBorders>
              <w:top w:val="nil"/>
              <w:left w:val="nil"/>
              <w:bottom w:val="nil"/>
              <w:right w:val="nil"/>
            </w:tcBorders>
          </w:tcPr>
          <w:p w:rsidR="008235B4" w:rsidRPr="00F627B2" w:rsidRDefault="008235B4">
            <w:pPr>
              <w:spacing w:line="240" w:lineRule="auto"/>
              <w:rPr>
                <w:rFonts w:ascii="Lato" w:hAnsi="Lato"/>
                <w:szCs w:val="22"/>
              </w:rPr>
            </w:pPr>
          </w:p>
        </w:tc>
        <w:tc>
          <w:tcPr>
            <w:tcW w:w="264" w:type="dxa"/>
            <w:gridSpan w:val="2"/>
            <w:tcBorders>
              <w:top w:val="nil"/>
              <w:left w:val="nil"/>
              <w:bottom w:val="nil"/>
              <w:right w:val="nil"/>
            </w:tcBorders>
          </w:tcPr>
          <w:p w:rsidR="008235B4" w:rsidRPr="00F627B2" w:rsidRDefault="008235B4">
            <w:pPr>
              <w:spacing w:line="240" w:lineRule="auto"/>
              <w:rPr>
                <w:rFonts w:ascii="Lato" w:hAnsi="Lato"/>
                <w:szCs w:val="22"/>
              </w:rPr>
            </w:pPr>
          </w:p>
        </w:tc>
        <w:tc>
          <w:tcPr>
            <w:tcW w:w="455" w:type="dxa"/>
            <w:gridSpan w:val="2"/>
            <w:tcBorders>
              <w:top w:val="nil"/>
              <w:left w:val="nil"/>
              <w:bottom w:val="nil"/>
              <w:right w:val="nil"/>
            </w:tcBorders>
          </w:tcPr>
          <w:p w:rsidR="008235B4" w:rsidRPr="00F627B2" w:rsidRDefault="008235B4">
            <w:pPr>
              <w:spacing w:line="240" w:lineRule="auto"/>
              <w:rPr>
                <w:rFonts w:ascii="Lato" w:hAnsi="Lato"/>
                <w:szCs w:val="22"/>
              </w:rPr>
            </w:pPr>
          </w:p>
        </w:tc>
        <w:tc>
          <w:tcPr>
            <w:tcW w:w="264" w:type="dxa"/>
            <w:gridSpan w:val="4"/>
            <w:tcBorders>
              <w:top w:val="nil"/>
              <w:left w:val="nil"/>
              <w:bottom w:val="nil"/>
              <w:right w:val="nil"/>
            </w:tcBorders>
          </w:tcPr>
          <w:p w:rsidR="008235B4" w:rsidRPr="00F627B2" w:rsidRDefault="008235B4">
            <w:pPr>
              <w:spacing w:line="240" w:lineRule="auto"/>
              <w:rPr>
                <w:rFonts w:ascii="Lato" w:hAnsi="Lato"/>
                <w:szCs w:val="22"/>
              </w:rPr>
            </w:pPr>
          </w:p>
        </w:tc>
        <w:tc>
          <w:tcPr>
            <w:tcW w:w="590" w:type="dxa"/>
            <w:gridSpan w:val="2"/>
            <w:tcBorders>
              <w:top w:val="nil"/>
              <w:left w:val="nil"/>
              <w:bottom w:val="nil"/>
              <w:right w:val="nil"/>
            </w:tcBorders>
          </w:tcPr>
          <w:p w:rsidR="008235B4" w:rsidRPr="00F627B2" w:rsidRDefault="008235B4">
            <w:pPr>
              <w:spacing w:line="240" w:lineRule="auto"/>
              <w:rPr>
                <w:rFonts w:ascii="Lato" w:hAnsi="Lato"/>
                <w:szCs w:val="22"/>
              </w:rPr>
            </w:pPr>
          </w:p>
        </w:tc>
      </w:tr>
      <w:tr w:rsidR="008235B4" w:rsidRPr="00F627B2" w:rsidTr="00F627B2">
        <w:trPr>
          <w:gridAfter w:val="1"/>
          <w:wAfter w:w="3686" w:type="dxa"/>
        </w:trPr>
        <w:tc>
          <w:tcPr>
            <w:tcW w:w="1223" w:type="dxa"/>
            <w:gridSpan w:val="2"/>
            <w:tcBorders>
              <w:top w:val="nil"/>
              <w:left w:val="nil"/>
              <w:bottom w:val="nil"/>
              <w:right w:val="nil"/>
            </w:tcBorders>
          </w:tcPr>
          <w:p w:rsidR="008235B4" w:rsidRPr="00F627B2" w:rsidRDefault="008235B4">
            <w:pPr>
              <w:spacing w:line="240" w:lineRule="auto"/>
              <w:rPr>
                <w:rFonts w:ascii="Lato" w:hAnsi="Lato"/>
                <w:szCs w:val="22"/>
              </w:rPr>
            </w:pPr>
          </w:p>
        </w:tc>
        <w:tc>
          <w:tcPr>
            <w:tcW w:w="7193" w:type="dxa"/>
            <w:gridSpan w:val="2"/>
            <w:tcBorders>
              <w:top w:val="nil"/>
              <w:left w:val="nil"/>
              <w:bottom w:val="nil"/>
              <w:right w:val="nil"/>
            </w:tcBorders>
          </w:tcPr>
          <w:p w:rsidR="008235B4" w:rsidRPr="00F627B2" w:rsidRDefault="008235B4" w:rsidP="005D011A">
            <w:pPr>
              <w:spacing w:line="240" w:lineRule="auto"/>
              <w:rPr>
                <w:rFonts w:ascii="Lato" w:hAnsi="Lato"/>
                <w:szCs w:val="22"/>
              </w:rPr>
            </w:pPr>
            <w:r w:rsidRPr="00F627B2">
              <w:rPr>
                <w:rFonts w:ascii="Lato" w:hAnsi="Lato"/>
                <w:szCs w:val="22"/>
              </w:rPr>
              <w:t>Note: Where the Retail Investor AIFs have multiple closings, this period must commence no later than the date of first closing.</w:t>
            </w:r>
          </w:p>
        </w:tc>
        <w:tc>
          <w:tcPr>
            <w:tcW w:w="737" w:type="dxa"/>
            <w:gridSpan w:val="2"/>
            <w:tcBorders>
              <w:top w:val="nil"/>
              <w:left w:val="nil"/>
              <w:bottom w:val="nil"/>
              <w:right w:val="nil"/>
            </w:tcBorders>
          </w:tcPr>
          <w:p w:rsidR="008235B4" w:rsidRPr="00F627B2" w:rsidRDefault="008235B4">
            <w:pPr>
              <w:spacing w:line="240" w:lineRule="auto"/>
              <w:rPr>
                <w:rFonts w:ascii="Lato" w:hAnsi="Lato"/>
                <w:szCs w:val="22"/>
              </w:rPr>
            </w:pPr>
          </w:p>
        </w:tc>
        <w:tc>
          <w:tcPr>
            <w:tcW w:w="236" w:type="dxa"/>
            <w:gridSpan w:val="2"/>
            <w:tcBorders>
              <w:top w:val="nil"/>
              <w:left w:val="nil"/>
              <w:bottom w:val="nil"/>
              <w:right w:val="nil"/>
            </w:tcBorders>
          </w:tcPr>
          <w:p w:rsidR="008235B4" w:rsidRPr="00F627B2" w:rsidRDefault="008235B4">
            <w:pPr>
              <w:spacing w:line="240" w:lineRule="auto"/>
              <w:rPr>
                <w:rFonts w:ascii="Lato" w:hAnsi="Lato"/>
                <w:szCs w:val="22"/>
              </w:rPr>
            </w:pPr>
          </w:p>
        </w:tc>
        <w:tc>
          <w:tcPr>
            <w:tcW w:w="709" w:type="dxa"/>
            <w:gridSpan w:val="3"/>
            <w:tcBorders>
              <w:top w:val="nil"/>
              <w:left w:val="nil"/>
              <w:bottom w:val="nil"/>
              <w:right w:val="nil"/>
            </w:tcBorders>
          </w:tcPr>
          <w:p w:rsidR="008235B4" w:rsidRPr="00F627B2" w:rsidRDefault="008235B4">
            <w:pPr>
              <w:spacing w:line="240" w:lineRule="auto"/>
              <w:rPr>
                <w:rFonts w:ascii="Lato" w:hAnsi="Lato"/>
                <w:szCs w:val="22"/>
              </w:rPr>
            </w:pPr>
          </w:p>
        </w:tc>
        <w:tc>
          <w:tcPr>
            <w:tcW w:w="264" w:type="dxa"/>
            <w:gridSpan w:val="2"/>
            <w:tcBorders>
              <w:top w:val="nil"/>
              <w:left w:val="nil"/>
              <w:bottom w:val="nil"/>
              <w:right w:val="nil"/>
            </w:tcBorders>
          </w:tcPr>
          <w:p w:rsidR="008235B4" w:rsidRPr="00F627B2" w:rsidRDefault="008235B4">
            <w:pPr>
              <w:spacing w:line="240" w:lineRule="auto"/>
              <w:rPr>
                <w:rFonts w:ascii="Lato" w:hAnsi="Lato"/>
                <w:szCs w:val="22"/>
              </w:rPr>
            </w:pPr>
          </w:p>
        </w:tc>
        <w:tc>
          <w:tcPr>
            <w:tcW w:w="455" w:type="dxa"/>
            <w:gridSpan w:val="2"/>
            <w:tcBorders>
              <w:top w:val="nil"/>
              <w:left w:val="nil"/>
              <w:bottom w:val="nil"/>
              <w:right w:val="nil"/>
            </w:tcBorders>
          </w:tcPr>
          <w:p w:rsidR="008235B4" w:rsidRPr="00F627B2" w:rsidRDefault="008235B4">
            <w:pPr>
              <w:spacing w:line="240" w:lineRule="auto"/>
              <w:rPr>
                <w:rFonts w:ascii="Lato" w:hAnsi="Lato"/>
                <w:szCs w:val="22"/>
              </w:rPr>
            </w:pPr>
          </w:p>
        </w:tc>
        <w:tc>
          <w:tcPr>
            <w:tcW w:w="264" w:type="dxa"/>
            <w:gridSpan w:val="4"/>
            <w:tcBorders>
              <w:top w:val="nil"/>
              <w:left w:val="nil"/>
              <w:bottom w:val="nil"/>
              <w:right w:val="nil"/>
            </w:tcBorders>
          </w:tcPr>
          <w:p w:rsidR="008235B4" w:rsidRPr="00F627B2" w:rsidRDefault="008235B4">
            <w:pPr>
              <w:spacing w:line="240" w:lineRule="auto"/>
              <w:rPr>
                <w:rFonts w:ascii="Lato" w:hAnsi="Lato"/>
                <w:szCs w:val="22"/>
              </w:rPr>
            </w:pPr>
          </w:p>
        </w:tc>
        <w:tc>
          <w:tcPr>
            <w:tcW w:w="590" w:type="dxa"/>
            <w:gridSpan w:val="2"/>
            <w:tcBorders>
              <w:top w:val="nil"/>
              <w:left w:val="nil"/>
              <w:bottom w:val="nil"/>
              <w:right w:val="nil"/>
            </w:tcBorders>
          </w:tcPr>
          <w:p w:rsidR="008235B4" w:rsidRPr="00F627B2" w:rsidRDefault="008235B4">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5D011A">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3C3E16">
            <w:pPr>
              <w:spacing w:line="240" w:lineRule="auto"/>
              <w:rPr>
                <w:rFonts w:ascii="Lato" w:hAnsi="Lato"/>
                <w:szCs w:val="22"/>
              </w:rPr>
            </w:pPr>
            <w:r w:rsidRPr="00F627B2">
              <w:rPr>
                <w:rFonts w:ascii="Lato" w:hAnsi="Lato"/>
                <w:szCs w:val="22"/>
              </w:rPr>
              <w:t>2.13.</w:t>
            </w:r>
            <w:r w:rsidR="00CF4050" w:rsidRPr="00F627B2">
              <w:rPr>
                <w:rFonts w:ascii="Lato" w:hAnsi="Lato"/>
                <w:szCs w:val="22"/>
              </w:rPr>
              <w:t>10</w:t>
            </w:r>
          </w:p>
        </w:tc>
        <w:tc>
          <w:tcPr>
            <w:tcW w:w="7193"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Details of how ownership will be confirmed e.g. unit/share</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E44CAA">
            <w:pPr>
              <w:spacing w:line="240" w:lineRule="auto"/>
              <w:rPr>
                <w:rFonts w:ascii="Lato" w:hAnsi="Lato"/>
                <w:szCs w:val="22"/>
              </w:rPr>
            </w:pPr>
            <w:r w:rsidRPr="00F627B2">
              <w:rPr>
                <w:rFonts w:ascii="Lato" w:hAnsi="Lato"/>
                <w:szCs w:val="22"/>
              </w:rPr>
              <w:t xml:space="preserve">certificates or </w:t>
            </w:r>
            <w:r w:rsidRPr="00F627B2">
              <w:rPr>
                <w:rFonts w:ascii="Lato" w:hAnsi="Lato"/>
                <w:szCs w:val="22"/>
                <w:u w:val="single"/>
              </w:rPr>
              <w:t>written</w:t>
            </w:r>
            <w:r w:rsidRPr="00F627B2">
              <w:rPr>
                <w:rFonts w:ascii="Lato" w:hAnsi="Lato"/>
                <w:szCs w:val="22"/>
              </w:rPr>
              <w:t xml:space="preserve"> confirmation of entry on the register; </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3C3E16">
            <w:pPr>
              <w:spacing w:line="240" w:lineRule="auto"/>
              <w:rPr>
                <w:rFonts w:ascii="Lato" w:hAnsi="Lato"/>
                <w:szCs w:val="22"/>
              </w:rPr>
            </w:pPr>
            <w:r w:rsidRPr="00F627B2">
              <w:rPr>
                <w:rFonts w:ascii="Lato" w:hAnsi="Lato"/>
                <w:szCs w:val="22"/>
              </w:rPr>
              <w:t>2.13.1</w:t>
            </w:r>
            <w:r w:rsidR="00CF4050" w:rsidRPr="00F627B2">
              <w:rPr>
                <w:rFonts w:ascii="Lato" w:hAnsi="Lato"/>
                <w:szCs w:val="22"/>
              </w:rPr>
              <w:t>1</w:t>
            </w: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u w:val="single"/>
              </w:rPr>
            </w:pPr>
            <w:r w:rsidRPr="00F627B2">
              <w:rPr>
                <w:rFonts w:ascii="Lato" w:hAnsi="Lato"/>
                <w:szCs w:val="22"/>
              </w:rPr>
              <w:t>Disclose the types and main characteristics of the units and in particular:</w:t>
            </w: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F627B2" w:rsidRDefault="00362BDC" w:rsidP="005D011A">
            <w:pPr>
              <w:numPr>
                <w:ilvl w:val="0"/>
                <w:numId w:val="20"/>
              </w:numPr>
              <w:spacing w:line="240" w:lineRule="auto"/>
              <w:ind w:left="450" w:hanging="426"/>
              <w:rPr>
                <w:rFonts w:ascii="Lato" w:hAnsi="Lato"/>
                <w:szCs w:val="22"/>
              </w:rPr>
            </w:pPr>
            <w:r w:rsidRPr="00F627B2">
              <w:rPr>
                <w:rFonts w:ascii="Lato" w:hAnsi="Lato"/>
                <w:szCs w:val="22"/>
              </w:rPr>
              <w:t xml:space="preserve">the nature of the right (real, personal or other)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represented by the unit;</w:t>
            </w:r>
          </w:p>
        </w:tc>
        <w:tc>
          <w:tcPr>
            <w:tcW w:w="737" w:type="dxa"/>
            <w:gridSpan w:val="2"/>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F627B2" w:rsidRDefault="00362BDC" w:rsidP="005D011A">
            <w:pPr>
              <w:numPr>
                <w:ilvl w:val="0"/>
                <w:numId w:val="20"/>
              </w:numPr>
              <w:spacing w:line="240" w:lineRule="auto"/>
              <w:ind w:left="450" w:hanging="426"/>
              <w:rPr>
                <w:rFonts w:ascii="Lato" w:hAnsi="Lato"/>
                <w:szCs w:val="22"/>
              </w:rPr>
            </w:pPr>
            <w:r w:rsidRPr="00F627B2">
              <w:rPr>
                <w:rFonts w:ascii="Lato" w:hAnsi="Lato"/>
                <w:szCs w:val="22"/>
              </w:rPr>
              <w:t>whether there are original securities or certificates</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 xml:space="preserve">providing evidence of title;  </w:t>
            </w:r>
          </w:p>
        </w:tc>
        <w:tc>
          <w:tcPr>
            <w:tcW w:w="737" w:type="dxa"/>
            <w:gridSpan w:val="2"/>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F627B2" w:rsidRDefault="00362BDC" w:rsidP="00E44CAA">
            <w:pPr>
              <w:numPr>
                <w:ilvl w:val="0"/>
                <w:numId w:val="19"/>
              </w:numPr>
              <w:spacing w:line="240" w:lineRule="auto"/>
              <w:ind w:left="450" w:hanging="450"/>
              <w:rPr>
                <w:rFonts w:ascii="Lato" w:hAnsi="Lato"/>
                <w:szCs w:val="22"/>
              </w:rPr>
            </w:pPr>
            <w:r w:rsidRPr="00F627B2">
              <w:rPr>
                <w:rFonts w:ascii="Lato" w:hAnsi="Lato"/>
                <w:szCs w:val="22"/>
              </w:rPr>
              <w:t>state that they are is entry in a register or in an account;</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F627B2" w:rsidRDefault="00362BDC" w:rsidP="00E44CAA">
            <w:pPr>
              <w:numPr>
                <w:ilvl w:val="0"/>
                <w:numId w:val="19"/>
              </w:numPr>
              <w:spacing w:line="240" w:lineRule="auto"/>
              <w:ind w:left="450" w:hanging="450"/>
              <w:rPr>
                <w:rFonts w:ascii="Lato" w:hAnsi="Lato"/>
                <w:szCs w:val="22"/>
              </w:rPr>
            </w:pPr>
            <w:r w:rsidRPr="00F627B2">
              <w:rPr>
                <w:rFonts w:ascii="Lato" w:hAnsi="Lato"/>
                <w:szCs w:val="22"/>
              </w:rPr>
              <w:t>the characteristics of the units;</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F627B2" w:rsidRDefault="00362BDC" w:rsidP="005D011A">
            <w:pPr>
              <w:numPr>
                <w:ilvl w:val="0"/>
                <w:numId w:val="18"/>
              </w:numPr>
              <w:spacing w:line="240" w:lineRule="auto"/>
              <w:ind w:left="357"/>
              <w:rPr>
                <w:rFonts w:ascii="Lato" w:hAnsi="Lato"/>
                <w:szCs w:val="22"/>
              </w:rPr>
            </w:pPr>
            <w:r w:rsidRPr="00F627B2">
              <w:rPr>
                <w:rFonts w:ascii="Lato" w:hAnsi="Lato"/>
                <w:szCs w:val="22"/>
              </w:rPr>
              <w:t>state that they are registered;</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F627B2" w:rsidRDefault="00362BDC" w:rsidP="005D011A">
            <w:pPr>
              <w:numPr>
                <w:ilvl w:val="0"/>
                <w:numId w:val="18"/>
              </w:numPr>
              <w:spacing w:line="240" w:lineRule="auto"/>
              <w:ind w:left="357"/>
              <w:rPr>
                <w:rFonts w:ascii="Lato" w:hAnsi="Lato"/>
                <w:szCs w:val="22"/>
              </w:rPr>
            </w:pPr>
            <w:r w:rsidRPr="00F627B2">
              <w:rPr>
                <w:rFonts w:ascii="Lato" w:hAnsi="Lato"/>
                <w:szCs w:val="22"/>
              </w:rPr>
              <w:t>give an indication of any denominations which</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may be provided for;</w:t>
            </w:r>
          </w:p>
        </w:tc>
        <w:tc>
          <w:tcPr>
            <w:tcW w:w="737" w:type="dxa"/>
            <w:gridSpan w:val="2"/>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F627B2" w:rsidRDefault="00362BDC" w:rsidP="005D011A">
            <w:pPr>
              <w:numPr>
                <w:ilvl w:val="0"/>
                <w:numId w:val="21"/>
              </w:numPr>
              <w:spacing w:line="240" w:lineRule="auto"/>
              <w:ind w:left="450" w:hanging="426"/>
              <w:rPr>
                <w:rFonts w:ascii="Lato" w:hAnsi="Lato"/>
                <w:szCs w:val="22"/>
              </w:rPr>
            </w:pPr>
            <w:r w:rsidRPr="00F627B2">
              <w:rPr>
                <w:rFonts w:ascii="Lato" w:hAnsi="Lato"/>
                <w:szCs w:val="22"/>
              </w:rPr>
              <w:t>an indication of unitholders’ voting rights; and</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F627B2" w:rsidRDefault="00362BDC" w:rsidP="005D011A">
            <w:pPr>
              <w:numPr>
                <w:ilvl w:val="0"/>
                <w:numId w:val="21"/>
              </w:numPr>
              <w:spacing w:line="240" w:lineRule="auto"/>
              <w:ind w:left="450" w:hanging="426"/>
              <w:rPr>
                <w:rFonts w:ascii="Lato" w:hAnsi="Lato"/>
                <w:szCs w:val="22"/>
              </w:rPr>
            </w:pPr>
            <w:r w:rsidRPr="00F627B2">
              <w:rPr>
                <w:rFonts w:ascii="Lato" w:hAnsi="Lato"/>
                <w:szCs w:val="22"/>
              </w:rPr>
              <w:t xml:space="preserve">the circumstances in which winding-up of the Retail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Investor AIF can be decided on and winding-up procedure, in particular as regards the rights of unitholders</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pStyle w:val="Heading1"/>
              <w:spacing w:before="0" w:after="0" w:line="240" w:lineRule="auto"/>
              <w:rPr>
                <w:rFonts w:ascii="Lato" w:hAnsi="Lato"/>
                <w:color w:val="auto"/>
                <w:sz w:val="22"/>
                <w:szCs w:val="22"/>
                <w:u w:val="single"/>
              </w:rPr>
            </w:pPr>
            <w:r w:rsidRPr="00F627B2">
              <w:rPr>
                <w:rFonts w:ascii="Lato" w:hAnsi="Lato"/>
                <w:color w:val="auto"/>
                <w:sz w:val="22"/>
                <w:szCs w:val="22"/>
                <w:u w:val="single"/>
              </w:rPr>
              <w:t>Redemptions</w:t>
            </w: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3C3E16">
            <w:pPr>
              <w:spacing w:line="240" w:lineRule="auto"/>
              <w:ind w:left="-108"/>
              <w:rPr>
                <w:rFonts w:ascii="Lato" w:hAnsi="Lato"/>
                <w:szCs w:val="22"/>
              </w:rPr>
            </w:pPr>
            <w:r w:rsidRPr="00F627B2">
              <w:rPr>
                <w:rFonts w:ascii="Lato" w:hAnsi="Lato"/>
                <w:szCs w:val="22"/>
              </w:rPr>
              <w:t>2.13.1</w:t>
            </w:r>
            <w:r w:rsidR="00CF4050" w:rsidRPr="00F627B2">
              <w:rPr>
                <w:rFonts w:ascii="Lato" w:hAnsi="Lato"/>
                <w:szCs w:val="22"/>
              </w:rPr>
              <w:t>2</w:t>
            </w:r>
          </w:p>
        </w:tc>
        <w:tc>
          <w:tcPr>
            <w:tcW w:w="7193" w:type="dxa"/>
            <w:gridSpan w:val="2"/>
            <w:tcBorders>
              <w:top w:val="nil"/>
              <w:left w:val="nil"/>
              <w:bottom w:val="nil"/>
              <w:right w:val="single" w:sz="4" w:space="0" w:color="auto"/>
            </w:tcBorders>
          </w:tcPr>
          <w:p w:rsidR="00362BDC" w:rsidRPr="00F627B2" w:rsidRDefault="00362BDC" w:rsidP="00B20AE3">
            <w:pPr>
              <w:spacing w:line="240" w:lineRule="auto"/>
              <w:rPr>
                <w:rFonts w:ascii="Lato" w:hAnsi="Lato"/>
                <w:szCs w:val="22"/>
              </w:rPr>
            </w:pPr>
            <w:r w:rsidRPr="00F627B2">
              <w:rPr>
                <w:rFonts w:ascii="Lato" w:hAnsi="Lato"/>
                <w:szCs w:val="22"/>
              </w:rPr>
              <w:t xml:space="preserve">Disclose the method and frequency of the calculation of the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5418AB">
            <w:pPr>
              <w:spacing w:line="240" w:lineRule="auto"/>
              <w:rPr>
                <w:rFonts w:ascii="Lato" w:hAnsi="Lato"/>
                <w:szCs w:val="22"/>
              </w:rPr>
            </w:pPr>
            <w:r w:rsidRPr="00F627B2">
              <w:rPr>
                <w:rFonts w:ascii="Lato" w:hAnsi="Lato"/>
                <w:szCs w:val="22"/>
              </w:rPr>
              <w:t>repurchase or redemption price of units</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2.13.1</w:t>
            </w:r>
            <w:r w:rsidR="00CF4050" w:rsidRPr="00F627B2">
              <w:rPr>
                <w:rFonts w:ascii="Lato" w:hAnsi="Lato"/>
                <w:szCs w:val="22"/>
              </w:rPr>
              <w:t>3</w:t>
            </w:r>
          </w:p>
        </w:tc>
        <w:tc>
          <w:tcPr>
            <w:tcW w:w="7193" w:type="dxa"/>
            <w:gridSpan w:val="2"/>
            <w:tcBorders>
              <w:top w:val="nil"/>
              <w:left w:val="nil"/>
              <w:bottom w:val="nil"/>
              <w:right w:val="single" w:sz="4" w:space="0" w:color="auto"/>
            </w:tcBorders>
          </w:tcPr>
          <w:p w:rsidR="00362BDC" w:rsidRPr="00F627B2" w:rsidRDefault="00362BDC" w:rsidP="00586F3E">
            <w:pPr>
              <w:spacing w:line="240" w:lineRule="auto"/>
              <w:rPr>
                <w:rFonts w:ascii="Lato" w:hAnsi="Lato"/>
                <w:szCs w:val="22"/>
              </w:rPr>
            </w:pPr>
            <w:r w:rsidRPr="00F627B2">
              <w:rPr>
                <w:rFonts w:ascii="Lato" w:hAnsi="Lato"/>
                <w:szCs w:val="22"/>
              </w:rPr>
              <w:t xml:space="preserve">Disclose that units shall be redeemed or repurchased at a price arrived at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CC33D5">
            <w:pPr>
              <w:spacing w:line="240" w:lineRule="auto"/>
              <w:rPr>
                <w:rFonts w:ascii="Lato" w:hAnsi="Lato"/>
                <w:szCs w:val="22"/>
              </w:rPr>
            </w:pPr>
            <w:r w:rsidRPr="00F627B2">
              <w:rPr>
                <w:rFonts w:ascii="Lato" w:hAnsi="Lato"/>
                <w:szCs w:val="22"/>
              </w:rPr>
              <w:t>by dividing the net asset value of the Retail Investor AIF by the number of units outstanding; such price may be decreased by duties and charges.</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D0045C">
            <w:pPr>
              <w:spacing w:line="240" w:lineRule="auto"/>
              <w:rPr>
                <w:rFonts w:ascii="Lato" w:hAnsi="Lato"/>
                <w:szCs w:val="22"/>
              </w:rPr>
            </w:pPr>
            <w:r w:rsidRPr="00F627B2">
              <w:rPr>
                <w:rFonts w:ascii="Lato" w:hAnsi="Lato"/>
                <w:szCs w:val="22"/>
              </w:rPr>
              <w:t>a)</w:t>
            </w:r>
          </w:p>
        </w:tc>
        <w:tc>
          <w:tcPr>
            <w:tcW w:w="7193" w:type="dxa"/>
            <w:gridSpan w:val="2"/>
            <w:tcBorders>
              <w:top w:val="nil"/>
              <w:left w:val="nil"/>
              <w:bottom w:val="nil"/>
              <w:right w:val="single" w:sz="4" w:space="0" w:color="auto"/>
            </w:tcBorders>
          </w:tcPr>
          <w:p w:rsidR="00362BDC" w:rsidRPr="00F627B2" w:rsidRDefault="00362BDC" w:rsidP="002B4BC3">
            <w:pPr>
              <w:spacing w:line="240" w:lineRule="auto"/>
              <w:rPr>
                <w:rFonts w:ascii="Lato" w:hAnsi="Lato"/>
                <w:szCs w:val="22"/>
              </w:rPr>
            </w:pPr>
            <w:r w:rsidRPr="00F627B2">
              <w:rPr>
                <w:rFonts w:ascii="Lato" w:hAnsi="Lato"/>
                <w:szCs w:val="22"/>
              </w:rPr>
              <w:t xml:space="preserve">An open-ended Retail Investor AIF must provide redemption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rsidP="00D0045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rsidP="00D0045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rsidP="00D0045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rsidP="00D0045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rsidP="00D0045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rsidP="00D0045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rsidP="00D0045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D0045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D0045C">
            <w:pPr>
              <w:spacing w:line="240" w:lineRule="auto"/>
              <w:rPr>
                <w:rFonts w:ascii="Lato" w:hAnsi="Lato"/>
                <w:szCs w:val="22"/>
              </w:rPr>
            </w:pPr>
            <w:r w:rsidRPr="00F627B2">
              <w:rPr>
                <w:rFonts w:ascii="Lato" w:hAnsi="Lato"/>
                <w:szCs w:val="22"/>
              </w:rPr>
              <w:t>facilities on at least a monthly basis</w:t>
            </w:r>
          </w:p>
          <w:p w:rsidR="00362BDC" w:rsidRPr="00F627B2" w:rsidRDefault="00362BDC" w:rsidP="00D0045C">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362BDC" w:rsidRPr="00F627B2" w:rsidRDefault="00362BDC" w:rsidP="00D0045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rsidP="00D0045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F627B2" w:rsidRDefault="00362BDC" w:rsidP="00D0045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rsidP="00D0045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F627B2" w:rsidRDefault="00362BDC" w:rsidP="00D0045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rsidP="00D0045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rsidP="00D0045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D0045C">
            <w:pPr>
              <w:spacing w:line="240" w:lineRule="auto"/>
              <w:rPr>
                <w:rFonts w:ascii="Lato" w:hAnsi="Lato"/>
                <w:szCs w:val="22"/>
              </w:rPr>
            </w:pPr>
            <w:r w:rsidRPr="00F627B2">
              <w:rPr>
                <w:rFonts w:ascii="Lato" w:hAnsi="Lato"/>
                <w:szCs w:val="22"/>
              </w:rPr>
              <w:t>b)</w:t>
            </w:r>
          </w:p>
        </w:tc>
        <w:tc>
          <w:tcPr>
            <w:tcW w:w="7193" w:type="dxa"/>
            <w:gridSpan w:val="2"/>
            <w:tcBorders>
              <w:top w:val="nil"/>
              <w:left w:val="nil"/>
              <w:bottom w:val="nil"/>
              <w:right w:val="single" w:sz="4" w:space="0" w:color="auto"/>
            </w:tcBorders>
          </w:tcPr>
          <w:p w:rsidR="00362BDC" w:rsidRPr="00F627B2" w:rsidRDefault="00362BDC" w:rsidP="002B4BC3">
            <w:pPr>
              <w:spacing w:line="240" w:lineRule="auto"/>
              <w:rPr>
                <w:rFonts w:ascii="Lato" w:hAnsi="Lato"/>
                <w:szCs w:val="22"/>
              </w:rPr>
            </w:pPr>
            <w:r w:rsidRPr="00F627B2">
              <w:rPr>
                <w:rFonts w:ascii="Lato" w:hAnsi="Lato"/>
                <w:szCs w:val="22"/>
              </w:rPr>
              <w:t xml:space="preserve">For an open-ended Retail Investor AIF with limited liquidity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rsidP="00D0045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rsidP="00D0045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rsidP="00D0045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rsidP="00D0045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rsidP="00D0045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rsidP="00D0045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rsidP="00D0045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D0045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D0045C">
            <w:pPr>
              <w:spacing w:line="240" w:lineRule="auto"/>
              <w:rPr>
                <w:rFonts w:ascii="Lato" w:hAnsi="Lato"/>
                <w:szCs w:val="22"/>
              </w:rPr>
            </w:pPr>
            <w:r w:rsidRPr="00F627B2">
              <w:rPr>
                <w:rFonts w:ascii="Lato" w:hAnsi="Lato"/>
                <w:szCs w:val="22"/>
              </w:rPr>
              <w:t xml:space="preserve">disclose the dealing frequency and minimum redemption quotas </w:t>
            </w:r>
          </w:p>
        </w:tc>
        <w:tc>
          <w:tcPr>
            <w:tcW w:w="737" w:type="dxa"/>
            <w:gridSpan w:val="2"/>
            <w:tcBorders>
              <w:top w:val="single" w:sz="4" w:space="0" w:color="auto"/>
              <w:left w:val="nil"/>
              <w:bottom w:val="nil"/>
              <w:right w:val="nil"/>
            </w:tcBorders>
          </w:tcPr>
          <w:p w:rsidR="00362BDC" w:rsidRPr="00F627B2" w:rsidRDefault="00362BDC" w:rsidP="00D0045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rsidP="00D0045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rsidP="00D0045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rsidP="00D0045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rsidP="00D0045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rsidP="00D0045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rsidP="00D0045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c)</w:t>
            </w:r>
          </w:p>
        </w:tc>
        <w:tc>
          <w:tcPr>
            <w:tcW w:w="7193" w:type="dxa"/>
            <w:gridSpan w:val="2"/>
            <w:tcBorders>
              <w:top w:val="nil"/>
              <w:left w:val="nil"/>
              <w:bottom w:val="nil"/>
              <w:right w:val="single" w:sz="4" w:space="0" w:color="auto"/>
            </w:tcBorders>
          </w:tcPr>
          <w:p w:rsidR="00362BDC" w:rsidRPr="00F627B2" w:rsidRDefault="00362BDC" w:rsidP="00F26116">
            <w:pPr>
              <w:spacing w:line="240" w:lineRule="auto"/>
              <w:rPr>
                <w:rFonts w:ascii="Lato" w:hAnsi="Lato"/>
                <w:szCs w:val="22"/>
              </w:rPr>
            </w:pPr>
            <w:r w:rsidRPr="00F627B2">
              <w:rPr>
                <w:rFonts w:ascii="Lato" w:hAnsi="Lato"/>
                <w:szCs w:val="22"/>
              </w:rPr>
              <w:t xml:space="preserve">Where the Retail Investor AIF is an open-ended investment fund with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6C496A">
            <w:pPr>
              <w:spacing w:line="240" w:lineRule="auto"/>
              <w:rPr>
                <w:rFonts w:ascii="Lato" w:hAnsi="Lato"/>
                <w:szCs w:val="22"/>
              </w:rPr>
            </w:pPr>
            <w:r w:rsidRPr="00F627B2">
              <w:rPr>
                <w:rFonts w:ascii="Lato" w:hAnsi="Lato"/>
                <w:szCs w:val="22"/>
              </w:rPr>
              <w:t>limited liquidity, the limited nature of the redemption facilities must be clearly outlined</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586F3E">
            <w:pPr>
              <w:spacing w:line="240" w:lineRule="auto"/>
              <w:ind w:left="-108"/>
              <w:rPr>
                <w:rFonts w:ascii="Lato" w:hAnsi="Lato"/>
                <w:szCs w:val="22"/>
              </w:rPr>
            </w:pPr>
            <w:r w:rsidRPr="00F627B2">
              <w:rPr>
                <w:rFonts w:ascii="Lato" w:hAnsi="Lato"/>
                <w:szCs w:val="22"/>
              </w:rPr>
              <w:t>2.13.1</w:t>
            </w:r>
            <w:r w:rsidR="00CF4050" w:rsidRPr="00F627B2">
              <w:rPr>
                <w:rFonts w:ascii="Lato" w:hAnsi="Lato"/>
                <w:szCs w:val="22"/>
              </w:rPr>
              <w:t>4</w:t>
            </w:r>
          </w:p>
        </w:tc>
        <w:tc>
          <w:tcPr>
            <w:tcW w:w="7193" w:type="dxa"/>
            <w:gridSpan w:val="2"/>
            <w:tcBorders>
              <w:top w:val="nil"/>
              <w:left w:val="nil"/>
              <w:bottom w:val="nil"/>
              <w:right w:val="nil"/>
            </w:tcBorders>
          </w:tcPr>
          <w:p w:rsidR="00362BDC" w:rsidRPr="00F627B2" w:rsidRDefault="00362BDC">
            <w:pPr>
              <w:pStyle w:val="Heading1"/>
              <w:spacing w:before="0" w:after="0" w:line="240" w:lineRule="auto"/>
              <w:rPr>
                <w:rFonts w:ascii="Lato" w:hAnsi="Lato"/>
                <w:color w:val="auto"/>
                <w:sz w:val="22"/>
                <w:szCs w:val="22"/>
              </w:rPr>
            </w:pPr>
            <w:r w:rsidRPr="00F627B2">
              <w:rPr>
                <w:rFonts w:ascii="Lato" w:hAnsi="Lato"/>
                <w:color w:val="auto"/>
                <w:sz w:val="22"/>
                <w:szCs w:val="22"/>
              </w:rPr>
              <w:t>Redemption Charge</w:t>
            </w: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a)</w:t>
            </w:r>
          </w:p>
        </w:tc>
        <w:tc>
          <w:tcPr>
            <w:tcW w:w="7193" w:type="dxa"/>
            <w:gridSpan w:val="2"/>
            <w:tcBorders>
              <w:top w:val="nil"/>
              <w:left w:val="nil"/>
              <w:bottom w:val="nil"/>
              <w:right w:val="single" w:sz="4" w:space="0" w:color="auto"/>
            </w:tcBorders>
          </w:tcPr>
          <w:p w:rsidR="00362BDC" w:rsidRPr="00F627B2" w:rsidRDefault="00362BDC" w:rsidP="0076719D">
            <w:pPr>
              <w:spacing w:line="240" w:lineRule="auto"/>
              <w:rPr>
                <w:rFonts w:ascii="Lato" w:hAnsi="Lato"/>
                <w:szCs w:val="22"/>
              </w:rPr>
            </w:pPr>
            <w:r w:rsidRPr="00F627B2">
              <w:rPr>
                <w:rFonts w:ascii="Lato" w:hAnsi="Lato"/>
                <w:szCs w:val="22"/>
              </w:rPr>
              <w:t xml:space="preserve">Disclose the maximum redemption charge, if any (This charge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rsidP="009F1631">
            <w:pPr>
              <w:spacing w:line="240" w:lineRule="auto"/>
              <w:rPr>
                <w:rFonts w:ascii="Lato" w:hAnsi="Lato"/>
                <w:szCs w:val="22"/>
              </w:rPr>
            </w:pPr>
            <w:r w:rsidRPr="00F627B2">
              <w:rPr>
                <w:rFonts w:ascii="Lato" w:hAnsi="Lato"/>
                <w:szCs w:val="22"/>
              </w:rPr>
              <w:t xml:space="preserve">must not exceed </w:t>
            </w:r>
            <w:r w:rsidR="009F1631" w:rsidRPr="00F627B2">
              <w:rPr>
                <w:rFonts w:ascii="Lato" w:hAnsi="Lato"/>
                <w:szCs w:val="22"/>
              </w:rPr>
              <w:t>3</w:t>
            </w:r>
            <w:r w:rsidRPr="00F627B2">
              <w:rPr>
                <w:rFonts w:ascii="Lato" w:hAnsi="Lato"/>
                <w:szCs w:val="22"/>
              </w:rPr>
              <w:t>% for an open-ended Retail Investor AIF)</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b)</w:t>
            </w:r>
          </w:p>
        </w:tc>
        <w:tc>
          <w:tcPr>
            <w:tcW w:w="7193"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Disclose the charge in bold at the beginning of the prospectus</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c)</w:t>
            </w:r>
          </w:p>
        </w:tc>
        <w:tc>
          <w:tcPr>
            <w:tcW w:w="7193"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rPr>
              <w:t xml:space="preserve">Disclose details of any contingent deferred sales charge (if </w:t>
            </w:r>
            <w:r w:rsidR="003D0FCC" w:rsidRPr="00F627B2">
              <w:rPr>
                <w:rFonts w:ascii="Lato" w:hAnsi="Lato"/>
              </w:rPr>
              <w:t>any)</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586F3E">
            <w:pPr>
              <w:spacing w:line="240" w:lineRule="auto"/>
              <w:ind w:left="-108"/>
              <w:rPr>
                <w:rFonts w:ascii="Lato" w:hAnsi="Lato"/>
                <w:szCs w:val="22"/>
              </w:rPr>
            </w:pPr>
            <w:r w:rsidRPr="00F627B2">
              <w:rPr>
                <w:rFonts w:ascii="Lato" w:hAnsi="Lato"/>
                <w:szCs w:val="22"/>
              </w:rPr>
              <w:t>2.13.1</w:t>
            </w:r>
            <w:r w:rsidR="00CF4050" w:rsidRPr="00F627B2">
              <w:rPr>
                <w:rFonts w:ascii="Lato" w:hAnsi="Lato"/>
                <w:szCs w:val="22"/>
              </w:rPr>
              <w:t>5</w:t>
            </w:r>
          </w:p>
        </w:tc>
        <w:tc>
          <w:tcPr>
            <w:tcW w:w="7193" w:type="dxa"/>
            <w:gridSpan w:val="2"/>
            <w:tcBorders>
              <w:top w:val="nil"/>
              <w:left w:val="nil"/>
              <w:bottom w:val="nil"/>
              <w:right w:val="nil"/>
            </w:tcBorders>
          </w:tcPr>
          <w:p w:rsidR="00362BDC" w:rsidRPr="00F627B2" w:rsidRDefault="00362BDC" w:rsidP="005D011A">
            <w:pPr>
              <w:spacing w:line="240" w:lineRule="auto"/>
              <w:rPr>
                <w:rFonts w:ascii="Lato" w:hAnsi="Lato"/>
                <w:szCs w:val="22"/>
              </w:rPr>
            </w:pPr>
            <w:r w:rsidRPr="00F627B2">
              <w:rPr>
                <w:rFonts w:ascii="Lato" w:hAnsi="Lato"/>
                <w:szCs w:val="22"/>
                <w:u w:val="single"/>
              </w:rPr>
              <w:t>Settlement Period</w:t>
            </w: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 xml:space="preserve">Indicate the period within which redemption proceeds will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 xml:space="preserve">normally be paid or discharged to investors. </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(Note: this paragraph does not apply to funds which are classified as open-ended with limited liquidity)</w:t>
            </w: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The period between the dealing deadline for redemption</w:t>
            </w: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requests and payment of the Retail Investor AIF to investors should reflect the frequency of dealing i.e. daily, weekly and in any event should not exceed 30 calendar days from the dealing deadline.</w:t>
            </w: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pStyle w:val="Heading1"/>
              <w:spacing w:before="0" w:after="0" w:line="240" w:lineRule="auto"/>
              <w:rPr>
                <w:rFonts w:ascii="Lato" w:hAnsi="Lato"/>
                <w:color w:val="auto"/>
                <w:sz w:val="22"/>
                <w:szCs w:val="22"/>
              </w:rPr>
            </w:pPr>
            <w:r w:rsidRPr="00F627B2">
              <w:rPr>
                <w:rFonts w:ascii="Lato" w:hAnsi="Lato"/>
                <w:color w:val="auto"/>
                <w:sz w:val="22"/>
                <w:szCs w:val="22"/>
              </w:rPr>
              <w:t>The following provisions may be inserted</w:t>
            </w: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586F3E">
            <w:pPr>
              <w:spacing w:line="240" w:lineRule="auto"/>
              <w:ind w:left="-108"/>
              <w:rPr>
                <w:rFonts w:ascii="Lato" w:hAnsi="Lato"/>
                <w:szCs w:val="22"/>
              </w:rPr>
            </w:pPr>
            <w:r w:rsidRPr="00F627B2">
              <w:rPr>
                <w:rFonts w:ascii="Lato" w:hAnsi="Lato"/>
                <w:szCs w:val="22"/>
              </w:rPr>
              <w:t>2.13.1</w:t>
            </w:r>
            <w:r w:rsidR="00CF4050" w:rsidRPr="00F627B2">
              <w:rPr>
                <w:rFonts w:ascii="Lato" w:hAnsi="Lato"/>
                <w:szCs w:val="22"/>
              </w:rPr>
              <w:t>6</w:t>
            </w:r>
          </w:p>
        </w:tc>
        <w:tc>
          <w:tcPr>
            <w:tcW w:w="7193" w:type="dxa"/>
            <w:gridSpan w:val="2"/>
            <w:tcBorders>
              <w:top w:val="nil"/>
              <w:left w:val="nil"/>
              <w:bottom w:val="nil"/>
              <w:right w:val="single" w:sz="4" w:space="0" w:color="auto"/>
            </w:tcBorders>
          </w:tcPr>
          <w:p w:rsidR="00362BDC" w:rsidRPr="00F627B2" w:rsidRDefault="00362BDC">
            <w:pPr>
              <w:pStyle w:val="Heading1"/>
              <w:spacing w:before="0" w:after="0" w:line="240" w:lineRule="auto"/>
              <w:rPr>
                <w:rFonts w:ascii="Lato" w:hAnsi="Lato"/>
                <w:b/>
                <w:bCs/>
                <w:color w:val="auto"/>
                <w:sz w:val="22"/>
                <w:szCs w:val="22"/>
              </w:rPr>
            </w:pPr>
            <w:r w:rsidRPr="00F627B2">
              <w:rPr>
                <w:rFonts w:ascii="Lato" w:hAnsi="Lato"/>
                <w:color w:val="auto"/>
                <w:sz w:val="22"/>
                <w:szCs w:val="22"/>
              </w:rPr>
              <w:t>Provide that if total requests for redemption on any Dealing</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Day for the Retail Investor AIF</w:t>
            </w:r>
            <w:r w:rsidRPr="00F627B2" w:rsidDel="002B4BC3">
              <w:rPr>
                <w:rFonts w:ascii="Lato" w:hAnsi="Lato"/>
                <w:szCs w:val="22"/>
              </w:rPr>
              <w:t xml:space="preserve"> </w:t>
            </w:r>
            <w:r w:rsidRPr="00F627B2">
              <w:rPr>
                <w:rFonts w:ascii="Lato" w:hAnsi="Lato"/>
                <w:szCs w:val="22"/>
              </w:rPr>
              <w:t>/sub-fund exceed 10% of the total number of units/shares in the Retail Investor AIF</w:t>
            </w:r>
            <w:r w:rsidRPr="00F627B2" w:rsidDel="002B4BC3">
              <w:rPr>
                <w:rFonts w:ascii="Lato" w:hAnsi="Lato"/>
                <w:szCs w:val="22"/>
              </w:rPr>
              <w:t xml:space="preserve"> </w:t>
            </w:r>
            <w:r w:rsidRPr="00F627B2">
              <w:rPr>
                <w:rFonts w:ascii="Lato" w:hAnsi="Lato"/>
                <w:szCs w:val="22"/>
              </w:rPr>
              <w:t xml:space="preserve">/sub-fund, the Directors may in their discretion refuse to redeem any units/shares in excess of 10%. Any request for redemption on such Dealing Day shall be reduced rateably and the redemption requests shall be treated as if they were received on each subsequent Dealing Day until all the units/shares to which the original request related have been redeemed. </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rsidP="00586F3E">
            <w:pPr>
              <w:spacing w:line="240" w:lineRule="auto"/>
              <w:ind w:left="-108"/>
              <w:rPr>
                <w:rFonts w:ascii="Lato" w:hAnsi="Lato"/>
                <w:szCs w:val="22"/>
              </w:rPr>
            </w:pPr>
            <w:r w:rsidRPr="00F627B2">
              <w:rPr>
                <w:rFonts w:ascii="Lato" w:hAnsi="Lato"/>
                <w:szCs w:val="22"/>
              </w:rPr>
              <w:t>2.13.1</w:t>
            </w:r>
            <w:r w:rsidR="00CF4050" w:rsidRPr="00F627B2">
              <w:rPr>
                <w:rFonts w:ascii="Lato" w:hAnsi="Lato"/>
                <w:szCs w:val="22"/>
              </w:rPr>
              <w:t>7</w:t>
            </w:r>
          </w:p>
        </w:tc>
        <w:tc>
          <w:tcPr>
            <w:tcW w:w="7193" w:type="dxa"/>
            <w:gridSpan w:val="2"/>
            <w:tcBorders>
              <w:top w:val="nil"/>
              <w:left w:val="nil"/>
              <w:bottom w:val="nil"/>
              <w:right w:val="nil"/>
            </w:tcBorders>
          </w:tcPr>
          <w:p w:rsidR="00362BDC" w:rsidRPr="00F627B2" w:rsidRDefault="00362BDC">
            <w:pPr>
              <w:pStyle w:val="Heading1"/>
              <w:spacing w:before="0" w:after="0" w:line="240" w:lineRule="auto"/>
              <w:rPr>
                <w:rFonts w:ascii="Lato" w:hAnsi="Lato"/>
                <w:color w:val="auto"/>
                <w:sz w:val="22"/>
                <w:szCs w:val="22"/>
              </w:rPr>
            </w:pPr>
            <w:r w:rsidRPr="00F627B2">
              <w:rPr>
                <w:rFonts w:ascii="Lato" w:hAnsi="Lato"/>
                <w:color w:val="auto"/>
                <w:sz w:val="22"/>
                <w:szCs w:val="22"/>
              </w:rPr>
              <w:t>Redemption in Specie</w:t>
            </w: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Where the prospectus provides for redemption in specie</w:t>
            </w:r>
            <w:r w:rsidR="00B7175D" w:rsidRPr="00F627B2">
              <w:rPr>
                <w:rFonts w:ascii="Lato" w:hAnsi="Lato"/>
                <w:szCs w:val="22"/>
              </w:rPr>
              <w:t xml:space="preserve"> provide that:</w:t>
            </w: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 xml:space="preserve">a) </w:t>
            </w:r>
          </w:p>
        </w:tc>
        <w:tc>
          <w:tcPr>
            <w:tcW w:w="7193" w:type="dxa"/>
            <w:gridSpan w:val="2"/>
            <w:tcBorders>
              <w:top w:val="nil"/>
              <w:left w:val="nil"/>
              <w:bottom w:val="nil"/>
              <w:right w:val="single" w:sz="4" w:space="0" w:color="auto"/>
            </w:tcBorders>
          </w:tcPr>
          <w:p w:rsidR="00362BDC" w:rsidRPr="00F627B2" w:rsidRDefault="00362BDC" w:rsidP="00F627B2">
            <w:pPr>
              <w:spacing w:line="240" w:lineRule="auto"/>
              <w:rPr>
                <w:rFonts w:ascii="Lato" w:hAnsi="Lato"/>
                <w:szCs w:val="22"/>
              </w:rPr>
            </w:pPr>
            <w:r w:rsidRPr="00F627B2">
              <w:rPr>
                <w:rFonts w:ascii="Lato" w:hAnsi="Lato"/>
                <w:szCs w:val="22"/>
              </w:rPr>
              <w:t xml:space="preserve">Redemption in specie is at the discretion of the Retail Investor AIF </w:t>
            </w:r>
            <w:r w:rsidR="00E2618B" w:rsidRPr="00F627B2">
              <w:rPr>
                <w:rFonts w:ascii="Lato" w:hAnsi="Lato"/>
                <w:szCs w:val="22"/>
                <w:u w:val="single"/>
              </w:rPr>
              <w:t>and</w:t>
            </w:r>
            <w:r w:rsidR="00E2618B" w:rsidRPr="00F627B2">
              <w:rPr>
                <w:rFonts w:ascii="Lato" w:hAnsi="Lato"/>
                <w:szCs w:val="22"/>
              </w:rPr>
              <w:t xml:space="preserve">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4F01CA">
            <w:pPr>
              <w:spacing w:line="240" w:lineRule="auto"/>
              <w:rPr>
                <w:rFonts w:ascii="Lato" w:hAnsi="Lato"/>
                <w:szCs w:val="22"/>
              </w:rPr>
            </w:pPr>
            <w:r w:rsidRPr="001E4A73">
              <w:rPr>
                <w:rFonts w:ascii="Lato" w:hAnsi="Lato"/>
                <w:szCs w:val="22"/>
              </w:rPr>
              <w:t>with</w:t>
            </w:r>
            <w:r w:rsidRPr="00F627B2">
              <w:rPr>
                <w:rFonts w:ascii="Lato" w:hAnsi="Lato"/>
                <w:szCs w:val="22"/>
              </w:rPr>
              <w:t xml:space="preserve"> </w:t>
            </w:r>
            <w:r w:rsidR="00362BDC" w:rsidRPr="00F627B2">
              <w:rPr>
                <w:rFonts w:ascii="Lato" w:hAnsi="Lato"/>
                <w:szCs w:val="22"/>
              </w:rPr>
              <w:t>the consent of the redeeming shareholder/unitholder;</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pStyle w:val="Header"/>
              <w:tabs>
                <w:tab w:val="clear" w:pos="4320"/>
                <w:tab w:val="clear" w:pos="8640"/>
              </w:tabs>
              <w:spacing w:line="240" w:lineRule="auto"/>
              <w:rPr>
                <w:rFonts w:ascii="Lato" w:hAnsi="Lato"/>
                <w:szCs w:val="22"/>
              </w:rPr>
            </w:pPr>
            <w:r w:rsidRPr="00F627B2">
              <w:rPr>
                <w:rFonts w:ascii="Lato" w:hAnsi="Lato"/>
                <w:szCs w:val="22"/>
              </w:rPr>
              <w:t>(n/a for an exchange traded fund where the original subscription was made in specie)</w:t>
            </w: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 xml:space="preserve">b) </w:t>
            </w:r>
          </w:p>
        </w:tc>
        <w:tc>
          <w:tcPr>
            <w:tcW w:w="7193" w:type="dxa"/>
            <w:gridSpan w:val="2"/>
            <w:tcBorders>
              <w:top w:val="nil"/>
              <w:left w:val="nil"/>
              <w:bottom w:val="nil"/>
              <w:right w:val="single" w:sz="4" w:space="0" w:color="auto"/>
            </w:tcBorders>
          </w:tcPr>
          <w:p w:rsidR="00362BDC" w:rsidRPr="00F627B2" w:rsidRDefault="00362BDC" w:rsidP="00EB48A4">
            <w:pPr>
              <w:spacing w:line="240" w:lineRule="auto"/>
              <w:rPr>
                <w:rFonts w:ascii="Lato" w:hAnsi="Lato"/>
                <w:szCs w:val="22"/>
              </w:rPr>
            </w:pPr>
            <w:r w:rsidRPr="00F627B2">
              <w:rPr>
                <w:rFonts w:ascii="Lato" w:hAnsi="Lato"/>
                <w:szCs w:val="22"/>
              </w:rPr>
              <w:t>Asset allocation is subject to the approval of the depositary;</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and</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c)</w:t>
            </w:r>
          </w:p>
        </w:tc>
        <w:tc>
          <w:tcPr>
            <w:tcW w:w="7193" w:type="dxa"/>
            <w:gridSpan w:val="2"/>
            <w:tcBorders>
              <w:top w:val="nil"/>
              <w:left w:val="nil"/>
              <w:bottom w:val="nil"/>
              <w:right w:val="single" w:sz="4" w:space="0" w:color="auto"/>
            </w:tcBorders>
          </w:tcPr>
          <w:p w:rsidR="00362BDC" w:rsidRPr="00F627B2" w:rsidRDefault="00362BDC" w:rsidP="00E2618B">
            <w:pPr>
              <w:spacing w:line="240" w:lineRule="auto"/>
              <w:rPr>
                <w:rFonts w:ascii="Lato" w:hAnsi="Lato"/>
                <w:szCs w:val="22"/>
              </w:rPr>
            </w:pPr>
            <w:r w:rsidRPr="00F627B2">
              <w:rPr>
                <w:rFonts w:ascii="Lato" w:hAnsi="Lato"/>
                <w:szCs w:val="22"/>
              </w:rPr>
              <w:t xml:space="preserve">A determination to provide redemption in specie may be </w:t>
            </w:r>
            <w:r w:rsidR="003D0FCC" w:rsidRPr="00F627B2">
              <w:rPr>
                <w:rFonts w:ascii="Lato" w:hAnsi="Lato"/>
                <w:szCs w:val="22"/>
              </w:rPr>
              <w:t>solely at the</w:t>
            </w:r>
            <w:r w:rsidR="00E2618B" w:rsidRPr="00F627B2">
              <w:rPr>
                <w:rFonts w:ascii="Lato" w:hAnsi="Lato"/>
                <w:szCs w:val="22"/>
              </w:rPr>
              <w:t xml:space="preserve">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E2618B" w:rsidP="003D0FCC">
            <w:pPr>
              <w:spacing w:line="240" w:lineRule="auto"/>
              <w:jc w:val="both"/>
              <w:rPr>
                <w:rFonts w:ascii="Lato" w:hAnsi="Lato"/>
                <w:szCs w:val="22"/>
              </w:rPr>
            </w:pPr>
            <w:r w:rsidRPr="00F627B2">
              <w:rPr>
                <w:rFonts w:ascii="Lato" w:hAnsi="Lato"/>
                <w:szCs w:val="22"/>
              </w:rPr>
              <w:t xml:space="preserve">discretion </w:t>
            </w:r>
            <w:r w:rsidR="00362BDC" w:rsidRPr="00F627B2">
              <w:rPr>
                <w:rFonts w:ascii="Lato" w:hAnsi="Lato"/>
                <w:szCs w:val="22"/>
              </w:rPr>
              <w:t>of the Retail Investor AIF where the redeeming shareholder/unitholder requests redemption of a number of units that represent 5% or more of the net asset value of the Retail Investor AIF.  In this event the Retail Investor AIF will, if requested, sell the assets on behalf of the shareholder/unitholder.  The cost of the sale can be charged to the shareholder/unitholder.</w:t>
            </w:r>
          </w:p>
        </w:tc>
        <w:tc>
          <w:tcPr>
            <w:tcW w:w="737"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1"/>
          <w:wAfter w:w="3686" w:type="dxa"/>
        </w:trPr>
        <w:tc>
          <w:tcPr>
            <w:tcW w:w="1223"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(n/a for an exchange traded fund where the original subscription was made in specie)</w:t>
            </w:r>
          </w:p>
        </w:tc>
        <w:tc>
          <w:tcPr>
            <w:tcW w:w="737"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992"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362BDC" w:rsidRPr="00F627B2" w:rsidRDefault="00362BDC" w:rsidP="003C3E16">
            <w:pPr>
              <w:spacing w:line="240" w:lineRule="auto"/>
              <w:rPr>
                <w:rFonts w:ascii="Lato" w:hAnsi="Lato"/>
                <w:szCs w:val="22"/>
              </w:rPr>
            </w:pPr>
            <w:r w:rsidRPr="00F627B2">
              <w:rPr>
                <w:rFonts w:ascii="Lato" w:hAnsi="Lato"/>
                <w:szCs w:val="22"/>
              </w:rPr>
              <w:t>2.14</w:t>
            </w:r>
          </w:p>
        </w:tc>
        <w:tc>
          <w:tcPr>
            <w:tcW w:w="6974"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Dealing Procedures</w:t>
            </w:r>
          </w:p>
        </w:tc>
        <w:tc>
          <w:tcPr>
            <w:tcW w:w="992" w:type="dxa"/>
            <w:gridSpan w:val="2"/>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992"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rsidP="003C3E16">
            <w:pPr>
              <w:spacing w:line="240" w:lineRule="auto"/>
              <w:ind w:left="-108"/>
              <w:rPr>
                <w:rFonts w:ascii="Lato" w:hAnsi="Lato"/>
                <w:szCs w:val="22"/>
              </w:rPr>
            </w:pPr>
            <w:r w:rsidRPr="00F627B2">
              <w:rPr>
                <w:rFonts w:ascii="Lato" w:hAnsi="Lato"/>
                <w:szCs w:val="22"/>
              </w:rPr>
              <w:t>2.14.1</w:t>
            </w:r>
          </w:p>
        </w:tc>
        <w:tc>
          <w:tcPr>
            <w:tcW w:w="6974" w:type="dxa"/>
            <w:gridSpan w:val="2"/>
            <w:tcBorders>
              <w:top w:val="nil"/>
              <w:left w:val="nil"/>
              <w:bottom w:val="nil"/>
              <w:right w:val="nil"/>
            </w:tcBorders>
          </w:tcPr>
          <w:p w:rsidR="00362BDC" w:rsidRPr="00F627B2" w:rsidRDefault="00362BDC" w:rsidP="000E23B3">
            <w:pPr>
              <w:pStyle w:val="Heading1"/>
              <w:spacing w:before="0" w:after="0" w:line="240" w:lineRule="auto"/>
              <w:rPr>
                <w:rFonts w:ascii="Lato" w:hAnsi="Lato"/>
                <w:color w:val="auto"/>
                <w:sz w:val="22"/>
                <w:szCs w:val="22"/>
              </w:rPr>
            </w:pPr>
            <w:r w:rsidRPr="00F627B2">
              <w:rPr>
                <w:rFonts w:ascii="Lato" w:hAnsi="Lato"/>
                <w:color w:val="auto"/>
                <w:sz w:val="22"/>
                <w:szCs w:val="22"/>
              </w:rPr>
              <w:t xml:space="preserve">Subscription and redemptions by way of original </w:t>
            </w:r>
            <w:r w:rsidR="000E23B3" w:rsidRPr="00F627B2">
              <w:rPr>
                <w:rFonts w:ascii="Lato" w:hAnsi="Lato"/>
                <w:color w:val="auto"/>
                <w:sz w:val="22"/>
                <w:szCs w:val="22"/>
              </w:rPr>
              <w:t>documentation</w:t>
            </w:r>
          </w:p>
        </w:tc>
        <w:tc>
          <w:tcPr>
            <w:tcW w:w="992"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nil"/>
              <w:left w:val="nil"/>
              <w:bottom w:val="nil"/>
              <w:right w:val="nil"/>
            </w:tcBorders>
          </w:tcPr>
          <w:p w:rsidR="00362BDC" w:rsidRPr="00F627B2" w:rsidRDefault="00362BDC">
            <w:pPr>
              <w:pStyle w:val="Heading1"/>
              <w:spacing w:before="0" w:after="0" w:line="240" w:lineRule="auto"/>
              <w:rPr>
                <w:rFonts w:ascii="Lato" w:hAnsi="Lato"/>
                <w:color w:val="auto"/>
                <w:sz w:val="22"/>
                <w:szCs w:val="22"/>
              </w:rPr>
            </w:pPr>
          </w:p>
        </w:tc>
        <w:tc>
          <w:tcPr>
            <w:tcW w:w="992"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a)</w:t>
            </w:r>
          </w:p>
        </w:tc>
        <w:tc>
          <w:tcPr>
            <w:tcW w:w="6974"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Provide that applications for</w:t>
            </w:r>
          </w:p>
        </w:tc>
        <w:tc>
          <w:tcPr>
            <w:tcW w:w="992"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(i)  subscriptions</w:t>
            </w:r>
          </w:p>
        </w:tc>
        <w:tc>
          <w:tcPr>
            <w:tcW w:w="992"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(ii) redemptions</w:t>
            </w:r>
          </w:p>
        </w:tc>
        <w:tc>
          <w:tcPr>
            <w:tcW w:w="992"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are made to the manager/administrator by way of a signed original subscription/redemption application form</w:t>
            </w:r>
          </w:p>
          <w:p w:rsidR="00362BDC" w:rsidRPr="00F627B2" w:rsidRDefault="00362BDC">
            <w:pPr>
              <w:spacing w:line="240" w:lineRule="auto"/>
              <w:rPr>
                <w:rFonts w:ascii="Lato" w:hAnsi="Lato"/>
                <w:szCs w:val="22"/>
              </w:rPr>
            </w:pPr>
          </w:p>
        </w:tc>
        <w:tc>
          <w:tcPr>
            <w:tcW w:w="992"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b)</w:t>
            </w:r>
          </w:p>
        </w:tc>
        <w:tc>
          <w:tcPr>
            <w:tcW w:w="6974" w:type="dxa"/>
            <w:gridSpan w:val="2"/>
            <w:tcBorders>
              <w:top w:val="nil"/>
              <w:left w:val="nil"/>
              <w:bottom w:val="nil"/>
              <w:right w:val="nil"/>
            </w:tcBorders>
          </w:tcPr>
          <w:p w:rsidR="00362BDC" w:rsidRPr="00F627B2" w:rsidRDefault="00362BDC" w:rsidP="00B564AD">
            <w:pPr>
              <w:spacing w:line="240" w:lineRule="auto"/>
              <w:rPr>
                <w:rFonts w:ascii="Lato" w:hAnsi="Lato"/>
                <w:szCs w:val="22"/>
              </w:rPr>
            </w:pPr>
            <w:r w:rsidRPr="00F627B2">
              <w:rPr>
                <w:rFonts w:ascii="Lato" w:hAnsi="Lato"/>
                <w:szCs w:val="22"/>
              </w:rPr>
              <w:t xml:space="preserve">Where the Retail Investor AIF is open-ended Retail Investor AIF  </w:t>
            </w:r>
          </w:p>
        </w:tc>
        <w:tc>
          <w:tcPr>
            <w:tcW w:w="992"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Disclose that</w:t>
            </w:r>
          </w:p>
        </w:tc>
        <w:tc>
          <w:tcPr>
            <w:tcW w:w="992"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rsidP="005418AB">
            <w:pPr>
              <w:spacing w:line="240" w:lineRule="auto"/>
              <w:jc w:val="right"/>
              <w:rPr>
                <w:rFonts w:ascii="Lato" w:hAnsi="Lato"/>
                <w:szCs w:val="22"/>
              </w:rPr>
            </w:pPr>
            <w:r w:rsidRPr="00F627B2">
              <w:rPr>
                <w:rFonts w:ascii="Lato" w:hAnsi="Lato"/>
                <w:szCs w:val="22"/>
              </w:rPr>
              <w:t>(i)</w:t>
            </w:r>
          </w:p>
        </w:tc>
        <w:tc>
          <w:tcPr>
            <w:tcW w:w="6974"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It provides redemption facilities on at least a monthly basis;</w:t>
            </w:r>
          </w:p>
        </w:tc>
        <w:tc>
          <w:tcPr>
            <w:tcW w:w="992"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rsidP="005418AB">
            <w:pPr>
              <w:spacing w:line="240" w:lineRule="auto"/>
              <w:jc w:val="right"/>
              <w:rPr>
                <w:rFonts w:ascii="Lato" w:hAnsi="Lato"/>
                <w:szCs w:val="22"/>
              </w:rPr>
            </w:pPr>
            <w:r w:rsidRPr="00F627B2">
              <w:rPr>
                <w:rFonts w:ascii="Lato" w:hAnsi="Lato"/>
                <w:szCs w:val="22"/>
              </w:rPr>
              <w:t>(ii)</w:t>
            </w:r>
          </w:p>
        </w:tc>
        <w:tc>
          <w:tcPr>
            <w:tcW w:w="6974"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It redeems when requested at least 10% of net assets; and</w:t>
            </w:r>
          </w:p>
        </w:tc>
        <w:tc>
          <w:tcPr>
            <w:tcW w:w="992"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rsidP="005418AB">
            <w:pPr>
              <w:spacing w:line="240" w:lineRule="auto"/>
              <w:jc w:val="right"/>
              <w:rPr>
                <w:rFonts w:ascii="Lato" w:hAnsi="Lato"/>
                <w:szCs w:val="22"/>
              </w:rPr>
            </w:pPr>
            <w:r w:rsidRPr="00F627B2">
              <w:rPr>
                <w:rFonts w:ascii="Lato" w:hAnsi="Lato"/>
                <w:szCs w:val="22"/>
              </w:rPr>
              <w:t>(iii)</w:t>
            </w:r>
          </w:p>
        </w:tc>
        <w:tc>
          <w:tcPr>
            <w:tcW w:w="6974" w:type="dxa"/>
            <w:gridSpan w:val="2"/>
            <w:tcBorders>
              <w:top w:val="nil"/>
              <w:left w:val="nil"/>
              <w:bottom w:val="nil"/>
              <w:right w:val="single" w:sz="4" w:space="0" w:color="auto"/>
            </w:tcBorders>
          </w:tcPr>
          <w:p w:rsidR="00362BDC" w:rsidRPr="00F627B2" w:rsidRDefault="00362BDC" w:rsidP="009F1631">
            <w:pPr>
              <w:spacing w:line="240" w:lineRule="auto"/>
              <w:rPr>
                <w:rFonts w:ascii="Lato" w:hAnsi="Lato"/>
                <w:szCs w:val="22"/>
              </w:rPr>
            </w:pPr>
            <w:r w:rsidRPr="00F627B2">
              <w:rPr>
                <w:rFonts w:ascii="Lato" w:hAnsi="Lato"/>
                <w:szCs w:val="22"/>
              </w:rPr>
              <w:t xml:space="preserve">It will not impose a redemption fee in excess of </w:t>
            </w:r>
            <w:r w:rsidR="009F1631" w:rsidRPr="00F627B2">
              <w:rPr>
                <w:rFonts w:ascii="Lato" w:hAnsi="Lato"/>
                <w:szCs w:val="22"/>
              </w:rPr>
              <w:t>3</w:t>
            </w:r>
            <w:r w:rsidRPr="00F627B2">
              <w:rPr>
                <w:rFonts w:ascii="Lato" w:hAnsi="Lato"/>
                <w:szCs w:val="22"/>
              </w:rPr>
              <w:t>%</w:t>
            </w:r>
            <w:r w:rsidR="009F1631" w:rsidRPr="00F627B2">
              <w:rPr>
                <w:rFonts w:ascii="Lato" w:hAnsi="Lato"/>
                <w:szCs w:val="22"/>
              </w:rPr>
              <w:t xml:space="preserve"> of net asset value </w:t>
            </w:r>
          </w:p>
        </w:tc>
        <w:tc>
          <w:tcPr>
            <w:tcW w:w="992"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9F1631" w:rsidRPr="00F627B2" w:rsidTr="00F627B2">
        <w:trPr>
          <w:gridAfter w:val="2"/>
          <w:wAfter w:w="3800" w:type="dxa"/>
        </w:trPr>
        <w:tc>
          <w:tcPr>
            <w:tcW w:w="1107" w:type="dxa"/>
            <w:tcBorders>
              <w:top w:val="nil"/>
              <w:left w:val="nil"/>
              <w:bottom w:val="nil"/>
              <w:right w:val="nil"/>
            </w:tcBorders>
          </w:tcPr>
          <w:p w:rsidR="009F1631" w:rsidRPr="00F627B2" w:rsidRDefault="009F1631" w:rsidP="005418AB">
            <w:pPr>
              <w:spacing w:line="240" w:lineRule="auto"/>
              <w:jc w:val="right"/>
              <w:rPr>
                <w:rFonts w:ascii="Lato" w:hAnsi="Lato"/>
                <w:szCs w:val="22"/>
              </w:rPr>
            </w:pPr>
          </w:p>
        </w:tc>
        <w:tc>
          <w:tcPr>
            <w:tcW w:w="6974" w:type="dxa"/>
            <w:gridSpan w:val="2"/>
            <w:tcBorders>
              <w:top w:val="nil"/>
              <w:left w:val="nil"/>
              <w:bottom w:val="nil"/>
              <w:right w:val="nil"/>
            </w:tcBorders>
          </w:tcPr>
          <w:p w:rsidR="009F1631" w:rsidRPr="00F627B2" w:rsidRDefault="009F1631" w:rsidP="009F1631">
            <w:pPr>
              <w:spacing w:line="240" w:lineRule="auto"/>
              <w:rPr>
                <w:rFonts w:ascii="Lato" w:hAnsi="Lato"/>
                <w:szCs w:val="22"/>
              </w:rPr>
            </w:pPr>
            <w:r w:rsidRPr="00F627B2">
              <w:rPr>
                <w:rFonts w:ascii="Lato" w:hAnsi="Lato"/>
                <w:szCs w:val="22"/>
              </w:rPr>
              <w:t>per unit</w:t>
            </w:r>
          </w:p>
        </w:tc>
        <w:tc>
          <w:tcPr>
            <w:tcW w:w="992" w:type="dxa"/>
            <w:gridSpan w:val="2"/>
            <w:tcBorders>
              <w:top w:val="single" w:sz="4" w:space="0" w:color="auto"/>
              <w:left w:val="nil"/>
              <w:bottom w:val="nil"/>
              <w:right w:val="nil"/>
            </w:tcBorders>
          </w:tcPr>
          <w:p w:rsidR="009F1631" w:rsidRPr="00F627B2" w:rsidRDefault="009F1631">
            <w:pPr>
              <w:spacing w:line="240" w:lineRule="auto"/>
              <w:rPr>
                <w:rFonts w:ascii="Lato" w:hAnsi="Lato"/>
                <w:szCs w:val="22"/>
              </w:rPr>
            </w:pPr>
          </w:p>
        </w:tc>
        <w:tc>
          <w:tcPr>
            <w:tcW w:w="236" w:type="dxa"/>
            <w:gridSpan w:val="2"/>
            <w:tcBorders>
              <w:top w:val="nil"/>
              <w:left w:val="nil"/>
              <w:bottom w:val="nil"/>
              <w:right w:val="nil"/>
            </w:tcBorders>
          </w:tcPr>
          <w:p w:rsidR="009F1631" w:rsidRPr="00F627B2" w:rsidRDefault="009F1631">
            <w:pPr>
              <w:spacing w:line="240" w:lineRule="auto"/>
              <w:rPr>
                <w:rFonts w:ascii="Lato" w:hAnsi="Lato"/>
                <w:szCs w:val="22"/>
              </w:rPr>
            </w:pPr>
          </w:p>
        </w:tc>
        <w:tc>
          <w:tcPr>
            <w:tcW w:w="709" w:type="dxa"/>
            <w:gridSpan w:val="3"/>
            <w:tcBorders>
              <w:top w:val="single" w:sz="4" w:space="0" w:color="auto"/>
              <w:left w:val="nil"/>
              <w:bottom w:val="nil"/>
              <w:right w:val="nil"/>
            </w:tcBorders>
          </w:tcPr>
          <w:p w:rsidR="009F1631" w:rsidRPr="00F627B2" w:rsidRDefault="009F1631">
            <w:pPr>
              <w:spacing w:line="240" w:lineRule="auto"/>
              <w:rPr>
                <w:rFonts w:ascii="Lato" w:hAnsi="Lato"/>
                <w:szCs w:val="22"/>
              </w:rPr>
            </w:pPr>
          </w:p>
        </w:tc>
        <w:tc>
          <w:tcPr>
            <w:tcW w:w="264" w:type="dxa"/>
            <w:gridSpan w:val="2"/>
            <w:tcBorders>
              <w:top w:val="nil"/>
              <w:left w:val="nil"/>
              <w:bottom w:val="nil"/>
              <w:right w:val="nil"/>
            </w:tcBorders>
          </w:tcPr>
          <w:p w:rsidR="009F1631" w:rsidRPr="00F627B2" w:rsidRDefault="009F1631">
            <w:pPr>
              <w:spacing w:line="240" w:lineRule="auto"/>
              <w:rPr>
                <w:rFonts w:ascii="Lato" w:hAnsi="Lato"/>
                <w:szCs w:val="22"/>
              </w:rPr>
            </w:pPr>
          </w:p>
        </w:tc>
        <w:tc>
          <w:tcPr>
            <w:tcW w:w="455" w:type="dxa"/>
            <w:gridSpan w:val="2"/>
            <w:tcBorders>
              <w:top w:val="single" w:sz="4" w:space="0" w:color="auto"/>
              <w:left w:val="nil"/>
              <w:bottom w:val="nil"/>
              <w:right w:val="nil"/>
            </w:tcBorders>
          </w:tcPr>
          <w:p w:rsidR="009F1631" w:rsidRPr="00F627B2" w:rsidRDefault="009F1631">
            <w:pPr>
              <w:spacing w:line="240" w:lineRule="auto"/>
              <w:rPr>
                <w:rFonts w:ascii="Lato" w:hAnsi="Lato"/>
                <w:szCs w:val="22"/>
              </w:rPr>
            </w:pPr>
          </w:p>
        </w:tc>
        <w:tc>
          <w:tcPr>
            <w:tcW w:w="264" w:type="dxa"/>
            <w:gridSpan w:val="4"/>
            <w:tcBorders>
              <w:top w:val="nil"/>
              <w:left w:val="nil"/>
              <w:bottom w:val="nil"/>
              <w:right w:val="nil"/>
            </w:tcBorders>
          </w:tcPr>
          <w:p w:rsidR="009F1631" w:rsidRPr="00F627B2" w:rsidRDefault="009F1631">
            <w:pPr>
              <w:spacing w:line="240" w:lineRule="auto"/>
              <w:rPr>
                <w:rFonts w:ascii="Lato" w:hAnsi="Lato"/>
                <w:szCs w:val="22"/>
              </w:rPr>
            </w:pPr>
          </w:p>
        </w:tc>
        <w:tc>
          <w:tcPr>
            <w:tcW w:w="556" w:type="dxa"/>
            <w:gridSpan w:val="2"/>
            <w:tcBorders>
              <w:top w:val="nil"/>
              <w:left w:val="nil"/>
              <w:bottom w:val="nil"/>
              <w:right w:val="nil"/>
            </w:tcBorders>
          </w:tcPr>
          <w:p w:rsidR="009F1631" w:rsidRPr="00F627B2" w:rsidRDefault="009F1631">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992"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c)</w:t>
            </w:r>
          </w:p>
        </w:tc>
        <w:tc>
          <w:tcPr>
            <w:tcW w:w="6974" w:type="dxa"/>
            <w:gridSpan w:val="2"/>
            <w:tcBorders>
              <w:top w:val="nil"/>
              <w:left w:val="nil"/>
              <w:bottom w:val="nil"/>
              <w:right w:val="nil"/>
            </w:tcBorders>
          </w:tcPr>
          <w:p w:rsidR="00362BDC" w:rsidRPr="00F627B2" w:rsidRDefault="00362BDC" w:rsidP="00B564AD">
            <w:pPr>
              <w:spacing w:line="240" w:lineRule="auto"/>
              <w:rPr>
                <w:rFonts w:ascii="Lato" w:hAnsi="Lato"/>
                <w:szCs w:val="22"/>
              </w:rPr>
            </w:pPr>
            <w:r w:rsidRPr="00F627B2">
              <w:rPr>
                <w:rFonts w:ascii="Lato" w:hAnsi="Lato"/>
                <w:szCs w:val="22"/>
              </w:rPr>
              <w:t>If the Retail Investor AIF:</w:t>
            </w:r>
          </w:p>
        </w:tc>
        <w:tc>
          <w:tcPr>
            <w:tcW w:w="992"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rsidP="005418AB">
            <w:pPr>
              <w:spacing w:line="240" w:lineRule="auto"/>
              <w:jc w:val="right"/>
              <w:rPr>
                <w:rFonts w:ascii="Lato" w:hAnsi="Lato"/>
                <w:szCs w:val="22"/>
              </w:rPr>
            </w:pPr>
            <w:r w:rsidRPr="00F627B2">
              <w:rPr>
                <w:rFonts w:ascii="Lato" w:hAnsi="Lato"/>
                <w:szCs w:val="22"/>
              </w:rPr>
              <w:t>(i)</w:t>
            </w:r>
          </w:p>
        </w:tc>
        <w:tc>
          <w:tcPr>
            <w:tcW w:w="6974"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offers redemption and/or settlement facilities on a less than</w:t>
            </w:r>
          </w:p>
        </w:tc>
        <w:tc>
          <w:tcPr>
            <w:tcW w:w="992"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rsidP="005418AB">
            <w:pPr>
              <w:spacing w:line="240" w:lineRule="auto"/>
              <w:jc w:val="right"/>
              <w:rPr>
                <w:rFonts w:ascii="Lato" w:hAnsi="Lato"/>
                <w:szCs w:val="22"/>
              </w:rPr>
            </w:pPr>
          </w:p>
        </w:tc>
        <w:tc>
          <w:tcPr>
            <w:tcW w:w="6974"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monthly basis; and/or</w:t>
            </w:r>
          </w:p>
        </w:tc>
        <w:tc>
          <w:tcPr>
            <w:tcW w:w="992" w:type="dxa"/>
            <w:gridSpan w:val="2"/>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rsidP="005418AB">
            <w:pPr>
              <w:spacing w:line="240" w:lineRule="auto"/>
              <w:jc w:val="right"/>
              <w:rPr>
                <w:rFonts w:ascii="Lato" w:hAnsi="Lato"/>
                <w:szCs w:val="22"/>
              </w:rPr>
            </w:pPr>
            <w:r w:rsidRPr="00F627B2">
              <w:rPr>
                <w:rFonts w:ascii="Lato" w:hAnsi="Lato"/>
                <w:szCs w:val="22"/>
              </w:rPr>
              <w:t>(ii)</w:t>
            </w:r>
          </w:p>
        </w:tc>
        <w:tc>
          <w:tcPr>
            <w:tcW w:w="6974"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provides for a period of greater than 30 days between the</w:t>
            </w:r>
          </w:p>
        </w:tc>
        <w:tc>
          <w:tcPr>
            <w:tcW w:w="992"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rsidP="005418AB">
            <w:pPr>
              <w:spacing w:line="240" w:lineRule="auto"/>
              <w:jc w:val="right"/>
              <w:rPr>
                <w:rFonts w:ascii="Lato" w:hAnsi="Lato"/>
                <w:szCs w:val="22"/>
              </w:rPr>
            </w:pPr>
          </w:p>
        </w:tc>
        <w:tc>
          <w:tcPr>
            <w:tcW w:w="6974"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dealing deadline and the payment of redemption proceeds</w:t>
            </w:r>
          </w:p>
        </w:tc>
        <w:tc>
          <w:tcPr>
            <w:tcW w:w="992"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nil"/>
              <w:left w:val="nil"/>
              <w:bottom w:val="nil"/>
              <w:right w:val="nil"/>
            </w:tcBorders>
          </w:tcPr>
          <w:p w:rsidR="00362BDC" w:rsidRPr="00F627B2" w:rsidRDefault="00362BDC" w:rsidP="009F373B">
            <w:pPr>
              <w:spacing w:line="240" w:lineRule="auto"/>
              <w:rPr>
                <w:rFonts w:ascii="Lato" w:hAnsi="Lato"/>
                <w:szCs w:val="22"/>
              </w:rPr>
            </w:pPr>
            <w:r w:rsidRPr="00F627B2">
              <w:rPr>
                <w:rFonts w:ascii="Lato" w:hAnsi="Lato"/>
                <w:szCs w:val="22"/>
              </w:rPr>
              <w:t xml:space="preserve">Confirm that they classify themselves as an open-ended </w:t>
            </w:r>
          </w:p>
        </w:tc>
        <w:tc>
          <w:tcPr>
            <w:tcW w:w="992"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nil"/>
              <w:left w:val="nil"/>
              <w:bottom w:val="nil"/>
              <w:right w:val="nil"/>
            </w:tcBorders>
          </w:tcPr>
          <w:p w:rsidR="00362BDC" w:rsidRPr="00F627B2" w:rsidDel="009F373B" w:rsidRDefault="00362BDC" w:rsidP="009F373B">
            <w:pPr>
              <w:spacing w:line="240" w:lineRule="auto"/>
              <w:rPr>
                <w:rFonts w:ascii="Lato" w:hAnsi="Lato"/>
                <w:szCs w:val="22"/>
              </w:rPr>
            </w:pPr>
            <w:r w:rsidRPr="00F627B2">
              <w:rPr>
                <w:rFonts w:ascii="Lato" w:hAnsi="Lato"/>
                <w:szCs w:val="22"/>
              </w:rPr>
              <w:t>Retail Investor AIF with limited liquidity</w:t>
            </w:r>
          </w:p>
        </w:tc>
        <w:tc>
          <w:tcPr>
            <w:tcW w:w="992"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992"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362BDC" w:rsidRPr="00F627B2" w:rsidRDefault="00362BDC" w:rsidP="003C3E16">
            <w:pPr>
              <w:spacing w:line="240" w:lineRule="auto"/>
              <w:rPr>
                <w:rFonts w:ascii="Lato" w:hAnsi="Lato"/>
                <w:szCs w:val="22"/>
              </w:rPr>
            </w:pPr>
            <w:r w:rsidRPr="00F627B2">
              <w:rPr>
                <w:rFonts w:ascii="Lato" w:hAnsi="Lato"/>
                <w:szCs w:val="22"/>
              </w:rPr>
              <w:t>2.15</w:t>
            </w:r>
          </w:p>
        </w:tc>
        <w:tc>
          <w:tcPr>
            <w:tcW w:w="6974"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r w:rsidRPr="00F627B2">
              <w:rPr>
                <w:rFonts w:ascii="Lato" w:hAnsi="Lato"/>
                <w:szCs w:val="22"/>
              </w:rPr>
              <w:t>Suspensions of the calculation of NAV and repurchase or redemption of shares</w:t>
            </w:r>
          </w:p>
        </w:tc>
        <w:tc>
          <w:tcPr>
            <w:tcW w:w="992" w:type="dxa"/>
            <w:gridSpan w:val="2"/>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rsidP="003C3E16">
            <w:pPr>
              <w:spacing w:line="240" w:lineRule="auto"/>
              <w:ind w:left="-108"/>
              <w:rPr>
                <w:rFonts w:ascii="Lato" w:hAnsi="Lato"/>
                <w:szCs w:val="22"/>
              </w:rPr>
            </w:pPr>
            <w:r w:rsidRPr="00F627B2">
              <w:rPr>
                <w:rFonts w:ascii="Lato" w:hAnsi="Lato"/>
                <w:szCs w:val="22"/>
              </w:rPr>
              <w:t>2.15.1</w:t>
            </w:r>
          </w:p>
        </w:tc>
        <w:tc>
          <w:tcPr>
            <w:tcW w:w="6974" w:type="dxa"/>
            <w:gridSpan w:val="2"/>
            <w:tcBorders>
              <w:top w:val="nil"/>
              <w:left w:val="nil"/>
              <w:bottom w:val="nil"/>
              <w:right w:val="single" w:sz="4" w:space="0" w:color="auto"/>
            </w:tcBorders>
          </w:tcPr>
          <w:p w:rsidR="00362BDC" w:rsidRPr="00F627B2" w:rsidRDefault="00362BDC" w:rsidP="007F4FC9">
            <w:pPr>
              <w:spacing w:line="240" w:lineRule="auto"/>
              <w:rPr>
                <w:rFonts w:ascii="Lato" w:hAnsi="Lato"/>
                <w:szCs w:val="22"/>
              </w:rPr>
            </w:pPr>
            <w:r w:rsidRPr="00F627B2">
              <w:rPr>
                <w:rFonts w:ascii="Lato" w:hAnsi="Lato"/>
                <w:szCs w:val="22"/>
              </w:rPr>
              <w:t xml:space="preserve">List circumstances in which the calculation of the NAV and </w:t>
            </w:r>
          </w:p>
        </w:tc>
        <w:tc>
          <w:tcPr>
            <w:tcW w:w="992"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nil"/>
              <w:left w:val="nil"/>
              <w:bottom w:val="nil"/>
              <w:right w:val="nil"/>
            </w:tcBorders>
          </w:tcPr>
          <w:p w:rsidR="00362BDC" w:rsidRPr="00F627B2" w:rsidRDefault="00362BDC" w:rsidP="00E44CAA">
            <w:pPr>
              <w:spacing w:line="240" w:lineRule="auto"/>
              <w:rPr>
                <w:rFonts w:ascii="Lato" w:hAnsi="Lato"/>
                <w:szCs w:val="22"/>
              </w:rPr>
            </w:pPr>
            <w:r w:rsidRPr="00F627B2">
              <w:rPr>
                <w:rFonts w:ascii="Lato" w:hAnsi="Lato"/>
                <w:szCs w:val="22"/>
              </w:rPr>
              <w:t>repurchase or redemption may be temporarily suspended</w:t>
            </w:r>
          </w:p>
        </w:tc>
        <w:tc>
          <w:tcPr>
            <w:tcW w:w="992"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992"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rsidP="003C3E16">
            <w:pPr>
              <w:spacing w:line="240" w:lineRule="auto"/>
              <w:ind w:left="-108"/>
              <w:rPr>
                <w:rFonts w:ascii="Lato" w:hAnsi="Lato"/>
                <w:szCs w:val="22"/>
              </w:rPr>
            </w:pPr>
            <w:r w:rsidRPr="00F627B2">
              <w:rPr>
                <w:rFonts w:ascii="Lato" w:hAnsi="Lato"/>
                <w:szCs w:val="22"/>
              </w:rPr>
              <w:t>2.15.2</w:t>
            </w:r>
          </w:p>
        </w:tc>
        <w:tc>
          <w:tcPr>
            <w:tcW w:w="6974" w:type="dxa"/>
            <w:gridSpan w:val="2"/>
            <w:tcBorders>
              <w:top w:val="nil"/>
              <w:left w:val="nil"/>
              <w:bottom w:val="nil"/>
              <w:right w:val="single" w:sz="4" w:space="0" w:color="auto"/>
            </w:tcBorders>
          </w:tcPr>
          <w:p w:rsidR="00362BDC" w:rsidRPr="00F627B2" w:rsidRDefault="00362BDC" w:rsidP="00F627B2">
            <w:pPr>
              <w:spacing w:line="240" w:lineRule="auto"/>
              <w:rPr>
                <w:rFonts w:ascii="Lato" w:hAnsi="Lato"/>
                <w:szCs w:val="22"/>
              </w:rPr>
            </w:pPr>
            <w:r w:rsidRPr="00F627B2">
              <w:rPr>
                <w:rFonts w:ascii="Lato" w:hAnsi="Lato"/>
                <w:szCs w:val="22"/>
              </w:rPr>
              <w:t xml:space="preserve">A management company/general partner/investment </w:t>
            </w:r>
            <w:r w:rsidR="000E23B3" w:rsidRPr="00F627B2">
              <w:rPr>
                <w:rFonts w:ascii="Lato" w:hAnsi="Lato"/>
                <w:szCs w:val="22"/>
              </w:rPr>
              <w:t>company</w:t>
            </w:r>
            <w:r w:rsidR="00E60C57" w:rsidRPr="00F627B2">
              <w:rPr>
                <w:rFonts w:ascii="Lato" w:hAnsi="Lato"/>
                <w:szCs w:val="22"/>
              </w:rPr>
              <w:t>/ICAV</w:t>
            </w:r>
            <w:r w:rsidR="00E2618B" w:rsidRPr="00F627B2">
              <w:rPr>
                <w:rFonts w:ascii="Lato" w:hAnsi="Lato"/>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nil"/>
              <w:left w:val="nil"/>
              <w:bottom w:val="nil"/>
              <w:right w:val="nil"/>
            </w:tcBorders>
          </w:tcPr>
          <w:p w:rsidR="00362BDC" w:rsidRPr="00F627B2" w:rsidRDefault="004F01CA" w:rsidP="00E60C57">
            <w:pPr>
              <w:spacing w:line="240" w:lineRule="auto"/>
              <w:rPr>
                <w:rFonts w:ascii="Lato" w:hAnsi="Lato"/>
                <w:szCs w:val="22"/>
              </w:rPr>
            </w:pPr>
            <w:r w:rsidRPr="001E4A73">
              <w:rPr>
                <w:rFonts w:ascii="Lato" w:hAnsi="Lato"/>
                <w:szCs w:val="22"/>
              </w:rPr>
              <w:t xml:space="preserve">which </w:t>
            </w:r>
            <w:r w:rsidR="00E2618B" w:rsidRPr="00F627B2">
              <w:rPr>
                <w:rFonts w:ascii="Lato" w:hAnsi="Lato"/>
                <w:szCs w:val="22"/>
              </w:rPr>
              <w:t xml:space="preserve">temporarily suspends the calculation of the </w:t>
            </w:r>
            <w:r w:rsidR="00362BDC" w:rsidRPr="00F627B2">
              <w:rPr>
                <w:rFonts w:ascii="Lato" w:hAnsi="Lato"/>
                <w:szCs w:val="22"/>
              </w:rPr>
              <w:t>net asset value and repurchase or redemption of its units must inform the Central Bank immediately, and in any event within the working day on which such suspension took effect</w:t>
            </w:r>
          </w:p>
        </w:tc>
        <w:tc>
          <w:tcPr>
            <w:tcW w:w="992"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CF4050" w:rsidRPr="00F627B2" w:rsidRDefault="00CF4050">
            <w:pPr>
              <w:spacing w:line="240" w:lineRule="auto"/>
              <w:rPr>
                <w:rFonts w:ascii="Lato" w:hAnsi="Lato"/>
                <w:szCs w:val="22"/>
              </w:rPr>
            </w:pPr>
          </w:p>
        </w:tc>
        <w:tc>
          <w:tcPr>
            <w:tcW w:w="697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992"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362BDC" w:rsidRPr="00F627B2" w:rsidRDefault="00362BDC" w:rsidP="003C3E16">
            <w:pPr>
              <w:spacing w:line="240" w:lineRule="auto"/>
              <w:rPr>
                <w:rFonts w:ascii="Lato" w:hAnsi="Lato"/>
                <w:szCs w:val="22"/>
              </w:rPr>
            </w:pPr>
            <w:r w:rsidRPr="00F627B2">
              <w:rPr>
                <w:rFonts w:ascii="Lato" w:hAnsi="Lato"/>
                <w:szCs w:val="22"/>
              </w:rPr>
              <w:t>2.16</w:t>
            </w:r>
          </w:p>
        </w:tc>
        <w:tc>
          <w:tcPr>
            <w:tcW w:w="6974" w:type="dxa"/>
            <w:gridSpan w:val="2"/>
            <w:tcBorders>
              <w:top w:val="single" w:sz="4" w:space="0" w:color="auto"/>
              <w:left w:val="single" w:sz="4" w:space="0" w:color="auto"/>
              <w:bottom w:val="single" w:sz="4" w:space="0" w:color="auto"/>
              <w:right w:val="single" w:sz="4" w:space="0" w:color="auto"/>
            </w:tcBorders>
          </w:tcPr>
          <w:p w:rsidR="00362BDC" w:rsidRPr="00F627B2" w:rsidRDefault="00362BDC" w:rsidP="002A3446">
            <w:pPr>
              <w:pStyle w:val="Header"/>
              <w:tabs>
                <w:tab w:val="left" w:pos="720"/>
              </w:tabs>
              <w:spacing w:line="240" w:lineRule="auto"/>
              <w:rPr>
                <w:rFonts w:ascii="Lato" w:hAnsi="Lato"/>
                <w:szCs w:val="22"/>
              </w:rPr>
            </w:pPr>
            <w:r w:rsidRPr="00F627B2">
              <w:rPr>
                <w:rFonts w:ascii="Lato" w:hAnsi="Lato"/>
                <w:szCs w:val="22"/>
              </w:rPr>
              <w:t xml:space="preserve">Fees and Expenses </w:t>
            </w:r>
          </w:p>
        </w:tc>
        <w:tc>
          <w:tcPr>
            <w:tcW w:w="992" w:type="dxa"/>
            <w:gridSpan w:val="2"/>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992"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rsidP="003C3E16">
            <w:pPr>
              <w:spacing w:line="240" w:lineRule="auto"/>
              <w:ind w:left="-108"/>
              <w:rPr>
                <w:rFonts w:ascii="Lato" w:hAnsi="Lato"/>
                <w:szCs w:val="22"/>
              </w:rPr>
            </w:pPr>
            <w:r w:rsidRPr="00F627B2">
              <w:rPr>
                <w:rFonts w:ascii="Lato" w:hAnsi="Lato"/>
                <w:szCs w:val="22"/>
              </w:rPr>
              <w:t>2.16.1</w:t>
            </w:r>
          </w:p>
        </w:tc>
        <w:tc>
          <w:tcPr>
            <w:tcW w:w="6974" w:type="dxa"/>
            <w:gridSpan w:val="2"/>
            <w:tcBorders>
              <w:top w:val="nil"/>
              <w:left w:val="nil"/>
              <w:bottom w:val="nil"/>
              <w:right w:val="single" w:sz="4" w:space="0" w:color="auto"/>
            </w:tcBorders>
          </w:tcPr>
          <w:p w:rsidR="00362BDC" w:rsidRPr="00F627B2" w:rsidRDefault="00362BDC" w:rsidP="00166309">
            <w:pPr>
              <w:spacing w:line="240" w:lineRule="auto"/>
              <w:rPr>
                <w:rFonts w:ascii="Lato" w:hAnsi="Lato"/>
                <w:szCs w:val="22"/>
              </w:rPr>
            </w:pPr>
            <w:r w:rsidRPr="00F627B2">
              <w:rPr>
                <w:rFonts w:ascii="Lato" w:hAnsi="Lato"/>
                <w:szCs w:val="22"/>
              </w:rPr>
              <w:t xml:space="preserve">Insert a description of all fees, charges and expenses and of the </w:t>
            </w:r>
          </w:p>
        </w:tc>
        <w:tc>
          <w:tcPr>
            <w:tcW w:w="992"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nil"/>
              <w:left w:val="nil"/>
              <w:bottom w:val="nil"/>
              <w:right w:val="nil"/>
            </w:tcBorders>
          </w:tcPr>
          <w:p w:rsidR="00362BDC" w:rsidRPr="00F627B2" w:rsidRDefault="00362BDC">
            <w:pPr>
              <w:spacing w:line="240" w:lineRule="auto"/>
              <w:rPr>
                <w:rFonts w:ascii="Lato" w:hAnsi="Lato"/>
                <w:szCs w:val="22"/>
              </w:rPr>
            </w:pPr>
            <w:r w:rsidRPr="00F627B2">
              <w:rPr>
                <w:rFonts w:ascii="Lato" w:hAnsi="Lato"/>
                <w:szCs w:val="22"/>
              </w:rPr>
              <w:t>maximum amounts thereof which are directly or indirectly borne by unitholders</w:t>
            </w:r>
          </w:p>
        </w:tc>
        <w:tc>
          <w:tcPr>
            <w:tcW w:w="992"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RDefault="00362BDC">
            <w:pPr>
              <w:spacing w:line="240" w:lineRule="auto"/>
              <w:rPr>
                <w:rFonts w:ascii="Lato" w:hAnsi="Lato"/>
                <w:szCs w:val="22"/>
              </w:rPr>
            </w:pPr>
          </w:p>
        </w:tc>
        <w:tc>
          <w:tcPr>
            <w:tcW w:w="697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992"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F627B2"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F627B2"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362BDC" w:rsidRPr="00F627B2" w:rsidRDefault="00362BDC">
            <w:pPr>
              <w:spacing w:line="240" w:lineRule="auto"/>
              <w:rPr>
                <w:rFonts w:ascii="Lato" w:hAnsi="Lato"/>
                <w:szCs w:val="22"/>
              </w:rPr>
            </w:pPr>
          </w:p>
        </w:tc>
      </w:tr>
      <w:tr w:rsidR="00362BDC" w:rsidRPr="00F627B2" w:rsidTr="00F627B2">
        <w:trPr>
          <w:gridAfter w:val="2"/>
          <w:wAfter w:w="3800" w:type="dxa"/>
        </w:trPr>
        <w:tc>
          <w:tcPr>
            <w:tcW w:w="1107" w:type="dxa"/>
            <w:tcBorders>
              <w:top w:val="nil"/>
              <w:left w:val="nil"/>
              <w:bottom w:val="nil"/>
              <w:right w:val="nil"/>
            </w:tcBorders>
          </w:tcPr>
          <w:p w:rsidR="00362BDC" w:rsidRPr="00F627B2" w:rsidDel="003208E0" w:rsidRDefault="00362BDC" w:rsidP="003C3E16">
            <w:pPr>
              <w:spacing w:line="240" w:lineRule="auto"/>
              <w:ind w:left="-108"/>
              <w:rPr>
                <w:rFonts w:ascii="Lato" w:hAnsi="Lato"/>
                <w:szCs w:val="22"/>
              </w:rPr>
            </w:pPr>
            <w:r w:rsidRPr="00F627B2">
              <w:rPr>
                <w:rFonts w:ascii="Lato" w:hAnsi="Lato"/>
                <w:szCs w:val="22"/>
              </w:rPr>
              <w:t>2.16.</w:t>
            </w:r>
            <w:r w:rsidR="00CF4050" w:rsidRPr="00F627B2">
              <w:rPr>
                <w:rFonts w:ascii="Lato" w:hAnsi="Lato"/>
                <w:szCs w:val="22"/>
              </w:rPr>
              <w:t>2</w:t>
            </w:r>
          </w:p>
        </w:tc>
        <w:tc>
          <w:tcPr>
            <w:tcW w:w="6974" w:type="dxa"/>
            <w:gridSpan w:val="2"/>
            <w:tcBorders>
              <w:top w:val="nil"/>
              <w:left w:val="nil"/>
              <w:bottom w:val="nil"/>
              <w:right w:val="single" w:sz="4" w:space="0" w:color="auto"/>
            </w:tcBorders>
          </w:tcPr>
          <w:p w:rsidR="00362BDC" w:rsidRPr="00F627B2" w:rsidRDefault="00362BDC" w:rsidP="00F627B2">
            <w:pPr>
              <w:spacing w:line="240" w:lineRule="auto"/>
              <w:rPr>
                <w:rFonts w:ascii="Lato" w:hAnsi="Lato"/>
                <w:szCs w:val="22"/>
              </w:rPr>
            </w:pPr>
            <w:r w:rsidRPr="00F627B2">
              <w:rPr>
                <w:rFonts w:ascii="Lato" w:hAnsi="Lato"/>
                <w:szCs w:val="22"/>
              </w:rPr>
              <w:t xml:space="preserve">Disclose the manner, amount and calculation of remuneration </w:t>
            </w:r>
            <w:r w:rsidR="00E2618B" w:rsidRPr="00F627B2">
              <w:rPr>
                <w:rFonts w:ascii="Lato" w:hAnsi="Lato"/>
                <w:szCs w:val="22"/>
              </w:rPr>
              <w:t xml:space="preserve">payable </w:t>
            </w:r>
          </w:p>
        </w:tc>
        <w:tc>
          <w:tcPr>
            <w:tcW w:w="992"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F627B2"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F627B2"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F627B2" w:rsidRDefault="00362BDC">
            <w:pPr>
              <w:spacing w:line="240" w:lineRule="auto"/>
              <w:rPr>
                <w:rFonts w:ascii="Lato" w:hAnsi="Lato"/>
                <w:szCs w:val="22"/>
              </w:rPr>
            </w:pPr>
          </w:p>
        </w:tc>
        <w:tc>
          <w:tcPr>
            <w:tcW w:w="556" w:type="dxa"/>
            <w:gridSpan w:val="2"/>
            <w:tcBorders>
              <w:top w:val="nil"/>
              <w:left w:val="nil"/>
              <w:bottom w:val="nil"/>
              <w:right w:val="nil"/>
            </w:tcBorders>
          </w:tcPr>
          <w:p w:rsidR="00E2618B" w:rsidRPr="00F627B2" w:rsidRDefault="00E2618B">
            <w:pPr>
              <w:spacing w:line="240" w:lineRule="auto"/>
              <w:rPr>
                <w:rFonts w:ascii="Lato" w:hAnsi="Lato"/>
                <w:szCs w:val="22"/>
              </w:rPr>
            </w:pPr>
          </w:p>
        </w:tc>
      </w:tr>
      <w:tr w:rsidR="00E2618B" w:rsidRPr="00F627B2" w:rsidTr="00F627B2">
        <w:trPr>
          <w:gridAfter w:val="2"/>
          <w:wAfter w:w="3800" w:type="dxa"/>
        </w:trPr>
        <w:tc>
          <w:tcPr>
            <w:tcW w:w="1107" w:type="dxa"/>
            <w:tcBorders>
              <w:top w:val="nil"/>
              <w:left w:val="nil"/>
              <w:bottom w:val="nil"/>
              <w:right w:val="nil"/>
            </w:tcBorders>
          </w:tcPr>
          <w:p w:rsidR="00E2618B" w:rsidRPr="00F627B2" w:rsidRDefault="00E2618B" w:rsidP="003C3E16">
            <w:pPr>
              <w:spacing w:line="240" w:lineRule="auto"/>
              <w:ind w:left="-108"/>
              <w:rPr>
                <w:rFonts w:ascii="Lato" w:hAnsi="Lato"/>
                <w:szCs w:val="22"/>
              </w:rPr>
            </w:pPr>
          </w:p>
        </w:tc>
        <w:tc>
          <w:tcPr>
            <w:tcW w:w="6974" w:type="dxa"/>
            <w:gridSpan w:val="2"/>
            <w:tcBorders>
              <w:top w:val="nil"/>
              <w:left w:val="nil"/>
              <w:bottom w:val="nil"/>
              <w:right w:val="nil"/>
            </w:tcBorders>
          </w:tcPr>
          <w:p w:rsidR="00E2618B" w:rsidRPr="00F627B2" w:rsidRDefault="004F01CA" w:rsidP="003208E0">
            <w:pPr>
              <w:spacing w:line="240" w:lineRule="auto"/>
              <w:rPr>
                <w:rFonts w:ascii="Lato" w:hAnsi="Lato"/>
                <w:szCs w:val="22"/>
              </w:rPr>
            </w:pPr>
            <w:r w:rsidRPr="001E4A73">
              <w:rPr>
                <w:rFonts w:ascii="Lato" w:hAnsi="Lato"/>
                <w:szCs w:val="22"/>
              </w:rPr>
              <w:t>by</w:t>
            </w:r>
            <w:r w:rsidRPr="00F627B2">
              <w:rPr>
                <w:rFonts w:ascii="Lato" w:hAnsi="Lato"/>
                <w:szCs w:val="22"/>
              </w:rPr>
              <w:t xml:space="preserve"> </w:t>
            </w:r>
            <w:r w:rsidR="00E2618B" w:rsidRPr="00F627B2">
              <w:rPr>
                <w:rFonts w:ascii="Lato" w:hAnsi="Lato"/>
                <w:szCs w:val="22"/>
              </w:rPr>
              <w:t>the Retail Investor AIF to the management company, directors of the investment company, ICAV, general partners, the depositary or third parties, and reimbursement of costs by the Retail Investor AIF to the management company, directors of the investment company/ICAV, general partners, the depositary or to third parties</w:t>
            </w:r>
          </w:p>
        </w:tc>
        <w:tc>
          <w:tcPr>
            <w:tcW w:w="992" w:type="dxa"/>
            <w:gridSpan w:val="2"/>
            <w:tcBorders>
              <w:top w:val="single" w:sz="4" w:space="0" w:color="auto"/>
              <w:left w:val="nil"/>
              <w:bottom w:val="nil"/>
              <w:right w:val="nil"/>
            </w:tcBorders>
          </w:tcPr>
          <w:p w:rsidR="00E2618B" w:rsidRPr="00F627B2" w:rsidRDefault="00E2618B">
            <w:pPr>
              <w:spacing w:line="240" w:lineRule="auto"/>
              <w:rPr>
                <w:rFonts w:ascii="Lato" w:hAnsi="Lato"/>
                <w:szCs w:val="22"/>
              </w:rPr>
            </w:pPr>
          </w:p>
        </w:tc>
        <w:tc>
          <w:tcPr>
            <w:tcW w:w="236"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709" w:type="dxa"/>
            <w:gridSpan w:val="3"/>
            <w:tcBorders>
              <w:top w:val="single" w:sz="4" w:space="0" w:color="auto"/>
              <w:left w:val="nil"/>
              <w:bottom w:val="nil"/>
              <w:right w:val="nil"/>
            </w:tcBorders>
          </w:tcPr>
          <w:p w:rsidR="00E2618B" w:rsidRPr="00F627B2" w:rsidRDefault="00E2618B">
            <w:pPr>
              <w:spacing w:line="240" w:lineRule="auto"/>
              <w:rPr>
                <w:rFonts w:ascii="Lato" w:hAnsi="Lato"/>
                <w:szCs w:val="22"/>
              </w:rPr>
            </w:pPr>
          </w:p>
        </w:tc>
        <w:tc>
          <w:tcPr>
            <w:tcW w:w="264"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455" w:type="dxa"/>
            <w:gridSpan w:val="2"/>
            <w:tcBorders>
              <w:top w:val="single" w:sz="4" w:space="0" w:color="auto"/>
              <w:left w:val="nil"/>
              <w:bottom w:val="nil"/>
              <w:right w:val="nil"/>
            </w:tcBorders>
          </w:tcPr>
          <w:p w:rsidR="00E2618B" w:rsidRPr="00F627B2" w:rsidRDefault="00E2618B">
            <w:pPr>
              <w:spacing w:line="240" w:lineRule="auto"/>
              <w:rPr>
                <w:rFonts w:ascii="Lato" w:hAnsi="Lato"/>
                <w:szCs w:val="22"/>
              </w:rPr>
            </w:pPr>
          </w:p>
        </w:tc>
        <w:tc>
          <w:tcPr>
            <w:tcW w:w="264" w:type="dxa"/>
            <w:gridSpan w:val="4"/>
            <w:tcBorders>
              <w:top w:val="nil"/>
              <w:left w:val="nil"/>
              <w:bottom w:val="nil"/>
              <w:right w:val="nil"/>
            </w:tcBorders>
          </w:tcPr>
          <w:p w:rsidR="00E2618B" w:rsidRPr="00F627B2" w:rsidRDefault="00E2618B">
            <w:pPr>
              <w:spacing w:line="240" w:lineRule="auto"/>
              <w:rPr>
                <w:rFonts w:ascii="Lato" w:hAnsi="Lato"/>
                <w:szCs w:val="22"/>
              </w:rPr>
            </w:pPr>
          </w:p>
        </w:tc>
        <w:tc>
          <w:tcPr>
            <w:tcW w:w="556" w:type="dxa"/>
            <w:gridSpan w:val="2"/>
            <w:tcBorders>
              <w:top w:val="nil"/>
              <w:left w:val="nil"/>
              <w:bottom w:val="nil"/>
              <w:right w:val="nil"/>
            </w:tcBorders>
          </w:tcPr>
          <w:p w:rsidR="00E2618B" w:rsidRPr="00F627B2" w:rsidRDefault="00E2618B">
            <w:pPr>
              <w:spacing w:line="240" w:lineRule="auto"/>
              <w:rPr>
                <w:rFonts w:ascii="Lato" w:hAnsi="Lato"/>
                <w:szCs w:val="22"/>
              </w:rPr>
            </w:pPr>
          </w:p>
        </w:tc>
      </w:tr>
      <w:tr w:rsidR="00E2618B" w:rsidRPr="00F627B2" w:rsidTr="00F627B2">
        <w:trPr>
          <w:gridAfter w:val="2"/>
          <w:wAfter w:w="3800" w:type="dxa"/>
        </w:trPr>
        <w:tc>
          <w:tcPr>
            <w:tcW w:w="1107" w:type="dxa"/>
            <w:tcBorders>
              <w:top w:val="nil"/>
              <w:left w:val="nil"/>
              <w:bottom w:val="nil"/>
              <w:right w:val="nil"/>
            </w:tcBorders>
          </w:tcPr>
          <w:p w:rsidR="00E2618B" w:rsidRPr="00F627B2" w:rsidRDefault="00E2618B" w:rsidP="003C3E16">
            <w:pPr>
              <w:spacing w:line="240" w:lineRule="auto"/>
              <w:ind w:left="-108"/>
              <w:rPr>
                <w:rFonts w:ascii="Lato" w:hAnsi="Lato"/>
                <w:szCs w:val="22"/>
              </w:rPr>
            </w:pPr>
          </w:p>
        </w:tc>
        <w:tc>
          <w:tcPr>
            <w:tcW w:w="6974" w:type="dxa"/>
            <w:gridSpan w:val="2"/>
            <w:tcBorders>
              <w:top w:val="nil"/>
              <w:left w:val="nil"/>
              <w:bottom w:val="nil"/>
              <w:right w:val="nil"/>
            </w:tcBorders>
          </w:tcPr>
          <w:p w:rsidR="00E2618B" w:rsidRPr="00F627B2" w:rsidRDefault="00E2618B" w:rsidP="003208E0">
            <w:pPr>
              <w:spacing w:line="240" w:lineRule="auto"/>
              <w:rPr>
                <w:rFonts w:ascii="Lato" w:hAnsi="Lato"/>
                <w:szCs w:val="22"/>
              </w:rPr>
            </w:pPr>
          </w:p>
        </w:tc>
        <w:tc>
          <w:tcPr>
            <w:tcW w:w="992" w:type="dxa"/>
            <w:gridSpan w:val="2"/>
            <w:tcBorders>
              <w:top w:val="nil"/>
              <w:left w:val="nil"/>
              <w:bottom w:val="single" w:sz="4" w:space="0" w:color="auto"/>
              <w:right w:val="nil"/>
            </w:tcBorders>
          </w:tcPr>
          <w:p w:rsidR="00E2618B" w:rsidRPr="00F627B2" w:rsidRDefault="00E2618B">
            <w:pPr>
              <w:spacing w:line="240" w:lineRule="auto"/>
              <w:rPr>
                <w:rFonts w:ascii="Lato" w:hAnsi="Lato"/>
                <w:szCs w:val="22"/>
              </w:rPr>
            </w:pPr>
          </w:p>
        </w:tc>
        <w:tc>
          <w:tcPr>
            <w:tcW w:w="236"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709" w:type="dxa"/>
            <w:gridSpan w:val="3"/>
            <w:tcBorders>
              <w:top w:val="nil"/>
              <w:left w:val="nil"/>
              <w:bottom w:val="single" w:sz="4" w:space="0" w:color="auto"/>
              <w:right w:val="nil"/>
            </w:tcBorders>
          </w:tcPr>
          <w:p w:rsidR="00E2618B" w:rsidRPr="00F627B2" w:rsidRDefault="00E2618B">
            <w:pPr>
              <w:spacing w:line="240" w:lineRule="auto"/>
              <w:rPr>
                <w:rFonts w:ascii="Lato" w:hAnsi="Lato"/>
                <w:szCs w:val="22"/>
              </w:rPr>
            </w:pPr>
          </w:p>
        </w:tc>
        <w:tc>
          <w:tcPr>
            <w:tcW w:w="264"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455" w:type="dxa"/>
            <w:gridSpan w:val="2"/>
            <w:tcBorders>
              <w:top w:val="nil"/>
              <w:left w:val="nil"/>
              <w:bottom w:val="single" w:sz="4" w:space="0" w:color="auto"/>
              <w:right w:val="nil"/>
            </w:tcBorders>
          </w:tcPr>
          <w:p w:rsidR="00E2618B" w:rsidRPr="00F627B2" w:rsidRDefault="00E2618B">
            <w:pPr>
              <w:spacing w:line="240" w:lineRule="auto"/>
              <w:rPr>
                <w:rFonts w:ascii="Lato" w:hAnsi="Lato"/>
                <w:szCs w:val="22"/>
              </w:rPr>
            </w:pPr>
          </w:p>
        </w:tc>
        <w:tc>
          <w:tcPr>
            <w:tcW w:w="264" w:type="dxa"/>
            <w:gridSpan w:val="4"/>
            <w:tcBorders>
              <w:top w:val="nil"/>
              <w:left w:val="nil"/>
              <w:bottom w:val="nil"/>
              <w:right w:val="nil"/>
            </w:tcBorders>
          </w:tcPr>
          <w:p w:rsidR="00E2618B" w:rsidRPr="00F627B2" w:rsidRDefault="00E2618B">
            <w:pPr>
              <w:spacing w:line="240" w:lineRule="auto"/>
              <w:rPr>
                <w:rFonts w:ascii="Lato" w:hAnsi="Lato"/>
                <w:szCs w:val="22"/>
              </w:rPr>
            </w:pPr>
          </w:p>
        </w:tc>
        <w:tc>
          <w:tcPr>
            <w:tcW w:w="556" w:type="dxa"/>
            <w:gridSpan w:val="2"/>
            <w:tcBorders>
              <w:top w:val="nil"/>
              <w:left w:val="nil"/>
              <w:bottom w:val="nil"/>
              <w:right w:val="nil"/>
            </w:tcBorders>
          </w:tcPr>
          <w:p w:rsidR="00E2618B" w:rsidRPr="00F627B2" w:rsidRDefault="00E2618B">
            <w:pPr>
              <w:spacing w:line="240" w:lineRule="auto"/>
              <w:rPr>
                <w:rFonts w:ascii="Lato" w:hAnsi="Lato"/>
                <w:szCs w:val="22"/>
              </w:rPr>
            </w:pPr>
          </w:p>
        </w:tc>
      </w:tr>
      <w:tr w:rsidR="00E2618B" w:rsidRPr="00F627B2" w:rsidTr="00F627B2">
        <w:trPr>
          <w:gridAfter w:val="2"/>
          <w:wAfter w:w="3800" w:type="dxa"/>
        </w:trPr>
        <w:tc>
          <w:tcPr>
            <w:tcW w:w="1107" w:type="dxa"/>
            <w:tcBorders>
              <w:top w:val="nil"/>
              <w:left w:val="nil"/>
              <w:bottom w:val="nil"/>
              <w:right w:val="nil"/>
            </w:tcBorders>
          </w:tcPr>
          <w:p w:rsidR="00E2618B" w:rsidRPr="00F627B2" w:rsidDel="003208E0" w:rsidRDefault="00E2618B" w:rsidP="00E2618B">
            <w:pPr>
              <w:spacing w:line="240" w:lineRule="auto"/>
              <w:ind w:left="-108"/>
              <w:rPr>
                <w:rFonts w:ascii="Lato" w:hAnsi="Lato"/>
                <w:szCs w:val="22"/>
              </w:rPr>
            </w:pPr>
            <w:r w:rsidRPr="00F627B2">
              <w:rPr>
                <w:rFonts w:ascii="Lato" w:hAnsi="Lato"/>
                <w:szCs w:val="22"/>
              </w:rPr>
              <w:t>2.16.3</w:t>
            </w:r>
          </w:p>
        </w:tc>
        <w:tc>
          <w:tcPr>
            <w:tcW w:w="6974" w:type="dxa"/>
            <w:gridSpan w:val="2"/>
            <w:tcBorders>
              <w:top w:val="nil"/>
              <w:left w:val="nil"/>
              <w:bottom w:val="nil"/>
              <w:right w:val="single" w:sz="4" w:space="0" w:color="auto"/>
            </w:tcBorders>
          </w:tcPr>
          <w:p w:rsidR="00E2618B" w:rsidRPr="00F627B2" w:rsidRDefault="00E2618B" w:rsidP="00E2618B">
            <w:pPr>
              <w:spacing w:line="240" w:lineRule="auto"/>
              <w:rPr>
                <w:rFonts w:ascii="Lato" w:hAnsi="Lato"/>
                <w:szCs w:val="22"/>
              </w:rPr>
            </w:pPr>
            <w:r w:rsidRPr="00F627B2">
              <w:rPr>
                <w:rFonts w:ascii="Lato" w:hAnsi="Lato"/>
                <w:szCs w:val="22"/>
              </w:rPr>
              <w:t xml:space="preserve">Insert a description of the AIFM’s remuneration policies and practices </w:t>
            </w:r>
          </w:p>
        </w:tc>
        <w:tc>
          <w:tcPr>
            <w:tcW w:w="992" w:type="dxa"/>
            <w:gridSpan w:val="2"/>
            <w:tcBorders>
              <w:top w:val="single" w:sz="4" w:space="0" w:color="auto"/>
              <w:left w:val="single" w:sz="4" w:space="0" w:color="auto"/>
              <w:bottom w:val="single" w:sz="4" w:space="0" w:color="auto"/>
              <w:right w:val="single" w:sz="4" w:space="0" w:color="auto"/>
            </w:tcBorders>
          </w:tcPr>
          <w:p w:rsidR="00E2618B" w:rsidRPr="00F627B2" w:rsidRDefault="00E2618B" w:rsidP="00E2618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E2618B" w:rsidRPr="00F627B2" w:rsidRDefault="00E2618B" w:rsidP="00E2618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E2618B" w:rsidRPr="00F627B2" w:rsidRDefault="00E2618B" w:rsidP="00E2618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E2618B" w:rsidRPr="00F627B2" w:rsidRDefault="00E2618B" w:rsidP="00E2618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E2618B" w:rsidRPr="00F627B2" w:rsidRDefault="00E2618B" w:rsidP="00E2618B">
            <w:pPr>
              <w:spacing w:line="240" w:lineRule="auto"/>
              <w:rPr>
                <w:rFonts w:ascii="Lato" w:hAnsi="Lato"/>
                <w:szCs w:val="22"/>
              </w:rPr>
            </w:pPr>
          </w:p>
        </w:tc>
        <w:tc>
          <w:tcPr>
            <w:tcW w:w="264" w:type="dxa"/>
            <w:gridSpan w:val="4"/>
            <w:tcBorders>
              <w:top w:val="nil"/>
              <w:left w:val="single" w:sz="4" w:space="0" w:color="auto"/>
              <w:bottom w:val="nil"/>
              <w:right w:val="nil"/>
            </w:tcBorders>
          </w:tcPr>
          <w:p w:rsidR="00E2618B" w:rsidRPr="00F627B2" w:rsidRDefault="00E2618B" w:rsidP="00E2618B">
            <w:pPr>
              <w:spacing w:line="240" w:lineRule="auto"/>
              <w:rPr>
                <w:rFonts w:ascii="Lato" w:hAnsi="Lato"/>
                <w:szCs w:val="22"/>
              </w:rPr>
            </w:pPr>
          </w:p>
        </w:tc>
        <w:tc>
          <w:tcPr>
            <w:tcW w:w="55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r>
      <w:tr w:rsidR="00E2618B" w:rsidRPr="00F627B2" w:rsidTr="00F627B2">
        <w:trPr>
          <w:gridAfter w:val="2"/>
          <w:wAfter w:w="3800" w:type="dxa"/>
        </w:trPr>
        <w:tc>
          <w:tcPr>
            <w:tcW w:w="1107" w:type="dxa"/>
            <w:tcBorders>
              <w:top w:val="nil"/>
              <w:left w:val="nil"/>
              <w:bottom w:val="nil"/>
              <w:right w:val="nil"/>
            </w:tcBorders>
          </w:tcPr>
          <w:p w:rsidR="00E2618B" w:rsidRPr="00F627B2" w:rsidDel="003208E0" w:rsidRDefault="00E2618B" w:rsidP="00E2618B">
            <w:pPr>
              <w:spacing w:line="240" w:lineRule="auto"/>
              <w:ind w:left="-108"/>
              <w:rPr>
                <w:rFonts w:ascii="Lato" w:hAnsi="Lato"/>
                <w:szCs w:val="22"/>
              </w:rPr>
            </w:pPr>
          </w:p>
        </w:tc>
        <w:tc>
          <w:tcPr>
            <w:tcW w:w="6974"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r w:rsidRPr="00F627B2">
              <w:rPr>
                <w:rFonts w:ascii="Lato" w:hAnsi="Lato"/>
                <w:szCs w:val="22"/>
              </w:rPr>
              <w:t>pursuant to Regulation 14</w:t>
            </w:r>
          </w:p>
        </w:tc>
        <w:tc>
          <w:tcPr>
            <w:tcW w:w="992" w:type="dxa"/>
            <w:gridSpan w:val="2"/>
            <w:tcBorders>
              <w:top w:val="single" w:sz="4" w:space="0" w:color="auto"/>
              <w:left w:val="nil"/>
              <w:bottom w:val="nil"/>
              <w:right w:val="nil"/>
            </w:tcBorders>
          </w:tcPr>
          <w:p w:rsidR="00E2618B" w:rsidRPr="00F627B2" w:rsidRDefault="00E2618B" w:rsidP="00E2618B">
            <w:pPr>
              <w:spacing w:line="240" w:lineRule="auto"/>
              <w:rPr>
                <w:rFonts w:ascii="Lato" w:hAnsi="Lato"/>
                <w:szCs w:val="22"/>
              </w:rPr>
            </w:pPr>
          </w:p>
        </w:tc>
        <w:tc>
          <w:tcPr>
            <w:tcW w:w="23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709" w:type="dxa"/>
            <w:gridSpan w:val="3"/>
            <w:tcBorders>
              <w:top w:val="single" w:sz="4" w:space="0" w:color="auto"/>
              <w:left w:val="nil"/>
              <w:bottom w:val="nil"/>
              <w:right w:val="nil"/>
            </w:tcBorders>
          </w:tcPr>
          <w:p w:rsidR="00E2618B" w:rsidRPr="00F627B2" w:rsidRDefault="00E2618B" w:rsidP="00E2618B">
            <w:pPr>
              <w:spacing w:line="240" w:lineRule="auto"/>
              <w:rPr>
                <w:rFonts w:ascii="Lato" w:hAnsi="Lato"/>
                <w:szCs w:val="22"/>
              </w:rPr>
            </w:pPr>
          </w:p>
        </w:tc>
        <w:tc>
          <w:tcPr>
            <w:tcW w:w="264"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455" w:type="dxa"/>
            <w:gridSpan w:val="2"/>
            <w:tcBorders>
              <w:top w:val="single" w:sz="4" w:space="0" w:color="auto"/>
              <w:left w:val="nil"/>
              <w:bottom w:val="nil"/>
              <w:right w:val="nil"/>
            </w:tcBorders>
          </w:tcPr>
          <w:p w:rsidR="00E2618B" w:rsidRPr="00F627B2" w:rsidRDefault="00E2618B" w:rsidP="00E2618B">
            <w:pPr>
              <w:spacing w:line="240" w:lineRule="auto"/>
              <w:rPr>
                <w:rFonts w:ascii="Lato" w:hAnsi="Lato"/>
                <w:szCs w:val="22"/>
              </w:rPr>
            </w:pPr>
          </w:p>
        </w:tc>
        <w:tc>
          <w:tcPr>
            <w:tcW w:w="264" w:type="dxa"/>
            <w:gridSpan w:val="4"/>
            <w:tcBorders>
              <w:top w:val="nil"/>
              <w:left w:val="nil"/>
              <w:bottom w:val="nil"/>
              <w:right w:val="nil"/>
            </w:tcBorders>
          </w:tcPr>
          <w:p w:rsidR="00E2618B" w:rsidRPr="00F627B2" w:rsidRDefault="00E2618B" w:rsidP="00E2618B">
            <w:pPr>
              <w:spacing w:line="240" w:lineRule="auto"/>
              <w:rPr>
                <w:rFonts w:ascii="Lato" w:hAnsi="Lato"/>
                <w:szCs w:val="22"/>
              </w:rPr>
            </w:pPr>
          </w:p>
        </w:tc>
        <w:tc>
          <w:tcPr>
            <w:tcW w:w="55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r>
      <w:tr w:rsidR="00E2618B" w:rsidRPr="00F627B2" w:rsidTr="00F627B2">
        <w:trPr>
          <w:gridAfter w:val="2"/>
          <w:wAfter w:w="3800" w:type="dxa"/>
        </w:trPr>
        <w:tc>
          <w:tcPr>
            <w:tcW w:w="1107" w:type="dxa"/>
            <w:tcBorders>
              <w:top w:val="nil"/>
              <w:left w:val="nil"/>
              <w:bottom w:val="nil"/>
              <w:right w:val="nil"/>
            </w:tcBorders>
          </w:tcPr>
          <w:p w:rsidR="00E2618B" w:rsidRPr="00F627B2" w:rsidDel="003208E0" w:rsidRDefault="00E2618B" w:rsidP="00E2618B">
            <w:pPr>
              <w:spacing w:line="240" w:lineRule="auto"/>
              <w:ind w:left="-108"/>
              <w:rPr>
                <w:rFonts w:ascii="Lato" w:hAnsi="Lato"/>
                <w:szCs w:val="22"/>
              </w:rPr>
            </w:pPr>
          </w:p>
        </w:tc>
        <w:tc>
          <w:tcPr>
            <w:tcW w:w="6974"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992" w:type="dxa"/>
            <w:gridSpan w:val="2"/>
            <w:tcBorders>
              <w:top w:val="nil"/>
              <w:left w:val="nil"/>
              <w:bottom w:val="single" w:sz="4" w:space="0" w:color="auto"/>
              <w:right w:val="nil"/>
            </w:tcBorders>
          </w:tcPr>
          <w:p w:rsidR="00E2618B" w:rsidRPr="00F627B2" w:rsidRDefault="00E2618B" w:rsidP="00E2618B">
            <w:pPr>
              <w:spacing w:line="240" w:lineRule="auto"/>
              <w:rPr>
                <w:rFonts w:ascii="Lato" w:hAnsi="Lato"/>
                <w:szCs w:val="22"/>
              </w:rPr>
            </w:pPr>
          </w:p>
        </w:tc>
        <w:tc>
          <w:tcPr>
            <w:tcW w:w="23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709" w:type="dxa"/>
            <w:gridSpan w:val="3"/>
            <w:tcBorders>
              <w:top w:val="nil"/>
              <w:left w:val="nil"/>
              <w:bottom w:val="single" w:sz="4" w:space="0" w:color="auto"/>
              <w:right w:val="nil"/>
            </w:tcBorders>
          </w:tcPr>
          <w:p w:rsidR="00E2618B" w:rsidRPr="00F627B2" w:rsidRDefault="00E2618B" w:rsidP="00E2618B">
            <w:pPr>
              <w:spacing w:line="240" w:lineRule="auto"/>
              <w:rPr>
                <w:rFonts w:ascii="Lato" w:hAnsi="Lato"/>
                <w:szCs w:val="22"/>
              </w:rPr>
            </w:pPr>
          </w:p>
        </w:tc>
        <w:tc>
          <w:tcPr>
            <w:tcW w:w="264"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455" w:type="dxa"/>
            <w:gridSpan w:val="2"/>
            <w:tcBorders>
              <w:top w:val="nil"/>
              <w:left w:val="nil"/>
              <w:bottom w:val="single" w:sz="4" w:space="0" w:color="auto"/>
              <w:right w:val="nil"/>
            </w:tcBorders>
          </w:tcPr>
          <w:p w:rsidR="00E2618B" w:rsidRPr="00F627B2" w:rsidRDefault="00E2618B" w:rsidP="00E2618B">
            <w:pPr>
              <w:spacing w:line="240" w:lineRule="auto"/>
              <w:rPr>
                <w:rFonts w:ascii="Lato" w:hAnsi="Lato"/>
                <w:szCs w:val="22"/>
              </w:rPr>
            </w:pPr>
          </w:p>
        </w:tc>
        <w:tc>
          <w:tcPr>
            <w:tcW w:w="264" w:type="dxa"/>
            <w:gridSpan w:val="4"/>
            <w:tcBorders>
              <w:top w:val="nil"/>
              <w:left w:val="nil"/>
              <w:bottom w:val="nil"/>
              <w:right w:val="nil"/>
            </w:tcBorders>
          </w:tcPr>
          <w:p w:rsidR="00E2618B" w:rsidRPr="00F627B2" w:rsidRDefault="00E2618B" w:rsidP="00E2618B">
            <w:pPr>
              <w:spacing w:line="240" w:lineRule="auto"/>
              <w:rPr>
                <w:rFonts w:ascii="Lato" w:hAnsi="Lato"/>
                <w:szCs w:val="22"/>
              </w:rPr>
            </w:pPr>
          </w:p>
        </w:tc>
        <w:tc>
          <w:tcPr>
            <w:tcW w:w="55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r>
      <w:tr w:rsidR="00E2618B" w:rsidRPr="00F627B2" w:rsidTr="00F627B2">
        <w:trPr>
          <w:gridAfter w:val="2"/>
          <w:wAfter w:w="3800" w:type="dxa"/>
        </w:trPr>
        <w:tc>
          <w:tcPr>
            <w:tcW w:w="1107" w:type="dxa"/>
            <w:tcBorders>
              <w:top w:val="nil"/>
              <w:left w:val="nil"/>
              <w:bottom w:val="nil"/>
              <w:right w:val="nil"/>
            </w:tcBorders>
          </w:tcPr>
          <w:p w:rsidR="00E2618B" w:rsidRPr="00F627B2" w:rsidRDefault="00E2618B" w:rsidP="00E2618B">
            <w:pPr>
              <w:spacing w:line="240" w:lineRule="auto"/>
              <w:ind w:left="-108"/>
              <w:rPr>
                <w:rFonts w:ascii="Lato" w:hAnsi="Lato"/>
                <w:szCs w:val="22"/>
              </w:rPr>
            </w:pPr>
            <w:r w:rsidRPr="00F627B2">
              <w:rPr>
                <w:rFonts w:ascii="Lato" w:hAnsi="Lato"/>
                <w:szCs w:val="22"/>
              </w:rPr>
              <w:t>2.16.4</w:t>
            </w:r>
          </w:p>
        </w:tc>
        <w:tc>
          <w:tcPr>
            <w:tcW w:w="6974" w:type="dxa"/>
            <w:gridSpan w:val="2"/>
            <w:tcBorders>
              <w:top w:val="nil"/>
              <w:left w:val="nil"/>
              <w:bottom w:val="nil"/>
              <w:right w:val="single" w:sz="4" w:space="0" w:color="auto"/>
            </w:tcBorders>
          </w:tcPr>
          <w:p w:rsidR="00E2618B" w:rsidRPr="00F627B2" w:rsidRDefault="00E2618B" w:rsidP="00E2618B">
            <w:pPr>
              <w:spacing w:line="240" w:lineRule="auto"/>
              <w:rPr>
                <w:rFonts w:ascii="Lato" w:hAnsi="Lato"/>
                <w:szCs w:val="22"/>
              </w:rPr>
            </w:pPr>
            <w:r w:rsidRPr="00F627B2">
              <w:rPr>
                <w:rFonts w:ascii="Lato" w:hAnsi="Lato"/>
                <w:szCs w:val="22"/>
              </w:rPr>
              <w:t xml:space="preserve">Insert details of how each service providers/directors fees are </w:t>
            </w:r>
          </w:p>
        </w:tc>
        <w:tc>
          <w:tcPr>
            <w:tcW w:w="992" w:type="dxa"/>
            <w:gridSpan w:val="2"/>
            <w:tcBorders>
              <w:top w:val="single" w:sz="4" w:space="0" w:color="auto"/>
              <w:left w:val="single" w:sz="4" w:space="0" w:color="auto"/>
              <w:bottom w:val="single" w:sz="4" w:space="0" w:color="auto"/>
              <w:right w:val="single" w:sz="4" w:space="0" w:color="auto"/>
            </w:tcBorders>
          </w:tcPr>
          <w:p w:rsidR="00E2618B" w:rsidRPr="00F627B2" w:rsidRDefault="00E2618B" w:rsidP="00E2618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E2618B" w:rsidRPr="00F627B2" w:rsidRDefault="00E2618B" w:rsidP="00E2618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E2618B" w:rsidRPr="00F627B2" w:rsidRDefault="00E2618B" w:rsidP="00E2618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E2618B" w:rsidRPr="00F627B2" w:rsidRDefault="00E2618B" w:rsidP="00E2618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E2618B" w:rsidRPr="00F627B2" w:rsidRDefault="00E2618B" w:rsidP="00E2618B">
            <w:pPr>
              <w:spacing w:line="240" w:lineRule="auto"/>
              <w:rPr>
                <w:rFonts w:ascii="Lato" w:hAnsi="Lato"/>
                <w:szCs w:val="22"/>
              </w:rPr>
            </w:pPr>
          </w:p>
        </w:tc>
        <w:tc>
          <w:tcPr>
            <w:tcW w:w="264" w:type="dxa"/>
            <w:gridSpan w:val="4"/>
            <w:tcBorders>
              <w:top w:val="nil"/>
              <w:left w:val="single" w:sz="4" w:space="0" w:color="auto"/>
              <w:bottom w:val="nil"/>
              <w:right w:val="nil"/>
            </w:tcBorders>
          </w:tcPr>
          <w:p w:rsidR="00E2618B" w:rsidRPr="00F627B2" w:rsidRDefault="00E2618B" w:rsidP="00E2618B">
            <w:pPr>
              <w:spacing w:line="240" w:lineRule="auto"/>
              <w:rPr>
                <w:rFonts w:ascii="Lato" w:hAnsi="Lato"/>
                <w:szCs w:val="22"/>
              </w:rPr>
            </w:pPr>
          </w:p>
        </w:tc>
        <w:tc>
          <w:tcPr>
            <w:tcW w:w="55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r>
      <w:tr w:rsidR="00E2618B" w:rsidRPr="00F627B2" w:rsidTr="00F627B2">
        <w:trPr>
          <w:gridAfter w:val="2"/>
          <w:wAfter w:w="3800" w:type="dxa"/>
        </w:trPr>
        <w:tc>
          <w:tcPr>
            <w:tcW w:w="1107" w:type="dxa"/>
            <w:tcBorders>
              <w:top w:val="nil"/>
              <w:left w:val="nil"/>
              <w:bottom w:val="nil"/>
              <w:right w:val="nil"/>
            </w:tcBorders>
          </w:tcPr>
          <w:p w:rsidR="00E2618B" w:rsidRPr="00F627B2" w:rsidRDefault="00E2618B" w:rsidP="00E2618B">
            <w:pPr>
              <w:spacing w:line="240" w:lineRule="auto"/>
              <w:ind w:left="-108"/>
              <w:rPr>
                <w:rFonts w:ascii="Lato" w:hAnsi="Lato"/>
                <w:szCs w:val="22"/>
              </w:rPr>
            </w:pPr>
          </w:p>
        </w:tc>
        <w:tc>
          <w:tcPr>
            <w:tcW w:w="6974"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r w:rsidRPr="00F627B2">
              <w:rPr>
                <w:rFonts w:ascii="Lato" w:hAnsi="Lato"/>
                <w:szCs w:val="22"/>
              </w:rPr>
              <w:t>accrued and paid (i.e. daily, weekly, monthly in arrears)</w:t>
            </w:r>
          </w:p>
        </w:tc>
        <w:tc>
          <w:tcPr>
            <w:tcW w:w="992" w:type="dxa"/>
            <w:gridSpan w:val="2"/>
            <w:tcBorders>
              <w:top w:val="single" w:sz="4" w:space="0" w:color="auto"/>
              <w:left w:val="nil"/>
              <w:bottom w:val="nil"/>
              <w:right w:val="nil"/>
            </w:tcBorders>
          </w:tcPr>
          <w:p w:rsidR="00E2618B" w:rsidRPr="00F627B2" w:rsidRDefault="00E2618B" w:rsidP="00E2618B">
            <w:pPr>
              <w:spacing w:line="240" w:lineRule="auto"/>
              <w:rPr>
                <w:rFonts w:ascii="Lato" w:hAnsi="Lato"/>
                <w:szCs w:val="22"/>
              </w:rPr>
            </w:pPr>
          </w:p>
        </w:tc>
        <w:tc>
          <w:tcPr>
            <w:tcW w:w="23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709" w:type="dxa"/>
            <w:gridSpan w:val="3"/>
            <w:tcBorders>
              <w:top w:val="single" w:sz="4" w:space="0" w:color="auto"/>
              <w:left w:val="nil"/>
              <w:bottom w:val="nil"/>
              <w:right w:val="nil"/>
            </w:tcBorders>
          </w:tcPr>
          <w:p w:rsidR="00E2618B" w:rsidRPr="00F627B2" w:rsidRDefault="00E2618B" w:rsidP="00E2618B">
            <w:pPr>
              <w:spacing w:line="240" w:lineRule="auto"/>
              <w:rPr>
                <w:rFonts w:ascii="Lato" w:hAnsi="Lato"/>
                <w:szCs w:val="22"/>
              </w:rPr>
            </w:pPr>
          </w:p>
        </w:tc>
        <w:tc>
          <w:tcPr>
            <w:tcW w:w="264"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455" w:type="dxa"/>
            <w:gridSpan w:val="2"/>
            <w:tcBorders>
              <w:top w:val="single" w:sz="4" w:space="0" w:color="auto"/>
              <w:left w:val="nil"/>
              <w:bottom w:val="nil"/>
              <w:right w:val="nil"/>
            </w:tcBorders>
          </w:tcPr>
          <w:p w:rsidR="00E2618B" w:rsidRPr="00F627B2" w:rsidRDefault="00E2618B" w:rsidP="00E2618B">
            <w:pPr>
              <w:spacing w:line="240" w:lineRule="auto"/>
              <w:rPr>
                <w:rFonts w:ascii="Lato" w:hAnsi="Lato"/>
                <w:szCs w:val="22"/>
              </w:rPr>
            </w:pPr>
          </w:p>
        </w:tc>
        <w:tc>
          <w:tcPr>
            <w:tcW w:w="264" w:type="dxa"/>
            <w:gridSpan w:val="4"/>
            <w:tcBorders>
              <w:top w:val="nil"/>
              <w:left w:val="nil"/>
              <w:bottom w:val="nil"/>
              <w:right w:val="nil"/>
            </w:tcBorders>
          </w:tcPr>
          <w:p w:rsidR="00E2618B" w:rsidRPr="00F627B2" w:rsidRDefault="00E2618B" w:rsidP="00E2618B">
            <w:pPr>
              <w:spacing w:line="240" w:lineRule="auto"/>
              <w:rPr>
                <w:rFonts w:ascii="Lato" w:hAnsi="Lato"/>
                <w:szCs w:val="22"/>
              </w:rPr>
            </w:pPr>
          </w:p>
        </w:tc>
        <w:tc>
          <w:tcPr>
            <w:tcW w:w="55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r>
      <w:tr w:rsidR="00E2618B" w:rsidRPr="00F627B2" w:rsidTr="00F627B2">
        <w:trPr>
          <w:gridAfter w:val="2"/>
          <w:wAfter w:w="3800" w:type="dxa"/>
        </w:trPr>
        <w:tc>
          <w:tcPr>
            <w:tcW w:w="1107" w:type="dxa"/>
            <w:tcBorders>
              <w:top w:val="nil"/>
              <w:left w:val="nil"/>
              <w:bottom w:val="nil"/>
              <w:right w:val="nil"/>
            </w:tcBorders>
          </w:tcPr>
          <w:p w:rsidR="00E2618B" w:rsidRPr="00F627B2" w:rsidRDefault="00E2618B" w:rsidP="00E2618B">
            <w:pPr>
              <w:spacing w:line="240" w:lineRule="auto"/>
              <w:ind w:left="-108"/>
              <w:rPr>
                <w:rFonts w:ascii="Lato" w:hAnsi="Lato"/>
                <w:szCs w:val="22"/>
              </w:rPr>
            </w:pPr>
          </w:p>
        </w:tc>
        <w:tc>
          <w:tcPr>
            <w:tcW w:w="6974"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992"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23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709" w:type="dxa"/>
            <w:gridSpan w:val="3"/>
            <w:tcBorders>
              <w:top w:val="nil"/>
              <w:left w:val="nil"/>
              <w:bottom w:val="nil"/>
              <w:right w:val="nil"/>
            </w:tcBorders>
          </w:tcPr>
          <w:p w:rsidR="00E2618B" w:rsidRPr="00F627B2" w:rsidRDefault="00E2618B" w:rsidP="00E2618B">
            <w:pPr>
              <w:spacing w:line="240" w:lineRule="auto"/>
              <w:rPr>
                <w:rFonts w:ascii="Lato" w:hAnsi="Lato"/>
                <w:szCs w:val="22"/>
              </w:rPr>
            </w:pPr>
          </w:p>
        </w:tc>
        <w:tc>
          <w:tcPr>
            <w:tcW w:w="264"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455"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264" w:type="dxa"/>
            <w:gridSpan w:val="4"/>
            <w:tcBorders>
              <w:top w:val="nil"/>
              <w:left w:val="nil"/>
              <w:bottom w:val="nil"/>
              <w:right w:val="nil"/>
            </w:tcBorders>
          </w:tcPr>
          <w:p w:rsidR="00E2618B" w:rsidRPr="00F627B2" w:rsidRDefault="00E2618B" w:rsidP="00E2618B">
            <w:pPr>
              <w:spacing w:line="240" w:lineRule="auto"/>
              <w:rPr>
                <w:rFonts w:ascii="Lato" w:hAnsi="Lato"/>
                <w:szCs w:val="22"/>
              </w:rPr>
            </w:pPr>
          </w:p>
        </w:tc>
        <w:tc>
          <w:tcPr>
            <w:tcW w:w="55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r>
      <w:tr w:rsidR="00E2618B" w:rsidRPr="00F627B2" w:rsidTr="00F627B2">
        <w:trPr>
          <w:gridAfter w:val="2"/>
          <w:wAfter w:w="3800" w:type="dxa"/>
        </w:trPr>
        <w:tc>
          <w:tcPr>
            <w:tcW w:w="1107" w:type="dxa"/>
            <w:tcBorders>
              <w:top w:val="nil"/>
              <w:left w:val="nil"/>
              <w:bottom w:val="nil"/>
              <w:right w:val="nil"/>
            </w:tcBorders>
          </w:tcPr>
          <w:p w:rsidR="00E2618B" w:rsidRPr="00F627B2" w:rsidRDefault="00E2618B" w:rsidP="00E2618B">
            <w:pPr>
              <w:spacing w:line="240" w:lineRule="auto"/>
              <w:ind w:left="-108"/>
              <w:rPr>
                <w:rFonts w:ascii="Lato" w:hAnsi="Lato"/>
                <w:szCs w:val="22"/>
              </w:rPr>
            </w:pPr>
          </w:p>
        </w:tc>
        <w:tc>
          <w:tcPr>
            <w:tcW w:w="6974"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r w:rsidRPr="00F627B2">
              <w:rPr>
                <w:rFonts w:ascii="Lato" w:hAnsi="Lato"/>
                <w:szCs w:val="22"/>
              </w:rPr>
              <w:t>Note: (i) if fees are payable in advance the relevant party must have agreed to repay any fees not earned if the agreement is terminated.</w:t>
            </w:r>
          </w:p>
          <w:p w:rsidR="00E2618B" w:rsidRPr="00F627B2" w:rsidRDefault="00E2618B" w:rsidP="00E2618B">
            <w:pPr>
              <w:spacing w:line="240" w:lineRule="auto"/>
              <w:rPr>
                <w:rFonts w:ascii="Lato" w:hAnsi="Lato"/>
                <w:szCs w:val="22"/>
              </w:rPr>
            </w:pPr>
            <w:r w:rsidRPr="00F627B2">
              <w:rPr>
                <w:rFonts w:ascii="Lato" w:hAnsi="Lato"/>
                <w:szCs w:val="22"/>
              </w:rPr>
              <w:t>(ii):  If provision is made for penalty fees, (e.g. fees that may arise on early termination of an appointment), these must be disclosed</w:t>
            </w:r>
          </w:p>
        </w:tc>
        <w:tc>
          <w:tcPr>
            <w:tcW w:w="992"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23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709" w:type="dxa"/>
            <w:gridSpan w:val="3"/>
            <w:tcBorders>
              <w:top w:val="nil"/>
              <w:left w:val="nil"/>
              <w:bottom w:val="nil"/>
              <w:right w:val="nil"/>
            </w:tcBorders>
          </w:tcPr>
          <w:p w:rsidR="00E2618B" w:rsidRPr="00F627B2" w:rsidRDefault="00E2618B" w:rsidP="00E2618B">
            <w:pPr>
              <w:spacing w:line="240" w:lineRule="auto"/>
              <w:rPr>
                <w:rFonts w:ascii="Lato" w:hAnsi="Lato"/>
                <w:szCs w:val="22"/>
              </w:rPr>
            </w:pPr>
          </w:p>
        </w:tc>
        <w:tc>
          <w:tcPr>
            <w:tcW w:w="264"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455"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264" w:type="dxa"/>
            <w:gridSpan w:val="4"/>
            <w:tcBorders>
              <w:top w:val="nil"/>
              <w:left w:val="nil"/>
              <w:bottom w:val="nil"/>
              <w:right w:val="nil"/>
            </w:tcBorders>
          </w:tcPr>
          <w:p w:rsidR="00E2618B" w:rsidRPr="00F627B2" w:rsidRDefault="00E2618B" w:rsidP="00E2618B">
            <w:pPr>
              <w:spacing w:line="240" w:lineRule="auto"/>
              <w:rPr>
                <w:rFonts w:ascii="Lato" w:hAnsi="Lato"/>
                <w:szCs w:val="22"/>
              </w:rPr>
            </w:pPr>
          </w:p>
        </w:tc>
        <w:tc>
          <w:tcPr>
            <w:tcW w:w="55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r>
      <w:tr w:rsidR="00E2618B" w:rsidRPr="00F627B2" w:rsidTr="00F627B2">
        <w:trPr>
          <w:gridAfter w:val="2"/>
          <w:wAfter w:w="3800" w:type="dxa"/>
        </w:trPr>
        <w:tc>
          <w:tcPr>
            <w:tcW w:w="1107" w:type="dxa"/>
            <w:tcBorders>
              <w:top w:val="nil"/>
              <w:left w:val="nil"/>
              <w:bottom w:val="nil"/>
              <w:right w:val="nil"/>
            </w:tcBorders>
          </w:tcPr>
          <w:p w:rsidR="00E2618B" w:rsidRPr="00F627B2" w:rsidRDefault="00E2618B" w:rsidP="00E2618B">
            <w:pPr>
              <w:spacing w:line="240" w:lineRule="auto"/>
              <w:ind w:left="-108"/>
              <w:rPr>
                <w:rFonts w:ascii="Lato" w:hAnsi="Lato"/>
                <w:szCs w:val="22"/>
              </w:rPr>
            </w:pPr>
          </w:p>
        </w:tc>
        <w:tc>
          <w:tcPr>
            <w:tcW w:w="6974"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992"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23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709" w:type="dxa"/>
            <w:gridSpan w:val="3"/>
            <w:tcBorders>
              <w:top w:val="nil"/>
              <w:left w:val="nil"/>
              <w:bottom w:val="nil"/>
              <w:right w:val="nil"/>
            </w:tcBorders>
          </w:tcPr>
          <w:p w:rsidR="00E2618B" w:rsidRPr="00F627B2" w:rsidRDefault="00E2618B" w:rsidP="00E2618B">
            <w:pPr>
              <w:spacing w:line="240" w:lineRule="auto"/>
              <w:rPr>
                <w:rFonts w:ascii="Lato" w:hAnsi="Lato"/>
                <w:szCs w:val="22"/>
              </w:rPr>
            </w:pPr>
          </w:p>
        </w:tc>
        <w:tc>
          <w:tcPr>
            <w:tcW w:w="264"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455"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264" w:type="dxa"/>
            <w:gridSpan w:val="4"/>
            <w:tcBorders>
              <w:top w:val="nil"/>
              <w:left w:val="nil"/>
              <w:bottom w:val="nil"/>
              <w:right w:val="nil"/>
            </w:tcBorders>
          </w:tcPr>
          <w:p w:rsidR="00E2618B" w:rsidRPr="00F627B2" w:rsidRDefault="00E2618B" w:rsidP="00E2618B">
            <w:pPr>
              <w:spacing w:line="240" w:lineRule="auto"/>
              <w:rPr>
                <w:rFonts w:ascii="Lato" w:hAnsi="Lato"/>
                <w:szCs w:val="22"/>
              </w:rPr>
            </w:pPr>
          </w:p>
        </w:tc>
        <w:tc>
          <w:tcPr>
            <w:tcW w:w="55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r>
      <w:tr w:rsidR="00E2618B" w:rsidRPr="00F627B2" w:rsidTr="00F627B2">
        <w:trPr>
          <w:gridAfter w:val="2"/>
          <w:wAfter w:w="3800" w:type="dxa"/>
        </w:trPr>
        <w:tc>
          <w:tcPr>
            <w:tcW w:w="1107" w:type="dxa"/>
            <w:tcBorders>
              <w:top w:val="nil"/>
              <w:left w:val="nil"/>
              <w:bottom w:val="nil"/>
              <w:right w:val="nil"/>
            </w:tcBorders>
          </w:tcPr>
          <w:p w:rsidR="00E2618B" w:rsidRPr="00F627B2" w:rsidRDefault="00E2618B" w:rsidP="00E2618B">
            <w:pPr>
              <w:spacing w:line="240" w:lineRule="auto"/>
              <w:ind w:left="-108"/>
              <w:rPr>
                <w:rFonts w:ascii="Lato" w:hAnsi="Lato"/>
                <w:szCs w:val="22"/>
              </w:rPr>
            </w:pPr>
          </w:p>
        </w:tc>
        <w:tc>
          <w:tcPr>
            <w:tcW w:w="6974"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r w:rsidRPr="00F627B2">
              <w:rPr>
                <w:rFonts w:ascii="Lato" w:hAnsi="Lato"/>
                <w:szCs w:val="22"/>
              </w:rPr>
              <w:t>The basis of the fee calculation (e.g., % per annum of net asset value, gross asset value, gross proceeds)</w:t>
            </w:r>
          </w:p>
        </w:tc>
        <w:tc>
          <w:tcPr>
            <w:tcW w:w="992"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23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709" w:type="dxa"/>
            <w:gridSpan w:val="3"/>
            <w:tcBorders>
              <w:top w:val="nil"/>
              <w:left w:val="nil"/>
              <w:bottom w:val="nil"/>
              <w:right w:val="nil"/>
            </w:tcBorders>
          </w:tcPr>
          <w:p w:rsidR="00E2618B" w:rsidRPr="00F627B2" w:rsidRDefault="00E2618B" w:rsidP="00E2618B">
            <w:pPr>
              <w:spacing w:line="240" w:lineRule="auto"/>
              <w:rPr>
                <w:rFonts w:ascii="Lato" w:hAnsi="Lato"/>
                <w:szCs w:val="22"/>
              </w:rPr>
            </w:pPr>
          </w:p>
        </w:tc>
        <w:tc>
          <w:tcPr>
            <w:tcW w:w="264"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455"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264" w:type="dxa"/>
            <w:gridSpan w:val="4"/>
            <w:tcBorders>
              <w:top w:val="nil"/>
              <w:left w:val="nil"/>
              <w:bottom w:val="nil"/>
              <w:right w:val="nil"/>
            </w:tcBorders>
          </w:tcPr>
          <w:p w:rsidR="00E2618B" w:rsidRPr="00F627B2" w:rsidRDefault="00E2618B" w:rsidP="00E2618B">
            <w:pPr>
              <w:spacing w:line="240" w:lineRule="auto"/>
              <w:rPr>
                <w:rFonts w:ascii="Lato" w:hAnsi="Lato"/>
                <w:szCs w:val="22"/>
              </w:rPr>
            </w:pPr>
          </w:p>
        </w:tc>
        <w:tc>
          <w:tcPr>
            <w:tcW w:w="55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r>
      <w:tr w:rsidR="00E2618B" w:rsidRPr="00F627B2" w:rsidTr="00F627B2">
        <w:trPr>
          <w:gridAfter w:val="2"/>
          <w:wAfter w:w="3800" w:type="dxa"/>
        </w:trPr>
        <w:tc>
          <w:tcPr>
            <w:tcW w:w="1107" w:type="dxa"/>
            <w:tcBorders>
              <w:top w:val="nil"/>
              <w:left w:val="nil"/>
              <w:bottom w:val="nil"/>
              <w:right w:val="nil"/>
            </w:tcBorders>
          </w:tcPr>
          <w:p w:rsidR="00E2618B" w:rsidRPr="00F627B2" w:rsidRDefault="00E2618B" w:rsidP="00E2618B">
            <w:pPr>
              <w:spacing w:line="240" w:lineRule="auto"/>
              <w:ind w:left="-108"/>
              <w:rPr>
                <w:rFonts w:ascii="Lato" w:hAnsi="Lato"/>
                <w:szCs w:val="22"/>
              </w:rPr>
            </w:pPr>
          </w:p>
        </w:tc>
        <w:tc>
          <w:tcPr>
            <w:tcW w:w="6974"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992"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23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709" w:type="dxa"/>
            <w:gridSpan w:val="3"/>
            <w:tcBorders>
              <w:top w:val="nil"/>
              <w:left w:val="nil"/>
              <w:bottom w:val="nil"/>
              <w:right w:val="nil"/>
            </w:tcBorders>
          </w:tcPr>
          <w:p w:rsidR="00E2618B" w:rsidRPr="00F627B2" w:rsidRDefault="00E2618B" w:rsidP="00E2618B">
            <w:pPr>
              <w:spacing w:line="240" w:lineRule="auto"/>
              <w:rPr>
                <w:rFonts w:ascii="Lato" w:hAnsi="Lato"/>
                <w:szCs w:val="22"/>
              </w:rPr>
            </w:pPr>
          </w:p>
        </w:tc>
        <w:tc>
          <w:tcPr>
            <w:tcW w:w="264"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455"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c>
          <w:tcPr>
            <w:tcW w:w="264" w:type="dxa"/>
            <w:gridSpan w:val="4"/>
            <w:tcBorders>
              <w:top w:val="nil"/>
              <w:left w:val="nil"/>
              <w:bottom w:val="nil"/>
              <w:right w:val="nil"/>
            </w:tcBorders>
          </w:tcPr>
          <w:p w:rsidR="00E2618B" w:rsidRPr="00F627B2" w:rsidRDefault="00E2618B" w:rsidP="00E2618B">
            <w:pPr>
              <w:spacing w:line="240" w:lineRule="auto"/>
              <w:rPr>
                <w:rFonts w:ascii="Lato" w:hAnsi="Lato"/>
                <w:szCs w:val="22"/>
              </w:rPr>
            </w:pPr>
          </w:p>
        </w:tc>
        <w:tc>
          <w:tcPr>
            <w:tcW w:w="556" w:type="dxa"/>
            <w:gridSpan w:val="2"/>
            <w:tcBorders>
              <w:top w:val="nil"/>
              <w:left w:val="nil"/>
              <w:bottom w:val="nil"/>
              <w:right w:val="nil"/>
            </w:tcBorders>
          </w:tcPr>
          <w:p w:rsidR="00E2618B" w:rsidRPr="00F627B2" w:rsidRDefault="00E2618B" w:rsidP="00E2618B">
            <w:pPr>
              <w:spacing w:line="240" w:lineRule="auto"/>
              <w:rPr>
                <w:rFonts w:ascii="Lato" w:hAnsi="Lato"/>
                <w:szCs w:val="22"/>
              </w:rPr>
            </w:pPr>
          </w:p>
        </w:tc>
      </w:tr>
      <w:tr w:rsidR="004F01CA" w:rsidRPr="00F627B2" w:rsidTr="00F627B2">
        <w:trPr>
          <w:gridAfter w:val="2"/>
          <w:wAfter w:w="3800" w:type="dxa"/>
        </w:trPr>
        <w:tc>
          <w:tcPr>
            <w:tcW w:w="1107" w:type="dxa"/>
            <w:tcBorders>
              <w:top w:val="nil"/>
              <w:left w:val="nil"/>
              <w:bottom w:val="nil"/>
              <w:right w:val="nil"/>
            </w:tcBorders>
          </w:tcPr>
          <w:p w:rsidR="004F01CA" w:rsidRPr="00F627B2" w:rsidRDefault="004F01CA" w:rsidP="004F01CA">
            <w:pPr>
              <w:spacing w:line="240" w:lineRule="auto"/>
              <w:ind w:left="-108"/>
              <w:rPr>
                <w:rFonts w:ascii="Lato" w:hAnsi="Lato"/>
                <w:szCs w:val="22"/>
              </w:rPr>
            </w:pPr>
          </w:p>
        </w:tc>
        <w:tc>
          <w:tcPr>
            <w:tcW w:w="6974"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r w:rsidRPr="001E4A73">
              <w:rPr>
                <w:rFonts w:ascii="Lato" w:hAnsi="Lato"/>
                <w:szCs w:val="22"/>
              </w:rPr>
              <w:t xml:space="preserve">The maximum fee and out of pocket expenses of each of the </w:t>
            </w:r>
          </w:p>
        </w:tc>
        <w:tc>
          <w:tcPr>
            <w:tcW w:w="992"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c>
          <w:tcPr>
            <w:tcW w:w="23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c>
          <w:tcPr>
            <w:tcW w:w="709" w:type="dxa"/>
            <w:gridSpan w:val="3"/>
            <w:tcBorders>
              <w:top w:val="nil"/>
              <w:left w:val="nil"/>
              <w:bottom w:val="nil"/>
              <w:right w:val="nil"/>
            </w:tcBorders>
          </w:tcPr>
          <w:p w:rsidR="004F01CA" w:rsidRPr="00F627B2" w:rsidRDefault="004F01CA" w:rsidP="004F01CA">
            <w:pPr>
              <w:spacing w:line="240" w:lineRule="auto"/>
              <w:rPr>
                <w:rFonts w:ascii="Lato" w:hAnsi="Lato"/>
                <w:szCs w:val="22"/>
              </w:rPr>
            </w:pPr>
          </w:p>
        </w:tc>
        <w:tc>
          <w:tcPr>
            <w:tcW w:w="264"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c>
          <w:tcPr>
            <w:tcW w:w="455"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c>
          <w:tcPr>
            <w:tcW w:w="264" w:type="dxa"/>
            <w:gridSpan w:val="4"/>
            <w:tcBorders>
              <w:top w:val="nil"/>
              <w:left w:val="nil"/>
              <w:bottom w:val="nil"/>
              <w:right w:val="nil"/>
            </w:tcBorders>
          </w:tcPr>
          <w:p w:rsidR="004F01CA" w:rsidRPr="00F627B2" w:rsidRDefault="004F01CA" w:rsidP="004F01CA">
            <w:pPr>
              <w:spacing w:line="240" w:lineRule="auto"/>
              <w:rPr>
                <w:rFonts w:ascii="Lato" w:hAnsi="Lato"/>
                <w:szCs w:val="22"/>
              </w:rPr>
            </w:pPr>
          </w:p>
        </w:tc>
        <w:tc>
          <w:tcPr>
            <w:tcW w:w="55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r>
      <w:tr w:rsidR="004F01CA" w:rsidRPr="00F627B2" w:rsidTr="00F627B2">
        <w:trPr>
          <w:gridAfter w:val="2"/>
          <w:wAfter w:w="3800" w:type="dxa"/>
        </w:trPr>
        <w:tc>
          <w:tcPr>
            <w:tcW w:w="1107" w:type="dxa"/>
            <w:tcBorders>
              <w:top w:val="nil"/>
              <w:left w:val="nil"/>
              <w:bottom w:val="nil"/>
              <w:right w:val="nil"/>
            </w:tcBorders>
          </w:tcPr>
          <w:p w:rsidR="004F01CA" w:rsidRPr="00F627B2" w:rsidRDefault="004F01CA" w:rsidP="004F01CA">
            <w:pPr>
              <w:spacing w:line="240" w:lineRule="auto"/>
              <w:ind w:left="-108"/>
              <w:rPr>
                <w:rFonts w:ascii="Lato" w:hAnsi="Lato"/>
                <w:szCs w:val="22"/>
              </w:rPr>
            </w:pPr>
          </w:p>
        </w:tc>
        <w:tc>
          <w:tcPr>
            <w:tcW w:w="6974"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r w:rsidRPr="001E4A73">
              <w:rPr>
                <w:rFonts w:ascii="Lato" w:hAnsi="Lato"/>
                <w:szCs w:val="22"/>
              </w:rPr>
              <w:t xml:space="preserve">service providers/directors, where such fees are payable directly from </w:t>
            </w:r>
          </w:p>
        </w:tc>
        <w:tc>
          <w:tcPr>
            <w:tcW w:w="992"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c>
          <w:tcPr>
            <w:tcW w:w="23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c>
          <w:tcPr>
            <w:tcW w:w="709" w:type="dxa"/>
            <w:gridSpan w:val="3"/>
            <w:tcBorders>
              <w:top w:val="nil"/>
              <w:left w:val="nil"/>
              <w:bottom w:val="nil"/>
              <w:right w:val="nil"/>
            </w:tcBorders>
          </w:tcPr>
          <w:p w:rsidR="004F01CA" w:rsidRPr="00F627B2" w:rsidRDefault="004F01CA" w:rsidP="004F01CA">
            <w:pPr>
              <w:spacing w:line="240" w:lineRule="auto"/>
              <w:rPr>
                <w:rFonts w:ascii="Lato" w:hAnsi="Lato"/>
                <w:szCs w:val="22"/>
              </w:rPr>
            </w:pPr>
          </w:p>
        </w:tc>
        <w:tc>
          <w:tcPr>
            <w:tcW w:w="264"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c>
          <w:tcPr>
            <w:tcW w:w="455"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c>
          <w:tcPr>
            <w:tcW w:w="264" w:type="dxa"/>
            <w:gridSpan w:val="4"/>
            <w:tcBorders>
              <w:top w:val="nil"/>
              <w:left w:val="nil"/>
              <w:bottom w:val="nil"/>
              <w:right w:val="nil"/>
            </w:tcBorders>
          </w:tcPr>
          <w:p w:rsidR="004F01CA" w:rsidRPr="00F627B2" w:rsidRDefault="004F01CA" w:rsidP="004F01CA">
            <w:pPr>
              <w:spacing w:line="240" w:lineRule="auto"/>
              <w:rPr>
                <w:rFonts w:ascii="Lato" w:hAnsi="Lato"/>
                <w:szCs w:val="22"/>
              </w:rPr>
            </w:pPr>
          </w:p>
        </w:tc>
        <w:tc>
          <w:tcPr>
            <w:tcW w:w="55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r>
      <w:tr w:rsidR="004F01CA" w:rsidRPr="00F627B2" w:rsidTr="00F627B2">
        <w:trPr>
          <w:gridAfter w:val="2"/>
          <w:wAfter w:w="3800" w:type="dxa"/>
        </w:trPr>
        <w:tc>
          <w:tcPr>
            <w:tcW w:w="1107" w:type="dxa"/>
            <w:tcBorders>
              <w:top w:val="nil"/>
              <w:left w:val="nil"/>
              <w:bottom w:val="nil"/>
              <w:right w:val="nil"/>
            </w:tcBorders>
          </w:tcPr>
          <w:p w:rsidR="004F01CA" w:rsidRPr="00F627B2" w:rsidRDefault="004F01CA" w:rsidP="004F01CA">
            <w:pPr>
              <w:spacing w:line="240" w:lineRule="auto"/>
              <w:ind w:left="-108"/>
              <w:rPr>
                <w:rFonts w:ascii="Lato" w:hAnsi="Lato"/>
                <w:szCs w:val="22"/>
              </w:rPr>
            </w:pPr>
          </w:p>
        </w:tc>
        <w:tc>
          <w:tcPr>
            <w:tcW w:w="6974"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r w:rsidRPr="001E4A73">
              <w:rPr>
                <w:rFonts w:ascii="Lato" w:hAnsi="Lato"/>
                <w:szCs w:val="22"/>
              </w:rPr>
              <w:t>the assets of the Retail Investor AIF</w:t>
            </w:r>
          </w:p>
        </w:tc>
        <w:tc>
          <w:tcPr>
            <w:tcW w:w="992" w:type="dxa"/>
            <w:gridSpan w:val="2"/>
            <w:tcBorders>
              <w:top w:val="nil"/>
              <w:left w:val="nil"/>
              <w:bottom w:val="single" w:sz="4" w:space="0" w:color="auto"/>
              <w:right w:val="nil"/>
            </w:tcBorders>
          </w:tcPr>
          <w:p w:rsidR="004F01CA" w:rsidRPr="00F627B2" w:rsidRDefault="004F01CA" w:rsidP="004F01CA">
            <w:pPr>
              <w:spacing w:line="240" w:lineRule="auto"/>
              <w:rPr>
                <w:rFonts w:ascii="Lato" w:hAnsi="Lato"/>
                <w:szCs w:val="22"/>
              </w:rPr>
            </w:pPr>
          </w:p>
        </w:tc>
        <w:tc>
          <w:tcPr>
            <w:tcW w:w="23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c>
          <w:tcPr>
            <w:tcW w:w="709" w:type="dxa"/>
            <w:gridSpan w:val="3"/>
            <w:tcBorders>
              <w:top w:val="nil"/>
              <w:left w:val="nil"/>
              <w:bottom w:val="single" w:sz="4" w:space="0" w:color="auto"/>
              <w:right w:val="nil"/>
            </w:tcBorders>
          </w:tcPr>
          <w:p w:rsidR="004F01CA" w:rsidRPr="00F627B2" w:rsidRDefault="004F01CA" w:rsidP="004F01CA">
            <w:pPr>
              <w:spacing w:line="240" w:lineRule="auto"/>
              <w:rPr>
                <w:rFonts w:ascii="Lato" w:hAnsi="Lato"/>
                <w:szCs w:val="22"/>
              </w:rPr>
            </w:pPr>
          </w:p>
        </w:tc>
        <w:tc>
          <w:tcPr>
            <w:tcW w:w="264"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c>
          <w:tcPr>
            <w:tcW w:w="455" w:type="dxa"/>
            <w:gridSpan w:val="2"/>
            <w:tcBorders>
              <w:top w:val="nil"/>
              <w:left w:val="nil"/>
              <w:bottom w:val="single" w:sz="4" w:space="0" w:color="auto"/>
              <w:right w:val="nil"/>
            </w:tcBorders>
          </w:tcPr>
          <w:p w:rsidR="004F01CA" w:rsidRPr="00F627B2" w:rsidRDefault="004F01CA" w:rsidP="004F01CA">
            <w:pPr>
              <w:spacing w:line="240" w:lineRule="auto"/>
              <w:rPr>
                <w:rFonts w:ascii="Lato" w:hAnsi="Lato"/>
                <w:szCs w:val="22"/>
              </w:rPr>
            </w:pPr>
          </w:p>
        </w:tc>
        <w:tc>
          <w:tcPr>
            <w:tcW w:w="264" w:type="dxa"/>
            <w:gridSpan w:val="4"/>
            <w:tcBorders>
              <w:top w:val="nil"/>
              <w:left w:val="nil"/>
              <w:bottom w:val="nil"/>
              <w:right w:val="nil"/>
            </w:tcBorders>
          </w:tcPr>
          <w:p w:rsidR="004F01CA" w:rsidRPr="00F627B2" w:rsidRDefault="004F01CA" w:rsidP="004F01CA">
            <w:pPr>
              <w:spacing w:line="240" w:lineRule="auto"/>
              <w:rPr>
                <w:rFonts w:ascii="Lato" w:hAnsi="Lato"/>
                <w:szCs w:val="22"/>
              </w:rPr>
            </w:pPr>
          </w:p>
        </w:tc>
        <w:tc>
          <w:tcPr>
            <w:tcW w:w="55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r>
      <w:tr w:rsidR="004F01CA" w:rsidRPr="00F627B2" w:rsidTr="00F627B2">
        <w:trPr>
          <w:gridAfter w:val="2"/>
          <w:wAfter w:w="3800" w:type="dxa"/>
        </w:trPr>
        <w:tc>
          <w:tcPr>
            <w:tcW w:w="1107" w:type="dxa"/>
            <w:tcBorders>
              <w:top w:val="nil"/>
              <w:left w:val="nil"/>
              <w:bottom w:val="nil"/>
              <w:right w:val="nil"/>
            </w:tcBorders>
          </w:tcPr>
          <w:p w:rsidR="004F01CA" w:rsidRPr="00F627B2" w:rsidRDefault="004F01CA" w:rsidP="004F01CA">
            <w:pPr>
              <w:spacing w:line="240" w:lineRule="auto"/>
              <w:ind w:left="-108"/>
              <w:rPr>
                <w:rFonts w:ascii="Lato" w:hAnsi="Lato"/>
                <w:szCs w:val="22"/>
              </w:rPr>
            </w:pPr>
          </w:p>
        </w:tc>
        <w:tc>
          <w:tcPr>
            <w:tcW w:w="6974" w:type="dxa"/>
            <w:gridSpan w:val="2"/>
            <w:tcBorders>
              <w:top w:val="nil"/>
              <w:left w:val="nil"/>
              <w:bottom w:val="nil"/>
              <w:right w:val="single" w:sz="4" w:space="0" w:color="auto"/>
            </w:tcBorders>
          </w:tcPr>
          <w:p w:rsidR="004F01CA" w:rsidRPr="001E4A73" w:rsidRDefault="004F01CA" w:rsidP="004F01CA">
            <w:pPr>
              <w:spacing w:line="240" w:lineRule="auto"/>
              <w:rPr>
                <w:rFonts w:ascii="Lato" w:hAnsi="Lato"/>
                <w:szCs w:val="22"/>
              </w:rPr>
            </w:pPr>
            <w:r w:rsidRPr="001E4A73">
              <w:rPr>
                <w:rFonts w:ascii="Lato" w:hAnsi="Lato"/>
                <w:szCs w:val="22"/>
              </w:rPr>
              <w:t>(i)management company</w:t>
            </w:r>
          </w:p>
        </w:tc>
        <w:tc>
          <w:tcPr>
            <w:tcW w:w="992"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4"/>
            <w:tcBorders>
              <w:top w:val="nil"/>
              <w:left w:val="single" w:sz="4" w:space="0" w:color="auto"/>
              <w:bottom w:val="nil"/>
              <w:right w:val="nil"/>
            </w:tcBorders>
          </w:tcPr>
          <w:p w:rsidR="004F01CA" w:rsidRPr="00F627B2" w:rsidRDefault="004F01CA" w:rsidP="004F01CA">
            <w:pPr>
              <w:spacing w:line="240" w:lineRule="auto"/>
              <w:rPr>
                <w:rFonts w:ascii="Lato" w:hAnsi="Lato"/>
                <w:szCs w:val="22"/>
              </w:rPr>
            </w:pPr>
          </w:p>
        </w:tc>
        <w:tc>
          <w:tcPr>
            <w:tcW w:w="55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r>
      <w:tr w:rsidR="004F01CA" w:rsidRPr="00F627B2" w:rsidTr="00F627B2">
        <w:trPr>
          <w:gridAfter w:val="2"/>
          <w:wAfter w:w="3800" w:type="dxa"/>
        </w:trPr>
        <w:tc>
          <w:tcPr>
            <w:tcW w:w="1107" w:type="dxa"/>
            <w:tcBorders>
              <w:top w:val="nil"/>
              <w:left w:val="nil"/>
              <w:bottom w:val="nil"/>
              <w:right w:val="nil"/>
            </w:tcBorders>
          </w:tcPr>
          <w:p w:rsidR="004F01CA" w:rsidRPr="00F627B2" w:rsidRDefault="004F01CA" w:rsidP="004F01CA">
            <w:pPr>
              <w:spacing w:line="240" w:lineRule="auto"/>
              <w:ind w:left="-108"/>
              <w:rPr>
                <w:rFonts w:ascii="Lato" w:hAnsi="Lato"/>
                <w:szCs w:val="22"/>
              </w:rPr>
            </w:pPr>
          </w:p>
        </w:tc>
        <w:tc>
          <w:tcPr>
            <w:tcW w:w="6974" w:type="dxa"/>
            <w:gridSpan w:val="2"/>
            <w:tcBorders>
              <w:top w:val="nil"/>
              <w:left w:val="nil"/>
              <w:bottom w:val="nil"/>
              <w:right w:val="single" w:sz="4" w:space="0" w:color="auto"/>
            </w:tcBorders>
          </w:tcPr>
          <w:p w:rsidR="004F01CA" w:rsidRPr="001E4A73" w:rsidRDefault="004F01CA" w:rsidP="004F01CA">
            <w:pPr>
              <w:spacing w:line="240" w:lineRule="auto"/>
              <w:rPr>
                <w:rFonts w:ascii="Lato" w:hAnsi="Lato"/>
                <w:szCs w:val="22"/>
              </w:rPr>
            </w:pPr>
            <w:r w:rsidRPr="001E4A73">
              <w:rPr>
                <w:rFonts w:ascii="Lato" w:hAnsi="Lato"/>
                <w:szCs w:val="22"/>
              </w:rPr>
              <w:t>(ii)administrator/transfer agent</w:t>
            </w:r>
          </w:p>
        </w:tc>
        <w:tc>
          <w:tcPr>
            <w:tcW w:w="992"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4"/>
            <w:tcBorders>
              <w:top w:val="nil"/>
              <w:left w:val="single" w:sz="4" w:space="0" w:color="auto"/>
              <w:bottom w:val="nil"/>
              <w:right w:val="nil"/>
            </w:tcBorders>
          </w:tcPr>
          <w:p w:rsidR="004F01CA" w:rsidRPr="00F627B2" w:rsidRDefault="004F01CA" w:rsidP="004F01CA">
            <w:pPr>
              <w:spacing w:line="240" w:lineRule="auto"/>
              <w:rPr>
                <w:rFonts w:ascii="Lato" w:hAnsi="Lato"/>
                <w:szCs w:val="22"/>
              </w:rPr>
            </w:pPr>
          </w:p>
        </w:tc>
        <w:tc>
          <w:tcPr>
            <w:tcW w:w="55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r>
      <w:tr w:rsidR="004F01CA" w:rsidRPr="00F627B2" w:rsidTr="00F627B2">
        <w:trPr>
          <w:gridAfter w:val="2"/>
          <w:wAfter w:w="3800" w:type="dxa"/>
        </w:trPr>
        <w:tc>
          <w:tcPr>
            <w:tcW w:w="1107" w:type="dxa"/>
            <w:tcBorders>
              <w:top w:val="nil"/>
              <w:left w:val="nil"/>
              <w:bottom w:val="nil"/>
              <w:right w:val="nil"/>
            </w:tcBorders>
          </w:tcPr>
          <w:p w:rsidR="004F01CA" w:rsidRPr="00F627B2" w:rsidRDefault="004F01CA" w:rsidP="004F01CA">
            <w:pPr>
              <w:spacing w:line="240" w:lineRule="auto"/>
              <w:ind w:left="-108"/>
              <w:rPr>
                <w:rFonts w:ascii="Lato" w:hAnsi="Lato"/>
                <w:szCs w:val="22"/>
              </w:rPr>
            </w:pPr>
          </w:p>
        </w:tc>
        <w:tc>
          <w:tcPr>
            <w:tcW w:w="6974" w:type="dxa"/>
            <w:gridSpan w:val="2"/>
            <w:tcBorders>
              <w:top w:val="nil"/>
              <w:left w:val="nil"/>
              <w:bottom w:val="nil"/>
              <w:right w:val="single" w:sz="4" w:space="0" w:color="auto"/>
            </w:tcBorders>
          </w:tcPr>
          <w:p w:rsidR="004F01CA" w:rsidRPr="001E4A73" w:rsidRDefault="004F01CA" w:rsidP="004F01CA">
            <w:pPr>
              <w:spacing w:line="240" w:lineRule="auto"/>
              <w:rPr>
                <w:rFonts w:ascii="Lato" w:hAnsi="Lato"/>
                <w:szCs w:val="22"/>
              </w:rPr>
            </w:pPr>
            <w:r w:rsidRPr="001E4A73">
              <w:rPr>
                <w:rFonts w:ascii="Lato" w:hAnsi="Lato"/>
                <w:szCs w:val="22"/>
              </w:rPr>
              <w:t>(iii)depositary</w:t>
            </w:r>
          </w:p>
        </w:tc>
        <w:tc>
          <w:tcPr>
            <w:tcW w:w="992"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4"/>
            <w:tcBorders>
              <w:top w:val="nil"/>
              <w:left w:val="single" w:sz="4" w:space="0" w:color="auto"/>
              <w:bottom w:val="nil"/>
              <w:right w:val="nil"/>
            </w:tcBorders>
          </w:tcPr>
          <w:p w:rsidR="004F01CA" w:rsidRPr="00F627B2" w:rsidRDefault="004F01CA" w:rsidP="004F01CA">
            <w:pPr>
              <w:spacing w:line="240" w:lineRule="auto"/>
              <w:rPr>
                <w:rFonts w:ascii="Lato" w:hAnsi="Lato"/>
                <w:szCs w:val="22"/>
              </w:rPr>
            </w:pPr>
          </w:p>
        </w:tc>
        <w:tc>
          <w:tcPr>
            <w:tcW w:w="55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r>
      <w:tr w:rsidR="004F01CA" w:rsidRPr="00F627B2" w:rsidTr="00F627B2">
        <w:trPr>
          <w:gridAfter w:val="2"/>
          <w:wAfter w:w="3800" w:type="dxa"/>
        </w:trPr>
        <w:tc>
          <w:tcPr>
            <w:tcW w:w="1107" w:type="dxa"/>
            <w:tcBorders>
              <w:top w:val="nil"/>
              <w:left w:val="nil"/>
              <w:bottom w:val="nil"/>
              <w:right w:val="nil"/>
            </w:tcBorders>
          </w:tcPr>
          <w:p w:rsidR="004F01CA" w:rsidRPr="00F627B2" w:rsidRDefault="004F01CA" w:rsidP="004F01CA">
            <w:pPr>
              <w:spacing w:line="240" w:lineRule="auto"/>
              <w:ind w:left="-108"/>
              <w:rPr>
                <w:rFonts w:ascii="Lato" w:hAnsi="Lato"/>
                <w:szCs w:val="22"/>
              </w:rPr>
            </w:pPr>
          </w:p>
        </w:tc>
        <w:tc>
          <w:tcPr>
            <w:tcW w:w="6974" w:type="dxa"/>
            <w:gridSpan w:val="2"/>
            <w:tcBorders>
              <w:top w:val="nil"/>
              <w:left w:val="nil"/>
              <w:bottom w:val="nil"/>
              <w:right w:val="single" w:sz="4" w:space="0" w:color="auto"/>
            </w:tcBorders>
          </w:tcPr>
          <w:p w:rsidR="004F01CA" w:rsidRPr="001E4A73" w:rsidRDefault="004F01CA" w:rsidP="004F01CA">
            <w:pPr>
              <w:spacing w:line="240" w:lineRule="auto"/>
              <w:rPr>
                <w:rFonts w:ascii="Lato" w:hAnsi="Lato"/>
                <w:szCs w:val="22"/>
              </w:rPr>
            </w:pPr>
            <w:r w:rsidRPr="001E4A73">
              <w:rPr>
                <w:rFonts w:ascii="Lato" w:hAnsi="Lato"/>
                <w:szCs w:val="22"/>
              </w:rPr>
              <w:t>(iv)sub-depositary (fees and transaction charges)</w:t>
            </w:r>
          </w:p>
        </w:tc>
        <w:tc>
          <w:tcPr>
            <w:tcW w:w="992"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4"/>
            <w:tcBorders>
              <w:top w:val="nil"/>
              <w:left w:val="single" w:sz="4" w:space="0" w:color="auto"/>
              <w:bottom w:val="nil"/>
              <w:right w:val="nil"/>
            </w:tcBorders>
          </w:tcPr>
          <w:p w:rsidR="004F01CA" w:rsidRPr="00F627B2" w:rsidRDefault="004F01CA" w:rsidP="004F01CA">
            <w:pPr>
              <w:spacing w:line="240" w:lineRule="auto"/>
              <w:rPr>
                <w:rFonts w:ascii="Lato" w:hAnsi="Lato"/>
                <w:szCs w:val="22"/>
              </w:rPr>
            </w:pPr>
          </w:p>
        </w:tc>
        <w:tc>
          <w:tcPr>
            <w:tcW w:w="55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r>
      <w:tr w:rsidR="004F01CA" w:rsidRPr="00F627B2" w:rsidTr="00F627B2">
        <w:trPr>
          <w:gridAfter w:val="2"/>
          <w:wAfter w:w="3800" w:type="dxa"/>
        </w:trPr>
        <w:tc>
          <w:tcPr>
            <w:tcW w:w="1107" w:type="dxa"/>
            <w:tcBorders>
              <w:top w:val="nil"/>
              <w:left w:val="nil"/>
              <w:bottom w:val="nil"/>
              <w:right w:val="nil"/>
            </w:tcBorders>
          </w:tcPr>
          <w:p w:rsidR="004F01CA" w:rsidRPr="00F627B2" w:rsidRDefault="004F01CA" w:rsidP="004F01CA">
            <w:pPr>
              <w:spacing w:line="240" w:lineRule="auto"/>
              <w:ind w:left="-108"/>
              <w:rPr>
                <w:rFonts w:ascii="Lato" w:hAnsi="Lato"/>
                <w:szCs w:val="22"/>
              </w:rPr>
            </w:pPr>
          </w:p>
        </w:tc>
        <w:tc>
          <w:tcPr>
            <w:tcW w:w="6974" w:type="dxa"/>
            <w:gridSpan w:val="2"/>
            <w:tcBorders>
              <w:top w:val="nil"/>
              <w:left w:val="nil"/>
              <w:bottom w:val="nil"/>
              <w:right w:val="single" w:sz="4" w:space="0" w:color="auto"/>
            </w:tcBorders>
          </w:tcPr>
          <w:p w:rsidR="004F01CA" w:rsidRPr="001E4A73" w:rsidRDefault="004F01CA" w:rsidP="004F01CA">
            <w:pPr>
              <w:spacing w:line="240" w:lineRule="auto"/>
              <w:rPr>
                <w:rFonts w:ascii="Lato" w:hAnsi="Lato"/>
                <w:szCs w:val="22"/>
              </w:rPr>
            </w:pPr>
            <w:r w:rsidRPr="001E4A73">
              <w:rPr>
                <w:rFonts w:ascii="Lato" w:hAnsi="Lato"/>
                <w:szCs w:val="22"/>
              </w:rPr>
              <w:t>(or state that they will be at normal commercial rates)</w:t>
            </w:r>
          </w:p>
        </w:tc>
        <w:tc>
          <w:tcPr>
            <w:tcW w:w="992"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4"/>
            <w:tcBorders>
              <w:top w:val="nil"/>
              <w:left w:val="single" w:sz="4" w:space="0" w:color="auto"/>
              <w:bottom w:val="nil"/>
              <w:right w:val="nil"/>
            </w:tcBorders>
          </w:tcPr>
          <w:p w:rsidR="004F01CA" w:rsidRPr="00F627B2" w:rsidRDefault="004F01CA" w:rsidP="004F01CA">
            <w:pPr>
              <w:spacing w:line="240" w:lineRule="auto"/>
              <w:rPr>
                <w:rFonts w:ascii="Lato" w:hAnsi="Lato"/>
                <w:szCs w:val="22"/>
              </w:rPr>
            </w:pPr>
          </w:p>
        </w:tc>
        <w:tc>
          <w:tcPr>
            <w:tcW w:w="55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r>
      <w:tr w:rsidR="004F01CA" w:rsidRPr="00F627B2" w:rsidTr="00F627B2">
        <w:trPr>
          <w:gridAfter w:val="2"/>
          <w:wAfter w:w="3800" w:type="dxa"/>
        </w:trPr>
        <w:tc>
          <w:tcPr>
            <w:tcW w:w="1107" w:type="dxa"/>
            <w:tcBorders>
              <w:top w:val="nil"/>
              <w:left w:val="nil"/>
              <w:bottom w:val="nil"/>
              <w:right w:val="nil"/>
            </w:tcBorders>
          </w:tcPr>
          <w:p w:rsidR="004F01CA" w:rsidRPr="00F627B2" w:rsidRDefault="004F01CA" w:rsidP="004F01CA">
            <w:pPr>
              <w:spacing w:line="240" w:lineRule="auto"/>
              <w:ind w:left="-108"/>
              <w:rPr>
                <w:rFonts w:ascii="Lato" w:hAnsi="Lato"/>
                <w:szCs w:val="22"/>
              </w:rPr>
            </w:pPr>
          </w:p>
        </w:tc>
        <w:tc>
          <w:tcPr>
            <w:tcW w:w="6974" w:type="dxa"/>
            <w:gridSpan w:val="2"/>
            <w:tcBorders>
              <w:top w:val="nil"/>
              <w:left w:val="nil"/>
              <w:bottom w:val="nil"/>
              <w:right w:val="single" w:sz="4" w:space="0" w:color="auto"/>
            </w:tcBorders>
          </w:tcPr>
          <w:p w:rsidR="004F01CA" w:rsidRPr="001E4A73" w:rsidRDefault="004F01CA" w:rsidP="004F01CA">
            <w:pPr>
              <w:spacing w:line="240" w:lineRule="auto"/>
              <w:rPr>
                <w:rFonts w:ascii="Lato" w:hAnsi="Lato"/>
                <w:szCs w:val="22"/>
              </w:rPr>
            </w:pPr>
            <w:r w:rsidRPr="001E4A73">
              <w:rPr>
                <w:rFonts w:ascii="Lato" w:hAnsi="Lato"/>
                <w:szCs w:val="22"/>
              </w:rPr>
              <w:t>(v) investment manager/sub-investment manager</w:t>
            </w:r>
          </w:p>
        </w:tc>
        <w:tc>
          <w:tcPr>
            <w:tcW w:w="992"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4"/>
            <w:tcBorders>
              <w:top w:val="nil"/>
              <w:left w:val="single" w:sz="4" w:space="0" w:color="auto"/>
              <w:bottom w:val="nil"/>
              <w:right w:val="nil"/>
            </w:tcBorders>
          </w:tcPr>
          <w:p w:rsidR="004F01CA" w:rsidRPr="00F627B2" w:rsidRDefault="004F01CA" w:rsidP="004F01CA">
            <w:pPr>
              <w:spacing w:line="240" w:lineRule="auto"/>
              <w:rPr>
                <w:rFonts w:ascii="Lato" w:hAnsi="Lato"/>
                <w:szCs w:val="22"/>
              </w:rPr>
            </w:pPr>
          </w:p>
        </w:tc>
        <w:tc>
          <w:tcPr>
            <w:tcW w:w="55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r>
      <w:tr w:rsidR="004F01CA" w:rsidRPr="00F627B2" w:rsidTr="00F627B2">
        <w:trPr>
          <w:gridAfter w:val="2"/>
          <w:wAfter w:w="3800" w:type="dxa"/>
        </w:trPr>
        <w:tc>
          <w:tcPr>
            <w:tcW w:w="1107" w:type="dxa"/>
            <w:tcBorders>
              <w:top w:val="nil"/>
              <w:left w:val="nil"/>
              <w:bottom w:val="nil"/>
              <w:right w:val="nil"/>
            </w:tcBorders>
          </w:tcPr>
          <w:p w:rsidR="004F01CA" w:rsidRPr="00F627B2" w:rsidRDefault="004F01CA" w:rsidP="004F01CA">
            <w:pPr>
              <w:spacing w:line="240" w:lineRule="auto"/>
              <w:ind w:left="-108"/>
              <w:rPr>
                <w:rFonts w:ascii="Lato" w:hAnsi="Lato"/>
                <w:szCs w:val="22"/>
              </w:rPr>
            </w:pPr>
          </w:p>
        </w:tc>
        <w:tc>
          <w:tcPr>
            <w:tcW w:w="6974" w:type="dxa"/>
            <w:gridSpan w:val="2"/>
            <w:tcBorders>
              <w:top w:val="nil"/>
              <w:left w:val="nil"/>
              <w:bottom w:val="nil"/>
              <w:right w:val="single" w:sz="4" w:space="0" w:color="auto"/>
            </w:tcBorders>
          </w:tcPr>
          <w:p w:rsidR="004F01CA" w:rsidRPr="001E4A73" w:rsidRDefault="004F01CA" w:rsidP="004F01CA">
            <w:pPr>
              <w:spacing w:line="240" w:lineRule="auto"/>
              <w:rPr>
                <w:rFonts w:ascii="Lato" w:hAnsi="Lato"/>
                <w:szCs w:val="22"/>
              </w:rPr>
            </w:pPr>
            <w:r w:rsidRPr="001E4A73">
              <w:rPr>
                <w:rFonts w:ascii="Lato" w:hAnsi="Lato"/>
                <w:szCs w:val="22"/>
              </w:rPr>
              <w:t>(vi)investment adviser</w:t>
            </w:r>
          </w:p>
        </w:tc>
        <w:tc>
          <w:tcPr>
            <w:tcW w:w="992"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4"/>
            <w:tcBorders>
              <w:top w:val="nil"/>
              <w:left w:val="single" w:sz="4" w:space="0" w:color="auto"/>
              <w:bottom w:val="nil"/>
              <w:right w:val="nil"/>
            </w:tcBorders>
          </w:tcPr>
          <w:p w:rsidR="004F01CA" w:rsidRPr="00F627B2" w:rsidRDefault="004F01CA" w:rsidP="004F01CA">
            <w:pPr>
              <w:spacing w:line="240" w:lineRule="auto"/>
              <w:rPr>
                <w:rFonts w:ascii="Lato" w:hAnsi="Lato"/>
                <w:szCs w:val="22"/>
              </w:rPr>
            </w:pPr>
          </w:p>
        </w:tc>
        <w:tc>
          <w:tcPr>
            <w:tcW w:w="55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r>
      <w:tr w:rsidR="004F01CA" w:rsidRPr="00F627B2" w:rsidTr="00F627B2">
        <w:trPr>
          <w:gridAfter w:val="2"/>
          <w:wAfter w:w="3800" w:type="dxa"/>
        </w:trPr>
        <w:tc>
          <w:tcPr>
            <w:tcW w:w="1107" w:type="dxa"/>
            <w:tcBorders>
              <w:top w:val="nil"/>
              <w:left w:val="nil"/>
              <w:bottom w:val="nil"/>
              <w:right w:val="nil"/>
            </w:tcBorders>
          </w:tcPr>
          <w:p w:rsidR="004F01CA" w:rsidRPr="00F627B2" w:rsidRDefault="004F01CA" w:rsidP="004F01CA">
            <w:pPr>
              <w:spacing w:line="240" w:lineRule="auto"/>
              <w:ind w:left="-108"/>
              <w:rPr>
                <w:rFonts w:ascii="Lato" w:hAnsi="Lato"/>
                <w:szCs w:val="22"/>
              </w:rPr>
            </w:pPr>
          </w:p>
        </w:tc>
        <w:tc>
          <w:tcPr>
            <w:tcW w:w="6974" w:type="dxa"/>
            <w:gridSpan w:val="2"/>
            <w:tcBorders>
              <w:top w:val="nil"/>
              <w:left w:val="nil"/>
              <w:bottom w:val="nil"/>
              <w:right w:val="single" w:sz="4" w:space="0" w:color="auto"/>
            </w:tcBorders>
          </w:tcPr>
          <w:p w:rsidR="004F01CA" w:rsidRPr="001E4A73" w:rsidRDefault="004F01CA" w:rsidP="004F01CA">
            <w:pPr>
              <w:spacing w:line="240" w:lineRule="auto"/>
              <w:rPr>
                <w:rFonts w:ascii="Lato" w:hAnsi="Lato"/>
                <w:szCs w:val="22"/>
              </w:rPr>
            </w:pPr>
            <w:r w:rsidRPr="001E4A73">
              <w:rPr>
                <w:rFonts w:ascii="Lato" w:hAnsi="Lato"/>
                <w:szCs w:val="22"/>
              </w:rPr>
              <w:t>(vii)distributor</w:t>
            </w:r>
          </w:p>
        </w:tc>
        <w:tc>
          <w:tcPr>
            <w:tcW w:w="992"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4"/>
            <w:tcBorders>
              <w:top w:val="nil"/>
              <w:left w:val="single" w:sz="4" w:space="0" w:color="auto"/>
              <w:bottom w:val="nil"/>
              <w:right w:val="nil"/>
            </w:tcBorders>
          </w:tcPr>
          <w:p w:rsidR="004F01CA" w:rsidRPr="00F627B2" w:rsidRDefault="004F01CA" w:rsidP="004F01CA">
            <w:pPr>
              <w:spacing w:line="240" w:lineRule="auto"/>
              <w:rPr>
                <w:rFonts w:ascii="Lato" w:hAnsi="Lato"/>
                <w:szCs w:val="22"/>
              </w:rPr>
            </w:pPr>
          </w:p>
        </w:tc>
        <w:tc>
          <w:tcPr>
            <w:tcW w:w="55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r>
      <w:tr w:rsidR="004F01CA" w:rsidRPr="00F627B2" w:rsidTr="00F627B2">
        <w:trPr>
          <w:gridAfter w:val="2"/>
          <w:wAfter w:w="3800" w:type="dxa"/>
        </w:trPr>
        <w:tc>
          <w:tcPr>
            <w:tcW w:w="1107" w:type="dxa"/>
            <w:tcBorders>
              <w:top w:val="nil"/>
              <w:left w:val="nil"/>
              <w:bottom w:val="nil"/>
              <w:right w:val="nil"/>
            </w:tcBorders>
          </w:tcPr>
          <w:p w:rsidR="004F01CA" w:rsidRPr="00F627B2" w:rsidRDefault="004F01CA" w:rsidP="004F01CA">
            <w:pPr>
              <w:spacing w:line="240" w:lineRule="auto"/>
              <w:ind w:left="-108"/>
              <w:rPr>
                <w:rFonts w:ascii="Lato" w:hAnsi="Lato"/>
                <w:szCs w:val="22"/>
              </w:rPr>
            </w:pPr>
          </w:p>
        </w:tc>
        <w:tc>
          <w:tcPr>
            <w:tcW w:w="6974" w:type="dxa"/>
            <w:gridSpan w:val="2"/>
            <w:tcBorders>
              <w:top w:val="nil"/>
              <w:left w:val="nil"/>
              <w:bottom w:val="nil"/>
              <w:right w:val="single" w:sz="4" w:space="0" w:color="auto"/>
            </w:tcBorders>
          </w:tcPr>
          <w:p w:rsidR="004F01CA" w:rsidRPr="001E4A73" w:rsidRDefault="004F01CA" w:rsidP="004F01CA">
            <w:pPr>
              <w:spacing w:line="240" w:lineRule="auto"/>
              <w:rPr>
                <w:rFonts w:ascii="Lato" w:hAnsi="Lato"/>
                <w:szCs w:val="22"/>
              </w:rPr>
            </w:pPr>
            <w:r w:rsidRPr="001E4A73">
              <w:rPr>
                <w:rFonts w:ascii="Lato" w:hAnsi="Lato"/>
                <w:szCs w:val="22"/>
              </w:rPr>
              <w:t>(viii)sub-distributor/paying agent</w:t>
            </w:r>
          </w:p>
        </w:tc>
        <w:tc>
          <w:tcPr>
            <w:tcW w:w="992"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4"/>
            <w:tcBorders>
              <w:top w:val="nil"/>
              <w:left w:val="single" w:sz="4" w:space="0" w:color="auto"/>
              <w:bottom w:val="nil"/>
              <w:right w:val="nil"/>
            </w:tcBorders>
          </w:tcPr>
          <w:p w:rsidR="004F01CA" w:rsidRPr="00F627B2" w:rsidRDefault="004F01CA" w:rsidP="004F01CA">
            <w:pPr>
              <w:spacing w:line="240" w:lineRule="auto"/>
              <w:rPr>
                <w:rFonts w:ascii="Lato" w:hAnsi="Lato"/>
                <w:szCs w:val="22"/>
              </w:rPr>
            </w:pPr>
          </w:p>
        </w:tc>
        <w:tc>
          <w:tcPr>
            <w:tcW w:w="55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r>
      <w:tr w:rsidR="004F01CA" w:rsidRPr="00F627B2" w:rsidTr="00F627B2">
        <w:trPr>
          <w:gridAfter w:val="2"/>
          <w:wAfter w:w="3800" w:type="dxa"/>
        </w:trPr>
        <w:tc>
          <w:tcPr>
            <w:tcW w:w="1107" w:type="dxa"/>
            <w:tcBorders>
              <w:top w:val="nil"/>
              <w:left w:val="nil"/>
              <w:bottom w:val="nil"/>
              <w:right w:val="nil"/>
            </w:tcBorders>
          </w:tcPr>
          <w:p w:rsidR="004F01CA" w:rsidRPr="00F627B2" w:rsidRDefault="004F01CA" w:rsidP="004F01CA">
            <w:pPr>
              <w:spacing w:line="240" w:lineRule="auto"/>
              <w:ind w:left="-108"/>
              <w:rPr>
                <w:rFonts w:ascii="Lato" w:hAnsi="Lato"/>
                <w:szCs w:val="22"/>
              </w:rPr>
            </w:pPr>
          </w:p>
        </w:tc>
        <w:tc>
          <w:tcPr>
            <w:tcW w:w="6974" w:type="dxa"/>
            <w:gridSpan w:val="2"/>
            <w:tcBorders>
              <w:top w:val="nil"/>
              <w:left w:val="nil"/>
              <w:bottom w:val="nil"/>
              <w:right w:val="single" w:sz="4" w:space="0" w:color="auto"/>
            </w:tcBorders>
          </w:tcPr>
          <w:p w:rsidR="004F01CA" w:rsidRPr="001E4A73" w:rsidRDefault="004F01CA" w:rsidP="004F01CA">
            <w:pPr>
              <w:spacing w:line="240" w:lineRule="auto"/>
              <w:rPr>
                <w:rFonts w:ascii="Lato" w:hAnsi="Lato"/>
                <w:szCs w:val="22"/>
              </w:rPr>
            </w:pPr>
            <w:r w:rsidRPr="001E4A73">
              <w:rPr>
                <w:rFonts w:ascii="Lato" w:hAnsi="Lato"/>
                <w:szCs w:val="22"/>
              </w:rPr>
              <w:t>(ix)directors</w:t>
            </w:r>
          </w:p>
        </w:tc>
        <w:tc>
          <w:tcPr>
            <w:tcW w:w="992"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4"/>
            <w:tcBorders>
              <w:top w:val="nil"/>
              <w:left w:val="single" w:sz="4" w:space="0" w:color="auto"/>
              <w:bottom w:val="nil"/>
              <w:right w:val="nil"/>
            </w:tcBorders>
          </w:tcPr>
          <w:p w:rsidR="004F01CA" w:rsidRPr="00F627B2" w:rsidRDefault="004F01CA" w:rsidP="004F01CA">
            <w:pPr>
              <w:spacing w:line="240" w:lineRule="auto"/>
              <w:rPr>
                <w:rFonts w:ascii="Lato" w:hAnsi="Lato"/>
                <w:szCs w:val="22"/>
              </w:rPr>
            </w:pPr>
          </w:p>
        </w:tc>
        <w:tc>
          <w:tcPr>
            <w:tcW w:w="55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r>
      <w:tr w:rsidR="004F01CA" w:rsidRPr="00F627B2" w:rsidTr="00F627B2">
        <w:trPr>
          <w:gridAfter w:val="2"/>
          <w:wAfter w:w="3800" w:type="dxa"/>
        </w:trPr>
        <w:tc>
          <w:tcPr>
            <w:tcW w:w="1107" w:type="dxa"/>
            <w:tcBorders>
              <w:top w:val="nil"/>
              <w:left w:val="nil"/>
              <w:bottom w:val="nil"/>
              <w:right w:val="nil"/>
            </w:tcBorders>
          </w:tcPr>
          <w:p w:rsidR="004F01CA" w:rsidRPr="00F627B2" w:rsidRDefault="004F01CA" w:rsidP="004F01CA">
            <w:pPr>
              <w:spacing w:line="240" w:lineRule="auto"/>
              <w:ind w:left="-108"/>
              <w:rPr>
                <w:rFonts w:ascii="Lato" w:hAnsi="Lato"/>
                <w:szCs w:val="22"/>
              </w:rPr>
            </w:pPr>
          </w:p>
        </w:tc>
        <w:tc>
          <w:tcPr>
            <w:tcW w:w="6974" w:type="dxa"/>
            <w:gridSpan w:val="2"/>
            <w:tcBorders>
              <w:top w:val="nil"/>
              <w:left w:val="nil"/>
              <w:bottom w:val="nil"/>
              <w:right w:val="single" w:sz="4" w:space="0" w:color="auto"/>
            </w:tcBorders>
          </w:tcPr>
          <w:p w:rsidR="004F01CA" w:rsidRPr="001E4A73" w:rsidRDefault="004F01CA" w:rsidP="004F01CA">
            <w:pPr>
              <w:spacing w:line="240" w:lineRule="auto"/>
              <w:rPr>
                <w:rFonts w:ascii="Lato" w:hAnsi="Lato"/>
                <w:szCs w:val="22"/>
              </w:rPr>
            </w:pPr>
            <w:r w:rsidRPr="001E4A73">
              <w:rPr>
                <w:rFonts w:ascii="Lato" w:hAnsi="Lato"/>
                <w:szCs w:val="22"/>
              </w:rPr>
              <w:t>(x)prime broker</w:t>
            </w:r>
          </w:p>
        </w:tc>
        <w:tc>
          <w:tcPr>
            <w:tcW w:w="992"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4"/>
            <w:tcBorders>
              <w:top w:val="nil"/>
              <w:left w:val="single" w:sz="4" w:space="0" w:color="auto"/>
              <w:bottom w:val="nil"/>
              <w:right w:val="nil"/>
            </w:tcBorders>
          </w:tcPr>
          <w:p w:rsidR="004F01CA" w:rsidRPr="00F627B2" w:rsidRDefault="004F01CA" w:rsidP="004F01CA">
            <w:pPr>
              <w:spacing w:line="240" w:lineRule="auto"/>
              <w:rPr>
                <w:rFonts w:ascii="Lato" w:hAnsi="Lato"/>
                <w:szCs w:val="22"/>
              </w:rPr>
            </w:pPr>
          </w:p>
        </w:tc>
        <w:tc>
          <w:tcPr>
            <w:tcW w:w="55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r>
      <w:tr w:rsidR="004F01CA" w:rsidRPr="00F627B2" w:rsidTr="00F627B2">
        <w:trPr>
          <w:gridAfter w:val="2"/>
          <w:wAfter w:w="3800" w:type="dxa"/>
        </w:trPr>
        <w:tc>
          <w:tcPr>
            <w:tcW w:w="1107" w:type="dxa"/>
            <w:tcBorders>
              <w:top w:val="nil"/>
              <w:left w:val="nil"/>
              <w:bottom w:val="nil"/>
              <w:right w:val="nil"/>
            </w:tcBorders>
          </w:tcPr>
          <w:p w:rsidR="004F01CA" w:rsidRPr="00F627B2" w:rsidRDefault="004F01CA" w:rsidP="004F01CA">
            <w:pPr>
              <w:spacing w:line="240" w:lineRule="auto"/>
              <w:ind w:left="-108"/>
              <w:rPr>
                <w:rFonts w:ascii="Lato" w:hAnsi="Lato"/>
                <w:szCs w:val="22"/>
              </w:rPr>
            </w:pPr>
          </w:p>
        </w:tc>
        <w:tc>
          <w:tcPr>
            <w:tcW w:w="6974" w:type="dxa"/>
            <w:gridSpan w:val="2"/>
            <w:tcBorders>
              <w:top w:val="nil"/>
              <w:left w:val="nil"/>
              <w:bottom w:val="nil"/>
              <w:right w:val="single" w:sz="4" w:space="0" w:color="auto"/>
            </w:tcBorders>
          </w:tcPr>
          <w:p w:rsidR="004F01CA" w:rsidRPr="001E4A73" w:rsidRDefault="004F01CA" w:rsidP="004F01CA">
            <w:pPr>
              <w:spacing w:line="240" w:lineRule="auto"/>
              <w:rPr>
                <w:rFonts w:ascii="Lato" w:hAnsi="Lato"/>
                <w:szCs w:val="22"/>
              </w:rPr>
            </w:pPr>
            <w:r w:rsidRPr="001E4A73">
              <w:rPr>
                <w:rFonts w:ascii="Lato" w:hAnsi="Lato"/>
                <w:szCs w:val="22"/>
              </w:rPr>
              <w:t>(xi)AIFM</w:t>
            </w:r>
          </w:p>
        </w:tc>
        <w:tc>
          <w:tcPr>
            <w:tcW w:w="992"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01CA" w:rsidRPr="00F627B2" w:rsidRDefault="004F01CA" w:rsidP="004F01C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01CA" w:rsidRPr="00F627B2" w:rsidRDefault="004F01CA" w:rsidP="004F01CA">
            <w:pPr>
              <w:spacing w:line="240" w:lineRule="auto"/>
              <w:rPr>
                <w:rFonts w:ascii="Lato" w:hAnsi="Lato"/>
                <w:szCs w:val="22"/>
              </w:rPr>
            </w:pPr>
          </w:p>
        </w:tc>
        <w:tc>
          <w:tcPr>
            <w:tcW w:w="264" w:type="dxa"/>
            <w:gridSpan w:val="4"/>
            <w:tcBorders>
              <w:top w:val="nil"/>
              <w:left w:val="single" w:sz="4" w:space="0" w:color="auto"/>
              <w:bottom w:val="nil"/>
              <w:right w:val="nil"/>
            </w:tcBorders>
          </w:tcPr>
          <w:p w:rsidR="004F01CA" w:rsidRPr="00F627B2" w:rsidRDefault="004F01CA" w:rsidP="004F01CA">
            <w:pPr>
              <w:spacing w:line="240" w:lineRule="auto"/>
              <w:rPr>
                <w:rFonts w:ascii="Lato" w:hAnsi="Lato"/>
                <w:szCs w:val="22"/>
              </w:rPr>
            </w:pPr>
          </w:p>
        </w:tc>
        <w:tc>
          <w:tcPr>
            <w:tcW w:w="556" w:type="dxa"/>
            <w:gridSpan w:val="2"/>
            <w:tcBorders>
              <w:top w:val="nil"/>
              <w:left w:val="nil"/>
              <w:bottom w:val="nil"/>
              <w:right w:val="nil"/>
            </w:tcBorders>
          </w:tcPr>
          <w:p w:rsidR="004F01CA" w:rsidRPr="00F627B2" w:rsidRDefault="004F01CA" w:rsidP="004F01CA">
            <w:pPr>
              <w:spacing w:line="240" w:lineRule="auto"/>
              <w:rPr>
                <w:rFonts w:ascii="Lato" w:hAnsi="Lato"/>
                <w:szCs w:val="22"/>
              </w:rPr>
            </w:pPr>
          </w:p>
        </w:tc>
      </w:tr>
      <w:tr w:rsidR="00595F27" w:rsidRPr="00F627B2" w:rsidTr="00F627B2">
        <w:trPr>
          <w:gridAfter w:val="2"/>
          <w:wAfter w:w="3800" w:type="dxa"/>
        </w:trPr>
        <w:tc>
          <w:tcPr>
            <w:tcW w:w="1107" w:type="dxa"/>
            <w:tcBorders>
              <w:top w:val="nil"/>
              <w:left w:val="nil"/>
              <w:bottom w:val="nil"/>
              <w:right w:val="nil"/>
            </w:tcBorders>
          </w:tcPr>
          <w:p w:rsidR="00595F27" w:rsidRPr="00F627B2" w:rsidRDefault="00595F27" w:rsidP="004F01CA">
            <w:pPr>
              <w:spacing w:line="240" w:lineRule="auto"/>
              <w:ind w:left="-108"/>
              <w:rPr>
                <w:rFonts w:ascii="Lato" w:hAnsi="Lato"/>
                <w:szCs w:val="22"/>
              </w:rPr>
            </w:pPr>
          </w:p>
        </w:tc>
        <w:tc>
          <w:tcPr>
            <w:tcW w:w="6974" w:type="dxa"/>
            <w:gridSpan w:val="2"/>
            <w:tcBorders>
              <w:top w:val="nil"/>
              <w:left w:val="nil"/>
              <w:bottom w:val="nil"/>
              <w:right w:val="nil"/>
            </w:tcBorders>
          </w:tcPr>
          <w:p w:rsidR="00595F27" w:rsidRPr="001E4A73" w:rsidRDefault="00595F27" w:rsidP="004F01CA">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595F27" w:rsidRPr="00F627B2" w:rsidRDefault="00595F27" w:rsidP="004F01CA">
            <w:pPr>
              <w:spacing w:line="240" w:lineRule="auto"/>
              <w:rPr>
                <w:rFonts w:ascii="Lato" w:hAnsi="Lato"/>
                <w:szCs w:val="22"/>
              </w:rPr>
            </w:pPr>
          </w:p>
        </w:tc>
        <w:tc>
          <w:tcPr>
            <w:tcW w:w="236" w:type="dxa"/>
            <w:gridSpan w:val="2"/>
            <w:tcBorders>
              <w:top w:val="nil"/>
              <w:left w:val="nil"/>
              <w:bottom w:val="nil"/>
              <w:right w:val="nil"/>
            </w:tcBorders>
          </w:tcPr>
          <w:p w:rsidR="00595F27" w:rsidRPr="00F627B2" w:rsidRDefault="00595F27" w:rsidP="004F01CA">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595F27" w:rsidRPr="00F627B2" w:rsidRDefault="00595F27" w:rsidP="004F01CA">
            <w:pPr>
              <w:spacing w:line="240" w:lineRule="auto"/>
              <w:rPr>
                <w:rFonts w:ascii="Lato" w:hAnsi="Lato"/>
                <w:szCs w:val="22"/>
              </w:rPr>
            </w:pPr>
          </w:p>
        </w:tc>
        <w:tc>
          <w:tcPr>
            <w:tcW w:w="264" w:type="dxa"/>
            <w:gridSpan w:val="2"/>
            <w:tcBorders>
              <w:top w:val="nil"/>
              <w:left w:val="nil"/>
              <w:bottom w:val="nil"/>
              <w:right w:val="nil"/>
            </w:tcBorders>
          </w:tcPr>
          <w:p w:rsidR="00595F27" w:rsidRPr="00F627B2" w:rsidRDefault="00595F27" w:rsidP="004F01CA">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595F27" w:rsidRPr="00F627B2" w:rsidRDefault="00595F27" w:rsidP="004F01CA">
            <w:pPr>
              <w:spacing w:line="240" w:lineRule="auto"/>
              <w:rPr>
                <w:rFonts w:ascii="Lato" w:hAnsi="Lato"/>
                <w:szCs w:val="22"/>
              </w:rPr>
            </w:pPr>
          </w:p>
        </w:tc>
        <w:tc>
          <w:tcPr>
            <w:tcW w:w="264" w:type="dxa"/>
            <w:gridSpan w:val="4"/>
            <w:tcBorders>
              <w:top w:val="nil"/>
              <w:left w:val="nil"/>
              <w:bottom w:val="nil"/>
              <w:right w:val="nil"/>
            </w:tcBorders>
          </w:tcPr>
          <w:p w:rsidR="00595F27" w:rsidRPr="00F627B2" w:rsidRDefault="00595F27" w:rsidP="004F01CA">
            <w:pPr>
              <w:spacing w:line="240" w:lineRule="auto"/>
              <w:rPr>
                <w:rFonts w:ascii="Lato" w:hAnsi="Lato"/>
                <w:szCs w:val="22"/>
              </w:rPr>
            </w:pPr>
          </w:p>
        </w:tc>
        <w:tc>
          <w:tcPr>
            <w:tcW w:w="556" w:type="dxa"/>
            <w:gridSpan w:val="2"/>
            <w:tcBorders>
              <w:top w:val="nil"/>
              <w:left w:val="nil"/>
              <w:bottom w:val="nil"/>
              <w:right w:val="nil"/>
            </w:tcBorders>
          </w:tcPr>
          <w:p w:rsidR="00595F27" w:rsidRPr="00F627B2" w:rsidRDefault="00595F27" w:rsidP="004F01CA">
            <w:pPr>
              <w:spacing w:line="240" w:lineRule="auto"/>
              <w:rPr>
                <w:rFonts w:ascii="Lato" w:hAnsi="Lato"/>
                <w:szCs w:val="22"/>
              </w:rPr>
            </w:pPr>
          </w:p>
        </w:tc>
      </w:tr>
      <w:tr w:rsidR="00595F27" w:rsidRPr="00F627B2" w:rsidTr="00F627B2">
        <w:trPr>
          <w:gridAfter w:val="2"/>
          <w:wAfter w:w="3800" w:type="dxa"/>
        </w:trPr>
        <w:tc>
          <w:tcPr>
            <w:tcW w:w="1107" w:type="dxa"/>
            <w:tcBorders>
              <w:top w:val="nil"/>
              <w:left w:val="nil"/>
              <w:bottom w:val="nil"/>
              <w:right w:val="nil"/>
            </w:tcBorders>
          </w:tcPr>
          <w:p w:rsidR="00595F27" w:rsidRPr="00F627B2" w:rsidRDefault="00595F27" w:rsidP="00595F27">
            <w:pPr>
              <w:spacing w:line="240" w:lineRule="auto"/>
              <w:ind w:left="-108"/>
              <w:rPr>
                <w:rFonts w:ascii="Lato" w:hAnsi="Lato"/>
                <w:szCs w:val="22"/>
              </w:rPr>
            </w:pPr>
            <w:r>
              <w:rPr>
                <w:rFonts w:ascii="Lato" w:hAnsi="Lato"/>
                <w:szCs w:val="22"/>
              </w:rPr>
              <w:t xml:space="preserve">                   </w:t>
            </w:r>
            <w:r w:rsidRPr="001E4A73">
              <w:rPr>
                <w:rFonts w:ascii="Lato" w:hAnsi="Lato"/>
                <w:szCs w:val="22"/>
              </w:rPr>
              <w:t>(i)</w:t>
            </w:r>
          </w:p>
        </w:tc>
        <w:tc>
          <w:tcPr>
            <w:tcW w:w="6974" w:type="dxa"/>
            <w:gridSpan w:val="2"/>
            <w:tcBorders>
              <w:top w:val="nil"/>
              <w:left w:val="nil"/>
              <w:bottom w:val="nil"/>
              <w:right w:val="single" w:sz="4" w:space="0" w:color="auto"/>
            </w:tcBorders>
          </w:tcPr>
          <w:p w:rsidR="00595F27" w:rsidRPr="001E4A73" w:rsidRDefault="00595F27" w:rsidP="00595F27">
            <w:pPr>
              <w:spacing w:line="240" w:lineRule="auto"/>
              <w:rPr>
                <w:rFonts w:ascii="Lato" w:hAnsi="Lato"/>
                <w:szCs w:val="22"/>
              </w:rPr>
            </w:pPr>
            <w:r w:rsidRPr="001E4A73">
              <w:rPr>
                <w:rFonts w:ascii="Lato" w:hAnsi="Lato"/>
                <w:szCs w:val="22"/>
              </w:rPr>
              <w:t>Any other fees and expenses paid directly by the Retail Investor AIF</w:t>
            </w:r>
          </w:p>
        </w:tc>
        <w:tc>
          <w:tcPr>
            <w:tcW w:w="992" w:type="dxa"/>
            <w:gridSpan w:val="2"/>
            <w:tcBorders>
              <w:top w:val="single" w:sz="4" w:space="0" w:color="auto"/>
              <w:left w:val="single" w:sz="4" w:space="0" w:color="auto"/>
              <w:bottom w:val="single" w:sz="4" w:space="0" w:color="auto"/>
              <w:right w:val="single" w:sz="4" w:space="0" w:color="auto"/>
            </w:tcBorders>
          </w:tcPr>
          <w:p w:rsidR="00595F27" w:rsidRPr="00F627B2" w:rsidRDefault="00595F27" w:rsidP="00595F27">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595F27" w:rsidRPr="00F627B2" w:rsidRDefault="00595F27" w:rsidP="00595F27">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595F27" w:rsidRPr="00F627B2" w:rsidRDefault="00595F27" w:rsidP="00595F27">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595F27" w:rsidRPr="00F627B2" w:rsidRDefault="00595F27" w:rsidP="00595F27">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595F27" w:rsidRPr="00F627B2" w:rsidRDefault="00595F27" w:rsidP="00595F27">
            <w:pPr>
              <w:spacing w:line="240" w:lineRule="auto"/>
              <w:rPr>
                <w:rFonts w:ascii="Lato" w:hAnsi="Lato"/>
                <w:szCs w:val="22"/>
              </w:rPr>
            </w:pPr>
          </w:p>
        </w:tc>
        <w:tc>
          <w:tcPr>
            <w:tcW w:w="264" w:type="dxa"/>
            <w:gridSpan w:val="4"/>
            <w:tcBorders>
              <w:top w:val="nil"/>
              <w:left w:val="single" w:sz="4" w:space="0" w:color="auto"/>
              <w:bottom w:val="nil"/>
              <w:right w:val="nil"/>
            </w:tcBorders>
          </w:tcPr>
          <w:p w:rsidR="00595F27" w:rsidRPr="00F627B2" w:rsidRDefault="00595F27" w:rsidP="00595F27">
            <w:pPr>
              <w:spacing w:line="240" w:lineRule="auto"/>
              <w:rPr>
                <w:rFonts w:ascii="Lato" w:hAnsi="Lato"/>
                <w:szCs w:val="22"/>
              </w:rPr>
            </w:pPr>
          </w:p>
        </w:tc>
        <w:tc>
          <w:tcPr>
            <w:tcW w:w="55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r>
      <w:tr w:rsidR="00595F27" w:rsidRPr="00F627B2" w:rsidTr="00F627B2">
        <w:trPr>
          <w:gridAfter w:val="2"/>
          <w:wAfter w:w="3800" w:type="dxa"/>
        </w:trPr>
        <w:tc>
          <w:tcPr>
            <w:tcW w:w="1107" w:type="dxa"/>
            <w:tcBorders>
              <w:top w:val="nil"/>
              <w:left w:val="nil"/>
              <w:bottom w:val="nil"/>
              <w:right w:val="nil"/>
            </w:tcBorders>
          </w:tcPr>
          <w:p w:rsidR="00595F27" w:rsidRPr="001E4A73" w:rsidRDefault="00595F27" w:rsidP="00595F27">
            <w:pPr>
              <w:spacing w:line="240" w:lineRule="auto"/>
              <w:ind w:left="-108"/>
              <w:rPr>
                <w:rFonts w:ascii="Lato" w:hAnsi="Lato"/>
                <w:szCs w:val="22"/>
              </w:rPr>
            </w:pPr>
          </w:p>
        </w:tc>
        <w:tc>
          <w:tcPr>
            <w:tcW w:w="6974" w:type="dxa"/>
            <w:gridSpan w:val="2"/>
            <w:tcBorders>
              <w:top w:val="nil"/>
              <w:left w:val="nil"/>
              <w:bottom w:val="nil"/>
              <w:right w:val="nil"/>
            </w:tcBorders>
          </w:tcPr>
          <w:p w:rsidR="00595F27" w:rsidRPr="001E4A73" w:rsidRDefault="00595F27" w:rsidP="00595F27">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595F27" w:rsidRPr="00F627B2" w:rsidRDefault="00595F27" w:rsidP="00595F27">
            <w:pPr>
              <w:spacing w:line="240" w:lineRule="auto"/>
              <w:rPr>
                <w:rFonts w:ascii="Lato" w:hAnsi="Lato"/>
                <w:szCs w:val="22"/>
              </w:rPr>
            </w:pPr>
          </w:p>
        </w:tc>
        <w:tc>
          <w:tcPr>
            <w:tcW w:w="23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595F27" w:rsidRPr="00F627B2" w:rsidRDefault="00595F27" w:rsidP="00595F27">
            <w:pPr>
              <w:spacing w:line="240" w:lineRule="auto"/>
              <w:rPr>
                <w:rFonts w:ascii="Lato" w:hAnsi="Lato"/>
                <w:szCs w:val="22"/>
              </w:rPr>
            </w:pPr>
          </w:p>
        </w:tc>
        <w:tc>
          <w:tcPr>
            <w:tcW w:w="264"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595F27" w:rsidRPr="00F627B2" w:rsidRDefault="00595F27" w:rsidP="00595F27">
            <w:pPr>
              <w:spacing w:line="240" w:lineRule="auto"/>
              <w:rPr>
                <w:rFonts w:ascii="Lato" w:hAnsi="Lato"/>
                <w:szCs w:val="22"/>
              </w:rPr>
            </w:pPr>
          </w:p>
        </w:tc>
        <w:tc>
          <w:tcPr>
            <w:tcW w:w="264" w:type="dxa"/>
            <w:gridSpan w:val="4"/>
            <w:tcBorders>
              <w:top w:val="nil"/>
              <w:left w:val="nil"/>
              <w:bottom w:val="nil"/>
              <w:right w:val="nil"/>
            </w:tcBorders>
          </w:tcPr>
          <w:p w:rsidR="00595F27" w:rsidRPr="00F627B2" w:rsidRDefault="00595F27" w:rsidP="00595F27">
            <w:pPr>
              <w:spacing w:line="240" w:lineRule="auto"/>
              <w:rPr>
                <w:rFonts w:ascii="Lato" w:hAnsi="Lato"/>
                <w:szCs w:val="22"/>
              </w:rPr>
            </w:pPr>
          </w:p>
        </w:tc>
        <w:tc>
          <w:tcPr>
            <w:tcW w:w="55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r>
      <w:tr w:rsidR="00595F27" w:rsidRPr="00F627B2" w:rsidTr="00F627B2">
        <w:trPr>
          <w:gridAfter w:val="2"/>
          <w:wAfter w:w="3800" w:type="dxa"/>
        </w:trPr>
        <w:tc>
          <w:tcPr>
            <w:tcW w:w="1107" w:type="dxa"/>
            <w:tcBorders>
              <w:top w:val="nil"/>
              <w:left w:val="nil"/>
              <w:bottom w:val="nil"/>
              <w:right w:val="nil"/>
            </w:tcBorders>
          </w:tcPr>
          <w:p w:rsidR="00595F27" w:rsidRPr="001E4A73" w:rsidRDefault="00595F27" w:rsidP="00595F27">
            <w:pPr>
              <w:spacing w:line="240" w:lineRule="auto"/>
              <w:ind w:left="-108"/>
              <w:rPr>
                <w:rFonts w:ascii="Lato" w:hAnsi="Lato"/>
                <w:szCs w:val="22"/>
              </w:rPr>
            </w:pPr>
            <w:r>
              <w:rPr>
                <w:rFonts w:ascii="Lato" w:hAnsi="Lato"/>
                <w:szCs w:val="22"/>
              </w:rPr>
              <w:t xml:space="preserve">                 </w:t>
            </w:r>
            <w:r w:rsidRPr="001E4A73">
              <w:rPr>
                <w:rFonts w:ascii="Lato" w:hAnsi="Lato"/>
                <w:szCs w:val="22"/>
              </w:rPr>
              <w:t>(ii)</w:t>
            </w:r>
          </w:p>
        </w:tc>
        <w:tc>
          <w:tcPr>
            <w:tcW w:w="6974" w:type="dxa"/>
            <w:gridSpan w:val="2"/>
            <w:tcBorders>
              <w:top w:val="nil"/>
              <w:left w:val="nil"/>
              <w:bottom w:val="nil"/>
              <w:right w:val="single" w:sz="4" w:space="0" w:color="auto"/>
            </w:tcBorders>
          </w:tcPr>
          <w:p w:rsidR="00595F27" w:rsidRPr="001E4A73" w:rsidRDefault="00595F27" w:rsidP="00595F27">
            <w:pPr>
              <w:spacing w:line="240" w:lineRule="auto"/>
              <w:rPr>
                <w:rFonts w:ascii="Lato" w:hAnsi="Lato"/>
                <w:szCs w:val="22"/>
              </w:rPr>
            </w:pPr>
            <w:r w:rsidRPr="001E4A73">
              <w:rPr>
                <w:rFonts w:ascii="Lato" w:hAnsi="Lato"/>
                <w:szCs w:val="22"/>
              </w:rPr>
              <w:t xml:space="preserve">All other costs and expenses, including establishment costs.  </w:t>
            </w:r>
          </w:p>
        </w:tc>
        <w:tc>
          <w:tcPr>
            <w:tcW w:w="992" w:type="dxa"/>
            <w:gridSpan w:val="2"/>
            <w:tcBorders>
              <w:top w:val="single" w:sz="4" w:space="0" w:color="auto"/>
              <w:left w:val="single" w:sz="4" w:space="0" w:color="auto"/>
              <w:bottom w:val="single" w:sz="4" w:space="0" w:color="auto"/>
              <w:right w:val="single" w:sz="4" w:space="0" w:color="auto"/>
            </w:tcBorders>
          </w:tcPr>
          <w:p w:rsidR="00595F27" w:rsidRPr="00F627B2" w:rsidRDefault="00595F27" w:rsidP="00595F27">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595F27" w:rsidRPr="00F627B2" w:rsidRDefault="00595F27" w:rsidP="00595F27">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595F27" w:rsidRPr="00F627B2" w:rsidRDefault="00595F27" w:rsidP="00595F27">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595F27" w:rsidRPr="00F627B2" w:rsidRDefault="00595F27" w:rsidP="00595F27">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595F27" w:rsidRPr="00F627B2" w:rsidRDefault="00595F27" w:rsidP="00595F27">
            <w:pPr>
              <w:spacing w:line="240" w:lineRule="auto"/>
              <w:rPr>
                <w:rFonts w:ascii="Lato" w:hAnsi="Lato"/>
                <w:szCs w:val="22"/>
              </w:rPr>
            </w:pPr>
          </w:p>
        </w:tc>
        <w:tc>
          <w:tcPr>
            <w:tcW w:w="264" w:type="dxa"/>
            <w:gridSpan w:val="4"/>
            <w:tcBorders>
              <w:top w:val="nil"/>
              <w:left w:val="single" w:sz="4" w:space="0" w:color="auto"/>
              <w:bottom w:val="nil"/>
              <w:right w:val="nil"/>
            </w:tcBorders>
          </w:tcPr>
          <w:p w:rsidR="00595F27" w:rsidRPr="00F627B2" w:rsidRDefault="00595F27" w:rsidP="00595F27">
            <w:pPr>
              <w:spacing w:line="240" w:lineRule="auto"/>
              <w:rPr>
                <w:rFonts w:ascii="Lato" w:hAnsi="Lato"/>
                <w:szCs w:val="22"/>
              </w:rPr>
            </w:pPr>
          </w:p>
        </w:tc>
        <w:tc>
          <w:tcPr>
            <w:tcW w:w="55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r>
      <w:tr w:rsidR="00595F27" w:rsidRPr="00F627B2" w:rsidTr="00F627B2">
        <w:trPr>
          <w:gridAfter w:val="2"/>
          <w:wAfter w:w="3800" w:type="dxa"/>
        </w:trPr>
        <w:tc>
          <w:tcPr>
            <w:tcW w:w="1107" w:type="dxa"/>
            <w:tcBorders>
              <w:top w:val="nil"/>
              <w:left w:val="nil"/>
              <w:bottom w:val="nil"/>
              <w:right w:val="nil"/>
            </w:tcBorders>
          </w:tcPr>
          <w:p w:rsidR="00595F27" w:rsidRPr="001E4A73" w:rsidRDefault="00595F27" w:rsidP="00595F27">
            <w:pPr>
              <w:spacing w:line="240" w:lineRule="auto"/>
              <w:ind w:left="-108"/>
              <w:rPr>
                <w:rFonts w:ascii="Lato" w:hAnsi="Lato"/>
                <w:szCs w:val="22"/>
              </w:rPr>
            </w:pPr>
          </w:p>
        </w:tc>
        <w:tc>
          <w:tcPr>
            <w:tcW w:w="6974" w:type="dxa"/>
            <w:gridSpan w:val="2"/>
            <w:tcBorders>
              <w:top w:val="nil"/>
              <w:left w:val="nil"/>
              <w:bottom w:val="nil"/>
              <w:right w:val="nil"/>
            </w:tcBorders>
          </w:tcPr>
          <w:p w:rsidR="00595F27" w:rsidRPr="001E4A73" w:rsidRDefault="00595F27" w:rsidP="00595F27">
            <w:pPr>
              <w:spacing w:line="240" w:lineRule="auto"/>
              <w:rPr>
                <w:rFonts w:ascii="Lato" w:hAnsi="Lato"/>
                <w:szCs w:val="22"/>
              </w:rPr>
            </w:pPr>
            <w:r w:rsidRPr="001E4A73">
              <w:rPr>
                <w:rFonts w:ascii="Lato" w:hAnsi="Lato"/>
                <w:szCs w:val="22"/>
              </w:rPr>
              <w:t>Indicate how costs of establishment will be dealt with in the accounts of the Retail Investor AIF e.g. amortised over first five accounting periods.</w:t>
            </w:r>
          </w:p>
        </w:tc>
        <w:tc>
          <w:tcPr>
            <w:tcW w:w="992" w:type="dxa"/>
            <w:gridSpan w:val="2"/>
            <w:tcBorders>
              <w:top w:val="single" w:sz="4" w:space="0" w:color="auto"/>
              <w:left w:val="nil"/>
              <w:bottom w:val="nil"/>
              <w:right w:val="nil"/>
            </w:tcBorders>
          </w:tcPr>
          <w:p w:rsidR="00595F27" w:rsidRPr="00F627B2" w:rsidRDefault="00595F27" w:rsidP="00595F27">
            <w:pPr>
              <w:spacing w:line="240" w:lineRule="auto"/>
              <w:rPr>
                <w:rFonts w:ascii="Lato" w:hAnsi="Lato"/>
                <w:szCs w:val="22"/>
              </w:rPr>
            </w:pPr>
          </w:p>
        </w:tc>
        <w:tc>
          <w:tcPr>
            <w:tcW w:w="23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709" w:type="dxa"/>
            <w:gridSpan w:val="3"/>
            <w:tcBorders>
              <w:top w:val="single" w:sz="4" w:space="0" w:color="auto"/>
              <w:left w:val="nil"/>
              <w:bottom w:val="nil"/>
              <w:right w:val="nil"/>
            </w:tcBorders>
          </w:tcPr>
          <w:p w:rsidR="00595F27" w:rsidRPr="00F627B2" w:rsidRDefault="00595F27" w:rsidP="00595F27">
            <w:pPr>
              <w:spacing w:line="240" w:lineRule="auto"/>
              <w:rPr>
                <w:rFonts w:ascii="Lato" w:hAnsi="Lato"/>
                <w:szCs w:val="22"/>
              </w:rPr>
            </w:pPr>
          </w:p>
        </w:tc>
        <w:tc>
          <w:tcPr>
            <w:tcW w:w="264"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455" w:type="dxa"/>
            <w:gridSpan w:val="2"/>
            <w:tcBorders>
              <w:top w:val="single" w:sz="4" w:space="0" w:color="auto"/>
              <w:left w:val="nil"/>
              <w:bottom w:val="nil"/>
              <w:right w:val="nil"/>
            </w:tcBorders>
          </w:tcPr>
          <w:p w:rsidR="00595F27" w:rsidRPr="00F627B2" w:rsidRDefault="00595F27" w:rsidP="00595F27">
            <w:pPr>
              <w:spacing w:line="240" w:lineRule="auto"/>
              <w:rPr>
                <w:rFonts w:ascii="Lato" w:hAnsi="Lato"/>
                <w:szCs w:val="22"/>
              </w:rPr>
            </w:pPr>
          </w:p>
        </w:tc>
        <w:tc>
          <w:tcPr>
            <w:tcW w:w="264" w:type="dxa"/>
            <w:gridSpan w:val="4"/>
            <w:tcBorders>
              <w:top w:val="nil"/>
              <w:left w:val="nil"/>
              <w:bottom w:val="nil"/>
              <w:right w:val="nil"/>
            </w:tcBorders>
          </w:tcPr>
          <w:p w:rsidR="00595F27" w:rsidRPr="00F627B2" w:rsidRDefault="00595F27" w:rsidP="00595F27">
            <w:pPr>
              <w:spacing w:line="240" w:lineRule="auto"/>
              <w:rPr>
                <w:rFonts w:ascii="Lato" w:hAnsi="Lato"/>
                <w:szCs w:val="22"/>
              </w:rPr>
            </w:pPr>
          </w:p>
        </w:tc>
        <w:tc>
          <w:tcPr>
            <w:tcW w:w="55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r>
      <w:tr w:rsidR="00595F27" w:rsidRPr="00F627B2" w:rsidTr="00F627B2">
        <w:trPr>
          <w:gridAfter w:val="2"/>
          <w:wAfter w:w="3800" w:type="dxa"/>
        </w:trPr>
        <w:tc>
          <w:tcPr>
            <w:tcW w:w="1107" w:type="dxa"/>
            <w:tcBorders>
              <w:top w:val="nil"/>
              <w:left w:val="nil"/>
              <w:bottom w:val="nil"/>
              <w:right w:val="nil"/>
            </w:tcBorders>
          </w:tcPr>
          <w:p w:rsidR="00595F27" w:rsidRPr="001E4A73" w:rsidRDefault="00595F27" w:rsidP="00595F27">
            <w:pPr>
              <w:spacing w:line="240" w:lineRule="auto"/>
              <w:ind w:left="-108"/>
              <w:rPr>
                <w:rFonts w:ascii="Lato" w:hAnsi="Lato"/>
                <w:szCs w:val="22"/>
              </w:rPr>
            </w:pPr>
          </w:p>
        </w:tc>
        <w:tc>
          <w:tcPr>
            <w:tcW w:w="6974" w:type="dxa"/>
            <w:gridSpan w:val="2"/>
            <w:tcBorders>
              <w:top w:val="nil"/>
              <w:left w:val="nil"/>
              <w:bottom w:val="nil"/>
              <w:right w:val="nil"/>
            </w:tcBorders>
          </w:tcPr>
          <w:p w:rsidR="00595F27" w:rsidRPr="001E4A73" w:rsidRDefault="00595F27" w:rsidP="00595F27">
            <w:pPr>
              <w:spacing w:line="240" w:lineRule="auto"/>
              <w:rPr>
                <w:rFonts w:ascii="Lato" w:hAnsi="Lato"/>
                <w:szCs w:val="22"/>
              </w:rPr>
            </w:pPr>
          </w:p>
        </w:tc>
        <w:tc>
          <w:tcPr>
            <w:tcW w:w="992"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23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709" w:type="dxa"/>
            <w:gridSpan w:val="3"/>
            <w:tcBorders>
              <w:top w:val="nil"/>
              <w:left w:val="nil"/>
              <w:bottom w:val="nil"/>
              <w:right w:val="nil"/>
            </w:tcBorders>
          </w:tcPr>
          <w:p w:rsidR="00595F27" w:rsidRPr="00F627B2" w:rsidRDefault="00595F27" w:rsidP="00595F27">
            <w:pPr>
              <w:spacing w:line="240" w:lineRule="auto"/>
              <w:rPr>
                <w:rFonts w:ascii="Lato" w:hAnsi="Lato"/>
                <w:szCs w:val="22"/>
              </w:rPr>
            </w:pPr>
          </w:p>
        </w:tc>
        <w:tc>
          <w:tcPr>
            <w:tcW w:w="264"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455"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264" w:type="dxa"/>
            <w:gridSpan w:val="4"/>
            <w:tcBorders>
              <w:top w:val="nil"/>
              <w:left w:val="nil"/>
              <w:bottom w:val="nil"/>
              <w:right w:val="nil"/>
            </w:tcBorders>
          </w:tcPr>
          <w:p w:rsidR="00595F27" w:rsidRPr="00F627B2" w:rsidRDefault="00595F27" w:rsidP="00595F27">
            <w:pPr>
              <w:spacing w:line="240" w:lineRule="auto"/>
              <w:rPr>
                <w:rFonts w:ascii="Lato" w:hAnsi="Lato"/>
                <w:szCs w:val="22"/>
              </w:rPr>
            </w:pPr>
          </w:p>
        </w:tc>
        <w:tc>
          <w:tcPr>
            <w:tcW w:w="55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r>
      <w:tr w:rsidR="00595F27" w:rsidRPr="00F627B2" w:rsidTr="00F627B2">
        <w:trPr>
          <w:gridAfter w:val="2"/>
          <w:wAfter w:w="3800" w:type="dxa"/>
        </w:trPr>
        <w:tc>
          <w:tcPr>
            <w:tcW w:w="1107" w:type="dxa"/>
            <w:tcBorders>
              <w:top w:val="nil"/>
              <w:left w:val="nil"/>
              <w:bottom w:val="nil"/>
              <w:right w:val="nil"/>
            </w:tcBorders>
          </w:tcPr>
          <w:p w:rsidR="00595F27" w:rsidRPr="001E4A73" w:rsidRDefault="00595F27" w:rsidP="00595F27">
            <w:pPr>
              <w:spacing w:line="240" w:lineRule="auto"/>
              <w:ind w:left="-108"/>
              <w:rPr>
                <w:rFonts w:ascii="Lato" w:hAnsi="Lato"/>
                <w:szCs w:val="22"/>
              </w:rPr>
            </w:pPr>
          </w:p>
        </w:tc>
        <w:tc>
          <w:tcPr>
            <w:tcW w:w="6974" w:type="dxa"/>
            <w:gridSpan w:val="2"/>
            <w:tcBorders>
              <w:top w:val="nil"/>
              <w:left w:val="nil"/>
              <w:bottom w:val="nil"/>
              <w:right w:val="nil"/>
            </w:tcBorders>
          </w:tcPr>
          <w:p w:rsidR="00595F27" w:rsidRPr="001E4A73" w:rsidRDefault="00595F27" w:rsidP="00595F27">
            <w:pPr>
              <w:spacing w:line="240" w:lineRule="auto"/>
              <w:rPr>
                <w:rFonts w:ascii="Lato" w:hAnsi="Lato"/>
                <w:szCs w:val="22"/>
              </w:rPr>
            </w:pPr>
            <w:r w:rsidRPr="001E4A73">
              <w:rPr>
                <w:rFonts w:ascii="Lato" w:hAnsi="Lato"/>
                <w:szCs w:val="22"/>
              </w:rPr>
              <w:t>Multi-class Retail Investor AIF charging different fees to individual classes</w:t>
            </w:r>
          </w:p>
        </w:tc>
        <w:tc>
          <w:tcPr>
            <w:tcW w:w="992"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23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709" w:type="dxa"/>
            <w:gridSpan w:val="3"/>
            <w:tcBorders>
              <w:top w:val="nil"/>
              <w:left w:val="nil"/>
              <w:bottom w:val="nil"/>
              <w:right w:val="nil"/>
            </w:tcBorders>
          </w:tcPr>
          <w:p w:rsidR="00595F27" w:rsidRPr="00F627B2" w:rsidRDefault="00595F27" w:rsidP="00595F27">
            <w:pPr>
              <w:spacing w:line="240" w:lineRule="auto"/>
              <w:rPr>
                <w:rFonts w:ascii="Lato" w:hAnsi="Lato"/>
                <w:szCs w:val="22"/>
              </w:rPr>
            </w:pPr>
          </w:p>
        </w:tc>
        <w:tc>
          <w:tcPr>
            <w:tcW w:w="264"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455"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264" w:type="dxa"/>
            <w:gridSpan w:val="4"/>
            <w:tcBorders>
              <w:top w:val="nil"/>
              <w:left w:val="nil"/>
              <w:bottom w:val="nil"/>
              <w:right w:val="nil"/>
            </w:tcBorders>
          </w:tcPr>
          <w:p w:rsidR="00595F27" w:rsidRPr="00F627B2" w:rsidRDefault="00595F27" w:rsidP="00595F27">
            <w:pPr>
              <w:spacing w:line="240" w:lineRule="auto"/>
              <w:rPr>
                <w:rFonts w:ascii="Lato" w:hAnsi="Lato"/>
                <w:szCs w:val="22"/>
              </w:rPr>
            </w:pPr>
          </w:p>
        </w:tc>
        <w:tc>
          <w:tcPr>
            <w:tcW w:w="55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r>
      <w:tr w:rsidR="00595F27" w:rsidRPr="00F627B2" w:rsidTr="00F627B2">
        <w:trPr>
          <w:gridAfter w:val="2"/>
          <w:wAfter w:w="3800" w:type="dxa"/>
        </w:trPr>
        <w:tc>
          <w:tcPr>
            <w:tcW w:w="1107" w:type="dxa"/>
            <w:tcBorders>
              <w:top w:val="nil"/>
              <w:left w:val="nil"/>
              <w:bottom w:val="nil"/>
              <w:right w:val="nil"/>
            </w:tcBorders>
          </w:tcPr>
          <w:p w:rsidR="00595F27" w:rsidRPr="001E4A73" w:rsidRDefault="00595F27" w:rsidP="00595F27">
            <w:pPr>
              <w:spacing w:line="240" w:lineRule="auto"/>
              <w:ind w:left="-108"/>
              <w:rPr>
                <w:rFonts w:ascii="Lato" w:hAnsi="Lato"/>
                <w:szCs w:val="22"/>
              </w:rPr>
            </w:pPr>
          </w:p>
        </w:tc>
        <w:tc>
          <w:tcPr>
            <w:tcW w:w="6974" w:type="dxa"/>
            <w:gridSpan w:val="2"/>
            <w:tcBorders>
              <w:top w:val="nil"/>
              <w:left w:val="nil"/>
              <w:bottom w:val="nil"/>
              <w:right w:val="nil"/>
            </w:tcBorders>
          </w:tcPr>
          <w:p w:rsidR="00595F27" w:rsidRPr="001E4A73" w:rsidRDefault="00595F27" w:rsidP="00595F27">
            <w:pPr>
              <w:spacing w:line="240" w:lineRule="auto"/>
              <w:rPr>
                <w:rFonts w:ascii="Lato" w:hAnsi="Lato"/>
                <w:szCs w:val="22"/>
              </w:rPr>
            </w:pPr>
            <w:r w:rsidRPr="001E4A73">
              <w:rPr>
                <w:rFonts w:ascii="Lato" w:hAnsi="Lato"/>
                <w:szCs w:val="22"/>
              </w:rPr>
              <w:t>Disclose</w:t>
            </w:r>
          </w:p>
        </w:tc>
        <w:tc>
          <w:tcPr>
            <w:tcW w:w="992" w:type="dxa"/>
            <w:gridSpan w:val="2"/>
            <w:tcBorders>
              <w:top w:val="nil"/>
              <w:left w:val="nil"/>
              <w:bottom w:val="single" w:sz="4" w:space="0" w:color="auto"/>
              <w:right w:val="nil"/>
            </w:tcBorders>
          </w:tcPr>
          <w:p w:rsidR="00595F27" w:rsidRPr="00F627B2" w:rsidRDefault="00595F27" w:rsidP="00595F27">
            <w:pPr>
              <w:spacing w:line="240" w:lineRule="auto"/>
              <w:rPr>
                <w:rFonts w:ascii="Lato" w:hAnsi="Lato"/>
                <w:szCs w:val="22"/>
              </w:rPr>
            </w:pPr>
          </w:p>
        </w:tc>
        <w:tc>
          <w:tcPr>
            <w:tcW w:w="23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709" w:type="dxa"/>
            <w:gridSpan w:val="3"/>
            <w:tcBorders>
              <w:top w:val="nil"/>
              <w:left w:val="nil"/>
              <w:bottom w:val="single" w:sz="4" w:space="0" w:color="auto"/>
              <w:right w:val="nil"/>
            </w:tcBorders>
          </w:tcPr>
          <w:p w:rsidR="00595F27" w:rsidRPr="00F627B2" w:rsidRDefault="00595F27" w:rsidP="00595F27">
            <w:pPr>
              <w:spacing w:line="240" w:lineRule="auto"/>
              <w:rPr>
                <w:rFonts w:ascii="Lato" w:hAnsi="Lato"/>
                <w:szCs w:val="22"/>
              </w:rPr>
            </w:pPr>
          </w:p>
        </w:tc>
        <w:tc>
          <w:tcPr>
            <w:tcW w:w="264"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455" w:type="dxa"/>
            <w:gridSpan w:val="2"/>
            <w:tcBorders>
              <w:top w:val="nil"/>
              <w:left w:val="nil"/>
              <w:bottom w:val="single" w:sz="4" w:space="0" w:color="auto"/>
              <w:right w:val="nil"/>
            </w:tcBorders>
          </w:tcPr>
          <w:p w:rsidR="00595F27" w:rsidRPr="00F627B2" w:rsidRDefault="00595F27" w:rsidP="00595F27">
            <w:pPr>
              <w:spacing w:line="240" w:lineRule="auto"/>
              <w:rPr>
                <w:rFonts w:ascii="Lato" w:hAnsi="Lato"/>
                <w:szCs w:val="22"/>
              </w:rPr>
            </w:pPr>
          </w:p>
        </w:tc>
        <w:tc>
          <w:tcPr>
            <w:tcW w:w="264" w:type="dxa"/>
            <w:gridSpan w:val="4"/>
            <w:tcBorders>
              <w:top w:val="nil"/>
              <w:left w:val="nil"/>
              <w:bottom w:val="nil"/>
              <w:right w:val="nil"/>
            </w:tcBorders>
          </w:tcPr>
          <w:p w:rsidR="00595F27" w:rsidRPr="00F627B2" w:rsidRDefault="00595F27" w:rsidP="00595F27">
            <w:pPr>
              <w:spacing w:line="240" w:lineRule="auto"/>
              <w:rPr>
                <w:rFonts w:ascii="Lato" w:hAnsi="Lato"/>
                <w:szCs w:val="22"/>
              </w:rPr>
            </w:pPr>
          </w:p>
        </w:tc>
        <w:tc>
          <w:tcPr>
            <w:tcW w:w="55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r>
      <w:tr w:rsidR="00595F27" w:rsidRPr="00F627B2" w:rsidTr="00F627B2">
        <w:trPr>
          <w:gridAfter w:val="2"/>
          <w:wAfter w:w="3800" w:type="dxa"/>
        </w:trPr>
        <w:tc>
          <w:tcPr>
            <w:tcW w:w="1107" w:type="dxa"/>
            <w:tcBorders>
              <w:top w:val="nil"/>
              <w:left w:val="nil"/>
              <w:bottom w:val="nil"/>
              <w:right w:val="nil"/>
            </w:tcBorders>
          </w:tcPr>
          <w:p w:rsidR="00595F27" w:rsidRPr="001E4A73" w:rsidRDefault="00C01DD7" w:rsidP="00595F27">
            <w:pPr>
              <w:spacing w:line="240" w:lineRule="auto"/>
              <w:ind w:left="-108"/>
              <w:rPr>
                <w:rFonts w:ascii="Lato" w:hAnsi="Lato"/>
                <w:szCs w:val="22"/>
              </w:rPr>
            </w:pPr>
            <w:r>
              <w:rPr>
                <w:rFonts w:ascii="Lato" w:hAnsi="Lato"/>
                <w:szCs w:val="22"/>
              </w:rPr>
              <w:t xml:space="preserve">                   </w:t>
            </w:r>
            <w:r w:rsidR="00595F27" w:rsidRPr="001E4A73">
              <w:rPr>
                <w:rFonts w:ascii="Lato" w:hAnsi="Lato"/>
                <w:szCs w:val="22"/>
              </w:rPr>
              <w:t>(i)</w:t>
            </w:r>
          </w:p>
        </w:tc>
        <w:tc>
          <w:tcPr>
            <w:tcW w:w="6974" w:type="dxa"/>
            <w:gridSpan w:val="2"/>
            <w:tcBorders>
              <w:top w:val="nil"/>
              <w:left w:val="nil"/>
              <w:bottom w:val="nil"/>
              <w:right w:val="single" w:sz="4" w:space="0" w:color="auto"/>
            </w:tcBorders>
          </w:tcPr>
          <w:p w:rsidR="00595F27" w:rsidRPr="001E4A73" w:rsidRDefault="00595F27" w:rsidP="00595F27">
            <w:pPr>
              <w:spacing w:line="240" w:lineRule="auto"/>
              <w:rPr>
                <w:rFonts w:ascii="Lato" w:hAnsi="Lato"/>
                <w:szCs w:val="22"/>
              </w:rPr>
            </w:pPr>
            <w:r w:rsidRPr="001E4A73">
              <w:rPr>
                <w:rFonts w:ascii="Lato" w:hAnsi="Lato"/>
                <w:szCs w:val="22"/>
              </w:rPr>
              <w:t>Details of the fees applicable to the class</w:t>
            </w:r>
          </w:p>
        </w:tc>
        <w:tc>
          <w:tcPr>
            <w:tcW w:w="992" w:type="dxa"/>
            <w:gridSpan w:val="2"/>
            <w:tcBorders>
              <w:top w:val="single" w:sz="4" w:space="0" w:color="auto"/>
              <w:left w:val="single" w:sz="4" w:space="0" w:color="auto"/>
              <w:bottom w:val="single" w:sz="4" w:space="0" w:color="auto"/>
              <w:right w:val="single" w:sz="4" w:space="0" w:color="auto"/>
            </w:tcBorders>
          </w:tcPr>
          <w:p w:rsidR="00595F27" w:rsidRPr="00F627B2" w:rsidRDefault="00595F27" w:rsidP="00595F27">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595F27" w:rsidRPr="00F627B2" w:rsidRDefault="00595F27" w:rsidP="00595F27">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595F27" w:rsidRPr="00F627B2" w:rsidRDefault="00595F27" w:rsidP="00595F27">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595F27" w:rsidRPr="00F627B2" w:rsidRDefault="00595F27" w:rsidP="00595F27">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595F27" w:rsidRPr="00F627B2" w:rsidRDefault="00595F27" w:rsidP="00595F27">
            <w:pPr>
              <w:spacing w:line="240" w:lineRule="auto"/>
              <w:rPr>
                <w:rFonts w:ascii="Lato" w:hAnsi="Lato"/>
                <w:szCs w:val="22"/>
              </w:rPr>
            </w:pPr>
          </w:p>
        </w:tc>
        <w:tc>
          <w:tcPr>
            <w:tcW w:w="264" w:type="dxa"/>
            <w:gridSpan w:val="4"/>
            <w:tcBorders>
              <w:top w:val="nil"/>
              <w:left w:val="single" w:sz="4" w:space="0" w:color="auto"/>
              <w:bottom w:val="nil"/>
              <w:right w:val="nil"/>
            </w:tcBorders>
          </w:tcPr>
          <w:p w:rsidR="00595F27" w:rsidRPr="00F627B2" w:rsidRDefault="00595F27" w:rsidP="00595F27">
            <w:pPr>
              <w:spacing w:line="240" w:lineRule="auto"/>
              <w:rPr>
                <w:rFonts w:ascii="Lato" w:hAnsi="Lato"/>
                <w:szCs w:val="22"/>
              </w:rPr>
            </w:pPr>
          </w:p>
        </w:tc>
        <w:tc>
          <w:tcPr>
            <w:tcW w:w="55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r>
      <w:tr w:rsidR="00595F27" w:rsidRPr="00F627B2" w:rsidTr="00F627B2">
        <w:trPr>
          <w:gridAfter w:val="2"/>
          <w:wAfter w:w="3800" w:type="dxa"/>
        </w:trPr>
        <w:tc>
          <w:tcPr>
            <w:tcW w:w="1107" w:type="dxa"/>
            <w:tcBorders>
              <w:top w:val="nil"/>
              <w:left w:val="nil"/>
              <w:bottom w:val="nil"/>
              <w:right w:val="nil"/>
            </w:tcBorders>
          </w:tcPr>
          <w:p w:rsidR="00595F27" w:rsidRPr="001E4A73" w:rsidRDefault="00595F27" w:rsidP="00595F27">
            <w:pPr>
              <w:spacing w:line="240" w:lineRule="auto"/>
              <w:ind w:left="-108"/>
              <w:rPr>
                <w:rFonts w:ascii="Lato" w:hAnsi="Lato"/>
                <w:szCs w:val="22"/>
              </w:rPr>
            </w:pPr>
          </w:p>
        </w:tc>
        <w:tc>
          <w:tcPr>
            <w:tcW w:w="6974" w:type="dxa"/>
            <w:gridSpan w:val="2"/>
            <w:tcBorders>
              <w:top w:val="nil"/>
              <w:left w:val="nil"/>
              <w:bottom w:val="nil"/>
              <w:right w:val="nil"/>
            </w:tcBorders>
          </w:tcPr>
          <w:p w:rsidR="00595F27" w:rsidRPr="001E4A73" w:rsidRDefault="00595F27" w:rsidP="00595F27">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595F27" w:rsidRPr="00F627B2" w:rsidRDefault="00595F27" w:rsidP="00595F27">
            <w:pPr>
              <w:spacing w:line="240" w:lineRule="auto"/>
              <w:rPr>
                <w:rFonts w:ascii="Lato" w:hAnsi="Lato"/>
                <w:szCs w:val="22"/>
              </w:rPr>
            </w:pPr>
          </w:p>
        </w:tc>
        <w:tc>
          <w:tcPr>
            <w:tcW w:w="23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595F27" w:rsidRPr="00F627B2" w:rsidRDefault="00595F27" w:rsidP="00595F27">
            <w:pPr>
              <w:spacing w:line="240" w:lineRule="auto"/>
              <w:rPr>
                <w:rFonts w:ascii="Lato" w:hAnsi="Lato"/>
                <w:szCs w:val="22"/>
              </w:rPr>
            </w:pPr>
          </w:p>
        </w:tc>
        <w:tc>
          <w:tcPr>
            <w:tcW w:w="264"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595F27" w:rsidRPr="00F627B2" w:rsidRDefault="00595F27" w:rsidP="00595F27">
            <w:pPr>
              <w:spacing w:line="240" w:lineRule="auto"/>
              <w:rPr>
                <w:rFonts w:ascii="Lato" w:hAnsi="Lato"/>
                <w:szCs w:val="22"/>
              </w:rPr>
            </w:pPr>
          </w:p>
        </w:tc>
        <w:tc>
          <w:tcPr>
            <w:tcW w:w="264" w:type="dxa"/>
            <w:gridSpan w:val="4"/>
            <w:tcBorders>
              <w:top w:val="nil"/>
              <w:left w:val="nil"/>
              <w:bottom w:val="nil"/>
              <w:right w:val="nil"/>
            </w:tcBorders>
          </w:tcPr>
          <w:p w:rsidR="00595F27" w:rsidRPr="00F627B2" w:rsidRDefault="00595F27" w:rsidP="00595F27">
            <w:pPr>
              <w:spacing w:line="240" w:lineRule="auto"/>
              <w:rPr>
                <w:rFonts w:ascii="Lato" w:hAnsi="Lato"/>
                <w:szCs w:val="22"/>
              </w:rPr>
            </w:pPr>
          </w:p>
        </w:tc>
        <w:tc>
          <w:tcPr>
            <w:tcW w:w="55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r>
      <w:tr w:rsidR="00595F27" w:rsidRPr="00F627B2" w:rsidTr="00F627B2">
        <w:trPr>
          <w:gridAfter w:val="2"/>
          <w:wAfter w:w="3800" w:type="dxa"/>
        </w:trPr>
        <w:tc>
          <w:tcPr>
            <w:tcW w:w="1107" w:type="dxa"/>
            <w:tcBorders>
              <w:top w:val="nil"/>
              <w:left w:val="nil"/>
              <w:bottom w:val="nil"/>
              <w:right w:val="nil"/>
            </w:tcBorders>
          </w:tcPr>
          <w:p w:rsidR="00595F27" w:rsidRPr="001E4A73" w:rsidRDefault="00C01DD7" w:rsidP="00595F27">
            <w:pPr>
              <w:spacing w:line="240" w:lineRule="auto"/>
              <w:ind w:left="-108"/>
              <w:rPr>
                <w:rFonts w:ascii="Lato" w:hAnsi="Lato"/>
                <w:szCs w:val="22"/>
              </w:rPr>
            </w:pPr>
            <w:r>
              <w:rPr>
                <w:rFonts w:ascii="Lato" w:hAnsi="Lato"/>
                <w:szCs w:val="22"/>
              </w:rPr>
              <w:t xml:space="preserve">                 </w:t>
            </w:r>
            <w:r w:rsidR="00595F27" w:rsidRPr="001E4A73">
              <w:rPr>
                <w:rFonts w:ascii="Lato" w:hAnsi="Lato"/>
                <w:szCs w:val="22"/>
              </w:rPr>
              <w:t>(ii)</w:t>
            </w:r>
          </w:p>
        </w:tc>
        <w:tc>
          <w:tcPr>
            <w:tcW w:w="6974" w:type="dxa"/>
            <w:gridSpan w:val="2"/>
            <w:tcBorders>
              <w:top w:val="nil"/>
              <w:left w:val="nil"/>
              <w:bottom w:val="nil"/>
              <w:right w:val="single" w:sz="4" w:space="0" w:color="auto"/>
            </w:tcBorders>
          </w:tcPr>
          <w:p w:rsidR="00595F27" w:rsidRPr="001E4A73" w:rsidRDefault="00595F27" w:rsidP="00595F27">
            <w:pPr>
              <w:spacing w:line="240" w:lineRule="auto"/>
              <w:rPr>
                <w:rFonts w:ascii="Lato" w:hAnsi="Lato"/>
                <w:szCs w:val="22"/>
              </w:rPr>
            </w:pPr>
            <w:r w:rsidRPr="001E4A73">
              <w:rPr>
                <w:rFonts w:ascii="Lato" w:hAnsi="Lato"/>
                <w:szCs w:val="22"/>
              </w:rPr>
              <w:t>A statement that other classes may be established within the</w:t>
            </w:r>
          </w:p>
        </w:tc>
        <w:tc>
          <w:tcPr>
            <w:tcW w:w="992" w:type="dxa"/>
            <w:gridSpan w:val="2"/>
            <w:tcBorders>
              <w:top w:val="single" w:sz="4" w:space="0" w:color="auto"/>
              <w:left w:val="single" w:sz="4" w:space="0" w:color="auto"/>
              <w:bottom w:val="single" w:sz="4" w:space="0" w:color="auto"/>
              <w:right w:val="single" w:sz="4" w:space="0" w:color="auto"/>
            </w:tcBorders>
          </w:tcPr>
          <w:p w:rsidR="00595F27" w:rsidRPr="00F627B2" w:rsidRDefault="00595F27" w:rsidP="00595F27">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595F27" w:rsidRPr="00F627B2" w:rsidRDefault="00595F27" w:rsidP="00595F27">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595F27" w:rsidRPr="00F627B2" w:rsidRDefault="00595F27" w:rsidP="00595F27">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595F27" w:rsidRPr="00F627B2" w:rsidRDefault="00595F27" w:rsidP="00595F27">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595F27" w:rsidRPr="00F627B2" w:rsidRDefault="00595F27" w:rsidP="00595F27">
            <w:pPr>
              <w:spacing w:line="240" w:lineRule="auto"/>
              <w:rPr>
                <w:rFonts w:ascii="Lato" w:hAnsi="Lato"/>
                <w:szCs w:val="22"/>
              </w:rPr>
            </w:pPr>
          </w:p>
        </w:tc>
        <w:tc>
          <w:tcPr>
            <w:tcW w:w="264" w:type="dxa"/>
            <w:gridSpan w:val="4"/>
            <w:tcBorders>
              <w:top w:val="nil"/>
              <w:left w:val="single" w:sz="4" w:space="0" w:color="auto"/>
              <w:bottom w:val="nil"/>
              <w:right w:val="nil"/>
            </w:tcBorders>
          </w:tcPr>
          <w:p w:rsidR="00595F27" w:rsidRPr="00F627B2" w:rsidRDefault="00595F27" w:rsidP="00595F27">
            <w:pPr>
              <w:spacing w:line="240" w:lineRule="auto"/>
              <w:rPr>
                <w:rFonts w:ascii="Lato" w:hAnsi="Lato"/>
                <w:szCs w:val="22"/>
              </w:rPr>
            </w:pPr>
          </w:p>
        </w:tc>
        <w:tc>
          <w:tcPr>
            <w:tcW w:w="55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r>
      <w:tr w:rsidR="00595F27" w:rsidRPr="00F627B2" w:rsidTr="00F627B2">
        <w:trPr>
          <w:gridAfter w:val="2"/>
          <w:wAfter w:w="3800" w:type="dxa"/>
        </w:trPr>
        <w:tc>
          <w:tcPr>
            <w:tcW w:w="1107" w:type="dxa"/>
            <w:tcBorders>
              <w:top w:val="nil"/>
              <w:left w:val="nil"/>
              <w:bottom w:val="nil"/>
              <w:right w:val="nil"/>
            </w:tcBorders>
          </w:tcPr>
          <w:p w:rsidR="00595F27" w:rsidRPr="001E4A73" w:rsidRDefault="00595F27" w:rsidP="00595F27">
            <w:pPr>
              <w:spacing w:line="240" w:lineRule="auto"/>
              <w:ind w:left="-108"/>
              <w:rPr>
                <w:rFonts w:ascii="Lato" w:hAnsi="Lato"/>
                <w:szCs w:val="22"/>
              </w:rPr>
            </w:pPr>
          </w:p>
        </w:tc>
        <w:tc>
          <w:tcPr>
            <w:tcW w:w="6974" w:type="dxa"/>
            <w:gridSpan w:val="2"/>
            <w:tcBorders>
              <w:top w:val="nil"/>
              <w:left w:val="nil"/>
              <w:bottom w:val="nil"/>
              <w:right w:val="nil"/>
            </w:tcBorders>
          </w:tcPr>
          <w:p w:rsidR="00595F27" w:rsidRPr="001E4A73" w:rsidRDefault="00595F27" w:rsidP="00595F27">
            <w:pPr>
              <w:spacing w:line="240" w:lineRule="auto"/>
              <w:rPr>
                <w:rFonts w:ascii="Lato" w:hAnsi="Lato"/>
                <w:szCs w:val="22"/>
              </w:rPr>
            </w:pPr>
            <w:r w:rsidRPr="001E4A73">
              <w:rPr>
                <w:rFonts w:ascii="Lato" w:hAnsi="Lato"/>
                <w:szCs w:val="22"/>
              </w:rPr>
              <w:t>Retail Investor AIF which may be subject to higher/lower/no fees where applicable; and</w:t>
            </w:r>
          </w:p>
        </w:tc>
        <w:tc>
          <w:tcPr>
            <w:tcW w:w="992" w:type="dxa"/>
            <w:gridSpan w:val="2"/>
            <w:tcBorders>
              <w:top w:val="single" w:sz="4" w:space="0" w:color="auto"/>
              <w:left w:val="nil"/>
              <w:bottom w:val="nil"/>
              <w:right w:val="nil"/>
            </w:tcBorders>
          </w:tcPr>
          <w:p w:rsidR="00595F27" w:rsidRPr="00F627B2" w:rsidRDefault="00595F27" w:rsidP="00595F27">
            <w:pPr>
              <w:spacing w:line="240" w:lineRule="auto"/>
              <w:rPr>
                <w:rFonts w:ascii="Lato" w:hAnsi="Lato"/>
                <w:szCs w:val="22"/>
              </w:rPr>
            </w:pPr>
          </w:p>
        </w:tc>
        <w:tc>
          <w:tcPr>
            <w:tcW w:w="23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709" w:type="dxa"/>
            <w:gridSpan w:val="3"/>
            <w:tcBorders>
              <w:top w:val="single" w:sz="4" w:space="0" w:color="auto"/>
              <w:left w:val="nil"/>
              <w:bottom w:val="nil"/>
              <w:right w:val="nil"/>
            </w:tcBorders>
          </w:tcPr>
          <w:p w:rsidR="00595F27" w:rsidRPr="00F627B2" w:rsidRDefault="00595F27" w:rsidP="00595F27">
            <w:pPr>
              <w:spacing w:line="240" w:lineRule="auto"/>
              <w:rPr>
                <w:rFonts w:ascii="Lato" w:hAnsi="Lato"/>
                <w:szCs w:val="22"/>
              </w:rPr>
            </w:pPr>
          </w:p>
        </w:tc>
        <w:tc>
          <w:tcPr>
            <w:tcW w:w="264"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455" w:type="dxa"/>
            <w:gridSpan w:val="2"/>
            <w:tcBorders>
              <w:top w:val="single" w:sz="4" w:space="0" w:color="auto"/>
              <w:left w:val="nil"/>
              <w:bottom w:val="nil"/>
              <w:right w:val="nil"/>
            </w:tcBorders>
          </w:tcPr>
          <w:p w:rsidR="00595F27" w:rsidRPr="00F627B2" w:rsidRDefault="00595F27" w:rsidP="00595F27">
            <w:pPr>
              <w:spacing w:line="240" w:lineRule="auto"/>
              <w:rPr>
                <w:rFonts w:ascii="Lato" w:hAnsi="Lato"/>
                <w:szCs w:val="22"/>
              </w:rPr>
            </w:pPr>
          </w:p>
        </w:tc>
        <w:tc>
          <w:tcPr>
            <w:tcW w:w="264" w:type="dxa"/>
            <w:gridSpan w:val="4"/>
            <w:tcBorders>
              <w:top w:val="nil"/>
              <w:left w:val="nil"/>
              <w:bottom w:val="nil"/>
              <w:right w:val="nil"/>
            </w:tcBorders>
          </w:tcPr>
          <w:p w:rsidR="00595F27" w:rsidRPr="00F627B2" w:rsidRDefault="00595F27" w:rsidP="00595F27">
            <w:pPr>
              <w:spacing w:line="240" w:lineRule="auto"/>
              <w:rPr>
                <w:rFonts w:ascii="Lato" w:hAnsi="Lato"/>
                <w:szCs w:val="22"/>
              </w:rPr>
            </w:pPr>
          </w:p>
        </w:tc>
        <w:tc>
          <w:tcPr>
            <w:tcW w:w="55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r>
      <w:tr w:rsidR="00595F27" w:rsidRPr="00F627B2" w:rsidTr="00F627B2">
        <w:trPr>
          <w:gridAfter w:val="2"/>
          <w:wAfter w:w="3800" w:type="dxa"/>
        </w:trPr>
        <w:tc>
          <w:tcPr>
            <w:tcW w:w="1107" w:type="dxa"/>
            <w:tcBorders>
              <w:top w:val="nil"/>
              <w:left w:val="nil"/>
              <w:bottom w:val="nil"/>
              <w:right w:val="nil"/>
            </w:tcBorders>
          </w:tcPr>
          <w:p w:rsidR="00595F27" w:rsidRPr="001E4A73" w:rsidRDefault="00595F27" w:rsidP="00595F27">
            <w:pPr>
              <w:spacing w:line="240" w:lineRule="auto"/>
              <w:ind w:left="-108"/>
              <w:rPr>
                <w:rFonts w:ascii="Lato" w:hAnsi="Lato"/>
                <w:szCs w:val="22"/>
              </w:rPr>
            </w:pPr>
          </w:p>
        </w:tc>
        <w:tc>
          <w:tcPr>
            <w:tcW w:w="6974" w:type="dxa"/>
            <w:gridSpan w:val="2"/>
            <w:tcBorders>
              <w:top w:val="nil"/>
              <w:left w:val="nil"/>
              <w:bottom w:val="nil"/>
              <w:right w:val="nil"/>
            </w:tcBorders>
          </w:tcPr>
          <w:p w:rsidR="00595F27" w:rsidRPr="001E4A73" w:rsidRDefault="00595F27" w:rsidP="00595F27">
            <w:pPr>
              <w:spacing w:line="240" w:lineRule="auto"/>
              <w:rPr>
                <w:rFonts w:ascii="Lato" w:hAnsi="Lato"/>
                <w:szCs w:val="22"/>
              </w:rPr>
            </w:pPr>
          </w:p>
        </w:tc>
        <w:tc>
          <w:tcPr>
            <w:tcW w:w="992" w:type="dxa"/>
            <w:gridSpan w:val="2"/>
            <w:tcBorders>
              <w:top w:val="nil"/>
              <w:left w:val="nil"/>
              <w:bottom w:val="single" w:sz="4" w:space="0" w:color="auto"/>
              <w:right w:val="nil"/>
            </w:tcBorders>
          </w:tcPr>
          <w:p w:rsidR="00595F27" w:rsidRPr="00F627B2" w:rsidRDefault="00595F27" w:rsidP="00595F27">
            <w:pPr>
              <w:spacing w:line="240" w:lineRule="auto"/>
              <w:rPr>
                <w:rFonts w:ascii="Lato" w:hAnsi="Lato"/>
                <w:szCs w:val="22"/>
              </w:rPr>
            </w:pPr>
          </w:p>
        </w:tc>
        <w:tc>
          <w:tcPr>
            <w:tcW w:w="23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709" w:type="dxa"/>
            <w:gridSpan w:val="3"/>
            <w:tcBorders>
              <w:top w:val="nil"/>
              <w:left w:val="nil"/>
              <w:bottom w:val="single" w:sz="4" w:space="0" w:color="auto"/>
              <w:right w:val="nil"/>
            </w:tcBorders>
          </w:tcPr>
          <w:p w:rsidR="00595F27" w:rsidRPr="00F627B2" w:rsidRDefault="00595F27" w:rsidP="00595F27">
            <w:pPr>
              <w:spacing w:line="240" w:lineRule="auto"/>
              <w:rPr>
                <w:rFonts w:ascii="Lato" w:hAnsi="Lato"/>
                <w:szCs w:val="22"/>
              </w:rPr>
            </w:pPr>
          </w:p>
        </w:tc>
        <w:tc>
          <w:tcPr>
            <w:tcW w:w="264"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455" w:type="dxa"/>
            <w:gridSpan w:val="2"/>
            <w:tcBorders>
              <w:top w:val="nil"/>
              <w:left w:val="nil"/>
              <w:bottom w:val="single" w:sz="4" w:space="0" w:color="auto"/>
              <w:right w:val="nil"/>
            </w:tcBorders>
          </w:tcPr>
          <w:p w:rsidR="00595F27" w:rsidRPr="00F627B2" w:rsidRDefault="00595F27" w:rsidP="00595F27">
            <w:pPr>
              <w:spacing w:line="240" w:lineRule="auto"/>
              <w:rPr>
                <w:rFonts w:ascii="Lato" w:hAnsi="Lato"/>
                <w:szCs w:val="22"/>
              </w:rPr>
            </w:pPr>
          </w:p>
        </w:tc>
        <w:tc>
          <w:tcPr>
            <w:tcW w:w="264" w:type="dxa"/>
            <w:gridSpan w:val="4"/>
            <w:tcBorders>
              <w:top w:val="nil"/>
              <w:left w:val="nil"/>
              <w:bottom w:val="nil"/>
              <w:right w:val="nil"/>
            </w:tcBorders>
          </w:tcPr>
          <w:p w:rsidR="00595F27" w:rsidRPr="00F627B2" w:rsidRDefault="00595F27" w:rsidP="00595F27">
            <w:pPr>
              <w:spacing w:line="240" w:lineRule="auto"/>
              <w:rPr>
                <w:rFonts w:ascii="Lato" w:hAnsi="Lato"/>
                <w:szCs w:val="22"/>
              </w:rPr>
            </w:pPr>
          </w:p>
        </w:tc>
        <w:tc>
          <w:tcPr>
            <w:tcW w:w="55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r>
      <w:tr w:rsidR="00595F27" w:rsidRPr="00F627B2" w:rsidTr="00F627B2">
        <w:trPr>
          <w:gridAfter w:val="2"/>
          <w:wAfter w:w="3800" w:type="dxa"/>
        </w:trPr>
        <w:tc>
          <w:tcPr>
            <w:tcW w:w="1107" w:type="dxa"/>
            <w:tcBorders>
              <w:top w:val="nil"/>
              <w:left w:val="nil"/>
              <w:bottom w:val="nil"/>
              <w:right w:val="nil"/>
            </w:tcBorders>
          </w:tcPr>
          <w:p w:rsidR="00595F27" w:rsidRPr="001E4A73" w:rsidRDefault="00C01DD7" w:rsidP="00595F27">
            <w:pPr>
              <w:spacing w:line="240" w:lineRule="auto"/>
              <w:ind w:left="-108"/>
              <w:rPr>
                <w:rFonts w:ascii="Lato" w:hAnsi="Lato"/>
                <w:szCs w:val="22"/>
              </w:rPr>
            </w:pPr>
            <w:r>
              <w:rPr>
                <w:rFonts w:ascii="Lato" w:hAnsi="Lato"/>
                <w:szCs w:val="22"/>
              </w:rPr>
              <w:t xml:space="preserve">                </w:t>
            </w:r>
            <w:r w:rsidR="00595F27" w:rsidRPr="001E4A73">
              <w:rPr>
                <w:rFonts w:ascii="Lato" w:hAnsi="Lato"/>
                <w:szCs w:val="22"/>
              </w:rPr>
              <w:t>(iii)</w:t>
            </w:r>
          </w:p>
        </w:tc>
        <w:tc>
          <w:tcPr>
            <w:tcW w:w="6974" w:type="dxa"/>
            <w:gridSpan w:val="2"/>
            <w:tcBorders>
              <w:top w:val="nil"/>
              <w:left w:val="nil"/>
              <w:bottom w:val="nil"/>
              <w:right w:val="single" w:sz="4" w:space="0" w:color="auto"/>
            </w:tcBorders>
          </w:tcPr>
          <w:p w:rsidR="00595F27" w:rsidRPr="001E4A73" w:rsidRDefault="00595F27" w:rsidP="00595F27">
            <w:pPr>
              <w:spacing w:line="240" w:lineRule="auto"/>
              <w:rPr>
                <w:rFonts w:ascii="Lato" w:hAnsi="Lato"/>
                <w:szCs w:val="22"/>
              </w:rPr>
            </w:pPr>
            <w:r w:rsidRPr="001E4A73">
              <w:rPr>
                <w:rFonts w:ascii="Lato" w:hAnsi="Lato"/>
                <w:szCs w:val="22"/>
              </w:rPr>
              <w:t>A statement that information in relation to the fees applicable</w:t>
            </w:r>
          </w:p>
        </w:tc>
        <w:tc>
          <w:tcPr>
            <w:tcW w:w="992" w:type="dxa"/>
            <w:gridSpan w:val="2"/>
            <w:tcBorders>
              <w:top w:val="single" w:sz="4" w:space="0" w:color="auto"/>
              <w:left w:val="single" w:sz="4" w:space="0" w:color="auto"/>
              <w:bottom w:val="single" w:sz="4" w:space="0" w:color="auto"/>
              <w:right w:val="single" w:sz="4" w:space="0" w:color="auto"/>
            </w:tcBorders>
          </w:tcPr>
          <w:p w:rsidR="00595F27" w:rsidRPr="00F627B2" w:rsidRDefault="00595F27" w:rsidP="00595F27">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595F27" w:rsidRPr="00F627B2" w:rsidRDefault="00595F27" w:rsidP="00595F27">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595F27" w:rsidRPr="00F627B2" w:rsidRDefault="00595F27" w:rsidP="00595F27">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595F27" w:rsidRPr="00F627B2" w:rsidRDefault="00595F27" w:rsidP="00595F27">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595F27" w:rsidRPr="00F627B2" w:rsidRDefault="00595F27" w:rsidP="00595F27">
            <w:pPr>
              <w:spacing w:line="240" w:lineRule="auto"/>
              <w:rPr>
                <w:rFonts w:ascii="Lato" w:hAnsi="Lato"/>
                <w:szCs w:val="22"/>
              </w:rPr>
            </w:pPr>
          </w:p>
        </w:tc>
        <w:tc>
          <w:tcPr>
            <w:tcW w:w="264" w:type="dxa"/>
            <w:gridSpan w:val="4"/>
            <w:tcBorders>
              <w:top w:val="nil"/>
              <w:left w:val="single" w:sz="4" w:space="0" w:color="auto"/>
              <w:bottom w:val="nil"/>
              <w:right w:val="nil"/>
            </w:tcBorders>
          </w:tcPr>
          <w:p w:rsidR="00595F27" w:rsidRPr="00F627B2" w:rsidRDefault="00595F27" w:rsidP="00595F27">
            <w:pPr>
              <w:spacing w:line="240" w:lineRule="auto"/>
              <w:rPr>
                <w:rFonts w:ascii="Lato" w:hAnsi="Lato"/>
                <w:szCs w:val="22"/>
              </w:rPr>
            </w:pPr>
          </w:p>
        </w:tc>
        <w:tc>
          <w:tcPr>
            <w:tcW w:w="55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r>
      <w:tr w:rsidR="00595F27" w:rsidRPr="00F627B2" w:rsidTr="00F627B2">
        <w:trPr>
          <w:gridAfter w:val="2"/>
          <w:wAfter w:w="3800" w:type="dxa"/>
        </w:trPr>
        <w:tc>
          <w:tcPr>
            <w:tcW w:w="1107" w:type="dxa"/>
            <w:tcBorders>
              <w:top w:val="nil"/>
              <w:left w:val="nil"/>
              <w:bottom w:val="nil"/>
              <w:right w:val="nil"/>
            </w:tcBorders>
          </w:tcPr>
          <w:p w:rsidR="00595F27" w:rsidRPr="001E4A73" w:rsidRDefault="00595F27" w:rsidP="00595F27">
            <w:pPr>
              <w:spacing w:line="240" w:lineRule="auto"/>
              <w:ind w:left="-108"/>
              <w:rPr>
                <w:rFonts w:ascii="Lato" w:hAnsi="Lato"/>
                <w:szCs w:val="22"/>
              </w:rPr>
            </w:pPr>
          </w:p>
        </w:tc>
        <w:tc>
          <w:tcPr>
            <w:tcW w:w="6974" w:type="dxa"/>
            <w:gridSpan w:val="2"/>
            <w:tcBorders>
              <w:top w:val="nil"/>
              <w:left w:val="nil"/>
              <w:bottom w:val="nil"/>
              <w:right w:val="nil"/>
            </w:tcBorders>
          </w:tcPr>
          <w:p w:rsidR="00595F27" w:rsidRPr="001E4A73" w:rsidRDefault="00595F27" w:rsidP="00595F27">
            <w:pPr>
              <w:spacing w:line="240" w:lineRule="auto"/>
              <w:rPr>
                <w:rFonts w:ascii="Lato" w:hAnsi="Lato"/>
                <w:szCs w:val="22"/>
              </w:rPr>
            </w:pPr>
            <w:r w:rsidRPr="001E4A73">
              <w:rPr>
                <w:rFonts w:ascii="Lato" w:hAnsi="Lato"/>
                <w:szCs w:val="22"/>
              </w:rPr>
              <w:t>to other classes within the Retail Investor AIF is available on request</w:t>
            </w:r>
          </w:p>
        </w:tc>
        <w:tc>
          <w:tcPr>
            <w:tcW w:w="992" w:type="dxa"/>
            <w:gridSpan w:val="2"/>
            <w:tcBorders>
              <w:top w:val="single" w:sz="4" w:space="0" w:color="auto"/>
              <w:left w:val="nil"/>
              <w:bottom w:val="nil"/>
              <w:right w:val="nil"/>
            </w:tcBorders>
          </w:tcPr>
          <w:p w:rsidR="00595F27" w:rsidRPr="00F627B2" w:rsidRDefault="00595F27" w:rsidP="00595F27">
            <w:pPr>
              <w:spacing w:line="240" w:lineRule="auto"/>
              <w:rPr>
                <w:rFonts w:ascii="Lato" w:hAnsi="Lato"/>
                <w:szCs w:val="22"/>
              </w:rPr>
            </w:pPr>
          </w:p>
        </w:tc>
        <w:tc>
          <w:tcPr>
            <w:tcW w:w="23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709" w:type="dxa"/>
            <w:gridSpan w:val="3"/>
            <w:tcBorders>
              <w:top w:val="single" w:sz="4" w:space="0" w:color="auto"/>
              <w:left w:val="nil"/>
              <w:bottom w:val="nil"/>
              <w:right w:val="nil"/>
            </w:tcBorders>
          </w:tcPr>
          <w:p w:rsidR="00595F27" w:rsidRPr="00F627B2" w:rsidRDefault="00595F27" w:rsidP="00595F27">
            <w:pPr>
              <w:spacing w:line="240" w:lineRule="auto"/>
              <w:rPr>
                <w:rFonts w:ascii="Lato" w:hAnsi="Lato"/>
                <w:szCs w:val="22"/>
              </w:rPr>
            </w:pPr>
          </w:p>
        </w:tc>
        <w:tc>
          <w:tcPr>
            <w:tcW w:w="264"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455" w:type="dxa"/>
            <w:gridSpan w:val="2"/>
            <w:tcBorders>
              <w:top w:val="single" w:sz="4" w:space="0" w:color="auto"/>
              <w:left w:val="nil"/>
              <w:bottom w:val="nil"/>
              <w:right w:val="nil"/>
            </w:tcBorders>
          </w:tcPr>
          <w:p w:rsidR="00595F27" w:rsidRPr="00F627B2" w:rsidRDefault="00595F27" w:rsidP="00595F27">
            <w:pPr>
              <w:spacing w:line="240" w:lineRule="auto"/>
              <w:rPr>
                <w:rFonts w:ascii="Lato" w:hAnsi="Lato"/>
                <w:szCs w:val="22"/>
              </w:rPr>
            </w:pPr>
          </w:p>
        </w:tc>
        <w:tc>
          <w:tcPr>
            <w:tcW w:w="264" w:type="dxa"/>
            <w:gridSpan w:val="4"/>
            <w:tcBorders>
              <w:top w:val="nil"/>
              <w:left w:val="nil"/>
              <w:bottom w:val="nil"/>
              <w:right w:val="nil"/>
            </w:tcBorders>
          </w:tcPr>
          <w:p w:rsidR="00595F27" w:rsidRPr="00F627B2" w:rsidRDefault="00595F27" w:rsidP="00595F27">
            <w:pPr>
              <w:spacing w:line="240" w:lineRule="auto"/>
              <w:rPr>
                <w:rFonts w:ascii="Lato" w:hAnsi="Lato"/>
                <w:szCs w:val="22"/>
              </w:rPr>
            </w:pPr>
          </w:p>
        </w:tc>
        <w:tc>
          <w:tcPr>
            <w:tcW w:w="55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r>
      <w:tr w:rsidR="00595F27" w:rsidRPr="00F627B2" w:rsidTr="00F627B2">
        <w:trPr>
          <w:gridAfter w:val="2"/>
          <w:wAfter w:w="3800" w:type="dxa"/>
        </w:trPr>
        <w:tc>
          <w:tcPr>
            <w:tcW w:w="1107" w:type="dxa"/>
            <w:tcBorders>
              <w:top w:val="nil"/>
              <w:left w:val="nil"/>
              <w:bottom w:val="nil"/>
              <w:right w:val="nil"/>
            </w:tcBorders>
          </w:tcPr>
          <w:p w:rsidR="00595F27" w:rsidRPr="001E4A73" w:rsidRDefault="00595F27" w:rsidP="00595F27">
            <w:pPr>
              <w:spacing w:line="240" w:lineRule="auto"/>
              <w:ind w:left="-108"/>
              <w:rPr>
                <w:rFonts w:ascii="Lato" w:hAnsi="Lato"/>
                <w:szCs w:val="22"/>
              </w:rPr>
            </w:pPr>
          </w:p>
        </w:tc>
        <w:tc>
          <w:tcPr>
            <w:tcW w:w="6974" w:type="dxa"/>
            <w:gridSpan w:val="2"/>
            <w:tcBorders>
              <w:top w:val="nil"/>
              <w:left w:val="nil"/>
              <w:bottom w:val="nil"/>
              <w:right w:val="nil"/>
            </w:tcBorders>
          </w:tcPr>
          <w:p w:rsidR="00595F27" w:rsidRPr="001E4A73" w:rsidRDefault="00595F27" w:rsidP="00595F27">
            <w:pPr>
              <w:spacing w:line="240" w:lineRule="auto"/>
              <w:rPr>
                <w:rFonts w:ascii="Lato" w:hAnsi="Lato"/>
                <w:szCs w:val="22"/>
              </w:rPr>
            </w:pPr>
          </w:p>
        </w:tc>
        <w:tc>
          <w:tcPr>
            <w:tcW w:w="992" w:type="dxa"/>
            <w:gridSpan w:val="2"/>
            <w:tcBorders>
              <w:top w:val="nil"/>
              <w:left w:val="nil"/>
              <w:bottom w:val="single" w:sz="4" w:space="0" w:color="auto"/>
              <w:right w:val="nil"/>
            </w:tcBorders>
          </w:tcPr>
          <w:p w:rsidR="00595F27" w:rsidRPr="00F627B2" w:rsidRDefault="00595F27" w:rsidP="00595F27">
            <w:pPr>
              <w:spacing w:line="240" w:lineRule="auto"/>
              <w:rPr>
                <w:rFonts w:ascii="Lato" w:hAnsi="Lato"/>
                <w:szCs w:val="22"/>
              </w:rPr>
            </w:pPr>
          </w:p>
        </w:tc>
        <w:tc>
          <w:tcPr>
            <w:tcW w:w="23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709" w:type="dxa"/>
            <w:gridSpan w:val="3"/>
            <w:tcBorders>
              <w:top w:val="nil"/>
              <w:left w:val="nil"/>
              <w:bottom w:val="single" w:sz="4" w:space="0" w:color="auto"/>
              <w:right w:val="nil"/>
            </w:tcBorders>
          </w:tcPr>
          <w:p w:rsidR="00595F27" w:rsidRPr="00F627B2" w:rsidRDefault="00595F27" w:rsidP="00595F27">
            <w:pPr>
              <w:spacing w:line="240" w:lineRule="auto"/>
              <w:rPr>
                <w:rFonts w:ascii="Lato" w:hAnsi="Lato"/>
                <w:szCs w:val="22"/>
              </w:rPr>
            </w:pPr>
          </w:p>
        </w:tc>
        <w:tc>
          <w:tcPr>
            <w:tcW w:w="264"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c>
          <w:tcPr>
            <w:tcW w:w="455" w:type="dxa"/>
            <w:gridSpan w:val="2"/>
            <w:tcBorders>
              <w:top w:val="nil"/>
              <w:left w:val="nil"/>
              <w:bottom w:val="single" w:sz="4" w:space="0" w:color="auto"/>
              <w:right w:val="nil"/>
            </w:tcBorders>
          </w:tcPr>
          <w:p w:rsidR="00595F27" w:rsidRPr="00F627B2" w:rsidRDefault="00595F27" w:rsidP="00595F27">
            <w:pPr>
              <w:spacing w:line="240" w:lineRule="auto"/>
              <w:rPr>
                <w:rFonts w:ascii="Lato" w:hAnsi="Lato"/>
                <w:szCs w:val="22"/>
              </w:rPr>
            </w:pPr>
          </w:p>
        </w:tc>
        <w:tc>
          <w:tcPr>
            <w:tcW w:w="264" w:type="dxa"/>
            <w:gridSpan w:val="4"/>
            <w:tcBorders>
              <w:top w:val="nil"/>
              <w:left w:val="nil"/>
              <w:bottom w:val="nil"/>
              <w:right w:val="nil"/>
            </w:tcBorders>
          </w:tcPr>
          <w:p w:rsidR="00595F27" w:rsidRPr="00F627B2" w:rsidRDefault="00595F27" w:rsidP="00595F27">
            <w:pPr>
              <w:spacing w:line="240" w:lineRule="auto"/>
              <w:rPr>
                <w:rFonts w:ascii="Lato" w:hAnsi="Lato"/>
                <w:szCs w:val="22"/>
              </w:rPr>
            </w:pPr>
          </w:p>
        </w:tc>
        <w:tc>
          <w:tcPr>
            <w:tcW w:w="556" w:type="dxa"/>
            <w:gridSpan w:val="2"/>
            <w:tcBorders>
              <w:top w:val="nil"/>
              <w:left w:val="nil"/>
              <w:bottom w:val="nil"/>
              <w:right w:val="nil"/>
            </w:tcBorders>
          </w:tcPr>
          <w:p w:rsidR="00595F27" w:rsidRPr="00F627B2" w:rsidRDefault="00595F27" w:rsidP="00595F27">
            <w:pPr>
              <w:spacing w:line="240" w:lineRule="auto"/>
              <w:rPr>
                <w:rFonts w:ascii="Lato" w:hAnsi="Lato"/>
                <w:szCs w:val="22"/>
              </w:rPr>
            </w:pPr>
          </w:p>
        </w:tc>
      </w:tr>
      <w:tr w:rsidR="00C01DD7" w:rsidRPr="00F627B2" w:rsidTr="00F627B2">
        <w:trPr>
          <w:gridAfter w:val="2"/>
          <w:wAfter w:w="3800" w:type="dxa"/>
        </w:trPr>
        <w:tc>
          <w:tcPr>
            <w:tcW w:w="1107" w:type="dxa"/>
            <w:tcBorders>
              <w:top w:val="nil"/>
              <w:left w:val="nil"/>
              <w:bottom w:val="nil"/>
              <w:right w:val="nil"/>
            </w:tcBorders>
          </w:tcPr>
          <w:p w:rsidR="00C01DD7" w:rsidRPr="001E4A73" w:rsidRDefault="00C01DD7" w:rsidP="00C01DD7">
            <w:pPr>
              <w:spacing w:line="240" w:lineRule="auto"/>
              <w:ind w:left="-108"/>
              <w:rPr>
                <w:rFonts w:ascii="Lato" w:hAnsi="Lato"/>
                <w:szCs w:val="22"/>
              </w:rPr>
            </w:pPr>
            <w:r w:rsidRPr="001E4A73">
              <w:rPr>
                <w:rFonts w:ascii="Lato" w:hAnsi="Lato"/>
                <w:szCs w:val="22"/>
              </w:rPr>
              <w:t>2.16.5</w:t>
            </w:r>
          </w:p>
        </w:tc>
        <w:tc>
          <w:tcPr>
            <w:tcW w:w="6974" w:type="dxa"/>
            <w:gridSpan w:val="2"/>
            <w:tcBorders>
              <w:top w:val="nil"/>
              <w:left w:val="nil"/>
              <w:bottom w:val="nil"/>
              <w:right w:val="single" w:sz="4" w:space="0" w:color="auto"/>
            </w:tcBorders>
          </w:tcPr>
          <w:p w:rsidR="00C01DD7" w:rsidRPr="001E4A73" w:rsidRDefault="00C01DD7" w:rsidP="00C01DD7">
            <w:pPr>
              <w:spacing w:line="240" w:lineRule="auto"/>
              <w:rPr>
                <w:rFonts w:ascii="Lato" w:hAnsi="Lato"/>
                <w:szCs w:val="22"/>
              </w:rPr>
            </w:pPr>
            <w:r w:rsidRPr="001E4A73">
              <w:rPr>
                <w:rFonts w:ascii="Lato" w:hAnsi="Lato"/>
                <w:bCs/>
                <w:szCs w:val="22"/>
              </w:rPr>
              <w:t xml:space="preserve">Alternatively, it is acceptable to state a single figure which </w:t>
            </w:r>
            <w:r w:rsidRPr="001E4A73">
              <w:rPr>
                <w:rFonts w:ascii="Lato" w:hAnsi="Lato"/>
                <w:szCs w:val="22"/>
              </w:rPr>
              <w:t>caps all</w:t>
            </w:r>
          </w:p>
        </w:tc>
        <w:tc>
          <w:tcPr>
            <w:tcW w:w="992" w:type="dxa"/>
            <w:gridSpan w:val="2"/>
            <w:tcBorders>
              <w:top w:val="single" w:sz="4" w:space="0" w:color="auto"/>
              <w:left w:val="single" w:sz="4" w:space="0" w:color="auto"/>
              <w:bottom w:val="single" w:sz="4" w:space="0" w:color="auto"/>
              <w:right w:val="single" w:sz="4" w:space="0" w:color="auto"/>
            </w:tcBorders>
          </w:tcPr>
          <w:p w:rsidR="00C01DD7" w:rsidRPr="00F627B2" w:rsidRDefault="00C01DD7" w:rsidP="00C01DD7">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01DD7" w:rsidRPr="00F627B2" w:rsidRDefault="00C01DD7" w:rsidP="00C01DD7">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01DD7" w:rsidRPr="00F627B2" w:rsidRDefault="00C01DD7" w:rsidP="00C01DD7">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01DD7" w:rsidRPr="00F627B2" w:rsidRDefault="00C01DD7" w:rsidP="00C01DD7">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01DD7" w:rsidRPr="00F627B2" w:rsidRDefault="00C01DD7" w:rsidP="00C01DD7">
            <w:pPr>
              <w:spacing w:line="240" w:lineRule="auto"/>
              <w:rPr>
                <w:rFonts w:ascii="Lato" w:hAnsi="Lato"/>
                <w:szCs w:val="22"/>
              </w:rPr>
            </w:pPr>
          </w:p>
        </w:tc>
        <w:tc>
          <w:tcPr>
            <w:tcW w:w="264" w:type="dxa"/>
            <w:gridSpan w:val="4"/>
            <w:tcBorders>
              <w:top w:val="nil"/>
              <w:left w:val="single" w:sz="4" w:space="0" w:color="auto"/>
              <w:bottom w:val="nil"/>
              <w:right w:val="nil"/>
            </w:tcBorders>
          </w:tcPr>
          <w:p w:rsidR="00C01DD7" w:rsidRPr="00F627B2" w:rsidRDefault="00C01DD7" w:rsidP="00C01DD7">
            <w:pPr>
              <w:spacing w:line="240" w:lineRule="auto"/>
              <w:rPr>
                <w:rFonts w:ascii="Lato" w:hAnsi="Lato"/>
                <w:szCs w:val="22"/>
              </w:rPr>
            </w:pPr>
          </w:p>
        </w:tc>
        <w:tc>
          <w:tcPr>
            <w:tcW w:w="556" w:type="dxa"/>
            <w:gridSpan w:val="2"/>
            <w:tcBorders>
              <w:top w:val="nil"/>
              <w:left w:val="nil"/>
              <w:bottom w:val="nil"/>
              <w:right w:val="nil"/>
            </w:tcBorders>
          </w:tcPr>
          <w:p w:rsidR="00C01DD7" w:rsidRPr="00F627B2" w:rsidRDefault="00C01DD7" w:rsidP="00C01DD7">
            <w:pPr>
              <w:spacing w:line="240" w:lineRule="auto"/>
              <w:rPr>
                <w:rFonts w:ascii="Lato" w:hAnsi="Lato"/>
                <w:szCs w:val="22"/>
              </w:rPr>
            </w:pPr>
          </w:p>
        </w:tc>
      </w:tr>
      <w:tr w:rsidR="00C01DD7" w:rsidRPr="00F627B2" w:rsidTr="00F627B2">
        <w:trPr>
          <w:gridAfter w:val="2"/>
          <w:wAfter w:w="3800" w:type="dxa"/>
        </w:trPr>
        <w:tc>
          <w:tcPr>
            <w:tcW w:w="1107" w:type="dxa"/>
            <w:tcBorders>
              <w:top w:val="nil"/>
              <w:left w:val="nil"/>
              <w:bottom w:val="nil"/>
              <w:right w:val="nil"/>
            </w:tcBorders>
          </w:tcPr>
          <w:p w:rsidR="00C01DD7" w:rsidRPr="001E4A73" w:rsidRDefault="00C01DD7" w:rsidP="00C01DD7">
            <w:pPr>
              <w:spacing w:line="240" w:lineRule="auto"/>
              <w:ind w:left="-108"/>
              <w:rPr>
                <w:rFonts w:ascii="Lato" w:hAnsi="Lato"/>
                <w:szCs w:val="22"/>
              </w:rPr>
            </w:pPr>
          </w:p>
        </w:tc>
        <w:tc>
          <w:tcPr>
            <w:tcW w:w="6974" w:type="dxa"/>
            <w:gridSpan w:val="2"/>
            <w:tcBorders>
              <w:top w:val="nil"/>
              <w:left w:val="nil"/>
              <w:bottom w:val="nil"/>
              <w:right w:val="nil"/>
            </w:tcBorders>
          </w:tcPr>
          <w:p w:rsidR="00C01DD7" w:rsidRPr="001E4A73" w:rsidRDefault="00C01DD7" w:rsidP="00C01DD7">
            <w:pPr>
              <w:spacing w:line="240" w:lineRule="auto"/>
              <w:rPr>
                <w:rFonts w:ascii="Lato" w:hAnsi="Lato"/>
                <w:bCs/>
                <w:szCs w:val="22"/>
              </w:rPr>
            </w:pPr>
            <w:r w:rsidRPr="001E4A73">
              <w:rPr>
                <w:rFonts w:ascii="Lato" w:hAnsi="Lato"/>
                <w:szCs w:val="22"/>
              </w:rPr>
              <w:t xml:space="preserve">fees payable out of the fund, provided it is clear what is included in the overall fee. </w:t>
            </w:r>
          </w:p>
        </w:tc>
        <w:tc>
          <w:tcPr>
            <w:tcW w:w="992" w:type="dxa"/>
            <w:gridSpan w:val="2"/>
            <w:tcBorders>
              <w:top w:val="single" w:sz="4" w:space="0" w:color="auto"/>
              <w:left w:val="nil"/>
              <w:bottom w:val="nil"/>
              <w:right w:val="nil"/>
            </w:tcBorders>
          </w:tcPr>
          <w:p w:rsidR="00C01DD7" w:rsidRPr="00F627B2" w:rsidRDefault="00C01DD7" w:rsidP="00C01DD7">
            <w:pPr>
              <w:spacing w:line="240" w:lineRule="auto"/>
              <w:rPr>
                <w:rFonts w:ascii="Lato" w:hAnsi="Lato"/>
                <w:szCs w:val="22"/>
              </w:rPr>
            </w:pPr>
          </w:p>
        </w:tc>
        <w:tc>
          <w:tcPr>
            <w:tcW w:w="236" w:type="dxa"/>
            <w:gridSpan w:val="2"/>
            <w:tcBorders>
              <w:top w:val="nil"/>
              <w:left w:val="nil"/>
              <w:bottom w:val="nil"/>
              <w:right w:val="nil"/>
            </w:tcBorders>
          </w:tcPr>
          <w:p w:rsidR="00C01DD7" w:rsidRPr="00F627B2" w:rsidRDefault="00C01DD7" w:rsidP="00C01DD7">
            <w:pPr>
              <w:spacing w:line="240" w:lineRule="auto"/>
              <w:rPr>
                <w:rFonts w:ascii="Lato" w:hAnsi="Lato"/>
                <w:szCs w:val="22"/>
              </w:rPr>
            </w:pPr>
          </w:p>
        </w:tc>
        <w:tc>
          <w:tcPr>
            <w:tcW w:w="709" w:type="dxa"/>
            <w:gridSpan w:val="3"/>
            <w:tcBorders>
              <w:top w:val="single" w:sz="4" w:space="0" w:color="auto"/>
              <w:left w:val="nil"/>
              <w:bottom w:val="nil"/>
              <w:right w:val="nil"/>
            </w:tcBorders>
          </w:tcPr>
          <w:p w:rsidR="00C01DD7" w:rsidRPr="00F627B2" w:rsidRDefault="00C01DD7" w:rsidP="00C01DD7">
            <w:pPr>
              <w:spacing w:line="240" w:lineRule="auto"/>
              <w:rPr>
                <w:rFonts w:ascii="Lato" w:hAnsi="Lato"/>
                <w:szCs w:val="22"/>
              </w:rPr>
            </w:pPr>
          </w:p>
        </w:tc>
        <w:tc>
          <w:tcPr>
            <w:tcW w:w="264" w:type="dxa"/>
            <w:gridSpan w:val="2"/>
            <w:tcBorders>
              <w:top w:val="nil"/>
              <w:left w:val="nil"/>
              <w:bottom w:val="nil"/>
              <w:right w:val="nil"/>
            </w:tcBorders>
          </w:tcPr>
          <w:p w:rsidR="00C01DD7" w:rsidRPr="00F627B2" w:rsidRDefault="00C01DD7" w:rsidP="00C01DD7">
            <w:pPr>
              <w:spacing w:line="240" w:lineRule="auto"/>
              <w:rPr>
                <w:rFonts w:ascii="Lato" w:hAnsi="Lato"/>
                <w:szCs w:val="22"/>
              </w:rPr>
            </w:pPr>
          </w:p>
        </w:tc>
        <w:tc>
          <w:tcPr>
            <w:tcW w:w="455" w:type="dxa"/>
            <w:gridSpan w:val="2"/>
            <w:tcBorders>
              <w:top w:val="single" w:sz="4" w:space="0" w:color="auto"/>
              <w:left w:val="nil"/>
              <w:bottom w:val="nil"/>
              <w:right w:val="nil"/>
            </w:tcBorders>
          </w:tcPr>
          <w:p w:rsidR="00C01DD7" w:rsidRPr="00F627B2" w:rsidRDefault="00C01DD7" w:rsidP="00C01DD7">
            <w:pPr>
              <w:spacing w:line="240" w:lineRule="auto"/>
              <w:rPr>
                <w:rFonts w:ascii="Lato" w:hAnsi="Lato"/>
                <w:szCs w:val="22"/>
              </w:rPr>
            </w:pPr>
          </w:p>
        </w:tc>
        <w:tc>
          <w:tcPr>
            <w:tcW w:w="264" w:type="dxa"/>
            <w:gridSpan w:val="4"/>
            <w:tcBorders>
              <w:top w:val="nil"/>
              <w:left w:val="nil"/>
              <w:bottom w:val="nil"/>
              <w:right w:val="nil"/>
            </w:tcBorders>
          </w:tcPr>
          <w:p w:rsidR="00C01DD7" w:rsidRPr="00F627B2" w:rsidRDefault="00C01DD7" w:rsidP="00C01DD7">
            <w:pPr>
              <w:spacing w:line="240" w:lineRule="auto"/>
              <w:rPr>
                <w:rFonts w:ascii="Lato" w:hAnsi="Lato"/>
                <w:szCs w:val="22"/>
              </w:rPr>
            </w:pPr>
          </w:p>
        </w:tc>
        <w:tc>
          <w:tcPr>
            <w:tcW w:w="556" w:type="dxa"/>
            <w:gridSpan w:val="2"/>
            <w:tcBorders>
              <w:top w:val="nil"/>
              <w:left w:val="nil"/>
              <w:bottom w:val="nil"/>
              <w:right w:val="nil"/>
            </w:tcBorders>
          </w:tcPr>
          <w:p w:rsidR="00C01DD7" w:rsidRPr="00F627B2" w:rsidRDefault="00C01DD7" w:rsidP="00C01DD7">
            <w:pPr>
              <w:spacing w:line="240" w:lineRule="auto"/>
              <w:rPr>
                <w:rFonts w:ascii="Lato" w:hAnsi="Lato"/>
                <w:szCs w:val="22"/>
              </w:rPr>
            </w:pPr>
          </w:p>
        </w:tc>
      </w:tr>
    </w:tbl>
    <w:p w:rsidR="00E2618B" w:rsidRPr="00F627B2" w:rsidRDefault="00E2618B" w:rsidP="003C3E16">
      <w:pPr>
        <w:spacing w:line="240" w:lineRule="auto"/>
        <w:ind w:left="-108"/>
        <w:rPr>
          <w:rFonts w:ascii="Lato" w:hAnsi="Lato"/>
          <w:szCs w:val="22"/>
        </w:rPr>
        <w:sectPr w:rsidR="00E2618B" w:rsidRPr="00F627B2" w:rsidSect="00F627B2">
          <w:headerReference w:type="default" r:id="rId16"/>
          <w:footerReference w:type="default" r:id="rId17"/>
          <w:pgSz w:w="11904" w:h="16834"/>
          <w:pgMar w:top="851" w:right="1800" w:bottom="1440" w:left="1800" w:header="142" w:footer="266" w:gutter="0"/>
          <w:pgNumType w:start="2"/>
          <w:cols w:space="708"/>
          <w:titlePg/>
        </w:sectPr>
      </w:pPr>
    </w:p>
    <w:tbl>
      <w:tblPr>
        <w:tblW w:w="11177" w:type="dxa"/>
        <w:tblInd w:w="-14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0"/>
        <w:gridCol w:w="6744"/>
        <w:gridCol w:w="968"/>
        <w:gridCol w:w="80"/>
        <w:gridCol w:w="203"/>
        <w:gridCol w:w="33"/>
        <w:gridCol w:w="667"/>
        <w:gridCol w:w="284"/>
        <w:gridCol w:w="450"/>
        <w:gridCol w:w="252"/>
        <w:gridCol w:w="405"/>
        <w:gridCol w:w="21"/>
      </w:tblGrid>
      <w:tr w:rsidR="00E2618B" w:rsidRPr="00F627B2" w:rsidTr="00F627B2">
        <w:trPr>
          <w:gridAfter w:val="1"/>
          <w:wAfter w:w="21" w:type="dxa"/>
        </w:trPr>
        <w:tc>
          <w:tcPr>
            <w:tcW w:w="1070" w:type="dxa"/>
            <w:tcBorders>
              <w:top w:val="nil"/>
              <w:left w:val="nil"/>
              <w:bottom w:val="nil"/>
              <w:right w:val="nil"/>
            </w:tcBorders>
          </w:tcPr>
          <w:p w:rsidR="00E2618B" w:rsidRPr="00F627B2" w:rsidRDefault="00E2618B">
            <w:pPr>
              <w:spacing w:line="240" w:lineRule="auto"/>
              <w:rPr>
                <w:rFonts w:ascii="Lato" w:hAnsi="Lato"/>
                <w:szCs w:val="22"/>
              </w:rPr>
            </w:pPr>
          </w:p>
        </w:tc>
        <w:tc>
          <w:tcPr>
            <w:tcW w:w="6744" w:type="dxa"/>
            <w:tcBorders>
              <w:top w:val="nil"/>
              <w:left w:val="nil"/>
              <w:bottom w:val="nil"/>
              <w:right w:val="nil"/>
            </w:tcBorders>
          </w:tcPr>
          <w:p w:rsidR="00E2618B" w:rsidRPr="00F627B2" w:rsidRDefault="00E2618B">
            <w:pPr>
              <w:spacing w:line="240" w:lineRule="auto"/>
              <w:rPr>
                <w:rFonts w:ascii="Lato" w:hAnsi="Lato"/>
                <w:szCs w:val="22"/>
              </w:rPr>
            </w:pPr>
          </w:p>
        </w:tc>
        <w:tc>
          <w:tcPr>
            <w:tcW w:w="968" w:type="dxa"/>
            <w:tcBorders>
              <w:top w:val="nil"/>
              <w:left w:val="nil"/>
              <w:bottom w:val="nil"/>
              <w:right w:val="nil"/>
            </w:tcBorders>
          </w:tcPr>
          <w:p w:rsidR="00E2618B" w:rsidRPr="00F627B2" w:rsidRDefault="00E2618B">
            <w:pPr>
              <w:spacing w:line="240" w:lineRule="auto"/>
              <w:rPr>
                <w:rFonts w:ascii="Lato" w:hAnsi="Lato"/>
                <w:szCs w:val="22"/>
              </w:rPr>
            </w:pPr>
          </w:p>
        </w:tc>
        <w:tc>
          <w:tcPr>
            <w:tcW w:w="283"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700"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284" w:type="dxa"/>
            <w:tcBorders>
              <w:top w:val="nil"/>
              <w:left w:val="nil"/>
              <w:bottom w:val="nil"/>
              <w:right w:val="nil"/>
            </w:tcBorders>
          </w:tcPr>
          <w:p w:rsidR="00E2618B" w:rsidRPr="00F627B2" w:rsidRDefault="00E2618B">
            <w:pPr>
              <w:spacing w:line="240" w:lineRule="auto"/>
              <w:rPr>
                <w:rFonts w:ascii="Lato" w:hAnsi="Lato"/>
                <w:szCs w:val="22"/>
              </w:rPr>
            </w:pPr>
          </w:p>
        </w:tc>
        <w:tc>
          <w:tcPr>
            <w:tcW w:w="450" w:type="dxa"/>
            <w:tcBorders>
              <w:top w:val="nil"/>
              <w:left w:val="nil"/>
              <w:bottom w:val="nil"/>
              <w:right w:val="nil"/>
            </w:tcBorders>
          </w:tcPr>
          <w:p w:rsidR="00E2618B" w:rsidRPr="00F627B2" w:rsidRDefault="00E2618B">
            <w:pPr>
              <w:spacing w:line="240" w:lineRule="auto"/>
              <w:rPr>
                <w:rFonts w:ascii="Lato" w:hAnsi="Lato"/>
                <w:szCs w:val="22"/>
              </w:rPr>
            </w:pPr>
          </w:p>
        </w:tc>
        <w:tc>
          <w:tcPr>
            <w:tcW w:w="252" w:type="dxa"/>
            <w:tcBorders>
              <w:top w:val="nil"/>
              <w:left w:val="nil"/>
              <w:bottom w:val="nil"/>
              <w:right w:val="nil"/>
            </w:tcBorders>
          </w:tcPr>
          <w:p w:rsidR="00E2618B" w:rsidRPr="00F627B2" w:rsidRDefault="00E2618B">
            <w:pPr>
              <w:spacing w:line="240" w:lineRule="auto"/>
              <w:rPr>
                <w:rFonts w:ascii="Lato" w:hAnsi="Lato"/>
                <w:szCs w:val="22"/>
              </w:rPr>
            </w:pPr>
          </w:p>
        </w:tc>
        <w:tc>
          <w:tcPr>
            <w:tcW w:w="405" w:type="dxa"/>
            <w:tcBorders>
              <w:top w:val="nil"/>
              <w:left w:val="nil"/>
              <w:bottom w:val="nil"/>
              <w:right w:val="nil"/>
            </w:tcBorders>
          </w:tcPr>
          <w:p w:rsidR="00E2618B" w:rsidRPr="00F627B2" w:rsidRDefault="00E2618B">
            <w:pPr>
              <w:spacing w:line="240" w:lineRule="auto"/>
              <w:rPr>
                <w:rFonts w:ascii="Lato" w:hAnsi="Lato"/>
                <w:szCs w:val="22"/>
              </w:rPr>
            </w:pPr>
          </w:p>
        </w:tc>
      </w:tr>
      <w:tr w:rsidR="00E2618B" w:rsidRPr="00F627B2" w:rsidTr="00F627B2">
        <w:trPr>
          <w:gridAfter w:val="1"/>
          <w:wAfter w:w="21" w:type="dxa"/>
        </w:trPr>
        <w:tc>
          <w:tcPr>
            <w:tcW w:w="1070" w:type="dxa"/>
            <w:tcBorders>
              <w:top w:val="nil"/>
              <w:left w:val="nil"/>
              <w:bottom w:val="nil"/>
              <w:right w:val="nil"/>
            </w:tcBorders>
          </w:tcPr>
          <w:p w:rsidR="00E2618B" w:rsidRPr="00F627B2" w:rsidRDefault="00E2618B" w:rsidP="007A45D1">
            <w:pPr>
              <w:spacing w:line="240" w:lineRule="auto"/>
              <w:ind w:left="-108"/>
              <w:rPr>
                <w:rFonts w:ascii="Lato" w:hAnsi="Lato"/>
                <w:szCs w:val="22"/>
              </w:rPr>
            </w:pPr>
            <w:r w:rsidRPr="00F627B2">
              <w:rPr>
                <w:rFonts w:ascii="Lato" w:hAnsi="Lato"/>
                <w:szCs w:val="22"/>
              </w:rPr>
              <w:t>2.16.6</w:t>
            </w:r>
          </w:p>
        </w:tc>
        <w:tc>
          <w:tcPr>
            <w:tcW w:w="6744" w:type="dxa"/>
            <w:tcBorders>
              <w:top w:val="nil"/>
              <w:left w:val="nil"/>
              <w:bottom w:val="nil"/>
              <w:right w:val="nil"/>
            </w:tcBorders>
          </w:tcPr>
          <w:p w:rsidR="00E2618B" w:rsidRPr="00F627B2" w:rsidRDefault="00E2618B">
            <w:pPr>
              <w:tabs>
                <w:tab w:val="left" w:pos="1036"/>
              </w:tabs>
              <w:spacing w:line="240" w:lineRule="auto"/>
              <w:rPr>
                <w:rFonts w:ascii="Lato" w:hAnsi="Lato"/>
                <w:szCs w:val="22"/>
                <w:u w:val="single"/>
              </w:rPr>
            </w:pPr>
            <w:r w:rsidRPr="00F627B2">
              <w:rPr>
                <w:rFonts w:ascii="Lato" w:hAnsi="Lato"/>
                <w:szCs w:val="22"/>
                <w:u w:val="single"/>
              </w:rPr>
              <w:t>Unit Trusts</w:t>
            </w:r>
          </w:p>
        </w:tc>
        <w:tc>
          <w:tcPr>
            <w:tcW w:w="968" w:type="dxa"/>
            <w:tcBorders>
              <w:top w:val="nil"/>
              <w:left w:val="nil"/>
              <w:bottom w:val="nil"/>
              <w:right w:val="nil"/>
            </w:tcBorders>
          </w:tcPr>
          <w:p w:rsidR="00E2618B" w:rsidRPr="00F627B2" w:rsidRDefault="00E2618B">
            <w:pPr>
              <w:spacing w:line="240" w:lineRule="auto"/>
              <w:rPr>
                <w:rFonts w:ascii="Lato" w:hAnsi="Lato"/>
                <w:szCs w:val="22"/>
              </w:rPr>
            </w:pPr>
          </w:p>
        </w:tc>
        <w:tc>
          <w:tcPr>
            <w:tcW w:w="283"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700"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284" w:type="dxa"/>
            <w:tcBorders>
              <w:top w:val="nil"/>
              <w:left w:val="nil"/>
              <w:bottom w:val="nil"/>
              <w:right w:val="nil"/>
            </w:tcBorders>
          </w:tcPr>
          <w:p w:rsidR="00E2618B" w:rsidRPr="00F627B2" w:rsidRDefault="00E2618B">
            <w:pPr>
              <w:spacing w:line="240" w:lineRule="auto"/>
              <w:rPr>
                <w:rFonts w:ascii="Lato" w:hAnsi="Lato"/>
                <w:szCs w:val="22"/>
              </w:rPr>
            </w:pPr>
          </w:p>
        </w:tc>
        <w:tc>
          <w:tcPr>
            <w:tcW w:w="450" w:type="dxa"/>
            <w:tcBorders>
              <w:top w:val="nil"/>
              <w:left w:val="nil"/>
              <w:bottom w:val="single" w:sz="4" w:space="0" w:color="auto"/>
              <w:right w:val="nil"/>
            </w:tcBorders>
          </w:tcPr>
          <w:p w:rsidR="00E2618B" w:rsidRPr="00F627B2" w:rsidRDefault="00E2618B">
            <w:pPr>
              <w:spacing w:line="240" w:lineRule="auto"/>
              <w:rPr>
                <w:rFonts w:ascii="Lato" w:hAnsi="Lato"/>
                <w:szCs w:val="22"/>
              </w:rPr>
            </w:pPr>
          </w:p>
        </w:tc>
        <w:tc>
          <w:tcPr>
            <w:tcW w:w="252" w:type="dxa"/>
            <w:tcBorders>
              <w:top w:val="nil"/>
              <w:left w:val="nil"/>
              <w:bottom w:val="nil"/>
              <w:right w:val="nil"/>
            </w:tcBorders>
          </w:tcPr>
          <w:p w:rsidR="00E2618B" w:rsidRPr="00F627B2" w:rsidRDefault="00E2618B">
            <w:pPr>
              <w:spacing w:line="240" w:lineRule="auto"/>
              <w:rPr>
                <w:rFonts w:ascii="Lato" w:hAnsi="Lato"/>
                <w:szCs w:val="22"/>
              </w:rPr>
            </w:pPr>
          </w:p>
        </w:tc>
        <w:tc>
          <w:tcPr>
            <w:tcW w:w="405" w:type="dxa"/>
            <w:tcBorders>
              <w:top w:val="nil"/>
              <w:left w:val="nil"/>
              <w:bottom w:val="nil"/>
              <w:right w:val="nil"/>
            </w:tcBorders>
          </w:tcPr>
          <w:p w:rsidR="00E2618B" w:rsidRPr="00F627B2" w:rsidRDefault="00E2618B">
            <w:pPr>
              <w:spacing w:line="240" w:lineRule="auto"/>
              <w:rPr>
                <w:rFonts w:ascii="Lato" w:hAnsi="Lato"/>
                <w:szCs w:val="22"/>
              </w:rPr>
            </w:pPr>
          </w:p>
        </w:tc>
      </w:tr>
      <w:tr w:rsidR="00E2618B" w:rsidRPr="00F627B2" w:rsidTr="00F627B2">
        <w:trPr>
          <w:gridAfter w:val="1"/>
          <w:wAfter w:w="21" w:type="dxa"/>
        </w:trPr>
        <w:tc>
          <w:tcPr>
            <w:tcW w:w="1070" w:type="dxa"/>
            <w:tcBorders>
              <w:top w:val="nil"/>
              <w:left w:val="nil"/>
              <w:bottom w:val="nil"/>
              <w:right w:val="nil"/>
            </w:tcBorders>
          </w:tcPr>
          <w:p w:rsidR="00E2618B" w:rsidRPr="00F627B2" w:rsidRDefault="00E2618B">
            <w:pPr>
              <w:spacing w:line="240" w:lineRule="auto"/>
              <w:rPr>
                <w:rFonts w:ascii="Lato" w:hAnsi="Lato"/>
                <w:szCs w:val="22"/>
              </w:rPr>
            </w:pPr>
          </w:p>
        </w:tc>
        <w:tc>
          <w:tcPr>
            <w:tcW w:w="6744" w:type="dxa"/>
            <w:tcBorders>
              <w:top w:val="nil"/>
              <w:left w:val="nil"/>
              <w:bottom w:val="nil"/>
              <w:right w:val="nil"/>
            </w:tcBorders>
          </w:tcPr>
          <w:p w:rsidR="00E2618B" w:rsidRPr="00F627B2" w:rsidRDefault="00E2618B">
            <w:pPr>
              <w:tabs>
                <w:tab w:val="left" w:pos="1036"/>
              </w:tabs>
              <w:spacing w:line="240" w:lineRule="auto"/>
              <w:rPr>
                <w:rFonts w:ascii="Lato" w:hAnsi="Lato"/>
                <w:szCs w:val="22"/>
              </w:rPr>
            </w:pPr>
            <w:r w:rsidRPr="00F627B2">
              <w:rPr>
                <w:rFonts w:ascii="Lato" w:hAnsi="Lato"/>
                <w:szCs w:val="22"/>
              </w:rPr>
              <w:t xml:space="preserve">Confirm there is no provision for the fees and expenses of the </w:t>
            </w:r>
          </w:p>
        </w:tc>
        <w:tc>
          <w:tcPr>
            <w:tcW w:w="968" w:type="dxa"/>
            <w:tcBorders>
              <w:top w:val="nil"/>
              <w:left w:val="nil"/>
              <w:bottom w:val="nil"/>
              <w:right w:val="nil"/>
            </w:tcBorders>
          </w:tcPr>
          <w:p w:rsidR="00E2618B" w:rsidRPr="00F627B2" w:rsidRDefault="00E2618B">
            <w:pPr>
              <w:spacing w:line="240" w:lineRule="auto"/>
              <w:rPr>
                <w:rFonts w:ascii="Lato" w:hAnsi="Lato"/>
                <w:szCs w:val="22"/>
              </w:rPr>
            </w:pPr>
          </w:p>
        </w:tc>
        <w:tc>
          <w:tcPr>
            <w:tcW w:w="283"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700"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284" w:type="dxa"/>
            <w:tcBorders>
              <w:top w:val="nil"/>
              <w:left w:val="nil"/>
              <w:bottom w:val="nil"/>
              <w:right w:val="single" w:sz="4" w:space="0" w:color="auto"/>
            </w:tcBorders>
          </w:tcPr>
          <w:p w:rsidR="00E2618B" w:rsidRPr="00F627B2" w:rsidRDefault="00E2618B">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E2618B" w:rsidRPr="00F627B2"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F627B2" w:rsidRDefault="00E2618B">
            <w:pPr>
              <w:spacing w:line="240" w:lineRule="auto"/>
              <w:rPr>
                <w:rFonts w:ascii="Lato" w:hAnsi="Lato"/>
                <w:szCs w:val="22"/>
              </w:rPr>
            </w:pPr>
          </w:p>
        </w:tc>
        <w:tc>
          <w:tcPr>
            <w:tcW w:w="405" w:type="dxa"/>
            <w:tcBorders>
              <w:top w:val="nil"/>
              <w:left w:val="nil"/>
              <w:bottom w:val="nil"/>
              <w:right w:val="nil"/>
            </w:tcBorders>
          </w:tcPr>
          <w:p w:rsidR="00E2618B" w:rsidRPr="00F627B2" w:rsidRDefault="00E2618B">
            <w:pPr>
              <w:spacing w:line="240" w:lineRule="auto"/>
              <w:rPr>
                <w:rFonts w:ascii="Lato" w:hAnsi="Lato"/>
                <w:szCs w:val="22"/>
              </w:rPr>
            </w:pPr>
          </w:p>
        </w:tc>
      </w:tr>
      <w:tr w:rsidR="00E2618B" w:rsidRPr="00F627B2" w:rsidTr="00F627B2">
        <w:trPr>
          <w:gridAfter w:val="1"/>
          <w:wAfter w:w="21" w:type="dxa"/>
        </w:trPr>
        <w:tc>
          <w:tcPr>
            <w:tcW w:w="1070" w:type="dxa"/>
            <w:tcBorders>
              <w:top w:val="nil"/>
              <w:left w:val="nil"/>
              <w:bottom w:val="nil"/>
              <w:right w:val="nil"/>
            </w:tcBorders>
          </w:tcPr>
          <w:p w:rsidR="00E2618B" w:rsidRPr="00F627B2" w:rsidRDefault="00E2618B">
            <w:pPr>
              <w:spacing w:line="240" w:lineRule="auto"/>
              <w:rPr>
                <w:rFonts w:ascii="Lato" w:hAnsi="Lato"/>
                <w:szCs w:val="22"/>
              </w:rPr>
            </w:pPr>
          </w:p>
        </w:tc>
        <w:tc>
          <w:tcPr>
            <w:tcW w:w="6744" w:type="dxa"/>
            <w:tcBorders>
              <w:top w:val="nil"/>
              <w:left w:val="nil"/>
              <w:bottom w:val="nil"/>
              <w:right w:val="nil"/>
            </w:tcBorders>
          </w:tcPr>
          <w:p w:rsidR="00E2618B" w:rsidRPr="00F627B2" w:rsidRDefault="00E2618B">
            <w:pPr>
              <w:tabs>
                <w:tab w:val="left" w:pos="1036"/>
              </w:tabs>
              <w:spacing w:line="240" w:lineRule="auto"/>
              <w:rPr>
                <w:rFonts w:ascii="Lato" w:hAnsi="Lato"/>
                <w:szCs w:val="22"/>
              </w:rPr>
            </w:pPr>
            <w:r w:rsidRPr="00F627B2">
              <w:rPr>
                <w:rFonts w:ascii="Lato" w:hAnsi="Lato"/>
                <w:szCs w:val="22"/>
              </w:rPr>
              <w:t>directors of the management company to be paid  directly out of the assets of the trust in addition to the management fee.</w:t>
            </w:r>
          </w:p>
        </w:tc>
        <w:tc>
          <w:tcPr>
            <w:tcW w:w="968" w:type="dxa"/>
            <w:tcBorders>
              <w:top w:val="nil"/>
              <w:left w:val="nil"/>
              <w:bottom w:val="nil"/>
              <w:right w:val="nil"/>
            </w:tcBorders>
          </w:tcPr>
          <w:p w:rsidR="00E2618B" w:rsidRPr="00F627B2" w:rsidRDefault="00E2618B">
            <w:pPr>
              <w:spacing w:line="240" w:lineRule="auto"/>
              <w:rPr>
                <w:rFonts w:ascii="Lato" w:hAnsi="Lato"/>
                <w:szCs w:val="22"/>
              </w:rPr>
            </w:pPr>
          </w:p>
        </w:tc>
        <w:tc>
          <w:tcPr>
            <w:tcW w:w="283"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700"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284" w:type="dxa"/>
            <w:tcBorders>
              <w:top w:val="nil"/>
              <w:left w:val="nil"/>
              <w:bottom w:val="nil"/>
              <w:right w:val="nil"/>
            </w:tcBorders>
          </w:tcPr>
          <w:p w:rsidR="00E2618B" w:rsidRPr="00F627B2" w:rsidRDefault="00E2618B">
            <w:pPr>
              <w:spacing w:line="240" w:lineRule="auto"/>
              <w:rPr>
                <w:rFonts w:ascii="Lato" w:hAnsi="Lato"/>
                <w:szCs w:val="22"/>
              </w:rPr>
            </w:pPr>
          </w:p>
        </w:tc>
        <w:tc>
          <w:tcPr>
            <w:tcW w:w="450" w:type="dxa"/>
            <w:tcBorders>
              <w:top w:val="single" w:sz="4" w:space="0" w:color="auto"/>
              <w:left w:val="nil"/>
              <w:bottom w:val="nil"/>
              <w:right w:val="nil"/>
            </w:tcBorders>
          </w:tcPr>
          <w:p w:rsidR="00E2618B" w:rsidRPr="00F627B2" w:rsidRDefault="00E2618B">
            <w:pPr>
              <w:spacing w:line="240" w:lineRule="auto"/>
              <w:rPr>
                <w:rFonts w:ascii="Lato" w:hAnsi="Lato"/>
                <w:szCs w:val="22"/>
              </w:rPr>
            </w:pPr>
          </w:p>
        </w:tc>
        <w:tc>
          <w:tcPr>
            <w:tcW w:w="252" w:type="dxa"/>
            <w:tcBorders>
              <w:top w:val="nil"/>
              <w:left w:val="nil"/>
              <w:bottom w:val="nil"/>
              <w:right w:val="nil"/>
            </w:tcBorders>
          </w:tcPr>
          <w:p w:rsidR="00E2618B" w:rsidRPr="00F627B2" w:rsidRDefault="00E2618B">
            <w:pPr>
              <w:spacing w:line="240" w:lineRule="auto"/>
              <w:rPr>
                <w:rFonts w:ascii="Lato" w:hAnsi="Lato"/>
                <w:szCs w:val="22"/>
              </w:rPr>
            </w:pPr>
          </w:p>
        </w:tc>
        <w:tc>
          <w:tcPr>
            <w:tcW w:w="405" w:type="dxa"/>
            <w:tcBorders>
              <w:top w:val="nil"/>
              <w:left w:val="nil"/>
              <w:bottom w:val="nil"/>
              <w:right w:val="nil"/>
            </w:tcBorders>
          </w:tcPr>
          <w:p w:rsidR="00E2618B" w:rsidRPr="00F627B2" w:rsidRDefault="00E2618B">
            <w:pPr>
              <w:spacing w:line="240" w:lineRule="auto"/>
              <w:rPr>
                <w:rFonts w:ascii="Lato" w:hAnsi="Lato"/>
                <w:szCs w:val="22"/>
              </w:rPr>
            </w:pPr>
          </w:p>
        </w:tc>
      </w:tr>
      <w:tr w:rsidR="00E2618B" w:rsidRPr="00F627B2" w:rsidTr="00F627B2">
        <w:trPr>
          <w:gridAfter w:val="1"/>
          <w:wAfter w:w="21" w:type="dxa"/>
        </w:trPr>
        <w:tc>
          <w:tcPr>
            <w:tcW w:w="1070" w:type="dxa"/>
            <w:tcBorders>
              <w:top w:val="nil"/>
              <w:left w:val="nil"/>
              <w:bottom w:val="nil"/>
              <w:right w:val="nil"/>
            </w:tcBorders>
          </w:tcPr>
          <w:p w:rsidR="00E2618B" w:rsidRPr="00F627B2" w:rsidRDefault="00E2618B">
            <w:pPr>
              <w:spacing w:line="240" w:lineRule="auto"/>
              <w:rPr>
                <w:rFonts w:ascii="Lato" w:hAnsi="Lato"/>
                <w:szCs w:val="22"/>
              </w:rPr>
            </w:pPr>
          </w:p>
        </w:tc>
        <w:tc>
          <w:tcPr>
            <w:tcW w:w="6744" w:type="dxa"/>
            <w:tcBorders>
              <w:top w:val="nil"/>
              <w:left w:val="nil"/>
              <w:bottom w:val="nil"/>
              <w:right w:val="nil"/>
            </w:tcBorders>
          </w:tcPr>
          <w:p w:rsidR="00E2618B" w:rsidRPr="00F627B2" w:rsidRDefault="00E2618B">
            <w:pPr>
              <w:spacing w:line="240" w:lineRule="auto"/>
              <w:rPr>
                <w:rFonts w:ascii="Lato" w:hAnsi="Lato"/>
                <w:szCs w:val="22"/>
              </w:rPr>
            </w:pPr>
          </w:p>
        </w:tc>
        <w:tc>
          <w:tcPr>
            <w:tcW w:w="968" w:type="dxa"/>
            <w:tcBorders>
              <w:top w:val="nil"/>
              <w:left w:val="nil"/>
              <w:bottom w:val="nil"/>
              <w:right w:val="nil"/>
            </w:tcBorders>
          </w:tcPr>
          <w:p w:rsidR="00E2618B" w:rsidRPr="00F627B2" w:rsidRDefault="00E2618B">
            <w:pPr>
              <w:spacing w:line="240" w:lineRule="auto"/>
              <w:rPr>
                <w:rFonts w:ascii="Lato" w:hAnsi="Lato"/>
                <w:szCs w:val="22"/>
              </w:rPr>
            </w:pPr>
          </w:p>
        </w:tc>
        <w:tc>
          <w:tcPr>
            <w:tcW w:w="283"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700"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284" w:type="dxa"/>
            <w:tcBorders>
              <w:top w:val="nil"/>
              <w:left w:val="nil"/>
              <w:bottom w:val="nil"/>
              <w:right w:val="nil"/>
            </w:tcBorders>
          </w:tcPr>
          <w:p w:rsidR="00E2618B" w:rsidRPr="00F627B2" w:rsidRDefault="00E2618B">
            <w:pPr>
              <w:spacing w:line="240" w:lineRule="auto"/>
              <w:rPr>
                <w:rFonts w:ascii="Lato" w:hAnsi="Lato"/>
                <w:szCs w:val="22"/>
              </w:rPr>
            </w:pPr>
          </w:p>
        </w:tc>
        <w:tc>
          <w:tcPr>
            <w:tcW w:w="450" w:type="dxa"/>
            <w:tcBorders>
              <w:top w:val="nil"/>
              <w:left w:val="nil"/>
              <w:bottom w:val="single" w:sz="4" w:space="0" w:color="auto"/>
              <w:right w:val="nil"/>
            </w:tcBorders>
          </w:tcPr>
          <w:p w:rsidR="00E2618B" w:rsidRPr="00F627B2" w:rsidRDefault="00E2618B">
            <w:pPr>
              <w:spacing w:line="240" w:lineRule="auto"/>
              <w:rPr>
                <w:rFonts w:ascii="Lato" w:hAnsi="Lato"/>
                <w:szCs w:val="22"/>
              </w:rPr>
            </w:pPr>
          </w:p>
        </w:tc>
        <w:tc>
          <w:tcPr>
            <w:tcW w:w="252" w:type="dxa"/>
            <w:tcBorders>
              <w:top w:val="nil"/>
              <w:left w:val="nil"/>
              <w:bottom w:val="nil"/>
              <w:right w:val="nil"/>
            </w:tcBorders>
          </w:tcPr>
          <w:p w:rsidR="00E2618B" w:rsidRPr="00F627B2" w:rsidRDefault="00E2618B">
            <w:pPr>
              <w:spacing w:line="240" w:lineRule="auto"/>
              <w:rPr>
                <w:rFonts w:ascii="Lato" w:hAnsi="Lato"/>
                <w:szCs w:val="22"/>
              </w:rPr>
            </w:pPr>
          </w:p>
        </w:tc>
        <w:tc>
          <w:tcPr>
            <w:tcW w:w="405" w:type="dxa"/>
            <w:tcBorders>
              <w:top w:val="nil"/>
              <w:left w:val="nil"/>
              <w:bottom w:val="nil"/>
              <w:right w:val="nil"/>
            </w:tcBorders>
          </w:tcPr>
          <w:p w:rsidR="00E2618B" w:rsidRPr="00F627B2" w:rsidRDefault="00E2618B">
            <w:pPr>
              <w:spacing w:line="240" w:lineRule="auto"/>
              <w:rPr>
                <w:rFonts w:ascii="Lato" w:hAnsi="Lato"/>
                <w:szCs w:val="22"/>
              </w:rPr>
            </w:pPr>
          </w:p>
        </w:tc>
      </w:tr>
      <w:tr w:rsidR="00E2618B" w:rsidRPr="00F627B2" w:rsidTr="00F627B2">
        <w:trPr>
          <w:gridAfter w:val="1"/>
          <w:wAfter w:w="21" w:type="dxa"/>
        </w:trPr>
        <w:tc>
          <w:tcPr>
            <w:tcW w:w="1070" w:type="dxa"/>
            <w:tcBorders>
              <w:top w:val="nil"/>
              <w:left w:val="nil"/>
              <w:bottom w:val="nil"/>
              <w:right w:val="nil"/>
            </w:tcBorders>
          </w:tcPr>
          <w:p w:rsidR="00E2618B" w:rsidRPr="00F627B2" w:rsidRDefault="00E2618B" w:rsidP="007A45D1">
            <w:pPr>
              <w:spacing w:line="240" w:lineRule="auto"/>
              <w:ind w:left="-108"/>
              <w:rPr>
                <w:rFonts w:ascii="Lato" w:hAnsi="Lato"/>
                <w:szCs w:val="22"/>
              </w:rPr>
            </w:pPr>
            <w:r w:rsidRPr="00F627B2">
              <w:rPr>
                <w:rFonts w:ascii="Lato" w:hAnsi="Lato"/>
                <w:szCs w:val="22"/>
              </w:rPr>
              <w:t>2.16.7</w:t>
            </w:r>
          </w:p>
        </w:tc>
        <w:tc>
          <w:tcPr>
            <w:tcW w:w="6744" w:type="dxa"/>
            <w:tcBorders>
              <w:top w:val="nil"/>
              <w:left w:val="nil"/>
              <w:bottom w:val="nil"/>
              <w:right w:val="nil"/>
            </w:tcBorders>
          </w:tcPr>
          <w:p w:rsidR="00E2618B" w:rsidRPr="00F627B2" w:rsidRDefault="00E2618B">
            <w:pPr>
              <w:pStyle w:val="Heading1"/>
              <w:spacing w:before="0" w:after="0" w:line="240" w:lineRule="auto"/>
              <w:rPr>
                <w:rFonts w:ascii="Lato" w:eastAsia="Arial Unicode MS" w:hAnsi="Lato"/>
                <w:color w:val="auto"/>
                <w:sz w:val="22"/>
                <w:szCs w:val="22"/>
              </w:rPr>
            </w:pPr>
            <w:r w:rsidRPr="00F627B2">
              <w:rPr>
                <w:rFonts w:ascii="Lato" w:hAnsi="Lato"/>
                <w:color w:val="auto"/>
                <w:sz w:val="22"/>
                <w:szCs w:val="22"/>
              </w:rPr>
              <w:t>Shareholder Servicing Agents</w:t>
            </w:r>
          </w:p>
        </w:tc>
        <w:tc>
          <w:tcPr>
            <w:tcW w:w="968" w:type="dxa"/>
            <w:tcBorders>
              <w:top w:val="nil"/>
              <w:left w:val="nil"/>
              <w:bottom w:val="nil"/>
              <w:right w:val="nil"/>
            </w:tcBorders>
          </w:tcPr>
          <w:p w:rsidR="00E2618B" w:rsidRPr="00F627B2" w:rsidRDefault="00E2618B">
            <w:pPr>
              <w:spacing w:line="240" w:lineRule="auto"/>
              <w:rPr>
                <w:rFonts w:ascii="Lato" w:hAnsi="Lato"/>
                <w:szCs w:val="22"/>
              </w:rPr>
            </w:pPr>
          </w:p>
        </w:tc>
        <w:tc>
          <w:tcPr>
            <w:tcW w:w="283"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700"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284" w:type="dxa"/>
            <w:tcBorders>
              <w:top w:val="nil"/>
              <w:left w:val="nil"/>
              <w:bottom w:val="nil"/>
              <w:right w:val="single" w:sz="4" w:space="0" w:color="auto"/>
            </w:tcBorders>
          </w:tcPr>
          <w:p w:rsidR="00E2618B" w:rsidRPr="00F627B2" w:rsidRDefault="00E2618B">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E2618B" w:rsidRPr="00F627B2"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F627B2" w:rsidRDefault="00E2618B">
            <w:pPr>
              <w:spacing w:line="240" w:lineRule="auto"/>
              <w:rPr>
                <w:rFonts w:ascii="Lato" w:hAnsi="Lato"/>
                <w:szCs w:val="22"/>
              </w:rPr>
            </w:pPr>
          </w:p>
        </w:tc>
        <w:tc>
          <w:tcPr>
            <w:tcW w:w="405" w:type="dxa"/>
            <w:tcBorders>
              <w:top w:val="nil"/>
              <w:left w:val="nil"/>
              <w:bottom w:val="nil"/>
              <w:right w:val="nil"/>
            </w:tcBorders>
          </w:tcPr>
          <w:p w:rsidR="00E2618B" w:rsidRPr="00F627B2" w:rsidRDefault="00E2618B">
            <w:pPr>
              <w:spacing w:line="240" w:lineRule="auto"/>
              <w:rPr>
                <w:rFonts w:ascii="Lato" w:hAnsi="Lato"/>
                <w:szCs w:val="22"/>
              </w:rPr>
            </w:pPr>
          </w:p>
        </w:tc>
      </w:tr>
      <w:tr w:rsidR="00E2618B" w:rsidRPr="00F627B2" w:rsidTr="00F627B2">
        <w:trPr>
          <w:gridAfter w:val="1"/>
          <w:wAfter w:w="21" w:type="dxa"/>
        </w:trPr>
        <w:tc>
          <w:tcPr>
            <w:tcW w:w="1070" w:type="dxa"/>
            <w:tcBorders>
              <w:top w:val="nil"/>
              <w:left w:val="nil"/>
              <w:bottom w:val="nil"/>
              <w:right w:val="nil"/>
            </w:tcBorders>
          </w:tcPr>
          <w:p w:rsidR="00E2618B" w:rsidRPr="00F627B2" w:rsidRDefault="00E2618B">
            <w:pPr>
              <w:spacing w:line="240" w:lineRule="auto"/>
              <w:rPr>
                <w:rFonts w:ascii="Lato" w:hAnsi="Lato"/>
                <w:szCs w:val="22"/>
              </w:rPr>
            </w:pPr>
          </w:p>
        </w:tc>
        <w:tc>
          <w:tcPr>
            <w:tcW w:w="6744" w:type="dxa"/>
            <w:tcBorders>
              <w:top w:val="nil"/>
              <w:left w:val="nil"/>
              <w:bottom w:val="nil"/>
              <w:right w:val="nil"/>
            </w:tcBorders>
          </w:tcPr>
          <w:p w:rsidR="00E2618B" w:rsidRPr="00F627B2" w:rsidRDefault="00E2618B">
            <w:pPr>
              <w:spacing w:line="240" w:lineRule="auto"/>
              <w:rPr>
                <w:rFonts w:ascii="Lato" w:hAnsi="Lato"/>
                <w:szCs w:val="22"/>
              </w:rPr>
            </w:pPr>
            <w:r w:rsidRPr="00F627B2">
              <w:rPr>
                <w:rFonts w:ascii="Lato" w:hAnsi="Lato"/>
                <w:szCs w:val="22"/>
              </w:rPr>
              <w:t>If provision is made for Service Organisation(s) to be appointed directly by the Unitholders/Shareholders, confirm that such fees are not to be paid out of the Retail Investor AIF</w:t>
            </w:r>
          </w:p>
        </w:tc>
        <w:tc>
          <w:tcPr>
            <w:tcW w:w="968" w:type="dxa"/>
            <w:tcBorders>
              <w:top w:val="nil"/>
              <w:left w:val="nil"/>
              <w:bottom w:val="nil"/>
              <w:right w:val="nil"/>
            </w:tcBorders>
          </w:tcPr>
          <w:p w:rsidR="00E2618B" w:rsidRPr="00F627B2" w:rsidRDefault="00E2618B">
            <w:pPr>
              <w:spacing w:line="240" w:lineRule="auto"/>
              <w:rPr>
                <w:rFonts w:ascii="Lato" w:hAnsi="Lato"/>
                <w:szCs w:val="22"/>
              </w:rPr>
            </w:pPr>
          </w:p>
        </w:tc>
        <w:tc>
          <w:tcPr>
            <w:tcW w:w="283"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700"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284" w:type="dxa"/>
            <w:tcBorders>
              <w:top w:val="nil"/>
              <w:left w:val="nil"/>
              <w:bottom w:val="nil"/>
              <w:right w:val="nil"/>
            </w:tcBorders>
          </w:tcPr>
          <w:p w:rsidR="00E2618B" w:rsidRPr="00F627B2" w:rsidRDefault="00E2618B">
            <w:pPr>
              <w:spacing w:line="240" w:lineRule="auto"/>
              <w:rPr>
                <w:rFonts w:ascii="Lato" w:hAnsi="Lato"/>
                <w:szCs w:val="22"/>
              </w:rPr>
            </w:pPr>
          </w:p>
        </w:tc>
        <w:tc>
          <w:tcPr>
            <w:tcW w:w="450" w:type="dxa"/>
            <w:tcBorders>
              <w:top w:val="single" w:sz="4" w:space="0" w:color="auto"/>
              <w:left w:val="nil"/>
              <w:bottom w:val="nil"/>
              <w:right w:val="nil"/>
            </w:tcBorders>
          </w:tcPr>
          <w:p w:rsidR="00E2618B" w:rsidRPr="00F627B2" w:rsidRDefault="00E2618B">
            <w:pPr>
              <w:spacing w:line="240" w:lineRule="auto"/>
              <w:rPr>
                <w:rFonts w:ascii="Lato" w:hAnsi="Lato"/>
                <w:szCs w:val="22"/>
              </w:rPr>
            </w:pPr>
          </w:p>
        </w:tc>
        <w:tc>
          <w:tcPr>
            <w:tcW w:w="252" w:type="dxa"/>
            <w:tcBorders>
              <w:top w:val="nil"/>
              <w:left w:val="nil"/>
              <w:bottom w:val="nil"/>
              <w:right w:val="nil"/>
            </w:tcBorders>
          </w:tcPr>
          <w:p w:rsidR="00E2618B" w:rsidRPr="00F627B2" w:rsidRDefault="00E2618B">
            <w:pPr>
              <w:spacing w:line="240" w:lineRule="auto"/>
              <w:rPr>
                <w:rFonts w:ascii="Lato" w:hAnsi="Lato"/>
                <w:szCs w:val="22"/>
              </w:rPr>
            </w:pPr>
          </w:p>
        </w:tc>
        <w:tc>
          <w:tcPr>
            <w:tcW w:w="405" w:type="dxa"/>
            <w:tcBorders>
              <w:top w:val="nil"/>
              <w:left w:val="nil"/>
              <w:bottom w:val="nil"/>
              <w:right w:val="nil"/>
            </w:tcBorders>
          </w:tcPr>
          <w:p w:rsidR="00E2618B" w:rsidRPr="00F627B2" w:rsidRDefault="00E2618B">
            <w:pPr>
              <w:spacing w:line="240" w:lineRule="auto"/>
              <w:rPr>
                <w:rFonts w:ascii="Lato" w:hAnsi="Lato"/>
                <w:szCs w:val="22"/>
              </w:rPr>
            </w:pPr>
          </w:p>
        </w:tc>
      </w:tr>
      <w:tr w:rsidR="00E2618B" w:rsidRPr="00F627B2" w:rsidTr="00F627B2">
        <w:trPr>
          <w:gridAfter w:val="1"/>
          <w:wAfter w:w="21" w:type="dxa"/>
        </w:trPr>
        <w:tc>
          <w:tcPr>
            <w:tcW w:w="1070" w:type="dxa"/>
            <w:tcBorders>
              <w:top w:val="nil"/>
              <w:left w:val="nil"/>
              <w:bottom w:val="nil"/>
              <w:right w:val="nil"/>
            </w:tcBorders>
          </w:tcPr>
          <w:p w:rsidR="00E2618B" w:rsidRPr="00F627B2" w:rsidRDefault="00E2618B">
            <w:pPr>
              <w:spacing w:line="240" w:lineRule="auto"/>
              <w:rPr>
                <w:rFonts w:ascii="Lato" w:hAnsi="Lato"/>
                <w:szCs w:val="22"/>
              </w:rPr>
            </w:pPr>
          </w:p>
        </w:tc>
        <w:tc>
          <w:tcPr>
            <w:tcW w:w="6744" w:type="dxa"/>
            <w:tcBorders>
              <w:top w:val="nil"/>
              <w:left w:val="nil"/>
              <w:bottom w:val="nil"/>
              <w:right w:val="nil"/>
            </w:tcBorders>
          </w:tcPr>
          <w:p w:rsidR="00E2618B" w:rsidRPr="00F627B2" w:rsidRDefault="00E2618B">
            <w:pPr>
              <w:spacing w:line="240" w:lineRule="auto"/>
              <w:rPr>
                <w:rFonts w:ascii="Lato" w:hAnsi="Lato"/>
                <w:szCs w:val="22"/>
              </w:rPr>
            </w:pPr>
          </w:p>
        </w:tc>
        <w:tc>
          <w:tcPr>
            <w:tcW w:w="968" w:type="dxa"/>
            <w:tcBorders>
              <w:top w:val="nil"/>
              <w:left w:val="nil"/>
              <w:bottom w:val="nil"/>
              <w:right w:val="nil"/>
            </w:tcBorders>
          </w:tcPr>
          <w:p w:rsidR="00E2618B" w:rsidRPr="00F627B2" w:rsidRDefault="00E2618B">
            <w:pPr>
              <w:spacing w:line="240" w:lineRule="auto"/>
              <w:rPr>
                <w:rFonts w:ascii="Lato" w:hAnsi="Lato"/>
                <w:szCs w:val="22"/>
              </w:rPr>
            </w:pPr>
          </w:p>
        </w:tc>
        <w:tc>
          <w:tcPr>
            <w:tcW w:w="283"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700"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284" w:type="dxa"/>
            <w:tcBorders>
              <w:top w:val="nil"/>
              <w:left w:val="nil"/>
              <w:bottom w:val="nil"/>
              <w:right w:val="nil"/>
            </w:tcBorders>
          </w:tcPr>
          <w:p w:rsidR="00E2618B" w:rsidRPr="00F627B2" w:rsidRDefault="00E2618B">
            <w:pPr>
              <w:spacing w:line="240" w:lineRule="auto"/>
              <w:rPr>
                <w:rFonts w:ascii="Lato" w:hAnsi="Lato"/>
                <w:szCs w:val="22"/>
              </w:rPr>
            </w:pPr>
          </w:p>
        </w:tc>
        <w:tc>
          <w:tcPr>
            <w:tcW w:w="450" w:type="dxa"/>
            <w:tcBorders>
              <w:top w:val="nil"/>
              <w:left w:val="nil"/>
              <w:bottom w:val="nil"/>
              <w:right w:val="nil"/>
            </w:tcBorders>
          </w:tcPr>
          <w:p w:rsidR="00E2618B" w:rsidRPr="00F627B2" w:rsidRDefault="00E2618B">
            <w:pPr>
              <w:spacing w:line="240" w:lineRule="auto"/>
              <w:rPr>
                <w:rFonts w:ascii="Lato" w:hAnsi="Lato"/>
                <w:szCs w:val="22"/>
              </w:rPr>
            </w:pPr>
          </w:p>
        </w:tc>
        <w:tc>
          <w:tcPr>
            <w:tcW w:w="252" w:type="dxa"/>
            <w:tcBorders>
              <w:top w:val="nil"/>
              <w:left w:val="nil"/>
              <w:bottom w:val="nil"/>
              <w:right w:val="nil"/>
            </w:tcBorders>
          </w:tcPr>
          <w:p w:rsidR="00E2618B" w:rsidRPr="00F627B2" w:rsidRDefault="00E2618B">
            <w:pPr>
              <w:spacing w:line="240" w:lineRule="auto"/>
              <w:rPr>
                <w:rFonts w:ascii="Lato" w:hAnsi="Lato"/>
                <w:szCs w:val="22"/>
              </w:rPr>
            </w:pPr>
          </w:p>
        </w:tc>
        <w:tc>
          <w:tcPr>
            <w:tcW w:w="405" w:type="dxa"/>
            <w:tcBorders>
              <w:top w:val="nil"/>
              <w:left w:val="nil"/>
              <w:bottom w:val="nil"/>
              <w:right w:val="nil"/>
            </w:tcBorders>
          </w:tcPr>
          <w:p w:rsidR="00E2618B" w:rsidRPr="00F627B2" w:rsidRDefault="00E2618B">
            <w:pPr>
              <w:spacing w:line="240" w:lineRule="auto"/>
              <w:rPr>
                <w:rFonts w:ascii="Lato" w:hAnsi="Lato"/>
                <w:szCs w:val="22"/>
              </w:rPr>
            </w:pPr>
          </w:p>
        </w:tc>
      </w:tr>
      <w:tr w:rsidR="00E2618B" w:rsidRPr="00F627B2" w:rsidTr="00F627B2">
        <w:trPr>
          <w:gridAfter w:val="1"/>
          <w:wAfter w:w="21" w:type="dxa"/>
        </w:trPr>
        <w:tc>
          <w:tcPr>
            <w:tcW w:w="1070" w:type="dxa"/>
            <w:tcBorders>
              <w:top w:val="nil"/>
              <w:left w:val="nil"/>
              <w:bottom w:val="nil"/>
              <w:right w:val="nil"/>
            </w:tcBorders>
          </w:tcPr>
          <w:p w:rsidR="00E2618B" w:rsidRPr="00F627B2" w:rsidRDefault="00E2618B" w:rsidP="007A45D1">
            <w:pPr>
              <w:spacing w:line="240" w:lineRule="auto"/>
              <w:ind w:left="-108"/>
              <w:rPr>
                <w:rFonts w:ascii="Lato" w:hAnsi="Lato"/>
                <w:szCs w:val="22"/>
              </w:rPr>
            </w:pPr>
            <w:r w:rsidRPr="00F627B2">
              <w:rPr>
                <w:rFonts w:ascii="Lato" w:hAnsi="Lato"/>
                <w:szCs w:val="22"/>
              </w:rPr>
              <w:t>2.16.8</w:t>
            </w:r>
          </w:p>
        </w:tc>
        <w:tc>
          <w:tcPr>
            <w:tcW w:w="6744" w:type="dxa"/>
            <w:tcBorders>
              <w:top w:val="nil"/>
              <w:left w:val="nil"/>
              <w:bottom w:val="nil"/>
              <w:right w:val="nil"/>
            </w:tcBorders>
          </w:tcPr>
          <w:p w:rsidR="00E2618B" w:rsidRPr="00F627B2" w:rsidRDefault="00E2618B">
            <w:pPr>
              <w:pStyle w:val="Heading1"/>
              <w:spacing w:before="0" w:after="0" w:line="240" w:lineRule="auto"/>
              <w:rPr>
                <w:rFonts w:ascii="Lato" w:eastAsia="Arial Unicode MS" w:hAnsi="Lato"/>
                <w:color w:val="auto"/>
                <w:sz w:val="22"/>
                <w:szCs w:val="22"/>
              </w:rPr>
            </w:pPr>
            <w:r w:rsidRPr="00F627B2">
              <w:rPr>
                <w:rFonts w:ascii="Lato" w:hAnsi="Lato"/>
                <w:color w:val="auto"/>
                <w:sz w:val="22"/>
                <w:szCs w:val="22"/>
              </w:rPr>
              <w:t>Carrying forward of fees</w:t>
            </w:r>
          </w:p>
        </w:tc>
        <w:tc>
          <w:tcPr>
            <w:tcW w:w="968" w:type="dxa"/>
            <w:tcBorders>
              <w:top w:val="nil"/>
              <w:left w:val="nil"/>
              <w:bottom w:val="nil"/>
              <w:right w:val="nil"/>
            </w:tcBorders>
          </w:tcPr>
          <w:p w:rsidR="00E2618B" w:rsidRPr="00F627B2" w:rsidRDefault="00E2618B">
            <w:pPr>
              <w:spacing w:line="240" w:lineRule="auto"/>
              <w:rPr>
                <w:rFonts w:ascii="Lato" w:hAnsi="Lato"/>
                <w:szCs w:val="22"/>
              </w:rPr>
            </w:pPr>
          </w:p>
        </w:tc>
        <w:tc>
          <w:tcPr>
            <w:tcW w:w="283"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700"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284" w:type="dxa"/>
            <w:tcBorders>
              <w:top w:val="nil"/>
              <w:left w:val="nil"/>
              <w:bottom w:val="nil"/>
              <w:right w:val="nil"/>
            </w:tcBorders>
          </w:tcPr>
          <w:p w:rsidR="00E2618B" w:rsidRPr="00F627B2" w:rsidRDefault="00E2618B">
            <w:pPr>
              <w:spacing w:line="240" w:lineRule="auto"/>
              <w:rPr>
                <w:rFonts w:ascii="Lato" w:hAnsi="Lato"/>
                <w:szCs w:val="22"/>
              </w:rPr>
            </w:pPr>
          </w:p>
        </w:tc>
        <w:tc>
          <w:tcPr>
            <w:tcW w:w="450" w:type="dxa"/>
            <w:tcBorders>
              <w:top w:val="nil"/>
              <w:left w:val="nil"/>
              <w:bottom w:val="single" w:sz="4" w:space="0" w:color="auto"/>
              <w:right w:val="nil"/>
            </w:tcBorders>
          </w:tcPr>
          <w:p w:rsidR="00E2618B" w:rsidRPr="00F627B2" w:rsidRDefault="00E2618B">
            <w:pPr>
              <w:spacing w:line="240" w:lineRule="auto"/>
              <w:rPr>
                <w:rFonts w:ascii="Lato" w:hAnsi="Lato"/>
                <w:szCs w:val="22"/>
              </w:rPr>
            </w:pPr>
          </w:p>
        </w:tc>
        <w:tc>
          <w:tcPr>
            <w:tcW w:w="252" w:type="dxa"/>
            <w:tcBorders>
              <w:top w:val="nil"/>
              <w:left w:val="nil"/>
              <w:bottom w:val="nil"/>
              <w:right w:val="nil"/>
            </w:tcBorders>
          </w:tcPr>
          <w:p w:rsidR="00E2618B" w:rsidRPr="00F627B2" w:rsidRDefault="00E2618B">
            <w:pPr>
              <w:spacing w:line="240" w:lineRule="auto"/>
              <w:rPr>
                <w:rFonts w:ascii="Lato" w:hAnsi="Lato"/>
                <w:szCs w:val="22"/>
              </w:rPr>
            </w:pPr>
          </w:p>
        </w:tc>
        <w:tc>
          <w:tcPr>
            <w:tcW w:w="405" w:type="dxa"/>
            <w:tcBorders>
              <w:top w:val="nil"/>
              <w:left w:val="nil"/>
              <w:bottom w:val="nil"/>
              <w:right w:val="nil"/>
            </w:tcBorders>
          </w:tcPr>
          <w:p w:rsidR="00E2618B" w:rsidRPr="00F627B2" w:rsidRDefault="00E2618B">
            <w:pPr>
              <w:spacing w:line="240" w:lineRule="auto"/>
              <w:rPr>
                <w:rFonts w:ascii="Lato" w:hAnsi="Lato"/>
                <w:szCs w:val="22"/>
              </w:rPr>
            </w:pPr>
          </w:p>
        </w:tc>
      </w:tr>
      <w:tr w:rsidR="00E2618B" w:rsidRPr="00F627B2" w:rsidTr="00F627B2">
        <w:trPr>
          <w:gridAfter w:val="1"/>
          <w:wAfter w:w="21" w:type="dxa"/>
        </w:trPr>
        <w:tc>
          <w:tcPr>
            <w:tcW w:w="1070" w:type="dxa"/>
            <w:tcBorders>
              <w:top w:val="nil"/>
              <w:left w:val="nil"/>
              <w:bottom w:val="nil"/>
              <w:right w:val="nil"/>
            </w:tcBorders>
          </w:tcPr>
          <w:p w:rsidR="00E2618B" w:rsidRPr="00F627B2" w:rsidRDefault="00E2618B">
            <w:pPr>
              <w:spacing w:line="240" w:lineRule="auto"/>
              <w:rPr>
                <w:rFonts w:ascii="Lato" w:hAnsi="Lato"/>
                <w:szCs w:val="22"/>
              </w:rPr>
            </w:pPr>
          </w:p>
        </w:tc>
        <w:tc>
          <w:tcPr>
            <w:tcW w:w="6744" w:type="dxa"/>
            <w:tcBorders>
              <w:top w:val="nil"/>
              <w:left w:val="nil"/>
              <w:bottom w:val="nil"/>
              <w:right w:val="nil"/>
            </w:tcBorders>
          </w:tcPr>
          <w:p w:rsidR="00E2618B" w:rsidRPr="00F627B2" w:rsidRDefault="00E2618B">
            <w:pPr>
              <w:spacing w:line="240" w:lineRule="auto"/>
              <w:rPr>
                <w:rFonts w:ascii="Lato" w:hAnsi="Lato"/>
                <w:szCs w:val="22"/>
              </w:rPr>
            </w:pPr>
            <w:r w:rsidRPr="00F627B2">
              <w:rPr>
                <w:rFonts w:ascii="Lato" w:hAnsi="Lato"/>
                <w:szCs w:val="22"/>
              </w:rPr>
              <w:t xml:space="preserve">Confirm that carrying forward of fees from one accounting </w:t>
            </w:r>
          </w:p>
        </w:tc>
        <w:tc>
          <w:tcPr>
            <w:tcW w:w="968" w:type="dxa"/>
            <w:tcBorders>
              <w:top w:val="nil"/>
              <w:left w:val="nil"/>
              <w:bottom w:val="nil"/>
              <w:right w:val="nil"/>
            </w:tcBorders>
          </w:tcPr>
          <w:p w:rsidR="00E2618B" w:rsidRPr="00F627B2" w:rsidRDefault="00E2618B">
            <w:pPr>
              <w:spacing w:line="240" w:lineRule="auto"/>
              <w:rPr>
                <w:rFonts w:ascii="Lato" w:hAnsi="Lato"/>
                <w:szCs w:val="22"/>
              </w:rPr>
            </w:pPr>
          </w:p>
        </w:tc>
        <w:tc>
          <w:tcPr>
            <w:tcW w:w="283"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700"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284" w:type="dxa"/>
            <w:tcBorders>
              <w:top w:val="nil"/>
              <w:left w:val="nil"/>
              <w:bottom w:val="nil"/>
              <w:right w:val="single" w:sz="4" w:space="0" w:color="auto"/>
            </w:tcBorders>
          </w:tcPr>
          <w:p w:rsidR="00E2618B" w:rsidRPr="00F627B2" w:rsidRDefault="00E2618B">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E2618B" w:rsidRPr="00F627B2"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F627B2" w:rsidRDefault="00E2618B">
            <w:pPr>
              <w:spacing w:line="240" w:lineRule="auto"/>
              <w:rPr>
                <w:rFonts w:ascii="Lato" w:hAnsi="Lato"/>
                <w:szCs w:val="22"/>
              </w:rPr>
            </w:pPr>
          </w:p>
        </w:tc>
        <w:tc>
          <w:tcPr>
            <w:tcW w:w="405" w:type="dxa"/>
            <w:tcBorders>
              <w:top w:val="nil"/>
              <w:left w:val="nil"/>
              <w:bottom w:val="nil"/>
              <w:right w:val="nil"/>
            </w:tcBorders>
          </w:tcPr>
          <w:p w:rsidR="00E2618B" w:rsidRPr="00F627B2" w:rsidRDefault="00E2618B">
            <w:pPr>
              <w:spacing w:line="240" w:lineRule="auto"/>
              <w:rPr>
                <w:rFonts w:ascii="Lato" w:hAnsi="Lato"/>
                <w:szCs w:val="22"/>
              </w:rPr>
            </w:pPr>
          </w:p>
        </w:tc>
      </w:tr>
      <w:tr w:rsidR="00E2618B" w:rsidRPr="00F627B2" w:rsidTr="00F627B2">
        <w:trPr>
          <w:gridAfter w:val="1"/>
          <w:wAfter w:w="21" w:type="dxa"/>
        </w:trPr>
        <w:tc>
          <w:tcPr>
            <w:tcW w:w="1070" w:type="dxa"/>
            <w:tcBorders>
              <w:top w:val="nil"/>
              <w:left w:val="nil"/>
              <w:bottom w:val="nil"/>
              <w:right w:val="nil"/>
            </w:tcBorders>
          </w:tcPr>
          <w:p w:rsidR="00E2618B" w:rsidRPr="00F627B2" w:rsidRDefault="00E2618B">
            <w:pPr>
              <w:spacing w:line="240" w:lineRule="auto"/>
              <w:rPr>
                <w:rFonts w:ascii="Lato" w:hAnsi="Lato"/>
                <w:szCs w:val="22"/>
              </w:rPr>
            </w:pPr>
          </w:p>
        </w:tc>
        <w:tc>
          <w:tcPr>
            <w:tcW w:w="6744" w:type="dxa"/>
            <w:tcBorders>
              <w:top w:val="nil"/>
              <w:left w:val="nil"/>
              <w:bottom w:val="nil"/>
              <w:right w:val="nil"/>
            </w:tcBorders>
          </w:tcPr>
          <w:p w:rsidR="00E2618B" w:rsidRPr="00F627B2" w:rsidRDefault="00E2618B">
            <w:pPr>
              <w:spacing w:line="240" w:lineRule="auto"/>
              <w:rPr>
                <w:rFonts w:ascii="Lato" w:hAnsi="Lato"/>
                <w:szCs w:val="22"/>
              </w:rPr>
            </w:pPr>
            <w:r w:rsidRPr="00F627B2">
              <w:rPr>
                <w:rFonts w:ascii="Lato" w:hAnsi="Lato"/>
                <w:szCs w:val="22"/>
              </w:rPr>
              <w:t>period to subsequent periods is not provided for</w:t>
            </w:r>
          </w:p>
        </w:tc>
        <w:tc>
          <w:tcPr>
            <w:tcW w:w="968" w:type="dxa"/>
            <w:tcBorders>
              <w:top w:val="nil"/>
              <w:left w:val="nil"/>
              <w:bottom w:val="nil"/>
              <w:right w:val="nil"/>
            </w:tcBorders>
          </w:tcPr>
          <w:p w:rsidR="00E2618B" w:rsidRPr="00F627B2" w:rsidRDefault="00E2618B">
            <w:pPr>
              <w:spacing w:line="240" w:lineRule="auto"/>
              <w:rPr>
                <w:rFonts w:ascii="Lato" w:hAnsi="Lato"/>
                <w:szCs w:val="22"/>
              </w:rPr>
            </w:pPr>
          </w:p>
        </w:tc>
        <w:tc>
          <w:tcPr>
            <w:tcW w:w="283"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700"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284" w:type="dxa"/>
            <w:tcBorders>
              <w:top w:val="nil"/>
              <w:left w:val="nil"/>
              <w:bottom w:val="nil"/>
              <w:right w:val="nil"/>
            </w:tcBorders>
          </w:tcPr>
          <w:p w:rsidR="00E2618B" w:rsidRPr="00F627B2" w:rsidRDefault="00E2618B">
            <w:pPr>
              <w:spacing w:line="240" w:lineRule="auto"/>
              <w:rPr>
                <w:rFonts w:ascii="Lato" w:hAnsi="Lato"/>
                <w:szCs w:val="22"/>
              </w:rPr>
            </w:pPr>
          </w:p>
        </w:tc>
        <w:tc>
          <w:tcPr>
            <w:tcW w:w="450" w:type="dxa"/>
            <w:tcBorders>
              <w:top w:val="single" w:sz="4" w:space="0" w:color="auto"/>
              <w:left w:val="nil"/>
              <w:bottom w:val="nil"/>
              <w:right w:val="nil"/>
            </w:tcBorders>
          </w:tcPr>
          <w:p w:rsidR="00E2618B" w:rsidRPr="00F627B2" w:rsidRDefault="00E2618B">
            <w:pPr>
              <w:spacing w:line="240" w:lineRule="auto"/>
              <w:rPr>
                <w:rFonts w:ascii="Lato" w:hAnsi="Lato"/>
                <w:szCs w:val="22"/>
              </w:rPr>
            </w:pPr>
          </w:p>
        </w:tc>
        <w:tc>
          <w:tcPr>
            <w:tcW w:w="252" w:type="dxa"/>
            <w:tcBorders>
              <w:top w:val="nil"/>
              <w:left w:val="nil"/>
              <w:bottom w:val="nil"/>
              <w:right w:val="nil"/>
            </w:tcBorders>
          </w:tcPr>
          <w:p w:rsidR="00E2618B" w:rsidRPr="00F627B2" w:rsidRDefault="00E2618B">
            <w:pPr>
              <w:spacing w:line="240" w:lineRule="auto"/>
              <w:rPr>
                <w:rFonts w:ascii="Lato" w:hAnsi="Lato"/>
                <w:szCs w:val="22"/>
              </w:rPr>
            </w:pPr>
          </w:p>
        </w:tc>
        <w:tc>
          <w:tcPr>
            <w:tcW w:w="405" w:type="dxa"/>
            <w:tcBorders>
              <w:top w:val="nil"/>
              <w:left w:val="nil"/>
              <w:bottom w:val="nil"/>
              <w:right w:val="nil"/>
            </w:tcBorders>
          </w:tcPr>
          <w:p w:rsidR="00E2618B" w:rsidRPr="00F627B2" w:rsidRDefault="00E2618B">
            <w:pPr>
              <w:spacing w:line="240" w:lineRule="auto"/>
              <w:rPr>
                <w:rFonts w:ascii="Lato" w:hAnsi="Lato"/>
                <w:szCs w:val="22"/>
              </w:rPr>
            </w:pPr>
          </w:p>
        </w:tc>
      </w:tr>
      <w:tr w:rsidR="00E2618B" w:rsidRPr="00F627B2" w:rsidTr="00F627B2">
        <w:trPr>
          <w:gridAfter w:val="1"/>
          <w:wAfter w:w="21" w:type="dxa"/>
        </w:trPr>
        <w:tc>
          <w:tcPr>
            <w:tcW w:w="1070" w:type="dxa"/>
            <w:tcBorders>
              <w:top w:val="nil"/>
              <w:left w:val="nil"/>
              <w:bottom w:val="nil"/>
              <w:right w:val="nil"/>
            </w:tcBorders>
          </w:tcPr>
          <w:p w:rsidR="00E2618B" w:rsidRPr="00F627B2" w:rsidRDefault="00E2618B">
            <w:pPr>
              <w:spacing w:line="240" w:lineRule="auto"/>
              <w:rPr>
                <w:rFonts w:ascii="Lato" w:hAnsi="Lato"/>
                <w:szCs w:val="22"/>
              </w:rPr>
            </w:pPr>
          </w:p>
        </w:tc>
        <w:tc>
          <w:tcPr>
            <w:tcW w:w="6744" w:type="dxa"/>
            <w:tcBorders>
              <w:top w:val="nil"/>
              <w:left w:val="nil"/>
              <w:bottom w:val="nil"/>
              <w:right w:val="nil"/>
            </w:tcBorders>
          </w:tcPr>
          <w:p w:rsidR="00E2618B" w:rsidRPr="00F627B2" w:rsidRDefault="00E2618B">
            <w:pPr>
              <w:spacing w:line="240" w:lineRule="auto"/>
              <w:rPr>
                <w:rFonts w:ascii="Lato" w:hAnsi="Lato"/>
                <w:szCs w:val="22"/>
              </w:rPr>
            </w:pPr>
          </w:p>
        </w:tc>
        <w:tc>
          <w:tcPr>
            <w:tcW w:w="968" w:type="dxa"/>
            <w:tcBorders>
              <w:top w:val="nil"/>
              <w:left w:val="nil"/>
              <w:bottom w:val="nil"/>
              <w:right w:val="nil"/>
            </w:tcBorders>
          </w:tcPr>
          <w:p w:rsidR="00E2618B" w:rsidRPr="00F627B2" w:rsidRDefault="00E2618B">
            <w:pPr>
              <w:spacing w:line="240" w:lineRule="auto"/>
              <w:rPr>
                <w:rFonts w:ascii="Lato" w:hAnsi="Lato"/>
                <w:szCs w:val="22"/>
              </w:rPr>
            </w:pPr>
          </w:p>
        </w:tc>
        <w:tc>
          <w:tcPr>
            <w:tcW w:w="283"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700"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284" w:type="dxa"/>
            <w:tcBorders>
              <w:top w:val="nil"/>
              <w:left w:val="nil"/>
              <w:bottom w:val="nil"/>
              <w:right w:val="nil"/>
            </w:tcBorders>
          </w:tcPr>
          <w:p w:rsidR="00E2618B" w:rsidRPr="00F627B2" w:rsidRDefault="00E2618B">
            <w:pPr>
              <w:spacing w:line="240" w:lineRule="auto"/>
              <w:rPr>
                <w:rFonts w:ascii="Lato" w:hAnsi="Lato"/>
                <w:szCs w:val="22"/>
              </w:rPr>
            </w:pPr>
          </w:p>
        </w:tc>
        <w:tc>
          <w:tcPr>
            <w:tcW w:w="450" w:type="dxa"/>
            <w:tcBorders>
              <w:top w:val="nil"/>
              <w:left w:val="nil"/>
              <w:bottom w:val="nil"/>
              <w:right w:val="nil"/>
            </w:tcBorders>
          </w:tcPr>
          <w:p w:rsidR="00E2618B" w:rsidRPr="00F627B2" w:rsidRDefault="00E2618B">
            <w:pPr>
              <w:spacing w:line="240" w:lineRule="auto"/>
              <w:rPr>
                <w:rFonts w:ascii="Lato" w:hAnsi="Lato"/>
                <w:szCs w:val="22"/>
              </w:rPr>
            </w:pPr>
          </w:p>
        </w:tc>
        <w:tc>
          <w:tcPr>
            <w:tcW w:w="252" w:type="dxa"/>
            <w:tcBorders>
              <w:top w:val="nil"/>
              <w:left w:val="nil"/>
              <w:bottom w:val="nil"/>
              <w:right w:val="nil"/>
            </w:tcBorders>
          </w:tcPr>
          <w:p w:rsidR="00E2618B" w:rsidRPr="00F627B2" w:rsidRDefault="00E2618B">
            <w:pPr>
              <w:spacing w:line="240" w:lineRule="auto"/>
              <w:rPr>
                <w:rFonts w:ascii="Lato" w:hAnsi="Lato"/>
                <w:szCs w:val="22"/>
              </w:rPr>
            </w:pPr>
          </w:p>
        </w:tc>
        <w:tc>
          <w:tcPr>
            <w:tcW w:w="405" w:type="dxa"/>
            <w:tcBorders>
              <w:top w:val="nil"/>
              <w:left w:val="nil"/>
              <w:bottom w:val="nil"/>
              <w:right w:val="nil"/>
            </w:tcBorders>
          </w:tcPr>
          <w:p w:rsidR="00E2618B" w:rsidRPr="00F627B2" w:rsidRDefault="00E2618B">
            <w:pPr>
              <w:spacing w:line="240" w:lineRule="auto"/>
              <w:rPr>
                <w:rFonts w:ascii="Lato" w:hAnsi="Lato"/>
                <w:szCs w:val="22"/>
              </w:rPr>
            </w:pPr>
          </w:p>
        </w:tc>
      </w:tr>
      <w:tr w:rsidR="00E2618B" w:rsidRPr="00F627B2" w:rsidTr="00F627B2">
        <w:trPr>
          <w:gridAfter w:val="1"/>
          <w:wAfter w:w="21" w:type="dxa"/>
        </w:trPr>
        <w:tc>
          <w:tcPr>
            <w:tcW w:w="1070" w:type="dxa"/>
            <w:tcBorders>
              <w:top w:val="nil"/>
              <w:left w:val="nil"/>
              <w:bottom w:val="nil"/>
              <w:right w:val="nil"/>
            </w:tcBorders>
          </w:tcPr>
          <w:p w:rsidR="00E2618B" w:rsidRPr="00F627B2" w:rsidRDefault="00E2618B">
            <w:pPr>
              <w:spacing w:line="240" w:lineRule="auto"/>
              <w:rPr>
                <w:rFonts w:ascii="Lato" w:hAnsi="Lato"/>
                <w:szCs w:val="22"/>
              </w:rPr>
            </w:pPr>
          </w:p>
        </w:tc>
        <w:tc>
          <w:tcPr>
            <w:tcW w:w="6744" w:type="dxa"/>
            <w:tcBorders>
              <w:top w:val="nil"/>
              <w:left w:val="nil"/>
              <w:bottom w:val="nil"/>
              <w:right w:val="nil"/>
            </w:tcBorders>
          </w:tcPr>
          <w:p w:rsidR="00E2618B" w:rsidRPr="00F627B2" w:rsidRDefault="00E2618B">
            <w:pPr>
              <w:spacing w:line="240" w:lineRule="auto"/>
              <w:rPr>
                <w:rFonts w:ascii="Lato" w:hAnsi="Lato"/>
                <w:szCs w:val="22"/>
              </w:rPr>
            </w:pPr>
            <w:r w:rsidRPr="00F627B2">
              <w:rPr>
                <w:rFonts w:ascii="Lato" w:hAnsi="Lato"/>
                <w:szCs w:val="22"/>
              </w:rPr>
              <w:t>Note: Backdating of fees is not permitted.</w:t>
            </w:r>
          </w:p>
        </w:tc>
        <w:tc>
          <w:tcPr>
            <w:tcW w:w="968" w:type="dxa"/>
            <w:tcBorders>
              <w:top w:val="nil"/>
              <w:left w:val="nil"/>
              <w:bottom w:val="nil"/>
              <w:right w:val="nil"/>
            </w:tcBorders>
          </w:tcPr>
          <w:p w:rsidR="00E2618B" w:rsidRPr="00F627B2" w:rsidRDefault="00E2618B">
            <w:pPr>
              <w:spacing w:line="240" w:lineRule="auto"/>
              <w:rPr>
                <w:rFonts w:ascii="Lato" w:hAnsi="Lato"/>
                <w:szCs w:val="22"/>
              </w:rPr>
            </w:pPr>
          </w:p>
        </w:tc>
        <w:tc>
          <w:tcPr>
            <w:tcW w:w="283"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700"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284" w:type="dxa"/>
            <w:tcBorders>
              <w:top w:val="nil"/>
              <w:left w:val="nil"/>
              <w:bottom w:val="nil"/>
              <w:right w:val="nil"/>
            </w:tcBorders>
          </w:tcPr>
          <w:p w:rsidR="00E2618B" w:rsidRPr="00F627B2" w:rsidRDefault="00E2618B">
            <w:pPr>
              <w:spacing w:line="240" w:lineRule="auto"/>
              <w:rPr>
                <w:rFonts w:ascii="Lato" w:hAnsi="Lato"/>
                <w:szCs w:val="22"/>
              </w:rPr>
            </w:pPr>
          </w:p>
        </w:tc>
        <w:tc>
          <w:tcPr>
            <w:tcW w:w="450" w:type="dxa"/>
            <w:tcBorders>
              <w:top w:val="nil"/>
              <w:left w:val="nil"/>
              <w:bottom w:val="nil"/>
              <w:right w:val="nil"/>
            </w:tcBorders>
          </w:tcPr>
          <w:p w:rsidR="00E2618B" w:rsidRPr="00F627B2" w:rsidRDefault="00E2618B">
            <w:pPr>
              <w:spacing w:line="240" w:lineRule="auto"/>
              <w:rPr>
                <w:rFonts w:ascii="Lato" w:hAnsi="Lato"/>
                <w:szCs w:val="22"/>
              </w:rPr>
            </w:pPr>
          </w:p>
        </w:tc>
        <w:tc>
          <w:tcPr>
            <w:tcW w:w="252" w:type="dxa"/>
            <w:tcBorders>
              <w:top w:val="nil"/>
              <w:left w:val="nil"/>
              <w:bottom w:val="nil"/>
              <w:right w:val="nil"/>
            </w:tcBorders>
          </w:tcPr>
          <w:p w:rsidR="00E2618B" w:rsidRPr="00F627B2" w:rsidRDefault="00E2618B">
            <w:pPr>
              <w:spacing w:line="240" w:lineRule="auto"/>
              <w:rPr>
                <w:rFonts w:ascii="Lato" w:hAnsi="Lato"/>
                <w:szCs w:val="22"/>
              </w:rPr>
            </w:pPr>
          </w:p>
        </w:tc>
        <w:tc>
          <w:tcPr>
            <w:tcW w:w="405" w:type="dxa"/>
            <w:tcBorders>
              <w:top w:val="nil"/>
              <w:left w:val="nil"/>
              <w:bottom w:val="nil"/>
              <w:right w:val="nil"/>
            </w:tcBorders>
          </w:tcPr>
          <w:p w:rsidR="00E2618B" w:rsidRPr="00F627B2" w:rsidRDefault="00E2618B">
            <w:pPr>
              <w:spacing w:line="240" w:lineRule="auto"/>
              <w:rPr>
                <w:rFonts w:ascii="Lato" w:hAnsi="Lato"/>
                <w:szCs w:val="22"/>
              </w:rPr>
            </w:pPr>
          </w:p>
        </w:tc>
      </w:tr>
      <w:tr w:rsidR="00E2618B" w:rsidRPr="00F627B2" w:rsidTr="00F627B2">
        <w:trPr>
          <w:gridAfter w:val="1"/>
          <w:wAfter w:w="21" w:type="dxa"/>
        </w:trPr>
        <w:tc>
          <w:tcPr>
            <w:tcW w:w="1070" w:type="dxa"/>
            <w:tcBorders>
              <w:top w:val="nil"/>
              <w:left w:val="nil"/>
              <w:bottom w:val="nil"/>
              <w:right w:val="nil"/>
            </w:tcBorders>
          </w:tcPr>
          <w:p w:rsidR="00E2618B" w:rsidRPr="00F627B2" w:rsidRDefault="00E2618B">
            <w:pPr>
              <w:spacing w:line="240" w:lineRule="auto"/>
              <w:rPr>
                <w:rFonts w:ascii="Lato" w:hAnsi="Lato"/>
                <w:szCs w:val="22"/>
              </w:rPr>
            </w:pPr>
          </w:p>
        </w:tc>
        <w:tc>
          <w:tcPr>
            <w:tcW w:w="6744" w:type="dxa"/>
            <w:tcBorders>
              <w:top w:val="nil"/>
              <w:left w:val="nil"/>
              <w:bottom w:val="nil"/>
              <w:right w:val="nil"/>
            </w:tcBorders>
          </w:tcPr>
          <w:p w:rsidR="00E2618B" w:rsidRPr="00F627B2" w:rsidRDefault="00E2618B">
            <w:pPr>
              <w:spacing w:line="240" w:lineRule="auto"/>
              <w:rPr>
                <w:rFonts w:ascii="Lato" w:hAnsi="Lato"/>
                <w:szCs w:val="22"/>
              </w:rPr>
            </w:pPr>
          </w:p>
        </w:tc>
        <w:tc>
          <w:tcPr>
            <w:tcW w:w="968" w:type="dxa"/>
            <w:tcBorders>
              <w:top w:val="nil"/>
              <w:left w:val="nil"/>
              <w:bottom w:val="nil"/>
              <w:right w:val="nil"/>
            </w:tcBorders>
          </w:tcPr>
          <w:p w:rsidR="00E2618B" w:rsidRPr="00F627B2" w:rsidRDefault="00E2618B">
            <w:pPr>
              <w:spacing w:line="240" w:lineRule="auto"/>
              <w:rPr>
                <w:rFonts w:ascii="Lato" w:hAnsi="Lato"/>
                <w:szCs w:val="22"/>
              </w:rPr>
            </w:pPr>
          </w:p>
        </w:tc>
        <w:tc>
          <w:tcPr>
            <w:tcW w:w="283"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700" w:type="dxa"/>
            <w:gridSpan w:val="2"/>
            <w:tcBorders>
              <w:top w:val="nil"/>
              <w:left w:val="nil"/>
              <w:bottom w:val="nil"/>
              <w:right w:val="nil"/>
            </w:tcBorders>
          </w:tcPr>
          <w:p w:rsidR="00E2618B" w:rsidRPr="00F627B2" w:rsidRDefault="00E2618B">
            <w:pPr>
              <w:spacing w:line="240" w:lineRule="auto"/>
              <w:rPr>
                <w:rFonts w:ascii="Lato" w:hAnsi="Lato"/>
                <w:szCs w:val="22"/>
              </w:rPr>
            </w:pPr>
          </w:p>
        </w:tc>
        <w:tc>
          <w:tcPr>
            <w:tcW w:w="284" w:type="dxa"/>
            <w:tcBorders>
              <w:top w:val="nil"/>
              <w:left w:val="nil"/>
              <w:bottom w:val="nil"/>
              <w:right w:val="nil"/>
            </w:tcBorders>
          </w:tcPr>
          <w:p w:rsidR="00E2618B" w:rsidRPr="00F627B2" w:rsidRDefault="00E2618B">
            <w:pPr>
              <w:spacing w:line="240" w:lineRule="auto"/>
              <w:rPr>
                <w:rFonts w:ascii="Lato" w:hAnsi="Lato"/>
                <w:szCs w:val="22"/>
              </w:rPr>
            </w:pPr>
          </w:p>
        </w:tc>
        <w:tc>
          <w:tcPr>
            <w:tcW w:w="450" w:type="dxa"/>
            <w:tcBorders>
              <w:top w:val="nil"/>
              <w:left w:val="nil"/>
              <w:bottom w:val="nil"/>
              <w:right w:val="nil"/>
            </w:tcBorders>
          </w:tcPr>
          <w:p w:rsidR="00E2618B" w:rsidRPr="00F627B2" w:rsidRDefault="00E2618B">
            <w:pPr>
              <w:spacing w:line="240" w:lineRule="auto"/>
              <w:rPr>
                <w:rFonts w:ascii="Lato" w:hAnsi="Lato"/>
                <w:szCs w:val="22"/>
              </w:rPr>
            </w:pPr>
          </w:p>
        </w:tc>
        <w:tc>
          <w:tcPr>
            <w:tcW w:w="252" w:type="dxa"/>
            <w:tcBorders>
              <w:top w:val="nil"/>
              <w:left w:val="nil"/>
              <w:bottom w:val="nil"/>
              <w:right w:val="nil"/>
            </w:tcBorders>
          </w:tcPr>
          <w:p w:rsidR="00E2618B" w:rsidRPr="00F627B2" w:rsidRDefault="00E2618B">
            <w:pPr>
              <w:spacing w:line="240" w:lineRule="auto"/>
              <w:rPr>
                <w:rFonts w:ascii="Lato" w:hAnsi="Lato"/>
                <w:szCs w:val="22"/>
              </w:rPr>
            </w:pPr>
          </w:p>
        </w:tc>
        <w:tc>
          <w:tcPr>
            <w:tcW w:w="405" w:type="dxa"/>
            <w:tcBorders>
              <w:top w:val="nil"/>
              <w:left w:val="nil"/>
              <w:bottom w:val="nil"/>
              <w:right w:val="nil"/>
            </w:tcBorders>
          </w:tcPr>
          <w:p w:rsidR="00E2618B" w:rsidRPr="00F627B2" w:rsidRDefault="00E2618B">
            <w:pPr>
              <w:spacing w:line="240" w:lineRule="auto"/>
              <w:rPr>
                <w:rFonts w:ascii="Lato" w:hAnsi="Lato"/>
                <w:szCs w:val="22"/>
              </w:rPr>
            </w:pPr>
          </w:p>
        </w:tc>
      </w:tr>
      <w:tr w:rsidR="00C739B5" w:rsidRPr="00F627B2" w:rsidTr="00F627B2">
        <w:trPr>
          <w:gridAfter w:val="1"/>
          <w:wAfter w:w="21" w:type="dxa"/>
        </w:trPr>
        <w:tc>
          <w:tcPr>
            <w:tcW w:w="1070" w:type="dxa"/>
            <w:tcBorders>
              <w:top w:val="nil"/>
              <w:left w:val="nil"/>
              <w:bottom w:val="nil"/>
              <w:right w:val="nil"/>
            </w:tcBorders>
          </w:tcPr>
          <w:p w:rsidR="00C739B5" w:rsidRPr="00F627B2" w:rsidRDefault="00C739B5">
            <w:pPr>
              <w:spacing w:line="240" w:lineRule="auto"/>
              <w:rPr>
                <w:rFonts w:ascii="Lato" w:hAnsi="Lato"/>
                <w:szCs w:val="22"/>
              </w:rPr>
            </w:pPr>
          </w:p>
        </w:tc>
        <w:tc>
          <w:tcPr>
            <w:tcW w:w="6744" w:type="dxa"/>
            <w:tcBorders>
              <w:top w:val="nil"/>
              <w:left w:val="nil"/>
              <w:bottom w:val="nil"/>
              <w:right w:val="nil"/>
            </w:tcBorders>
          </w:tcPr>
          <w:p w:rsidR="00C739B5" w:rsidRPr="00F627B2" w:rsidRDefault="00C739B5">
            <w:pPr>
              <w:spacing w:line="240" w:lineRule="auto"/>
              <w:rPr>
                <w:rFonts w:ascii="Lato" w:hAnsi="Lato"/>
                <w:szCs w:val="22"/>
              </w:rPr>
            </w:pPr>
          </w:p>
        </w:tc>
        <w:tc>
          <w:tcPr>
            <w:tcW w:w="968" w:type="dxa"/>
            <w:tcBorders>
              <w:top w:val="nil"/>
              <w:left w:val="nil"/>
              <w:bottom w:val="nil"/>
              <w:right w:val="nil"/>
            </w:tcBorders>
          </w:tcPr>
          <w:p w:rsidR="00C739B5" w:rsidRPr="00F627B2" w:rsidRDefault="00C739B5">
            <w:pPr>
              <w:spacing w:line="240" w:lineRule="auto"/>
              <w:rPr>
                <w:rFonts w:ascii="Lato" w:hAnsi="Lato"/>
                <w:szCs w:val="22"/>
              </w:rPr>
            </w:pPr>
          </w:p>
        </w:tc>
        <w:tc>
          <w:tcPr>
            <w:tcW w:w="283" w:type="dxa"/>
            <w:gridSpan w:val="2"/>
            <w:tcBorders>
              <w:top w:val="nil"/>
              <w:left w:val="nil"/>
              <w:bottom w:val="nil"/>
              <w:right w:val="nil"/>
            </w:tcBorders>
          </w:tcPr>
          <w:p w:rsidR="00C739B5" w:rsidRPr="00F627B2" w:rsidRDefault="00C739B5">
            <w:pPr>
              <w:spacing w:line="240" w:lineRule="auto"/>
              <w:rPr>
                <w:rFonts w:ascii="Lato" w:hAnsi="Lato"/>
                <w:szCs w:val="22"/>
              </w:rPr>
            </w:pPr>
          </w:p>
        </w:tc>
        <w:tc>
          <w:tcPr>
            <w:tcW w:w="700" w:type="dxa"/>
            <w:gridSpan w:val="2"/>
            <w:tcBorders>
              <w:top w:val="nil"/>
              <w:left w:val="nil"/>
              <w:bottom w:val="nil"/>
              <w:right w:val="nil"/>
            </w:tcBorders>
          </w:tcPr>
          <w:p w:rsidR="00C739B5" w:rsidRPr="00F627B2" w:rsidRDefault="00C739B5">
            <w:pPr>
              <w:spacing w:line="240" w:lineRule="auto"/>
              <w:rPr>
                <w:rFonts w:ascii="Lato" w:hAnsi="Lato"/>
                <w:szCs w:val="22"/>
              </w:rPr>
            </w:pPr>
          </w:p>
        </w:tc>
        <w:tc>
          <w:tcPr>
            <w:tcW w:w="284" w:type="dxa"/>
            <w:tcBorders>
              <w:top w:val="nil"/>
              <w:left w:val="nil"/>
              <w:bottom w:val="nil"/>
              <w:right w:val="nil"/>
            </w:tcBorders>
          </w:tcPr>
          <w:p w:rsidR="00C739B5" w:rsidRPr="00F627B2" w:rsidRDefault="00C739B5">
            <w:pPr>
              <w:spacing w:line="240" w:lineRule="auto"/>
              <w:rPr>
                <w:rFonts w:ascii="Lato" w:hAnsi="Lato"/>
                <w:szCs w:val="22"/>
              </w:rPr>
            </w:pPr>
          </w:p>
        </w:tc>
        <w:tc>
          <w:tcPr>
            <w:tcW w:w="450" w:type="dxa"/>
            <w:tcBorders>
              <w:top w:val="nil"/>
              <w:left w:val="nil"/>
              <w:bottom w:val="nil"/>
              <w:right w:val="nil"/>
            </w:tcBorders>
          </w:tcPr>
          <w:p w:rsidR="00C739B5" w:rsidRPr="00F627B2" w:rsidRDefault="00C739B5">
            <w:pPr>
              <w:spacing w:line="240" w:lineRule="auto"/>
              <w:rPr>
                <w:rFonts w:ascii="Lato" w:hAnsi="Lato"/>
                <w:szCs w:val="22"/>
              </w:rPr>
            </w:pPr>
          </w:p>
        </w:tc>
        <w:tc>
          <w:tcPr>
            <w:tcW w:w="252" w:type="dxa"/>
            <w:tcBorders>
              <w:top w:val="nil"/>
              <w:left w:val="nil"/>
              <w:bottom w:val="nil"/>
              <w:right w:val="nil"/>
            </w:tcBorders>
          </w:tcPr>
          <w:p w:rsidR="00C739B5" w:rsidRPr="00F627B2" w:rsidRDefault="00C739B5">
            <w:pPr>
              <w:spacing w:line="240" w:lineRule="auto"/>
              <w:rPr>
                <w:rFonts w:ascii="Lato" w:hAnsi="Lato"/>
                <w:szCs w:val="22"/>
              </w:rPr>
            </w:pPr>
          </w:p>
        </w:tc>
        <w:tc>
          <w:tcPr>
            <w:tcW w:w="405" w:type="dxa"/>
            <w:tcBorders>
              <w:top w:val="nil"/>
              <w:left w:val="nil"/>
              <w:bottom w:val="nil"/>
              <w:right w:val="nil"/>
            </w:tcBorders>
          </w:tcPr>
          <w:p w:rsidR="00C739B5" w:rsidRPr="00F627B2" w:rsidRDefault="00C739B5">
            <w:pPr>
              <w:spacing w:line="240" w:lineRule="auto"/>
              <w:rPr>
                <w:rFonts w:ascii="Lato" w:hAnsi="Lato"/>
                <w:szCs w:val="22"/>
              </w:rPr>
            </w:pPr>
          </w:p>
        </w:tc>
      </w:tr>
      <w:tr w:rsidR="00C739B5" w:rsidRPr="00F627B2" w:rsidTr="00F627B2">
        <w:trPr>
          <w:gridAfter w:val="1"/>
          <w:wAfter w:w="21" w:type="dxa"/>
        </w:trPr>
        <w:tc>
          <w:tcPr>
            <w:tcW w:w="1070" w:type="dxa"/>
            <w:tcBorders>
              <w:top w:val="nil"/>
              <w:left w:val="nil"/>
              <w:bottom w:val="nil"/>
              <w:right w:val="nil"/>
            </w:tcBorders>
          </w:tcPr>
          <w:p w:rsidR="00C739B5" w:rsidRPr="00F627B2" w:rsidRDefault="00C739B5">
            <w:pPr>
              <w:spacing w:line="240" w:lineRule="auto"/>
              <w:rPr>
                <w:rFonts w:ascii="Lato" w:hAnsi="Lato"/>
                <w:szCs w:val="22"/>
              </w:rPr>
            </w:pPr>
            <w:r>
              <w:rPr>
                <w:rFonts w:ascii="Lato" w:hAnsi="Lato"/>
                <w:szCs w:val="22"/>
              </w:rPr>
              <w:t>2.16.9</w:t>
            </w:r>
          </w:p>
        </w:tc>
        <w:tc>
          <w:tcPr>
            <w:tcW w:w="6744" w:type="dxa"/>
            <w:tcBorders>
              <w:top w:val="nil"/>
              <w:left w:val="nil"/>
              <w:bottom w:val="nil"/>
              <w:right w:val="nil"/>
            </w:tcBorders>
          </w:tcPr>
          <w:p w:rsidR="00C739B5" w:rsidRPr="0023674A" w:rsidRDefault="00C739B5" w:rsidP="00C739B5">
            <w:pPr>
              <w:spacing w:line="240" w:lineRule="auto"/>
              <w:rPr>
                <w:rFonts w:ascii="Lato" w:hAnsi="Lato"/>
                <w:b/>
                <w:szCs w:val="22"/>
              </w:rPr>
            </w:pPr>
            <w:r w:rsidRPr="0023674A">
              <w:rPr>
                <w:rFonts w:ascii="Lato" w:hAnsi="Lato"/>
                <w:b/>
                <w:szCs w:val="22"/>
              </w:rPr>
              <w:t>Section 2.16.9 B to be completed by Retail Investor AIFs exempted from the ESMA Guidelines on Performance Fees in UCITS and certain types of AIFs (i.e.  closed-ended Retail Investor AIFs or open-ended Retail Investor AIFs that are EuVECAs, venture capital AIFs, EuSEFS, private equity AIFs or real estate AIFs). Section 2.16.9 A is to be completed by all other Retail AIFs</w:t>
            </w:r>
          </w:p>
        </w:tc>
        <w:tc>
          <w:tcPr>
            <w:tcW w:w="968" w:type="dxa"/>
            <w:tcBorders>
              <w:top w:val="nil"/>
              <w:left w:val="nil"/>
              <w:bottom w:val="nil"/>
              <w:right w:val="nil"/>
            </w:tcBorders>
          </w:tcPr>
          <w:p w:rsidR="00C739B5" w:rsidRPr="00F627B2" w:rsidRDefault="00C739B5">
            <w:pPr>
              <w:spacing w:line="240" w:lineRule="auto"/>
              <w:rPr>
                <w:rFonts w:ascii="Lato" w:hAnsi="Lato"/>
                <w:szCs w:val="22"/>
              </w:rPr>
            </w:pPr>
          </w:p>
        </w:tc>
        <w:tc>
          <w:tcPr>
            <w:tcW w:w="283" w:type="dxa"/>
            <w:gridSpan w:val="2"/>
            <w:tcBorders>
              <w:top w:val="nil"/>
              <w:left w:val="nil"/>
              <w:bottom w:val="nil"/>
              <w:right w:val="nil"/>
            </w:tcBorders>
          </w:tcPr>
          <w:p w:rsidR="00C739B5" w:rsidRPr="00F627B2" w:rsidRDefault="00C739B5">
            <w:pPr>
              <w:spacing w:line="240" w:lineRule="auto"/>
              <w:rPr>
                <w:rFonts w:ascii="Lato" w:hAnsi="Lato"/>
                <w:szCs w:val="22"/>
              </w:rPr>
            </w:pPr>
          </w:p>
        </w:tc>
        <w:tc>
          <w:tcPr>
            <w:tcW w:w="700" w:type="dxa"/>
            <w:gridSpan w:val="2"/>
            <w:tcBorders>
              <w:top w:val="nil"/>
              <w:left w:val="nil"/>
              <w:bottom w:val="nil"/>
              <w:right w:val="nil"/>
            </w:tcBorders>
          </w:tcPr>
          <w:p w:rsidR="00C739B5" w:rsidRPr="00F627B2" w:rsidRDefault="00C739B5">
            <w:pPr>
              <w:spacing w:line="240" w:lineRule="auto"/>
              <w:rPr>
                <w:rFonts w:ascii="Lato" w:hAnsi="Lato"/>
                <w:szCs w:val="22"/>
              </w:rPr>
            </w:pPr>
          </w:p>
        </w:tc>
        <w:tc>
          <w:tcPr>
            <w:tcW w:w="284" w:type="dxa"/>
            <w:tcBorders>
              <w:top w:val="nil"/>
              <w:left w:val="nil"/>
              <w:bottom w:val="nil"/>
              <w:right w:val="nil"/>
            </w:tcBorders>
          </w:tcPr>
          <w:p w:rsidR="00C739B5" w:rsidRPr="00F627B2" w:rsidRDefault="00C739B5">
            <w:pPr>
              <w:spacing w:line="240" w:lineRule="auto"/>
              <w:rPr>
                <w:rFonts w:ascii="Lato" w:hAnsi="Lato"/>
                <w:szCs w:val="22"/>
              </w:rPr>
            </w:pPr>
          </w:p>
        </w:tc>
        <w:tc>
          <w:tcPr>
            <w:tcW w:w="450" w:type="dxa"/>
            <w:tcBorders>
              <w:top w:val="nil"/>
              <w:left w:val="nil"/>
              <w:bottom w:val="nil"/>
              <w:right w:val="nil"/>
            </w:tcBorders>
          </w:tcPr>
          <w:p w:rsidR="00C739B5" w:rsidRPr="00F627B2" w:rsidRDefault="00C739B5">
            <w:pPr>
              <w:spacing w:line="240" w:lineRule="auto"/>
              <w:rPr>
                <w:rFonts w:ascii="Lato" w:hAnsi="Lato"/>
                <w:szCs w:val="22"/>
              </w:rPr>
            </w:pPr>
          </w:p>
        </w:tc>
        <w:tc>
          <w:tcPr>
            <w:tcW w:w="252" w:type="dxa"/>
            <w:tcBorders>
              <w:top w:val="nil"/>
              <w:left w:val="nil"/>
              <w:bottom w:val="nil"/>
              <w:right w:val="nil"/>
            </w:tcBorders>
          </w:tcPr>
          <w:p w:rsidR="00C739B5" w:rsidRPr="00F627B2" w:rsidRDefault="00C739B5">
            <w:pPr>
              <w:spacing w:line="240" w:lineRule="auto"/>
              <w:rPr>
                <w:rFonts w:ascii="Lato" w:hAnsi="Lato"/>
                <w:szCs w:val="22"/>
              </w:rPr>
            </w:pPr>
          </w:p>
        </w:tc>
        <w:tc>
          <w:tcPr>
            <w:tcW w:w="405" w:type="dxa"/>
            <w:tcBorders>
              <w:top w:val="nil"/>
              <w:left w:val="nil"/>
              <w:bottom w:val="nil"/>
              <w:right w:val="nil"/>
            </w:tcBorders>
          </w:tcPr>
          <w:p w:rsidR="00C739B5" w:rsidRPr="00F627B2" w:rsidRDefault="00C739B5">
            <w:pPr>
              <w:spacing w:line="240" w:lineRule="auto"/>
              <w:rPr>
                <w:rFonts w:ascii="Lato" w:hAnsi="Lato"/>
                <w:szCs w:val="22"/>
              </w:rPr>
            </w:pPr>
          </w:p>
        </w:tc>
      </w:tr>
      <w:tr w:rsidR="00C739B5" w:rsidRPr="00F627B2" w:rsidTr="00F627B2">
        <w:trPr>
          <w:gridAfter w:val="1"/>
          <w:wAfter w:w="21" w:type="dxa"/>
        </w:trPr>
        <w:tc>
          <w:tcPr>
            <w:tcW w:w="1070" w:type="dxa"/>
            <w:tcBorders>
              <w:top w:val="nil"/>
              <w:left w:val="nil"/>
              <w:bottom w:val="nil"/>
              <w:right w:val="nil"/>
            </w:tcBorders>
          </w:tcPr>
          <w:p w:rsidR="00C739B5" w:rsidRPr="00F627B2" w:rsidRDefault="00C739B5">
            <w:pPr>
              <w:spacing w:line="240" w:lineRule="auto"/>
              <w:rPr>
                <w:rFonts w:ascii="Lato" w:hAnsi="Lato"/>
                <w:szCs w:val="22"/>
              </w:rPr>
            </w:pPr>
          </w:p>
        </w:tc>
        <w:tc>
          <w:tcPr>
            <w:tcW w:w="6744" w:type="dxa"/>
            <w:tcBorders>
              <w:top w:val="nil"/>
              <w:left w:val="nil"/>
              <w:bottom w:val="nil"/>
              <w:right w:val="nil"/>
            </w:tcBorders>
          </w:tcPr>
          <w:p w:rsidR="00C739B5" w:rsidRPr="00F627B2" w:rsidRDefault="00C739B5">
            <w:pPr>
              <w:spacing w:line="240" w:lineRule="auto"/>
              <w:rPr>
                <w:rFonts w:ascii="Lato" w:hAnsi="Lato"/>
                <w:szCs w:val="22"/>
              </w:rPr>
            </w:pPr>
          </w:p>
        </w:tc>
        <w:tc>
          <w:tcPr>
            <w:tcW w:w="968" w:type="dxa"/>
            <w:tcBorders>
              <w:top w:val="nil"/>
              <w:left w:val="nil"/>
              <w:bottom w:val="nil"/>
              <w:right w:val="nil"/>
            </w:tcBorders>
          </w:tcPr>
          <w:p w:rsidR="00C739B5" w:rsidRPr="00F627B2" w:rsidRDefault="00C739B5">
            <w:pPr>
              <w:spacing w:line="240" w:lineRule="auto"/>
              <w:rPr>
                <w:rFonts w:ascii="Lato" w:hAnsi="Lato"/>
                <w:szCs w:val="22"/>
              </w:rPr>
            </w:pPr>
          </w:p>
        </w:tc>
        <w:tc>
          <w:tcPr>
            <w:tcW w:w="283" w:type="dxa"/>
            <w:gridSpan w:val="2"/>
            <w:tcBorders>
              <w:top w:val="nil"/>
              <w:left w:val="nil"/>
              <w:bottom w:val="nil"/>
              <w:right w:val="nil"/>
            </w:tcBorders>
          </w:tcPr>
          <w:p w:rsidR="00C739B5" w:rsidRPr="00F627B2" w:rsidRDefault="00C739B5">
            <w:pPr>
              <w:spacing w:line="240" w:lineRule="auto"/>
              <w:rPr>
                <w:rFonts w:ascii="Lato" w:hAnsi="Lato"/>
                <w:szCs w:val="22"/>
              </w:rPr>
            </w:pPr>
          </w:p>
        </w:tc>
        <w:tc>
          <w:tcPr>
            <w:tcW w:w="700" w:type="dxa"/>
            <w:gridSpan w:val="2"/>
            <w:tcBorders>
              <w:top w:val="nil"/>
              <w:left w:val="nil"/>
              <w:bottom w:val="nil"/>
              <w:right w:val="nil"/>
            </w:tcBorders>
          </w:tcPr>
          <w:p w:rsidR="00C739B5" w:rsidRPr="00F627B2" w:rsidRDefault="00C739B5">
            <w:pPr>
              <w:spacing w:line="240" w:lineRule="auto"/>
              <w:rPr>
                <w:rFonts w:ascii="Lato" w:hAnsi="Lato"/>
                <w:szCs w:val="22"/>
              </w:rPr>
            </w:pPr>
          </w:p>
        </w:tc>
        <w:tc>
          <w:tcPr>
            <w:tcW w:w="284" w:type="dxa"/>
            <w:tcBorders>
              <w:top w:val="nil"/>
              <w:left w:val="nil"/>
              <w:bottom w:val="nil"/>
              <w:right w:val="nil"/>
            </w:tcBorders>
          </w:tcPr>
          <w:p w:rsidR="00C739B5" w:rsidRPr="00F627B2" w:rsidRDefault="00C739B5">
            <w:pPr>
              <w:spacing w:line="240" w:lineRule="auto"/>
              <w:rPr>
                <w:rFonts w:ascii="Lato" w:hAnsi="Lato"/>
                <w:szCs w:val="22"/>
              </w:rPr>
            </w:pPr>
          </w:p>
        </w:tc>
        <w:tc>
          <w:tcPr>
            <w:tcW w:w="450" w:type="dxa"/>
            <w:tcBorders>
              <w:top w:val="nil"/>
              <w:left w:val="nil"/>
              <w:bottom w:val="nil"/>
              <w:right w:val="nil"/>
            </w:tcBorders>
          </w:tcPr>
          <w:p w:rsidR="00C739B5" w:rsidRPr="00F627B2" w:rsidRDefault="00C739B5">
            <w:pPr>
              <w:spacing w:line="240" w:lineRule="auto"/>
              <w:rPr>
                <w:rFonts w:ascii="Lato" w:hAnsi="Lato"/>
                <w:szCs w:val="22"/>
              </w:rPr>
            </w:pPr>
          </w:p>
        </w:tc>
        <w:tc>
          <w:tcPr>
            <w:tcW w:w="252" w:type="dxa"/>
            <w:tcBorders>
              <w:top w:val="nil"/>
              <w:left w:val="nil"/>
              <w:bottom w:val="nil"/>
              <w:right w:val="nil"/>
            </w:tcBorders>
          </w:tcPr>
          <w:p w:rsidR="00C739B5" w:rsidRPr="00F627B2" w:rsidRDefault="00C739B5">
            <w:pPr>
              <w:spacing w:line="240" w:lineRule="auto"/>
              <w:rPr>
                <w:rFonts w:ascii="Lato" w:hAnsi="Lato"/>
                <w:szCs w:val="22"/>
              </w:rPr>
            </w:pPr>
          </w:p>
        </w:tc>
        <w:tc>
          <w:tcPr>
            <w:tcW w:w="405" w:type="dxa"/>
            <w:tcBorders>
              <w:top w:val="nil"/>
              <w:left w:val="nil"/>
              <w:bottom w:val="nil"/>
              <w:right w:val="nil"/>
            </w:tcBorders>
          </w:tcPr>
          <w:p w:rsidR="00C739B5" w:rsidRPr="00F627B2" w:rsidRDefault="00C739B5">
            <w:pPr>
              <w:spacing w:line="240" w:lineRule="auto"/>
              <w:rPr>
                <w:rFonts w:ascii="Lato" w:hAnsi="Lato"/>
                <w:szCs w:val="22"/>
              </w:rPr>
            </w:pPr>
          </w:p>
        </w:tc>
      </w:tr>
      <w:tr w:rsidR="000A3E05" w:rsidRPr="00F627B2" w:rsidTr="00F627B2">
        <w:trPr>
          <w:gridAfter w:val="1"/>
          <w:wAfter w:w="21" w:type="dxa"/>
        </w:trPr>
        <w:tc>
          <w:tcPr>
            <w:tcW w:w="1070" w:type="dxa"/>
            <w:tcBorders>
              <w:top w:val="nil"/>
              <w:left w:val="nil"/>
              <w:bottom w:val="nil"/>
              <w:right w:val="nil"/>
            </w:tcBorders>
          </w:tcPr>
          <w:p w:rsidR="000A3E05" w:rsidRPr="00F627B2" w:rsidRDefault="000A3E05" w:rsidP="000A3E05">
            <w:pPr>
              <w:spacing w:line="240" w:lineRule="auto"/>
              <w:rPr>
                <w:rFonts w:ascii="Lato" w:hAnsi="Lato"/>
                <w:szCs w:val="22"/>
              </w:rPr>
            </w:pPr>
            <w:r>
              <w:rPr>
                <w:rFonts w:ascii="Lato" w:hAnsi="Lato"/>
                <w:szCs w:val="22"/>
              </w:rPr>
              <w:t>2.16.9 A</w:t>
            </w:r>
          </w:p>
        </w:tc>
        <w:tc>
          <w:tcPr>
            <w:tcW w:w="6744" w:type="dxa"/>
            <w:tcBorders>
              <w:top w:val="nil"/>
              <w:left w:val="nil"/>
              <w:bottom w:val="nil"/>
              <w:right w:val="nil"/>
            </w:tcBorders>
          </w:tcPr>
          <w:p w:rsidR="000A3E05" w:rsidRPr="00F627B2" w:rsidRDefault="000A3E05" w:rsidP="000A3E05">
            <w:pPr>
              <w:spacing w:line="240" w:lineRule="auto"/>
              <w:rPr>
                <w:rFonts w:ascii="Lato" w:hAnsi="Lato"/>
                <w:szCs w:val="22"/>
              </w:rPr>
            </w:pPr>
            <w:r w:rsidRPr="00F627B2">
              <w:rPr>
                <w:rFonts w:ascii="Lato" w:hAnsi="Lato"/>
                <w:szCs w:val="22"/>
              </w:rPr>
              <w:t>Performance/Incentive fee may be provided for as follows:</w:t>
            </w:r>
          </w:p>
        </w:tc>
        <w:tc>
          <w:tcPr>
            <w:tcW w:w="968"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283"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700"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284"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450"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252"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405" w:type="dxa"/>
            <w:tcBorders>
              <w:top w:val="nil"/>
              <w:left w:val="nil"/>
              <w:bottom w:val="nil"/>
              <w:right w:val="nil"/>
            </w:tcBorders>
          </w:tcPr>
          <w:p w:rsidR="000A3E05" w:rsidRPr="00F627B2" w:rsidRDefault="000A3E05" w:rsidP="000A3E05">
            <w:pPr>
              <w:spacing w:line="240" w:lineRule="auto"/>
              <w:rPr>
                <w:rFonts w:ascii="Lato" w:hAnsi="Lato"/>
                <w:szCs w:val="22"/>
              </w:rPr>
            </w:pPr>
          </w:p>
        </w:tc>
      </w:tr>
      <w:tr w:rsidR="000A3E05" w:rsidRPr="00F627B2" w:rsidTr="00F627B2">
        <w:trPr>
          <w:gridAfter w:val="1"/>
          <w:wAfter w:w="21" w:type="dxa"/>
        </w:trPr>
        <w:tc>
          <w:tcPr>
            <w:tcW w:w="1070" w:type="dxa"/>
            <w:tcBorders>
              <w:top w:val="nil"/>
              <w:left w:val="nil"/>
              <w:bottom w:val="nil"/>
              <w:right w:val="nil"/>
            </w:tcBorders>
          </w:tcPr>
          <w:p w:rsidR="000A3E05" w:rsidRDefault="000A3E05" w:rsidP="000A3E05">
            <w:pPr>
              <w:spacing w:line="240" w:lineRule="auto"/>
              <w:rPr>
                <w:rFonts w:ascii="Lato" w:hAnsi="Lato"/>
                <w:szCs w:val="22"/>
              </w:rPr>
            </w:pPr>
          </w:p>
        </w:tc>
        <w:tc>
          <w:tcPr>
            <w:tcW w:w="6744"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968"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283"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700"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284"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450"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252"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405" w:type="dxa"/>
            <w:tcBorders>
              <w:top w:val="nil"/>
              <w:left w:val="nil"/>
              <w:bottom w:val="nil"/>
              <w:right w:val="nil"/>
            </w:tcBorders>
          </w:tcPr>
          <w:p w:rsidR="000A3E05" w:rsidRPr="00F627B2" w:rsidRDefault="000A3E05" w:rsidP="000A3E05">
            <w:pPr>
              <w:spacing w:line="240" w:lineRule="auto"/>
              <w:rPr>
                <w:rFonts w:ascii="Lato" w:hAnsi="Lato"/>
                <w:szCs w:val="22"/>
              </w:rPr>
            </w:pPr>
          </w:p>
        </w:tc>
      </w:tr>
      <w:tr w:rsidR="000A3E05" w:rsidRPr="00F627B2" w:rsidTr="0023674A">
        <w:trPr>
          <w:gridAfter w:val="1"/>
          <w:wAfter w:w="21" w:type="dxa"/>
        </w:trPr>
        <w:tc>
          <w:tcPr>
            <w:tcW w:w="1070" w:type="dxa"/>
            <w:tcBorders>
              <w:top w:val="nil"/>
              <w:left w:val="nil"/>
              <w:bottom w:val="nil"/>
              <w:right w:val="nil"/>
            </w:tcBorders>
          </w:tcPr>
          <w:p w:rsidR="000A3E05" w:rsidRDefault="000A3E05" w:rsidP="000A3E05">
            <w:pPr>
              <w:spacing w:line="240" w:lineRule="auto"/>
              <w:rPr>
                <w:rFonts w:ascii="Lato" w:hAnsi="Lato"/>
                <w:szCs w:val="22"/>
              </w:rPr>
            </w:pPr>
            <w:r>
              <w:rPr>
                <w:rFonts w:ascii="Lato" w:hAnsi="Lato"/>
                <w:szCs w:val="22"/>
              </w:rPr>
              <w:t>a)</w:t>
            </w:r>
          </w:p>
        </w:tc>
        <w:tc>
          <w:tcPr>
            <w:tcW w:w="6744" w:type="dxa"/>
            <w:tcBorders>
              <w:top w:val="nil"/>
              <w:left w:val="nil"/>
              <w:bottom w:val="nil"/>
              <w:right w:val="nil"/>
            </w:tcBorders>
          </w:tcPr>
          <w:p w:rsidR="000A3E05" w:rsidRPr="00F627B2" w:rsidRDefault="000A3E05" w:rsidP="000A3E05">
            <w:pPr>
              <w:spacing w:line="240" w:lineRule="auto"/>
              <w:rPr>
                <w:rFonts w:ascii="Lato" w:hAnsi="Lato"/>
                <w:szCs w:val="22"/>
              </w:rPr>
            </w:pPr>
            <w:r w:rsidRPr="00F627B2">
              <w:rPr>
                <w:rFonts w:ascii="Lato" w:hAnsi="Lato"/>
                <w:szCs w:val="22"/>
              </w:rPr>
              <w:t>Confirm which of the following methods is being utilised</w:t>
            </w:r>
          </w:p>
        </w:tc>
        <w:tc>
          <w:tcPr>
            <w:tcW w:w="968"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283"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700"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284"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450" w:type="dxa"/>
            <w:tcBorders>
              <w:top w:val="nil"/>
              <w:left w:val="nil"/>
              <w:bottom w:val="single" w:sz="4" w:space="0" w:color="auto"/>
              <w:right w:val="nil"/>
            </w:tcBorders>
          </w:tcPr>
          <w:p w:rsidR="000A3E05" w:rsidRPr="00F627B2" w:rsidRDefault="000A3E05" w:rsidP="000A3E05">
            <w:pPr>
              <w:spacing w:line="240" w:lineRule="auto"/>
              <w:rPr>
                <w:rFonts w:ascii="Lato" w:hAnsi="Lato"/>
                <w:szCs w:val="22"/>
              </w:rPr>
            </w:pPr>
          </w:p>
        </w:tc>
        <w:tc>
          <w:tcPr>
            <w:tcW w:w="252"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405" w:type="dxa"/>
            <w:tcBorders>
              <w:top w:val="nil"/>
              <w:left w:val="nil"/>
              <w:bottom w:val="nil"/>
              <w:right w:val="nil"/>
            </w:tcBorders>
          </w:tcPr>
          <w:p w:rsidR="000A3E05" w:rsidRPr="00F627B2" w:rsidRDefault="000A3E05" w:rsidP="000A3E05">
            <w:pPr>
              <w:spacing w:line="240" w:lineRule="auto"/>
              <w:rPr>
                <w:rFonts w:ascii="Lato" w:hAnsi="Lato"/>
                <w:szCs w:val="22"/>
              </w:rPr>
            </w:pPr>
          </w:p>
        </w:tc>
      </w:tr>
      <w:tr w:rsidR="000A3E05" w:rsidRPr="00F627B2" w:rsidTr="0023674A">
        <w:trPr>
          <w:gridAfter w:val="1"/>
          <w:wAfter w:w="21" w:type="dxa"/>
        </w:trPr>
        <w:tc>
          <w:tcPr>
            <w:tcW w:w="1070" w:type="dxa"/>
            <w:tcBorders>
              <w:top w:val="nil"/>
              <w:left w:val="nil"/>
              <w:bottom w:val="nil"/>
              <w:right w:val="nil"/>
            </w:tcBorders>
          </w:tcPr>
          <w:p w:rsidR="000A3E05" w:rsidRDefault="000A3E05" w:rsidP="000A3E05">
            <w:pPr>
              <w:spacing w:line="240" w:lineRule="auto"/>
              <w:rPr>
                <w:rFonts w:ascii="Lato" w:hAnsi="Lato"/>
                <w:szCs w:val="22"/>
              </w:rPr>
            </w:pPr>
          </w:p>
        </w:tc>
        <w:tc>
          <w:tcPr>
            <w:tcW w:w="6744" w:type="dxa"/>
            <w:tcBorders>
              <w:top w:val="nil"/>
              <w:left w:val="nil"/>
              <w:bottom w:val="nil"/>
              <w:right w:val="nil"/>
            </w:tcBorders>
          </w:tcPr>
          <w:p w:rsidR="000A3E05" w:rsidRPr="00F627B2" w:rsidRDefault="000A3E05" w:rsidP="000A3E05">
            <w:pPr>
              <w:spacing w:line="240" w:lineRule="auto"/>
              <w:rPr>
                <w:rFonts w:ascii="Lato" w:hAnsi="Lato"/>
                <w:szCs w:val="22"/>
              </w:rPr>
            </w:pPr>
            <w:r>
              <w:rPr>
                <w:rFonts w:ascii="Lato" w:hAnsi="Lato"/>
                <w:szCs w:val="22"/>
              </w:rPr>
              <w:t xml:space="preserve">(i) </w:t>
            </w:r>
            <w:r w:rsidRPr="00F627B2">
              <w:rPr>
                <w:rFonts w:ascii="Lato" w:hAnsi="Lato"/>
                <w:szCs w:val="22"/>
              </w:rPr>
              <w:t xml:space="preserve">payable on new high net asset value per share over the life </w:t>
            </w:r>
          </w:p>
        </w:tc>
        <w:tc>
          <w:tcPr>
            <w:tcW w:w="968"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283"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700"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284" w:type="dxa"/>
            <w:tcBorders>
              <w:top w:val="nil"/>
              <w:left w:val="nil"/>
              <w:bottom w:val="nil"/>
              <w:right w:val="single" w:sz="4" w:space="0" w:color="auto"/>
            </w:tcBorders>
          </w:tcPr>
          <w:p w:rsidR="000A3E05" w:rsidRPr="00F627B2" w:rsidRDefault="000A3E05" w:rsidP="000A3E05">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0A3E05" w:rsidRPr="00F627B2" w:rsidRDefault="000A3E05" w:rsidP="000A3E05">
            <w:pPr>
              <w:spacing w:line="240" w:lineRule="auto"/>
              <w:rPr>
                <w:rFonts w:ascii="Lato" w:hAnsi="Lato"/>
                <w:szCs w:val="22"/>
              </w:rPr>
            </w:pPr>
          </w:p>
        </w:tc>
        <w:tc>
          <w:tcPr>
            <w:tcW w:w="252" w:type="dxa"/>
            <w:tcBorders>
              <w:top w:val="nil"/>
              <w:left w:val="single" w:sz="4" w:space="0" w:color="auto"/>
              <w:bottom w:val="nil"/>
              <w:right w:val="nil"/>
            </w:tcBorders>
          </w:tcPr>
          <w:p w:rsidR="000A3E05" w:rsidRPr="00F627B2" w:rsidRDefault="000A3E05" w:rsidP="000A3E05">
            <w:pPr>
              <w:spacing w:line="240" w:lineRule="auto"/>
              <w:rPr>
                <w:rFonts w:ascii="Lato" w:hAnsi="Lato"/>
                <w:szCs w:val="22"/>
              </w:rPr>
            </w:pPr>
          </w:p>
        </w:tc>
        <w:tc>
          <w:tcPr>
            <w:tcW w:w="405" w:type="dxa"/>
            <w:tcBorders>
              <w:top w:val="nil"/>
              <w:left w:val="nil"/>
              <w:bottom w:val="nil"/>
              <w:right w:val="nil"/>
            </w:tcBorders>
          </w:tcPr>
          <w:p w:rsidR="000A3E05" w:rsidRPr="00F627B2" w:rsidRDefault="000A3E05" w:rsidP="000A3E05">
            <w:pPr>
              <w:spacing w:line="240" w:lineRule="auto"/>
              <w:rPr>
                <w:rFonts w:ascii="Lato" w:hAnsi="Lato"/>
                <w:szCs w:val="22"/>
              </w:rPr>
            </w:pPr>
          </w:p>
        </w:tc>
      </w:tr>
      <w:tr w:rsidR="000A3E05" w:rsidRPr="00F627B2" w:rsidTr="0023674A">
        <w:trPr>
          <w:gridAfter w:val="1"/>
          <w:wAfter w:w="21" w:type="dxa"/>
        </w:trPr>
        <w:tc>
          <w:tcPr>
            <w:tcW w:w="1070" w:type="dxa"/>
            <w:tcBorders>
              <w:top w:val="nil"/>
              <w:left w:val="nil"/>
              <w:bottom w:val="nil"/>
              <w:right w:val="nil"/>
            </w:tcBorders>
          </w:tcPr>
          <w:p w:rsidR="000A3E05" w:rsidRDefault="000A3E05" w:rsidP="000A3E05">
            <w:pPr>
              <w:spacing w:line="240" w:lineRule="auto"/>
              <w:rPr>
                <w:rFonts w:ascii="Lato" w:hAnsi="Lato"/>
                <w:szCs w:val="22"/>
              </w:rPr>
            </w:pPr>
          </w:p>
        </w:tc>
        <w:tc>
          <w:tcPr>
            <w:tcW w:w="6744" w:type="dxa"/>
            <w:tcBorders>
              <w:top w:val="nil"/>
              <w:left w:val="nil"/>
              <w:bottom w:val="nil"/>
              <w:right w:val="nil"/>
            </w:tcBorders>
          </w:tcPr>
          <w:p w:rsidR="000A3E05" w:rsidRPr="00F627B2" w:rsidRDefault="000A3E05" w:rsidP="000A3E05">
            <w:pPr>
              <w:spacing w:line="240" w:lineRule="auto"/>
              <w:rPr>
                <w:rFonts w:ascii="Lato" w:hAnsi="Lato"/>
                <w:szCs w:val="22"/>
              </w:rPr>
            </w:pPr>
            <w:r w:rsidRPr="00F627B2">
              <w:rPr>
                <w:rFonts w:ascii="Lato" w:hAnsi="Lato"/>
                <w:szCs w:val="22"/>
              </w:rPr>
              <w:t>of the Retail Investor AIF</w:t>
            </w:r>
          </w:p>
        </w:tc>
        <w:tc>
          <w:tcPr>
            <w:tcW w:w="968"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283"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700"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284"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450" w:type="dxa"/>
            <w:tcBorders>
              <w:top w:val="single" w:sz="4" w:space="0" w:color="auto"/>
              <w:left w:val="nil"/>
              <w:bottom w:val="nil"/>
              <w:right w:val="nil"/>
            </w:tcBorders>
          </w:tcPr>
          <w:p w:rsidR="000A3E05" w:rsidRPr="00F627B2" w:rsidRDefault="000A3E05" w:rsidP="000A3E05">
            <w:pPr>
              <w:spacing w:line="240" w:lineRule="auto"/>
              <w:rPr>
                <w:rFonts w:ascii="Lato" w:hAnsi="Lato"/>
                <w:szCs w:val="22"/>
              </w:rPr>
            </w:pPr>
          </w:p>
        </w:tc>
        <w:tc>
          <w:tcPr>
            <w:tcW w:w="252"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405" w:type="dxa"/>
            <w:tcBorders>
              <w:top w:val="nil"/>
              <w:left w:val="nil"/>
              <w:bottom w:val="nil"/>
              <w:right w:val="nil"/>
            </w:tcBorders>
          </w:tcPr>
          <w:p w:rsidR="000A3E05" w:rsidRPr="00F627B2" w:rsidRDefault="000A3E05" w:rsidP="000A3E05">
            <w:pPr>
              <w:spacing w:line="240" w:lineRule="auto"/>
              <w:rPr>
                <w:rFonts w:ascii="Lato" w:hAnsi="Lato"/>
                <w:szCs w:val="22"/>
              </w:rPr>
            </w:pPr>
          </w:p>
        </w:tc>
      </w:tr>
      <w:tr w:rsidR="000A3E05" w:rsidRPr="00F627B2" w:rsidTr="0023674A">
        <w:trPr>
          <w:gridAfter w:val="1"/>
          <w:wAfter w:w="21" w:type="dxa"/>
        </w:trPr>
        <w:tc>
          <w:tcPr>
            <w:tcW w:w="1070" w:type="dxa"/>
            <w:tcBorders>
              <w:top w:val="nil"/>
              <w:left w:val="nil"/>
              <w:bottom w:val="nil"/>
              <w:right w:val="nil"/>
            </w:tcBorders>
          </w:tcPr>
          <w:p w:rsidR="000A3E05" w:rsidRDefault="000A3E05" w:rsidP="000A3E05">
            <w:pPr>
              <w:spacing w:line="240" w:lineRule="auto"/>
              <w:rPr>
                <w:rFonts w:ascii="Lato" w:hAnsi="Lato"/>
                <w:szCs w:val="22"/>
              </w:rPr>
            </w:pPr>
          </w:p>
        </w:tc>
        <w:tc>
          <w:tcPr>
            <w:tcW w:w="6744" w:type="dxa"/>
            <w:tcBorders>
              <w:top w:val="nil"/>
              <w:left w:val="nil"/>
              <w:bottom w:val="nil"/>
              <w:right w:val="nil"/>
            </w:tcBorders>
          </w:tcPr>
          <w:p w:rsidR="000A3E05" w:rsidRPr="00F627B2" w:rsidRDefault="000A3E05" w:rsidP="000A3E05">
            <w:pPr>
              <w:spacing w:line="240" w:lineRule="auto"/>
              <w:rPr>
                <w:rFonts w:ascii="Lato" w:hAnsi="Lato"/>
                <w:szCs w:val="22"/>
              </w:rPr>
            </w:pPr>
            <w:r w:rsidRPr="00F627B2">
              <w:rPr>
                <w:rFonts w:ascii="Lato" w:hAnsi="Lato"/>
                <w:szCs w:val="22"/>
              </w:rPr>
              <w:t>Or</w:t>
            </w:r>
          </w:p>
        </w:tc>
        <w:tc>
          <w:tcPr>
            <w:tcW w:w="968"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283"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700"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284"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450" w:type="dxa"/>
            <w:tcBorders>
              <w:top w:val="nil"/>
              <w:left w:val="nil"/>
              <w:bottom w:val="single" w:sz="4" w:space="0" w:color="auto"/>
              <w:right w:val="nil"/>
            </w:tcBorders>
          </w:tcPr>
          <w:p w:rsidR="000A3E05" w:rsidRPr="00F627B2" w:rsidRDefault="000A3E05" w:rsidP="000A3E05">
            <w:pPr>
              <w:spacing w:line="240" w:lineRule="auto"/>
              <w:rPr>
                <w:rFonts w:ascii="Lato" w:hAnsi="Lato"/>
                <w:szCs w:val="22"/>
              </w:rPr>
            </w:pPr>
          </w:p>
        </w:tc>
        <w:tc>
          <w:tcPr>
            <w:tcW w:w="252"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405" w:type="dxa"/>
            <w:tcBorders>
              <w:top w:val="nil"/>
              <w:left w:val="nil"/>
              <w:bottom w:val="nil"/>
              <w:right w:val="nil"/>
            </w:tcBorders>
          </w:tcPr>
          <w:p w:rsidR="000A3E05" w:rsidRPr="00F627B2" w:rsidRDefault="000A3E05" w:rsidP="000A3E05">
            <w:pPr>
              <w:spacing w:line="240" w:lineRule="auto"/>
              <w:rPr>
                <w:rFonts w:ascii="Lato" w:hAnsi="Lato"/>
                <w:szCs w:val="22"/>
              </w:rPr>
            </w:pPr>
          </w:p>
        </w:tc>
      </w:tr>
      <w:tr w:rsidR="000A3E05" w:rsidRPr="00F627B2" w:rsidTr="0023674A">
        <w:trPr>
          <w:gridAfter w:val="1"/>
          <w:wAfter w:w="21" w:type="dxa"/>
        </w:trPr>
        <w:tc>
          <w:tcPr>
            <w:tcW w:w="1070" w:type="dxa"/>
            <w:tcBorders>
              <w:top w:val="nil"/>
              <w:left w:val="nil"/>
              <w:bottom w:val="nil"/>
              <w:right w:val="nil"/>
            </w:tcBorders>
          </w:tcPr>
          <w:p w:rsidR="000A3E05" w:rsidRDefault="000A3E05" w:rsidP="000A3E05">
            <w:pPr>
              <w:spacing w:line="240" w:lineRule="auto"/>
              <w:rPr>
                <w:rFonts w:ascii="Lato" w:hAnsi="Lato"/>
                <w:szCs w:val="22"/>
              </w:rPr>
            </w:pPr>
          </w:p>
        </w:tc>
        <w:tc>
          <w:tcPr>
            <w:tcW w:w="6744" w:type="dxa"/>
            <w:tcBorders>
              <w:top w:val="nil"/>
              <w:left w:val="nil"/>
              <w:bottom w:val="nil"/>
              <w:right w:val="nil"/>
            </w:tcBorders>
          </w:tcPr>
          <w:p w:rsidR="000A3E05" w:rsidRPr="00F627B2" w:rsidRDefault="00256122" w:rsidP="000A3E05">
            <w:pPr>
              <w:spacing w:line="240" w:lineRule="auto"/>
              <w:rPr>
                <w:rFonts w:ascii="Lato" w:hAnsi="Lato"/>
                <w:szCs w:val="22"/>
              </w:rPr>
            </w:pPr>
            <w:r>
              <w:rPr>
                <w:rFonts w:ascii="Lato" w:hAnsi="Lato"/>
                <w:szCs w:val="22"/>
              </w:rPr>
              <w:t xml:space="preserve">(ii) </w:t>
            </w:r>
            <w:r w:rsidR="000A3E05" w:rsidRPr="00F627B2">
              <w:rPr>
                <w:rFonts w:ascii="Lato" w:hAnsi="Lato"/>
                <w:szCs w:val="22"/>
              </w:rPr>
              <w:t>payable on out-performance of an index</w:t>
            </w:r>
          </w:p>
        </w:tc>
        <w:tc>
          <w:tcPr>
            <w:tcW w:w="968"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283"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700"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284" w:type="dxa"/>
            <w:tcBorders>
              <w:top w:val="nil"/>
              <w:left w:val="nil"/>
              <w:bottom w:val="nil"/>
              <w:right w:val="single" w:sz="4" w:space="0" w:color="auto"/>
            </w:tcBorders>
          </w:tcPr>
          <w:p w:rsidR="000A3E05" w:rsidRPr="00F627B2" w:rsidRDefault="000A3E05" w:rsidP="000A3E05">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0A3E05" w:rsidRPr="00F627B2" w:rsidRDefault="000A3E05" w:rsidP="000A3E05">
            <w:pPr>
              <w:spacing w:line="240" w:lineRule="auto"/>
              <w:rPr>
                <w:rFonts w:ascii="Lato" w:hAnsi="Lato"/>
                <w:szCs w:val="22"/>
              </w:rPr>
            </w:pPr>
          </w:p>
        </w:tc>
        <w:tc>
          <w:tcPr>
            <w:tcW w:w="252" w:type="dxa"/>
            <w:tcBorders>
              <w:top w:val="nil"/>
              <w:left w:val="single" w:sz="4" w:space="0" w:color="auto"/>
              <w:bottom w:val="nil"/>
              <w:right w:val="nil"/>
            </w:tcBorders>
          </w:tcPr>
          <w:p w:rsidR="000A3E05" w:rsidRPr="00F627B2" w:rsidRDefault="000A3E05" w:rsidP="000A3E05">
            <w:pPr>
              <w:spacing w:line="240" w:lineRule="auto"/>
              <w:rPr>
                <w:rFonts w:ascii="Lato" w:hAnsi="Lato"/>
                <w:szCs w:val="22"/>
              </w:rPr>
            </w:pPr>
          </w:p>
        </w:tc>
        <w:tc>
          <w:tcPr>
            <w:tcW w:w="405" w:type="dxa"/>
            <w:tcBorders>
              <w:top w:val="nil"/>
              <w:left w:val="nil"/>
              <w:bottom w:val="nil"/>
              <w:right w:val="nil"/>
            </w:tcBorders>
          </w:tcPr>
          <w:p w:rsidR="000A3E05" w:rsidRPr="00F627B2" w:rsidRDefault="000A3E05" w:rsidP="000A3E05">
            <w:pPr>
              <w:spacing w:line="240" w:lineRule="auto"/>
              <w:rPr>
                <w:rFonts w:ascii="Lato" w:hAnsi="Lato"/>
                <w:szCs w:val="22"/>
              </w:rPr>
            </w:pPr>
          </w:p>
        </w:tc>
      </w:tr>
      <w:tr w:rsidR="000A3E05" w:rsidRPr="00F627B2" w:rsidTr="0023674A">
        <w:trPr>
          <w:gridAfter w:val="1"/>
          <w:wAfter w:w="21" w:type="dxa"/>
        </w:trPr>
        <w:tc>
          <w:tcPr>
            <w:tcW w:w="1070" w:type="dxa"/>
            <w:tcBorders>
              <w:top w:val="nil"/>
              <w:left w:val="nil"/>
              <w:bottom w:val="nil"/>
              <w:right w:val="nil"/>
            </w:tcBorders>
          </w:tcPr>
          <w:p w:rsidR="000A3E05" w:rsidRDefault="000A3E05" w:rsidP="000A3E05">
            <w:pPr>
              <w:spacing w:line="240" w:lineRule="auto"/>
              <w:rPr>
                <w:rFonts w:ascii="Lato" w:hAnsi="Lato"/>
                <w:szCs w:val="22"/>
              </w:rPr>
            </w:pPr>
          </w:p>
        </w:tc>
        <w:tc>
          <w:tcPr>
            <w:tcW w:w="6744"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968" w:type="dxa"/>
            <w:tcBorders>
              <w:top w:val="nil"/>
              <w:left w:val="nil"/>
              <w:bottom w:val="single" w:sz="4" w:space="0" w:color="auto"/>
              <w:right w:val="nil"/>
            </w:tcBorders>
          </w:tcPr>
          <w:p w:rsidR="000A3E05" w:rsidRPr="00F627B2" w:rsidRDefault="000A3E05" w:rsidP="000A3E05">
            <w:pPr>
              <w:spacing w:line="240" w:lineRule="auto"/>
              <w:rPr>
                <w:rFonts w:ascii="Lato" w:hAnsi="Lato"/>
                <w:szCs w:val="22"/>
              </w:rPr>
            </w:pPr>
          </w:p>
        </w:tc>
        <w:tc>
          <w:tcPr>
            <w:tcW w:w="283"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700" w:type="dxa"/>
            <w:gridSpan w:val="2"/>
            <w:tcBorders>
              <w:top w:val="nil"/>
              <w:left w:val="nil"/>
              <w:bottom w:val="single" w:sz="4" w:space="0" w:color="auto"/>
              <w:right w:val="nil"/>
            </w:tcBorders>
          </w:tcPr>
          <w:p w:rsidR="000A3E05" w:rsidRPr="00F627B2" w:rsidRDefault="000A3E05" w:rsidP="000A3E05">
            <w:pPr>
              <w:spacing w:line="240" w:lineRule="auto"/>
              <w:rPr>
                <w:rFonts w:ascii="Lato" w:hAnsi="Lato"/>
                <w:szCs w:val="22"/>
              </w:rPr>
            </w:pPr>
          </w:p>
        </w:tc>
        <w:tc>
          <w:tcPr>
            <w:tcW w:w="284"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0A3E05" w:rsidRPr="00F627B2" w:rsidRDefault="000A3E05" w:rsidP="000A3E05">
            <w:pPr>
              <w:spacing w:line="240" w:lineRule="auto"/>
              <w:rPr>
                <w:rFonts w:ascii="Lato" w:hAnsi="Lato"/>
                <w:szCs w:val="22"/>
              </w:rPr>
            </w:pPr>
          </w:p>
        </w:tc>
        <w:tc>
          <w:tcPr>
            <w:tcW w:w="252"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405" w:type="dxa"/>
            <w:tcBorders>
              <w:top w:val="nil"/>
              <w:left w:val="nil"/>
              <w:bottom w:val="nil"/>
              <w:right w:val="nil"/>
            </w:tcBorders>
          </w:tcPr>
          <w:p w:rsidR="000A3E05" w:rsidRPr="00F627B2" w:rsidRDefault="000A3E05" w:rsidP="000A3E05">
            <w:pPr>
              <w:spacing w:line="240" w:lineRule="auto"/>
              <w:rPr>
                <w:rFonts w:ascii="Lato" w:hAnsi="Lato"/>
                <w:szCs w:val="22"/>
              </w:rPr>
            </w:pPr>
          </w:p>
        </w:tc>
      </w:tr>
      <w:tr w:rsidR="000A3E05" w:rsidRPr="00F627B2" w:rsidTr="0023674A">
        <w:trPr>
          <w:gridAfter w:val="1"/>
          <w:wAfter w:w="21" w:type="dxa"/>
        </w:trPr>
        <w:tc>
          <w:tcPr>
            <w:tcW w:w="1070" w:type="dxa"/>
            <w:tcBorders>
              <w:top w:val="nil"/>
              <w:left w:val="nil"/>
              <w:bottom w:val="nil"/>
              <w:right w:val="nil"/>
            </w:tcBorders>
          </w:tcPr>
          <w:p w:rsidR="000A3E05" w:rsidRDefault="00256122" w:rsidP="000A3E05">
            <w:pPr>
              <w:spacing w:line="240" w:lineRule="auto"/>
              <w:rPr>
                <w:rFonts w:ascii="Lato" w:hAnsi="Lato"/>
                <w:szCs w:val="22"/>
              </w:rPr>
            </w:pPr>
            <w:r>
              <w:rPr>
                <w:rFonts w:ascii="Lato" w:hAnsi="Lato"/>
                <w:szCs w:val="22"/>
              </w:rPr>
              <w:t>b)</w:t>
            </w:r>
          </w:p>
        </w:tc>
        <w:tc>
          <w:tcPr>
            <w:tcW w:w="6744" w:type="dxa"/>
            <w:tcBorders>
              <w:top w:val="nil"/>
              <w:left w:val="nil"/>
              <w:bottom w:val="nil"/>
              <w:right w:val="single" w:sz="4" w:space="0" w:color="auto"/>
            </w:tcBorders>
          </w:tcPr>
          <w:p w:rsidR="000A3E05" w:rsidRPr="00F627B2" w:rsidRDefault="000A3E05" w:rsidP="000A3E05">
            <w:pPr>
              <w:spacing w:line="240" w:lineRule="auto"/>
              <w:rPr>
                <w:rFonts w:ascii="Lato" w:hAnsi="Lato"/>
                <w:szCs w:val="22"/>
              </w:rPr>
            </w:pPr>
            <w:r w:rsidRPr="00F627B2">
              <w:rPr>
                <w:rFonts w:ascii="Lato" w:hAnsi="Lato"/>
                <w:szCs w:val="22"/>
              </w:rPr>
              <w:t xml:space="preserve">Provide that the initial offer price is taken as the starting price </w:t>
            </w:r>
          </w:p>
        </w:tc>
        <w:tc>
          <w:tcPr>
            <w:tcW w:w="968" w:type="dxa"/>
            <w:tcBorders>
              <w:top w:val="single" w:sz="4" w:space="0" w:color="auto"/>
              <w:left w:val="single" w:sz="4" w:space="0" w:color="auto"/>
              <w:bottom w:val="single" w:sz="4" w:space="0" w:color="auto"/>
              <w:right w:val="single" w:sz="4" w:space="0" w:color="auto"/>
            </w:tcBorders>
          </w:tcPr>
          <w:p w:rsidR="000A3E05" w:rsidRPr="00F627B2" w:rsidRDefault="000A3E05" w:rsidP="000A3E05">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0A3E05" w:rsidRPr="00F627B2" w:rsidRDefault="000A3E05" w:rsidP="000A3E05">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0A3E05" w:rsidRPr="00F627B2" w:rsidRDefault="000A3E05" w:rsidP="000A3E05">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0A3E05" w:rsidRPr="00F627B2" w:rsidRDefault="000A3E05" w:rsidP="000A3E05">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0A3E05" w:rsidRPr="00F627B2" w:rsidRDefault="000A3E05" w:rsidP="000A3E05">
            <w:pPr>
              <w:spacing w:line="240" w:lineRule="auto"/>
              <w:rPr>
                <w:rFonts w:ascii="Lato" w:hAnsi="Lato"/>
                <w:szCs w:val="22"/>
              </w:rPr>
            </w:pPr>
          </w:p>
        </w:tc>
        <w:tc>
          <w:tcPr>
            <w:tcW w:w="252" w:type="dxa"/>
            <w:tcBorders>
              <w:top w:val="nil"/>
              <w:left w:val="single" w:sz="4" w:space="0" w:color="auto"/>
              <w:bottom w:val="nil"/>
              <w:right w:val="nil"/>
            </w:tcBorders>
          </w:tcPr>
          <w:p w:rsidR="000A3E05" w:rsidRPr="00F627B2" w:rsidRDefault="000A3E05" w:rsidP="000A3E05">
            <w:pPr>
              <w:spacing w:line="240" w:lineRule="auto"/>
              <w:rPr>
                <w:rFonts w:ascii="Lato" w:hAnsi="Lato"/>
                <w:szCs w:val="22"/>
              </w:rPr>
            </w:pPr>
          </w:p>
        </w:tc>
        <w:tc>
          <w:tcPr>
            <w:tcW w:w="405" w:type="dxa"/>
            <w:tcBorders>
              <w:top w:val="nil"/>
              <w:left w:val="nil"/>
              <w:bottom w:val="nil"/>
              <w:right w:val="nil"/>
            </w:tcBorders>
          </w:tcPr>
          <w:p w:rsidR="000A3E05" w:rsidRPr="00F627B2" w:rsidRDefault="000A3E05" w:rsidP="000A3E05">
            <w:pPr>
              <w:spacing w:line="240" w:lineRule="auto"/>
              <w:rPr>
                <w:rFonts w:ascii="Lato" w:hAnsi="Lato"/>
                <w:szCs w:val="22"/>
              </w:rPr>
            </w:pPr>
          </w:p>
        </w:tc>
      </w:tr>
      <w:tr w:rsidR="000A3E05" w:rsidRPr="00F627B2" w:rsidTr="0023674A">
        <w:trPr>
          <w:gridAfter w:val="1"/>
          <w:wAfter w:w="21" w:type="dxa"/>
        </w:trPr>
        <w:tc>
          <w:tcPr>
            <w:tcW w:w="1070" w:type="dxa"/>
            <w:tcBorders>
              <w:top w:val="nil"/>
              <w:left w:val="nil"/>
              <w:bottom w:val="nil"/>
              <w:right w:val="nil"/>
            </w:tcBorders>
          </w:tcPr>
          <w:p w:rsidR="000A3E05" w:rsidRDefault="000A3E05" w:rsidP="000A3E05">
            <w:pPr>
              <w:spacing w:line="240" w:lineRule="auto"/>
              <w:rPr>
                <w:rFonts w:ascii="Lato" w:hAnsi="Lato"/>
                <w:szCs w:val="22"/>
              </w:rPr>
            </w:pPr>
          </w:p>
        </w:tc>
        <w:tc>
          <w:tcPr>
            <w:tcW w:w="6744" w:type="dxa"/>
            <w:tcBorders>
              <w:top w:val="nil"/>
              <w:left w:val="nil"/>
              <w:bottom w:val="nil"/>
              <w:right w:val="nil"/>
            </w:tcBorders>
          </w:tcPr>
          <w:p w:rsidR="000A3E05" w:rsidRPr="00F627B2" w:rsidRDefault="000A3E05" w:rsidP="000A3E05">
            <w:pPr>
              <w:spacing w:line="240" w:lineRule="auto"/>
              <w:rPr>
                <w:rFonts w:ascii="Lato" w:hAnsi="Lato"/>
                <w:szCs w:val="22"/>
              </w:rPr>
            </w:pPr>
            <w:r w:rsidRPr="00F627B2">
              <w:rPr>
                <w:rFonts w:ascii="Lato" w:hAnsi="Lato"/>
                <w:szCs w:val="22"/>
              </w:rPr>
              <w:t xml:space="preserve">for the calculations (i.e. the performance fee payment can only be paid on the subsequent outperformance by the nav per share of the initial offer price)  </w:t>
            </w:r>
          </w:p>
        </w:tc>
        <w:tc>
          <w:tcPr>
            <w:tcW w:w="968" w:type="dxa"/>
            <w:tcBorders>
              <w:top w:val="single" w:sz="4" w:space="0" w:color="auto"/>
              <w:left w:val="nil"/>
              <w:bottom w:val="nil"/>
              <w:right w:val="nil"/>
            </w:tcBorders>
          </w:tcPr>
          <w:p w:rsidR="000A3E05" w:rsidRPr="00F627B2" w:rsidRDefault="000A3E05" w:rsidP="000A3E05">
            <w:pPr>
              <w:spacing w:line="240" w:lineRule="auto"/>
              <w:rPr>
                <w:rFonts w:ascii="Lato" w:hAnsi="Lato"/>
                <w:szCs w:val="22"/>
              </w:rPr>
            </w:pPr>
          </w:p>
        </w:tc>
        <w:tc>
          <w:tcPr>
            <w:tcW w:w="283"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700" w:type="dxa"/>
            <w:gridSpan w:val="2"/>
            <w:tcBorders>
              <w:top w:val="single" w:sz="4" w:space="0" w:color="auto"/>
              <w:left w:val="nil"/>
              <w:bottom w:val="nil"/>
              <w:right w:val="nil"/>
            </w:tcBorders>
          </w:tcPr>
          <w:p w:rsidR="000A3E05" w:rsidRPr="00F627B2" w:rsidRDefault="000A3E05" w:rsidP="000A3E05">
            <w:pPr>
              <w:spacing w:line="240" w:lineRule="auto"/>
              <w:rPr>
                <w:rFonts w:ascii="Lato" w:hAnsi="Lato"/>
                <w:szCs w:val="22"/>
              </w:rPr>
            </w:pPr>
          </w:p>
        </w:tc>
        <w:tc>
          <w:tcPr>
            <w:tcW w:w="284"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450" w:type="dxa"/>
            <w:tcBorders>
              <w:top w:val="single" w:sz="4" w:space="0" w:color="auto"/>
              <w:left w:val="nil"/>
              <w:bottom w:val="nil"/>
              <w:right w:val="nil"/>
            </w:tcBorders>
          </w:tcPr>
          <w:p w:rsidR="000A3E05" w:rsidRPr="00F627B2" w:rsidRDefault="000A3E05" w:rsidP="000A3E05">
            <w:pPr>
              <w:spacing w:line="240" w:lineRule="auto"/>
              <w:rPr>
                <w:rFonts w:ascii="Lato" w:hAnsi="Lato"/>
                <w:szCs w:val="22"/>
              </w:rPr>
            </w:pPr>
          </w:p>
        </w:tc>
        <w:tc>
          <w:tcPr>
            <w:tcW w:w="252"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405" w:type="dxa"/>
            <w:tcBorders>
              <w:top w:val="nil"/>
              <w:left w:val="nil"/>
              <w:bottom w:val="nil"/>
              <w:right w:val="nil"/>
            </w:tcBorders>
          </w:tcPr>
          <w:p w:rsidR="000A3E05" w:rsidRPr="00F627B2" w:rsidRDefault="000A3E05" w:rsidP="000A3E05">
            <w:pPr>
              <w:spacing w:line="240" w:lineRule="auto"/>
              <w:rPr>
                <w:rFonts w:ascii="Lato" w:hAnsi="Lato"/>
                <w:szCs w:val="22"/>
              </w:rPr>
            </w:pPr>
          </w:p>
        </w:tc>
      </w:tr>
      <w:tr w:rsidR="000A3E05" w:rsidRPr="00F627B2" w:rsidTr="00F627B2">
        <w:trPr>
          <w:gridAfter w:val="1"/>
          <w:wAfter w:w="21" w:type="dxa"/>
        </w:trPr>
        <w:tc>
          <w:tcPr>
            <w:tcW w:w="1070" w:type="dxa"/>
            <w:tcBorders>
              <w:top w:val="nil"/>
              <w:left w:val="nil"/>
              <w:bottom w:val="nil"/>
              <w:right w:val="nil"/>
            </w:tcBorders>
          </w:tcPr>
          <w:p w:rsidR="000A3E05" w:rsidRDefault="000A3E05" w:rsidP="000A3E05">
            <w:pPr>
              <w:spacing w:line="240" w:lineRule="auto"/>
              <w:rPr>
                <w:rFonts w:ascii="Lato" w:hAnsi="Lato"/>
                <w:szCs w:val="22"/>
              </w:rPr>
            </w:pPr>
          </w:p>
        </w:tc>
        <w:tc>
          <w:tcPr>
            <w:tcW w:w="6744"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968"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283"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700" w:type="dxa"/>
            <w:gridSpan w:val="2"/>
            <w:tcBorders>
              <w:top w:val="nil"/>
              <w:left w:val="nil"/>
              <w:bottom w:val="nil"/>
              <w:right w:val="nil"/>
            </w:tcBorders>
          </w:tcPr>
          <w:p w:rsidR="000A3E05" w:rsidRPr="00F627B2" w:rsidRDefault="000A3E05" w:rsidP="000A3E05">
            <w:pPr>
              <w:spacing w:line="240" w:lineRule="auto"/>
              <w:rPr>
                <w:rFonts w:ascii="Lato" w:hAnsi="Lato"/>
                <w:szCs w:val="22"/>
              </w:rPr>
            </w:pPr>
          </w:p>
        </w:tc>
        <w:tc>
          <w:tcPr>
            <w:tcW w:w="284"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450"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252" w:type="dxa"/>
            <w:tcBorders>
              <w:top w:val="nil"/>
              <w:left w:val="nil"/>
              <w:bottom w:val="nil"/>
              <w:right w:val="nil"/>
            </w:tcBorders>
          </w:tcPr>
          <w:p w:rsidR="000A3E05" w:rsidRPr="00F627B2" w:rsidRDefault="000A3E05" w:rsidP="000A3E05">
            <w:pPr>
              <w:spacing w:line="240" w:lineRule="auto"/>
              <w:rPr>
                <w:rFonts w:ascii="Lato" w:hAnsi="Lato"/>
                <w:szCs w:val="22"/>
              </w:rPr>
            </w:pPr>
          </w:p>
        </w:tc>
        <w:tc>
          <w:tcPr>
            <w:tcW w:w="405" w:type="dxa"/>
            <w:tcBorders>
              <w:top w:val="nil"/>
              <w:left w:val="nil"/>
              <w:bottom w:val="nil"/>
              <w:right w:val="nil"/>
            </w:tcBorders>
          </w:tcPr>
          <w:p w:rsidR="000A3E05" w:rsidRPr="00F627B2" w:rsidRDefault="000A3E05" w:rsidP="000A3E05">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r>
              <w:rPr>
                <w:rFonts w:ascii="Lato" w:hAnsi="Lato"/>
              </w:rPr>
              <w:t>c)</w:t>
            </w: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r w:rsidRPr="004E6794">
              <w:rPr>
                <w:rFonts w:ascii="Lato" w:hAnsi="Lato"/>
              </w:rPr>
              <w:t>Disclose</w:t>
            </w:r>
            <w:r>
              <w:rPr>
                <w:rFonts w:ascii="Lato" w:hAnsi="Lato"/>
              </w:rPr>
              <w:t xml:space="preserve"> a description of the performance fee calculation method to include</w:t>
            </w:r>
            <w:r w:rsidRPr="004E6794">
              <w:rPr>
                <w:rFonts w:ascii="Lato" w:hAnsi="Lato"/>
              </w:rPr>
              <w:t xml:space="preserve">: : </w:t>
            </w:r>
          </w:p>
        </w:tc>
        <w:tc>
          <w:tcPr>
            <w:tcW w:w="968" w:type="dxa"/>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single" w:sz="4" w:space="0" w:color="auto"/>
            </w:tcBorders>
          </w:tcPr>
          <w:p w:rsidR="00256122" w:rsidRPr="00F627B2" w:rsidRDefault="00256122" w:rsidP="00256122">
            <w:pPr>
              <w:spacing w:line="240" w:lineRule="auto"/>
              <w:rPr>
                <w:rFonts w:ascii="Lato" w:hAnsi="Lato"/>
                <w:szCs w:val="22"/>
              </w:rPr>
            </w:pPr>
            <w:r>
              <w:rPr>
                <w:rFonts w:ascii="Lato" w:hAnsi="Lato"/>
              </w:rPr>
              <w:t xml:space="preserve">(i) </w:t>
            </w:r>
            <w:r w:rsidRPr="005D6B0F">
              <w:rPr>
                <w:rFonts w:ascii="Lato" w:hAnsi="Lato"/>
              </w:rPr>
              <w:t>the reference indicator to measure the r</w:t>
            </w:r>
            <w:r>
              <w:rPr>
                <w:rFonts w:ascii="Lato" w:hAnsi="Lato"/>
              </w:rPr>
              <w:t xml:space="preserve">elative </w:t>
            </w:r>
          </w:p>
        </w:tc>
        <w:tc>
          <w:tcPr>
            <w:tcW w:w="968"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52" w:type="dxa"/>
            <w:tcBorders>
              <w:top w:val="nil"/>
              <w:left w:val="single" w:sz="4" w:space="0" w:color="auto"/>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r>
              <w:rPr>
                <w:rFonts w:ascii="Lato" w:hAnsi="Lato"/>
              </w:rPr>
              <w:t>performance of the AIF</w:t>
            </w:r>
          </w:p>
        </w:tc>
        <w:tc>
          <w:tcPr>
            <w:tcW w:w="968" w:type="dxa"/>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F627B2">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r>
              <w:rPr>
                <w:rFonts w:ascii="Lato" w:hAnsi="Lato"/>
              </w:rPr>
              <w:t xml:space="preserve">Note: </w:t>
            </w:r>
            <w:r w:rsidRPr="005D6B0F">
              <w:rPr>
                <w:rFonts w:ascii="Lato" w:hAnsi="Lato"/>
              </w:rPr>
              <w:t>This refer</w:t>
            </w:r>
            <w:r>
              <w:rPr>
                <w:rFonts w:ascii="Lato" w:hAnsi="Lato"/>
              </w:rPr>
              <w:t>ence indicator can be an index</w:t>
            </w:r>
            <w:r w:rsidRPr="005D6B0F">
              <w:rPr>
                <w:rFonts w:ascii="Lato" w:hAnsi="Lato"/>
              </w:rPr>
              <w:t>, a H</w:t>
            </w:r>
            <w:r>
              <w:rPr>
                <w:rFonts w:ascii="Lato" w:hAnsi="Lato"/>
              </w:rPr>
              <w:t xml:space="preserve">igh </w:t>
            </w:r>
            <w:r w:rsidRPr="005D6B0F">
              <w:rPr>
                <w:rFonts w:ascii="Lato" w:hAnsi="Lato"/>
              </w:rPr>
              <w:t>W</w:t>
            </w:r>
            <w:r>
              <w:rPr>
                <w:rFonts w:ascii="Lato" w:hAnsi="Lato"/>
              </w:rPr>
              <w:t xml:space="preserve">ater </w:t>
            </w:r>
            <w:r w:rsidRPr="005D6B0F">
              <w:rPr>
                <w:rFonts w:ascii="Lato" w:hAnsi="Lato"/>
              </w:rPr>
              <w:t>M</w:t>
            </w:r>
            <w:r>
              <w:rPr>
                <w:rFonts w:ascii="Lato" w:hAnsi="Lato"/>
              </w:rPr>
              <w:t xml:space="preserve">ark, a hurdle rate </w:t>
            </w:r>
            <w:r w:rsidRPr="005D6B0F">
              <w:rPr>
                <w:rFonts w:ascii="Lato" w:hAnsi="Lato"/>
              </w:rPr>
              <w:t>or a combin</w:t>
            </w:r>
            <w:r>
              <w:rPr>
                <w:rFonts w:ascii="Lato" w:hAnsi="Lato"/>
              </w:rPr>
              <w:t>ation (e.g.: HWM + hurdle rate)</w:t>
            </w:r>
          </w:p>
        </w:tc>
        <w:tc>
          <w:tcPr>
            <w:tcW w:w="968"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968" w:type="dxa"/>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single" w:sz="4" w:space="0" w:color="auto"/>
            </w:tcBorders>
          </w:tcPr>
          <w:p w:rsidR="00256122" w:rsidRPr="00F627B2" w:rsidRDefault="00256122" w:rsidP="00256122">
            <w:pPr>
              <w:spacing w:line="240" w:lineRule="auto"/>
              <w:rPr>
                <w:rFonts w:ascii="Lato" w:hAnsi="Lato"/>
                <w:szCs w:val="22"/>
              </w:rPr>
            </w:pPr>
            <w:r>
              <w:rPr>
                <w:rFonts w:ascii="Lato" w:hAnsi="Lato"/>
              </w:rPr>
              <w:t xml:space="preserve">(ii) </w:t>
            </w:r>
            <w:r w:rsidRPr="008B153A">
              <w:rPr>
                <w:rFonts w:ascii="Lato" w:hAnsi="Lato"/>
              </w:rPr>
              <w:t xml:space="preserve">The </w:t>
            </w:r>
            <w:r>
              <w:rPr>
                <w:rFonts w:ascii="Lato" w:hAnsi="Lato"/>
              </w:rPr>
              <w:t xml:space="preserve">crystallisation frequency at which the accrued </w:t>
            </w:r>
          </w:p>
        </w:tc>
        <w:tc>
          <w:tcPr>
            <w:tcW w:w="968"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52" w:type="dxa"/>
            <w:tcBorders>
              <w:top w:val="nil"/>
              <w:left w:val="single" w:sz="4" w:space="0" w:color="auto"/>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r>
              <w:rPr>
                <w:rFonts w:ascii="Lato" w:hAnsi="Lato"/>
              </w:rPr>
              <w:t xml:space="preserve">performance fee, if any, becomes payable to the manager and </w:t>
            </w:r>
          </w:p>
        </w:tc>
        <w:tc>
          <w:tcPr>
            <w:tcW w:w="968" w:type="dxa"/>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F627B2">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r>
              <w:rPr>
                <w:rFonts w:ascii="Lato" w:hAnsi="Lato"/>
              </w:rPr>
              <w:t xml:space="preserve">a crystallisation date at which the performance fee is </w:t>
            </w:r>
          </w:p>
        </w:tc>
        <w:tc>
          <w:tcPr>
            <w:tcW w:w="968"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F627B2">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r>
              <w:rPr>
                <w:rFonts w:ascii="Lato" w:hAnsi="Lato"/>
              </w:rPr>
              <w:t>credited to the manager</w:t>
            </w:r>
          </w:p>
        </w:tc>
        <w:tc>
          <w:tcPr>
            <w:tcW w:w="968"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968" w:type="dxa"/>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single" w:sz="4" w:space="0" w:color="auto"/>
            </w:tcBorders>
          </w:tcPr>
          <w:p w:rsidR="00256122" w:rsidRPr="00F627B2" w:rsidRDefault="00256122" w:rsidP="00256122">
            <w:pPr>
              <w:spacing w:line="240" w:lineRule="auto"/>
              <w:rPr>
                <w:rFonts w:ascii="Lato" w:hAnsi="Lato"/>
                <w:szCs w:val="22"/>
              </w:rPr>
            </w:pPr>
            <w:r w:rsidRPr="004E6794">
              <w:rPr>
                <w:rFonts w:ascii="Lato" w:hAnsi="Lato"/>
              </w:rPr>
              <w:t>(i</w:t>
            </w:r>
            <w:r>
              <w:rPr>
                <w:rFonts w:ascii="Lato" w:hAnsi="Lato"/>
              </w:rPr>
              <w:t>ii</w:t>
            </w:r>
            <w:r w:rsidRPr="004E6794">
              <w:rPr>
                <w:rFonts w:ascii="Lato" w:hAnsi="Lato"/>
              </w:rPr>
              <w:t xml:space="preserve">) </w:t>
            </w:r>
            <w:r w:rsidRPr="008B153A">
              <w:rPr>
                <w:rFonts w:ascii="Lato" w:hAnsi="Lato"/>
              </w:rPr>
              <w:t xml:space="preserve">The </w:t>
            </w:r>
            <w:r>
              <w:rPr>
                <w:rFonts w:ascii="Lato" w:hAnsi="Lato"/>
              </w:rPr>
              <w:t>performance reference period (t</w:t>
            </w:r>
            <w:r w:rsidRPr="004E6794">
              <w:rPr>
                <w:rFonts w:ascii="Lato" w:hAnsi="Lato"/>
              </w:rPr>
              <w:t xml:space="preserve">he calculation </w:t>
            </w:r>
          </w:p>
        </w:tc>
        <w:tc>
          <w:tcPr>
            <w:tcW w:w="968"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52" w:type="dxa"/>
            <w:tcBorders>
              <w:top w:val="nil"/>
              <w:left w:val="single" w:sz="4" w:space="0" w:color="auto"/>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r w:rsidRPr="004E6794">
              <w:rPr>
                <w:rFonts w:ascii="Lato" w:hAnsi="Lato"/>
              </w:rPr>
              <w:t>period for determining the fee</w:t>
            </w:r>
            <w:r>
              <w:rPr>
                <w:rFonts w:ascii="Lato" w:hAnsi="Lato"/>
              </w:rPr>
              <w:t>)</w:t>
            </w:r>
          </w:p>
        </w:tc>
        <w:tc>
          <w:tcPr>
            <w:tcW w:w="968" w:type="dxa"/>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968" w:type="dxa"/>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single" w:sz="4" w:space="0" w:color="auto"/>
            </w:tcBorders>
          </w:tcPr>
          <w:p w:rsidR="00256122" w:rsidRPr="00F627B2" w:rsidRDefault="00256122" w:rsidP="00256122">
            <w:pPr>
              <w:spacing w:line="240" w:lineRule="auto"/>
              <w:rPr>
                <w:rFonts w:ascii="Lato" w:hAnsi="Lato"/>
                <w:szCs w:val="22"/>
              </w:rPr>
            </w:pPr>
            <w:r w:rsidRPr="004E6794">
              <w:rPr>
                <w:rFonts w:ascii="Lato" w:hAnsi="Lato"/>
              </w:rPr>
              <w:t>(i</w:t>
            </w:r>
            <w:r>
              <w:rPr>
                <w:rFonts w:ascii="Lato" w:hAnsi="Lato"/>
              </w:rPr>
              <w:t>v</w:t>
            </w:r>
            <w:r w:rsidRPr="004E6794">
              <w:rPr>
                <w:rFonts w:ascii="Lato" w:hAnsi="Lato"/>
              </w:rPr>
              <w:t>) The first calculation period</w:t>
            </w:r>
          </w:p>
        </w:tc>
        <w:tc>
          <w:tcPr>
            <w:tcW w:w="968"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52" w:type="dxa"/>
            <w:tcBorders>
              <w:top w:val="nil"/>
              <w:left w:val="single" w:sz="4" w:space="0" w:color="auto"/>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968" w:type="dxa"/>
            <w:tcBorders>
              <w:top w:val="single" w:sz="4" w:space="0" w:color="auto"/>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single" w:sz="4" w:space="0" w:color="auto"/>
            </w:tcBorders>
          </w:tcPr>
          <w:p w:rsidR="00256122" w:rsidRPr="00F627B2" w:rsidRDefault="00256122" w:rsidP="00256122">
            <w:pPr>
              <w:spacing w:line="240" w:lineRule="auto"/>
              <w:rPr>
                <w:rFonts w:ascii="Lato" w:hAnsi="Lato"/>
                <w:szCs w:val="22"/>
              </w:rPr>
            </w:pPr>
            <w:r w:rsidRPr="004E6794">
              <w:rPr>
                <w:rFonts w:ascii="Lato" w:hAnsi="Lato"/>
              </w:rPr>
              <w:t>(</w:t>
            </w:r>
            <w:r>
              <w:rPr>
                <w:rFonts w:ascii="Lato" w:hAnsi="Lato"/>
              </w:rPr>
              <w:t>v</w:t>
            </w:r>
            <w:r w:rsidRPr="004E6794">
              <w:rPr>
                <w:rFonts w:ascii="Lato" w:hAnsi="Lato"/>
              </w:rPr>
              <w:t xml:space="preserve">) </w:t>
            </w:r>
            <w:r>
              <w:rPr>
                <w:rFonts w:ascii="Lato" w:hAnsi="Lato"/>
              </w:rPr>
              <w:t>The performance fee rate (t</w:t>
            </w:r>
            <w:r w:rsidRPr="004E6794">
              <w:rPr>
                <w:rFonts w:ascii="Lato" w:hAnsi="Lato"/>
              </w:rPr>
              <w:t>he</w:t>
            </w:r>
            <w:r w:rsidRPr="004E6794" w:rsidDel="005C75CA">
              <w:rPr>
                <w:rFonts w:ascii="Lato" w:hAnsi="Lato"/>
              </w:rPr>
              <w:t xml:space="preserve"> </w:t>
            </w:r>
            <w:r w:rsidRPr="004E6794">
              <w:rPr>
                <w:rFonts w:ascii="Lato" w:hAnsi="Lato"/>
              </w:rPr>
              <w:t xml:space="preserve">percentage </w:t>
            </w:r>
          </w:p>
        </w:tc>
        <w:tc>
          <w:tcPr>
            <w:tcW w:w="968"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52" w:type="dxa"/>
            <w:tcBorders>
              <w:top w:val="nil"/>
              <w:left w:val="single" w:sz="4" w:space="0" w:color="auto"/>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r>
              <w:rPr>
                <w:rFonts w:ascii="Lato" w:hAnsi="Lato"/>
              </w:rPr>
              <w:t xml:space="preserve">performance fee </w:t>
            </w:r>
            <w:r w:rsidRPr="004E6794">
              <w:rPr>
                <w:rFonts w:ascii="Lato" w:hAnsi="Lato"/>
              </w:rPr>
              <w:t>payable</w:t>
            </w:r>
            <w:r>
              <w:rPr>
                <w:rFonts w:ascii="Lato" w:hAnsi="Lato"/>
              </w:rPr>
              <w:t>) which may also be referred to as the “flat rate” i.e. the rate of performance fee which may be applied in all models</w:t>
            </w:r>
          </w:p>
        </w:tc>
        <w:tc>
          <w:tcPr>
            <w:tcW w:w="968" w:type="dxa"/>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F627B2">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r w:rsidRPr="004E6794">
              <w:rPr>
                <w:rFonts w:ascii="Lato" w:hAnsi="Lato"/>
              </w:rPr>
              <w:t xml:space="preserve">Note: </w:t>
            </w:r>
            <w:r w:rsidRPr="004E6794">
              <w:rPr>
                <w:rFonts w:ascii="Lato" w:hAnsi="Lato"/>
                <w:szCs w:val="22"/>
              </w:rPr>
              <w:t xml:space="preserve">It is not the Central Bank’s practice to approve performance fees above 20% </w:t>
            </w:r>
            <w:r w:rsidRPr="004E6794">
              <w:rPr>
                <w:rFonts w:ascii="Lato" w:hAnsi="Lato"/>
              </w:rPr>
              <w:t xml:space="preserve">of the increase over the previous highest NAV or 20% of the amount by which the </w:t>
            </w:r>
            <w:r>
              <w:rPr>
                <w:rFonts w:ascii="Lato" w:hAnsi="Lato"/>
              </w:rPr>
              <w:t xml:space="preserve">AIF </w:t>
            </w:r>
            <w:r w:rsidRPr="004E6794">
              <w:rPr>
                <w:rFonts w:ascii="Lato" w:hAnsi="Lato"/>
              </w:rPr>
              <w:t>outperforms the index</w:t>
            </w:r>
          </w:p>
        </w:tc>
        <w:tc>
          <w:tcPr>
            <w:tcW w:w="968"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968" w:type="dxa"/>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single" w:sz="4" w:space="0" w:color="auto"/>
            </w:tcBorders>
          </w:tcPr>
          <w:p w:rsidR="00256122" w:rsidRPr="00F627B2" w:rsidRDefault="00256122" w:rsidP="00256122">
            <w:pPr>
              <w:spacing w:line="240" w:lineRule="auto"/>
              <w:rPr>
                <w:rFonts w:ascii="Lato" w:hAnsi="Lato"/>
                <w:szCs w:val="22"/>
              </w:rPr>
            </w:pPr>
            <w:r w:rsidRPr="00435A58">
              <w:rPr>
                <w:rFonts w:ascii="Lato" w:hAnsi="Lato"/>
              </w:rPr>
              <w:t>(</w:t>
            </w:r>
            <w:r>
              <w:rPr>
                <w:rFonts w:ascii="Lato" w:hAnsi="Lato"/>
              </w:rPr>
              <w:t>vi</w:t>
            </w:r>
            <w:r w:rsidRPr="00435A58">
              <w:rPr>
                <w:rFonts w:ascii="Lato" w:hAnsi="Lato"/>
              </w:rPr>
              <w:t xml:space="preserve">) </w:t>
            </w:r>
            <w:r>
              <w:rPr>
                <w:rFonts w:ascii="Lato" w:hAnsi="Lato"/>
              </w:rPr>
              <w:t xml:space="preserve">The performance fee methodology defining the </w:t>
            </w:r>
          </w:p>
        </w:tc>
        <w:tc>
          <w:tcPr>
            <w:tcW w:w="968"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52" w:type="dxa"/>
            <w:tcBorders>
              <w:top w:val="nil"/>
              <w:left w:val="single" w:sz="4" w:space="0" w:color="auto"/>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r>
              <w:rPr>
                <w:rFonts w:ascii="Lato" w:hAnsi="Lato"/>
              </w:rPr>
              <w:t>method for the calculation of the performance fees based on the abovementioned inputs and any other relevant inputs</w:t>
            </w:r>
          </w:p>
        </w:tc>
        <w:tc>
          <w:tcPr>
            <w:tcW w:w="968" w:type="dxa"/>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968" w:type="dxa"/>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single" w:sz="4" w:space="0" w:color="auto"/>
            </w:tcBorders>
          </w:tcPr>
          <w:p w:rsidR="00256122" w:rsidRPr="00F627B2" w:rsidRDefault="00256122" w:rsidP="00256122">
            <w:pPr>
              <w:spacing w:line="240" w:lineRule="auto"/>
              <w:rPr>
                <w:rFonts w:ascii="Lato" w:hAnsi="Lato"/>
                <w:szCs w:val="22"/>
              </w:rPr>
            </w:pPr>
            <w:r w:rsidRPr="00435A58">
              <w:rPr>
                <w:rFonts w:ascii="Lato" w:hAnsi="Lato"/>
              </w:rPr>
              <w:t>(</w:t>
            </w:r>
            <w:r>
              <w:rPr>
                <w:rFonts w:ascii="Lato" w:hAnsi="Lato"/>
              </w:rPr>
              <w:t>vii</w:t>
            </w:r>
            <w:r w:rsidRPr="00435A58">
              <w:rPr>
                <w:rFonts w:ascii="Lato" w:hAnsi="Lato"/>
              </w:rPr>
              <w:t xml:space="preserve">) </w:t>
            </w:r>
            <w:r>
              <w:rPr>
                <w:rFonts w:ascii="Lato" w:hAnsi="Lato"/>
              </w:rPr>
              <w:t xml:space="preserve">The computation frequency which should coincide </w:t>
            </w:r>
          </w:p>
        </w:tc>
        <w:tc>
          <w:tcPr>
            <w:tcW w:w="968"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52" w:type="dxa"/>
            <w:tcBorders>
              <w:top w:val="nil"/>
              <w:left w:val="single" w:sz="4" w:space="0" w:color="auto"/>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r>
              <w:rPr>
                <w:rFonts w:ascii="Lato" w:hAnsi="Lato"/>
              </w:rPr>
              <w:t>with the calculation frequency of the NAV (e.g. if the AIF calculates its NAV daily, the performance fee should be calculated and accrued in the NAV on a daily basis)</w:t>
            </w:r>
          </w:p>
        </w:tc>
        <w:tc>
          <w:tcPr>
            <w:tcW w:w="968" w:type="dxa"/>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968" w:type="dxa"/>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nil"/>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Default="00256122" w:rsidP="00256122">
            <w:pPr>
              <w:spacing w:line="240" w:lineRule="auto"/>
              <w:rPr>
                <w:rFonts w:ascii="Lato" w:hAnsi="Lato"/>
                <w:szCs w:val="22"/>
              </w:rPr>
            </w:pPr>
          </w:p>
        </w:tc>
        <w:tc>
          <w:tcPr>
            <w:tcW w:w="6744" w:type="dxa"/>
            <w:tcBorders>
              <w:top w:val="nil"/>
              <w:left w:val="nil"/>
              <w:bottom w:val="nil"/>
              <w:right w:val="single" w:sz="4" w:space="0" w:color="auto"/>
            </w:tcBorders>
          </w:tcPr>
          <w:p w:rsidR="00256122" w:rsidRPr="00F627B2" w:rsidRDefault="00256122" w:rsidP="00256122">
            <w:pPr>
              <w:spacing w:line="240" w:lineRule="auto"/>
              <w:rPr>
                <w:rFonts w:ascii="Lato" w:hAnsi="Lato"/>
                <w:szCs w:val="22"/>
              </w:rPr>
            </w:pPr>
            <w:r w:rsidRPr="004E6794">
              <w:rPr>
                <w:rFonts w:ascii="Lato" w:hAnsi="Lato"/>
              </w:rPr>
              <w:t>(</w:t>
            </w:r>
            <w:r>
              <w:rPr>
                <w:rFonts w:ascii="Lato" w:hAnsi="Lato"/>
              </w:rPr>
              <w:t>v</w:t>
            </w:r>
            <w:r w:rsidRPr="004E6794">
              <w:rPr>
                <w:rFonts w:ascii="Lato" w:hAnsi="Lato"/>
              </w:rPr>
              <w:t xml:space="preserve">iii) </w:t>
            </w:r>
            <w:r>
              <w:rPr>
                <w:rFonts w:ascii="Lato" w:hAnsi="Lato"/>
                <w:kern w:val="32"/>
                <w:szCs w:val="32"/>
              </w:rPr>
              <w:t>the date when the performance fee is paid</w:t>
            </w:r>
          </w:p>
        </w:tc>
        <w:tc>
          <w:tcPr>
            <w:tcW w:w="968"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52" w:type="dxa"/>
            <w:tcBorders>
              <w:top w:val="nil"/>
              <w:left w:val="single" w:sz="4" w:space="0" w:color="auto"/>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968" w:type="dxa"/>
            <w:tcBorders>
              <w:top w:val="single" w:sz="4" w:space="0" w:color="auto"/>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6744" w:type="dxa"/>
            <w:tcBorders>
              <w:top w:val="nil"/>
              <w:left w:val="nil"/>
              <w:bottom w:val="nil"/>
              <w:right w:val="single" w:sz="4" w:space="0" w:color="auto"/>
            </w:tcBorders>
          </w:tcPr>
          <w:p w:rsidR="00256122" w:rsidRPr="00F627B2" w:rsidRDefault="00256122" w:rsidP="00256122">
            <w:pPr>
              <w:spacing w:line="240" w:lineRule="auto"/>
              <w:rPr>
                <w:rFonts w:ascii="Lato" w:hAnsi="Lato"/>
                <w:szCs w:val="22"/>
              </w:rPr>
            </w:pPr>
            <w:r>
              <w:rPr>
                <w:rFonts w:ascii="Lato" w:hAnsi="Lato"/>
              </w:rPr>
              <w:t xml:space="preserve">(ix) </w:t>
            </w:r>
            <w:r>
              <w:rPr>
                <w:rFonts w:ascii="Lato" w:hAnsi="Lato"/>
                <w:kern w:val="32"/>
                <w:szCs w:val="32"/>
              </w:rPr>
              <w:t xml:space="preserve">concrete examples of how the performance fee will </w:t>
            </w:r>
          </w:p>
        </w:tc>
        <w:tc>
          <w:tcPr>
            <w:tcW w:w="968"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256122" w:rsidRPr="00F627B2" w:rsidRDefault="00256122" w:rsidP="00256122">
            <w:pPr>
              <w:spacing w:line="240" w:lineRule="auto"/>
              <w:rPr>
                <w:rFonts w:ascii="Lato" w:hAnsi="Lato"/>
                <w:szCs w:val="22"/>
              </w:rPr>
            </w:pPr>
          </w:p>
        </w:tc>
        <w:tc>
          <w:tcPr>
            <w:tcW w:w="252" w:type="dxa"/>
            <w:tcBorders>
              <w:top w:val="nil"/>
              <w:left w:val="single" w:sz="4" w:space="0" w:color="auto"/>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23674A">
        <w:trPr>
          <w:gridAfter w:val="1"/>
          <w:wAfter w:w="21" w:type="dxa"/>
        </w:trPr>
        <w:tc>
          <w:tcPr>
            <w:tcW w:w="1070"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r>
              <w:rPr>
                <w:rFonts w:ascii="Lato" w:hAnsi="Lato"/>
                <w:kern w:val="32"/>
                <w:szCs w:val="32"/>
              </w:rPr>
              <w:t>be calculated to provide investors with a better understanding of the performance fee model especially where the performance fee model allows for performance fees to be charged even in case of negative performance</w:t>
            </w:r>
          </w:p>
        </w:tc>
        <w:tc>
          <w:tcPr>
            <w:tcW w:w="968" w:type="dxa"/>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single" w:sz="4" w:space="0" w:color="auto"/>
              <w:left w:val="nil"/>
              <w:bottom w:val="nil"/>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256122" w:rsidRPr="00F627B2" w:rsidTr="00F627B2">
        <w:trPr>
          <w:gridAfter w:val="1"/>
          <w:wAfter w:w="21" w:type="dxa"/>
        </w:trPr>
        <w:tc>
          <w:tcPr>
            <w:tcW w:w="1070"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674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968"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283"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700" w:type="dxa"/>
            <w:gridSpan w:val="2"/>
            <w:tcBorders>
              <w:top w:val="nil"/>
              <w:left w:val="nil"/>
              <w:bottom w:val="nil"/>
              <w:right w:val="nil"/>
            </w:tcBorders>
          </w:tcPr>
          <w:p w:rsidR="00256122" w:rsidRPr="00F627B2" w:rsidRDefault="00256122" w:rsidP="00256122">
            <w:pPr>
              <w:spacing w:line="240" w:lineRule="auto"/>
              <w:rPr>
                <w:rFonts w:ascii="Lato" w:hAnsi="Lato"/>
                <w:szCs w:val="22"/>
              </w:rPr>
            </w:pPr>
          </w:p>
        </w:tc>
        <w:tc>
          <w:tcPr>
            <w:tcW w:w="284"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50"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252" w:type="dxa"/>
            <w:tcBorders>
              <w:top w:val="nil"/>
              <w:left w:val="nil"/>
              <w:bottom w:val="nil"/>
              <w:right w:val="nil"/>
            </w:tcBorders>
          </w:tcPr>
          <w:p w:rsidR="00256122" w:rsidRPr="00F627B2" w:rsidRDefault="00256122" w:rsidP="00256122">
            <w:pPr>
              <w:spacing w:line="240" w:lineRule="auto"/>
              <w:rPr>
                <w:rFonts w:ascii="Lato" w:hAnsi="Lato"/>
                <w:szCs w:val="22"/>
              </w:rPr>
            </w:pPr>
          </w:p>
        </w:tc>
        <w:tc>
          <w:tcPr>
            <w:tcW w:w="405" w:type="dxa"/>
            <w:tcBorders>
              <w:top w:val="nil"/>
              <w:left w:val="nil"/>
              <w:bottom w:val="nil"/>
              <w:right w:val="nil"/>
            </w:tcBorders>
          </w:tcPr>
          <w:p w:rsidR="00256122" w:rsidRPr="00F627B2" w:rsidRDefault="00256122" w:rsidP="00256122">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d)</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Confirm</w:t>
            </w:r>
            <w:r w:rsidRPr="001E1434">
              <w:rPr>
                <w:rFonts w:ascii="Lato" w:hAnsi="Lato"/>
              </w:rPr>
              <w:t xml:space="preserve"> that:</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 xml:space="preserve">(i)The calculation of the performance fee does not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Default="00B86B94" w:rsidP="00B86B94">
            <w:pPr>
              <w:spacing w:line="240" w:lineRule="auto"/>
              <w:jc w:val="both"/>
              <w:rPr>
                <w:rFonts w:ascii="Lato" w:hAnsi="Lato"/>
              </w:rPr>
            </w:pPr>
            <w:r>
              <w:rPr>
                <w:rFonts w:ascii="Lato" w:hAnsi="Lato"/>
              </w:rPr>
              <w:t>crystallise more than once per year,</w:t>
            </w:r>
          </w:p>
          <w:p w:rsidR="00B86B94" w:rsidRPr="00F627B2" w:rsidRDefault="00B86B94" w:rsidP="00B86B94">
            <w:pPr>
              <w:spacing w:line="240" w:lineRule="auto"/>
              <w:rPr>
                <w:rFonts w:ascii="Lato" w:hAnsi="Lato"/>
                <w:szCs w:val="22"/>
              </w:rPr>
            </w:pPr>
            <w:r>
              <w:rPr>
                <w:rFonts w:ascii="Lato" w:hAnsi="Lato"/>
              </w:rPr>
              <w:t>and</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(ii)The performance fee is not paid more than once per year</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 xml:space="preserve">(iii) The performance fee model is consistent with the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AIF investment objectives, strategy and policy</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 xml:space="preserve">(iv) The crystallisation date is the same for all share classes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of the AIF</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B0373F">
              <w:rPr>
                <w:rFonts w:ascii="Lato" w:hAnsi="Lato" w:cs="Arial"/>
              </w:rPr>
              <w:t xml:space="preserve">The crystallisation date </w:t>
            </w:r>
            <w:r>
              <w:rPr>
                <w:rFonts w:ascii="Lato" w:hAnsi="Lato" w:cs="Arial"/>
              </w:rPr>
              <w:t xml:space="preserve">should seek to </w:t>
            </w:r>
            <w:r w:rsidRPr="00B0373F">
              <w:rPr>
                <w:rFonts w:ascii="Lato" w:hAnsi="Lato" w:cs="Arial"/>
              </w:rPr>
              <w:t>align with 31 December or with the end of the financial year of the</w:t>
            </w:r>
            <w:r>
              <w:rPr>
                <w:rFonts w:ascii="Lato" w:hAnsi="Lato" w:cs="Arial"/>
              </w:rPr>
              <w:t xml:space="preserve"> AIF</w:t>
            </w:r>
            <w:r w:rsidRPr="00B0373F">
              <w:rPr>
                <w:rFonts w:ascii="Lato" w:hAnsi="Lato" w:cs="Arial"/>
              </w:rPr>
              <w:t>.</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 xml:space="preserve">(v) Upon investor’s redemptions, performance fees, if any,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crystallise in due proportions on the date of the investor’s redemption.</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 xml:space="preserve">(vi) </w:t>
            </w:r>
            <w:r>
              <w:rPr>
                <w:rFonts w:ascii="Lato" w:hAnsi="Lato"/>
                <w:kern w:val="32"/>
                <w:szCs w:val="32"/>
              </w:rPr>
              <w:t xml:space="preserve">The performance fee model is designed to ensure that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kern w:val="32"/>
                <w:szCs w:val="32"/>
              </w:rPr>
              <w:t>the manager is not incentivised to take excessive risks and that cumulative gains are duly offset by cumulative losses</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e)</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Pr>
                <w:rFonts w:ascii="Lato" w:hAnsi="Lato"/>
              </w:rPr>
              <w:t xml:space="preserve">(i) </w:t>
            </w:r>
            <w:r w:rsidRPr="004E6794">
              <w:rPr>
                <w:rFonts w:ascii="Lato" w:hAnsi="Lato"/>
              </w:rPr>
              <w:t xml:space="preserve">Provide that the calculation of the performance fee is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A842D3">
              <w:rPr>
                <w:rFonts w:ascii="Lato" w:hAnsi="Lato"/>
              </w:rPr>
              <w:t xml:space="preserve">verified </w:t>
            </w:r>
            <w:r w:rsidRPr="004E6794">
              <w:rPr>
                <w:rFonts w:ascii="Lato" w:hAnsi="Lato"/>
              </w:rPr>
              <w:t>by the depositary</w:t>
            </w:r>
            <w:r>
              <w:rPr>
                <w:rFonts w:ascii="Lato" w:hAnsi="Lato"/>
              </w:rPr>
              <w:t xml:space="preserve"> </w:t>
            </w:r>
            <w:r w:rsidRPr="00F627B2">
              <w:rPr>
                <w:rFonts w:ascii="Lato" w:hAnsi="Lato"/>
                <w:szCs w:val="22"/>
              </w:rPr>
              <w:t>or a competent person appointed by the AIFM and approved for the purpose by the depositary</w:t>
            </w:r>
            <w:r>
              <w:rPr>
                <w:rFonts w:ascii="Lato" w:hAnsi="Lato"/>
                <w:szCs w:val="22"/>
              </w:rPr>
              <w:t>,</w:t>
            </w:r>
            <w:r w:rsidRPr="00736051">
              <w:rPr>
                <w:rFonts w:ascii="Lato" w:hAnsi="Lato"/>
              </w:rPr>
              <w:t xml:space="preserve"> and not open to the possibility </w:t>
            </w:r>
            <w:r w:rsidRPr="00736051">
              <w:rPr>
                <w:rFonts w:ascii="Lato" w:hAnsi="Lato"/>
                <w:kern w:val="32"/>
                <w:szCs w:val="32"/>
              </w:rPr>
              <w:t>of manipulation</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Pr>
                <w:rFonts w:ascii="Lato" w:hAnsi="Lato"/>
              </w:rPr>
              <w:t xml:space="preserve">(ii) Provide that excess performance should be calculated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pPr>
              <w:spacing w:line="240" w:lineRule="auto"/>
              <w:rPr>
                <w:rFonts w:ascii="Lato" w:hAnsi="Lato"/>
                <w:szCs w:val="22"/>
              </w:rPr>
            </w:pPr>
            <w:r>
              <w:rPr>
                <w:rFonts w:ascii="Lato" w:hAnsi="Lato"/>
              </w:rPr>
              <w:t xml:space="preserve">net of all costs but could be calculated without deducting the performance fee itself, provided that in doing so it is in the investor’s best interest </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szCs w:val="22"/>
              </w:rPr>
              <w:t>f)</w:t>
            </w:r>
          </w:p>
        </w:tc>
        <w:tc>
          <w:tcPr>
            <w:tcW w:w="6744" w:type="dxa"/>
            <w:tcBorders>
              <w:top w:val="nil"/>
              <w:left w:val="nil"/>
              <w:bottom w:val="nil"/>
              <w:right w:val="nil"/>
            </w:tcBorders>
          </w:tcPr>
          <w:p w:rsidR="00B86B94" w:rsidRPr="0023674A" w:rsidRDefault="00B86B94" w:rsidP="00B86B94">
            <w:pPr>
              <w:spacing w:line="240" w:lineRule="auto"/>
              <w:rPr>
                <w:rFonts w:ascii="Lato" w:hAnsi="Lato"/>
                <w:szCs w:val="22"/>
                <w:u w:val="single"/>
              </w:rPr>
            </w:pPr>
            <w:r w:rsidRPr="0023674A">
              <w:rPr>
                <w:rFonts w:ascii="Lato" w:hAnsi="Lato"/>
                <w:szCs w:val="22"/>
                <w:u w:val="single"/>
              </w:rPr>
              <w:t>Payable on new high net asset value per share</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Provide that: </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Pr>
                <w:rFonts w:ascii="Lato" w:hAnsi="Lato"/>
                <w:szCs w:val="22"/>
              </w:rPr>
              <w:t xml:space="preserve">(i) </w:t>
            </w:r>
            <w:r w:rsidRPr="00F627B2">
              <w:rPr>
                <w:rFonts w:ascii="Lato" w:hAnsi="Lato"/>
                <w:szCs w:val="22"/>
              </w:rPr>
              <w:t xml:space="preserve">No performance fee is accrued/paid until the net asset value per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1E4A73">
              <w:rPr>
                <w:rFonts w:ascii="Lato" w:hAnsi="Lato"/>
                <w:szCs w:val="22"/>
              </w:rPr>
              <w:t>share</w:t>
            </w:r>
            <w:r w:rsidRPr="00F627B2">
              <w:rPr>
                <w:rFonts w:ascii="Lato" w:hAnsi="Lato"/>
                <w:szCs w:val="22"/>
              </w:rPr>
              <w:t xml:space="preserve"> exceeds the previous highest net asset value per share on which the performance fee was paid/accrued (or the initial offer price if higher)  (the “water mark”);</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u w:val="single"/>
              </w:rPr>
              <w:t>and</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7B70F5">
            <w:pPr>
              <w:spacing w:line="240" w:lineRule="auto"/>
              <w:rPr>
                <w:rFonts w:ascii="Lato" w:hAnsi="Lato"/>
                <w:szCs w:val="22"/>
              </w:rPr>
            </w:pPr>
            <w:r>
              <w:rPr>
                <w:rFonts w:ascii="Lato" w:hAnsi="Lato"/>
                <w:szCs w:val="22"/>
              </w:rPr>
              <w:t xml:space="preserve">(ii) </w:t>
            </w:r>
            <w:r w:rsidRPr="00F627B2">
              <w:rPr>
                <w:rFonts w:ascii="Lato" w:hAnsi="Lato"/>
                <w:szCs w:val="22"/>
              </w:rPr>
              <w:t xml:space="preserve">The fee is only payable/paid on the increase over the “water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9E7AAF" w:rsidP="00B86B94">
            <w:pPr>
              <w:spacing w:line="240" w:lineRule="auto"/>
              <w:rPr>
                <w:rFonts w:ascii="Lato" w:hAnsi="Lato"/>
                <w:szCs w:val="22"/>
              </w:rPr>
            </w:pPr>
            <w:r w:rsidRPr="00F627B2">
              <w:rPr>
                <w:rFonts w:ascii="Lato" w:hAnsi="Lato"/>
                <w:szCs w:val="22"/>
              </w:rPr>
              <w:t>mark”.</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szCs w:val="22"/>
              </w:rPr>
              <w:t>g)</w:t>
            </w:r>
          </w:p>
        </w:tc>
        <w:tc>
          <w:tcPr>
            <w:tcW w:w="6744" w:type="dxa"/>
            <w:tcBorders>
              <w:top w:val="nil"/>
              <w:left w:val="nil"/>
              <w:bottom w:val="nil"/>
              <w:right w:val="nil"/>
            </w:tcBorders>
          </w:tcPr>
          <w:p w:rsidR="00B86B94" w:rsidRPr="0023674A" w:rsidRDefault="00B86B94" w:rsidP="00B86B94">
            <w:pPr>
              <w:pStyle w:val="Heading1"/>
              <w:spacing w:before="0" w:after="0" w:line="240" w:lineRule="auto"/>
              <w:rPr>
                <w:rFonts w:ascii="Lato" w:eastAsia="Arial Unicode MS" w:hAnsi="Lato"/>
                <w:color w:val="auto"/>
                <w:sz w:val="22"/>
                <w:szCs w:val="22"/>
                <w:u w:val="single"/>
              </w:rPr>
            </w:pPr>
            <w:r w:rsidRPr="0023674A">
              <w:rPr>
                <w:rFonts w:ascii="Lato" w:hAnsi="Lato"/>
                <w:color w:val="auto"/>
                <w:sz w:val="22"/>
                <w:szCs w:val="22"/>
                <w:u w:val="single"/>
              </w:rPr>
              <w:t>Out-performance of an index</w:t>
            </w:r>
          </w:p>
          <w:p w:rsidR="00B86B94" w:rsidRPr="00F627B2" w:rsidRDefault="00B86B94" w:rsidP="00B86B94">
            <w:pPr>
              <w:spacing w:line="240" w:lineRule="auto"/>
              <w:rPr>
                <w:rFonts w:ascii="Lato" w:hAnsi="Lato"/>
                <w:szCs w:val="22"/>
              </w:rPr>
            </w:pPr>
            <w:r w:rsidRPr="00F627B2">
              <w:rPr>
                <w:rFonts w:ascii="Lato" w:hAnsi="Lato"/>
                <w:szCs w:val="22"/>
              </w:rPr>
              <w:t xml:space="preserve">Confirm: </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7B70F5">
            <w:pPr>
              <w:spacing w:line="240" w:lineRule="auto"/>
              <w:rPr>
                <w:rFonts w:ascii="Lato" w:hAnsi="Lato"/>
                <w:szCs w:val="22"/>
              </w:rPr>
            </w:pPr>
            <w:r>
              <w:rPr>
                <w:rFonts w:ascii="Lato" w:hAnsi="Lato"/>
                <w:szCs w:val="22"/>
              </w:rPr>
              <w:t xml:space="preserve">(i) </w:t>
            </w:r>
            <w:r w:rsidRPr="00F627B2">
              <w:rPr>
                <w:rFonts w:ascii="Lato" w:hAnsi="Lato"/>
                <w:szCs w:val="22"/>
              </w:rPr>
              <w:t xml:space="preserve">The index is relevant in the context of the Retail Investor AIF’s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9E7AAF" w:rsidP="00B86B94">
            <w:pPr>
              <w:spacing w:line="240" w:lineRule="auto"/>
              <w:rPr>
                <w:rFonts w:ascii="Lato" w:hAnsi="Lato"/>
                <w:szCs w:val="22"/>
              </w:rPr>
            </w:pPr>
            <w:r w:rsidRPr="00F627B2">
              <w:rPr>
                <w:rFonts w:ascii="Lato" w:hAnsi="Lato"/>
                <w:szCs w:val="22"/>
              </w:rPr>
              <w:t>policy</w:t>
            </w: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Pr>
                <w:rFonts w:ascii="Lato" w:hAnsi="Lato"/>
                <w:szCs w:val="22"/>
              </w:rPr>
              <w:t xml:space="preserve">(ii) </w:t>
            </w:r>
            <w:r w:rsidRPr="00F627B2">
              <w:rPr>
                <w:rFonts w:ascii="Lato" w:hAnsi="Lato"/>
                <w:szCs w:val="22"/>
              </w:rPr>
              <w:t xml:space="preserve">The fee is payable only on the amount by which the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Retail Investor AIF out performs the index</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u w:val="single"/>
              </w:rPr>
              <w:t>And</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Pr>
                <w:rFonts w:ascii="Lato" w:hAnsi="Lato"/>
                <w:szCs w:val="22"/>
              </w:rPr>
              <w:t xml:space="preserve">(iii) </w:t>
            </w:r>
            <w:r w:rsidRPr="00F627B2">
              <w:rPr>
                <w:rFonts w:ascii="Lato" w:hAnsi="Lato"/>
                <w:szCs w:val="22"/>
              </w:rPr>
              <w:t xml:space="preserve">Any underperformance of the index in preceding periods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is clawed back (cleared) before a fee becomes due in subsequent periods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For Retail Investor AIF</w:t>
            </w:r>
            <w:r w:rsidRPr="00F627B2" w:rsidDel="00F574A7">
              <w:rPr>
                <w:rFonts w:ascii="Lato" w:hAnsi="Lato"/>
                <w:szCs w:val="22"/>
              </w:rPr>
              <w:t xml:space="preserve"> </w:t>
            </w:r>
            <w:r w:rsidRPr="00F627B2">
              <w:rPr>
                <w:rFonts w:ascii="Lato" w:hAnsi="Lato"/>
                <w:szCs w:val="22"/>
              </w:rPr>
              <w:t>s whose investment policy is to replicate an</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Index, this limit is increased to 35% in the case of a single</w:t>
            </w:r>
          </w:p>
          <w:p w:rsidR="00B86B94" w:rsidRPr="00F627B2" w:rsidRDefault="00B86B94" w:rsidP="00B86B94">
            <w:pPr>
              <w:spacing w:line="240" w:lineRule="auto"/>
              <w:rPr>
                <w:rFonts w:ascii="Lato" w:hAnsi="Lato"/>
                <w:szCs w:val="22"/>
              </w:rPr>
            </w:pPr>
            <w:r w:rsidRPr="00F627B2">
              <w:rPr>
                <w:rFonts w:ascii="Lato" w:hAnsi="Lato"/>
                <w:szCs w:val="22"/>
              </w:rPr>
              <w:t>issuer where this is justified by exceptional market conditions</w:t>
            </w:r>
          </w:p>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Pr>
                <w:rFonts w:ascii="Lato" w:hAnsi="Lato"/>
              </w:rPr>
              <w:t xml:space="preserve">(iv) Where a UCITS managed in reference to an index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computes performance fees with a benchmark model based on a different but consistent index, the choice of index is explained in the prospectus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 xml:space="preserve">Confirm that: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 xml:space="preserve">(v) Where the UCITS is managed in reference to an index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and the performance fee is based on outperforming an index, that the same index is used (except where the UCITS’ holdings are not based upon the holdings of the index)</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 xml:space="preserve">(vi) Where a UCITS is managed in reference to a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benchmark but the UCITS’ portfolio holdings are not based upon the holdings of the benchmark (the index is used as a universe from which to select securities), the benchmark used for the portfolio composition is consistent with the benchmark used for the calculation of the performance fee</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Consistency should be primarily assessed against the similar risk-return profile of different benchmarks.</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 xml:space="preserve">(vii) Where performance fees are payable on the basis of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out-performance of a benchmark, a reference indicator is not set a systematically lower threshold for fee calculation than the actual benchmark</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szCs w:val="22"/>
              </w:rPr>
              <w:t>h)</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4E6794">
              <w:rPr>
                <w:rFonts w:ascii="Lato" w:hAnsi="Lato"/>
              </w:rPr>
              <w:t xml:space="preserve">Risk warnings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Disclose that:</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4E6794">
              <w:rPr>
                <w:rFonts w:ascii="Lato" w:hAnsi="Lato"/>
              </w:rPr>
              <w:t xml:space="preserve">(i) </w:t>
            </w:r>
            <w:r>
              <w:rPr>
                <w:rFonts w:ascii="Lato" w:hAnsi="Lato"/>
              </w:rPr>
              <w:t>the</w:t>
            </w:r>
            <w:r w:rsidRPr="004E6794">
              <w:rPr>
                <w:rFonts w:ascii="Lato" w:hAnsi="Lato"/>
              </w:rPr>
              <w:t xml:space="preserve"> performance fee is based on net realised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A842D3">
              <w:rPr>
                <w:rFonts w:ascii="Lato" w:hAnsi="Lato"/>
              </w:rPr>
              <w:t xml:space="preserve">and </w:t>
            </w:r>
            <w:r w:rsidRPr="004E6794">
              <w:rPr>
                <w:rFonts w:ascii="Lato" w:hAnsi="Lato"/>
              </w:rPr>
              <w:t xml:space="preserve">net unrealised gains and losses as at the end of each calculation period and as a result, </w:t>
            </w:r>
            <w:r>
              <w:rPr>
                <w:rFonts w:ascii="Lato" w:hAnsi="Lato"/>
              </w:rPr>
              <w:t>performance</w:t>
            </w:r>
            <w:r w:rsidRPr="004E6794">
              <w:rPr>
                <w:rFonts w:ascii="Lato" w:hAnsi="Lato"/>
              </w:rPr>
              <w:t xml:space="preserve"> fees may be paid on unrealised gains which may subsequently never be realised</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Pr>
                <w:rFonts w:ascii="Lato" w:hAnsi="Lato"/>
              </w:rPr>
              <w:t xml:space="preserve">(ii) Where a performance fee may be paid in times of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Pr>
                <w:rFonts w:ascii="Lato" w:hAnsi="Lato"/>
              </w:rPr>
              <w:t>negative performance (for example, the UCITS has out-performed its reference benchmark index, but, overall has a negative performance) include a prominent warning to investors in the prospectus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Pr>
                <w:rFonts w:ascii="Lato" w:hAnsi="Lato"/>
              </w:rPr>
              <w:t xml:space="preserve">(iii) </w:t>
            </w:r>
            <w:r w:rsidRPr="00CA4B2E">
              <w:rPr>
                <w:rFonts w:ascii="Lato" w:hAnsi="Lato"/>
              </w:rPr>
              <w:t>T</w:t>
            </w:r>
            <w:r w:rsidRPr="00CA4B2E">
              <w:rPr>
                <w:rFonts w:ascii="Lato" w:hAnsi="Lato" w:cs="Arial"/>
              </w:rPr>
              <w:t xml:space="preserve">he </w:t>
            </w:r>
            <w:r>
              <w:rPr>
                <w:rFonts w:ascii="Lato" w:hAnsi="Lato" w:cs="Arial"/>
              </w:rPr>
              <w:t>p</w:t>
            </w:r>
            <w:r w:rsidRPr="00CA4B2E">
              <w:rPr>
                <w:rFonts w:ascii="Lato" w:hAnsi="Lato" w:cs="Arial"/>
              </w:rPr>
              <w:t xml:space="preserve">rospectus should display the name of the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23674A">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CA4B2E">
              <w:rPr>
                <w:rFonts w:ascii="Lato" w:hAnsi="Lato" w:cs="Arial"/>
              </w:rPr>
              <w:t>benchmark and s</w:t>
            </w:r>
            <w:r>
              <w:rPr>
                <w:rFonts w:ascii="Lato" w:hAnsi="Lato" w:cs="Arial"/>
              </w:rPr>
              <w:t>how past performance against it</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ight="-109"/>
              <w:rPr>
                <w:rFonts w:ascii="Lato" w:hAnsi="Lato"/>
                <w:szCs w:val="22"/>
              </w:rPr>
            </w:pPr>
            <w:r w:rsidRPr="00F627B2">
              <w:rPr>
                <w:rFonts w:ascii="Lato" w:hAnsi="Lato"/>
                <w:szCs w:val="22"/>
              </w:rPr>
              <w:t>2.16.9</w:t>
            </w:r>
            <w:r>
              <w:rPr>
                <w:rFonts w:ascii="Lato" w:hAnsi="Lato"/>
                <w:szCs w:val="22"/>
              </w:rPr>
              <w:t xml:space="preserve"> B</w:t>
            </w: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eastAsia="Arial Unicode MS" w:hAnsi="Lato"/>
                <w:color w:val="auto"/>
                <w:sz w:val="22"/>
                <w:szCs w:val="22"/>
              </w:rPr>
            </w:pPr>
            <w:r w:rsidRPr="00F627B2">
              <w:rPr>
                <w:rFonts w:ascii="Lato" w:hAnsi="Lato"/>
                <w:color w:val="auto"/>
                <w:sz w:val="22"/>
                <w:szCs w:val="22"/>
              </w:rPr>
              <w:t>Performance/Incentive fee may be provided for as follows:</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Confirm which of the following methods is being utilised</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payable on new high net asset value per share over the life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of the Retail Investor AIF</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Or</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(ii)</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payable on out-performance of an index</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b)</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Provide that the initial offer price is taken as the starting price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for the calculations (i.e. the performance fee payment can only be paid on the subsequent outperformance by the nav per share of the initial offer price)  </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Disclose: </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The calculation period for determining the fee.</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The first calculation period</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(iii)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How the performance fee is calculated, i.e. % of increase over</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previous highest nav per share on which a fee was paid, etc.</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(iv)</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Accrual basis of fee and when it is actually paid</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d)</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Provide that the calculation of the performance fee must be verified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1E4A73">
              <w:rPr>
                <w:rFonts w:ascii="Lato" w:hAnsi="Lato"/>
                <w:szCs w:val="22"/>
              </w:rPr>
              <w:t>by</w:t>
            </w:r>
            <w:r w:rsidRPr="00F627B2">
              <w:rPr>
                <w:rFonts w:ascii="Lato" w:hAnsi="Lato"/>
                <w:szCs w:val="22"/>
              </w:rPr>
              <w:t xml:space="preserve"> the depositary or a competent person appointed by the AIFM and approved for the purpose by the depositary</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e)</w:t>
            </w: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eastAsia="Arial Unicode MS" w:hAnsi="Lato"/>
                <w:color w:val="auto"/>
                <w:sz w:val="22"/>
                <w:szCs w:val="22"/>
              </w:rPr>
            </w:pPr>
            <w:r w:rsidRPr="00F627B2">
              <w:rPr>
                <w:rFonts w:ascii="Lato" w:hAnsi="Lato"/>
                <w:color w:val="auto"/>
                <w:sz w:val="22"/>
                <w:szCs w:val="22"/>
              </w:rPr>
              <w:t>Payable on new high net asset value per share</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Provide that: </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No performance fee is accrued/paid until the net asset value per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1E4A73">
              <w:rPr>
                <w:rFonts w:ascii="Lato" w:hAnsi="Lato"/>
                <w:szCs w:val="22"/>
              </w:rPr>
              <w:t>share</w:t>
            </w:r>
            <w:r w:rsidRPr="00F627B2">
              <w:rPr>
                <w:rFonts w:ascii="Lato" w:hAnsi="Lato"/>
                <w:szCs w:val="22"/>
              </w:rPr>
              <w:t xml:space="preserve"> exceeds the previous highest net asset value per share on which the performance fee was paid/accrued (or the initial offer price if higher)  (the “water mark”);</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u w:val="single"/>
              </w:rPr>
            </w:pPr>
            <w:r w:rsidRPr="00F627B2">
              <w:rPr>
                <w:rFonts w:ascii="Lato" w:hAnsi="Lato"/>
                <w:szCs w:val="22"/>
                <w:u w:val="single"/>
              </w:rPr>
              <w:t>and</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The fee is only payable/paid on the increase over the “water mark”.</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f)</w:t>
            </w: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eastAsia="Arial Unicode MS" w:hAnsi="Lato"/>
                <w:color w:val="auto"/>
                <w:sz w:val="22"/>
                <w:szCs w:val="22"/>
              </w:rPr>
            </w:pPr>
            <w:r w:rsidRPr="00F627B2">
              <w:rPr>
                <w:rFonts w:ascii="Lato" w:hAnsi="Lato"/>
                <w:color w:val="auto"/>
                <w:sz w:val="22"/>
                <w:szCs w:val="22"/>
              </w:rPr>
              <w:t>Out-performance of an index</w:t>
            </w:r>
          </w:p>
          <w:p w:rsidR="00B86B94" w:rsidRPr="00F627B2" w:rsidRDefault="00B86B94" w:rsidP="00B86B94">
            <w:pPr>
              <w:spacing w:line="240" w:lineRule="auto"/>
              <w:rPr>
                <w:rFonts w:ascii="Lato" w:hAnsi="Lato"/>
                <w:szCs w:val="22"/>
              </w:rPr>
            </w:pPr>
            <w:r w:rsidRPr="00F627B2">
              <w:rPr>
                <w:rFonts w:ascii="Lato" w:hAnsi="Lato"/>
                <w:szCs w:val="22"/>
              </w:rPr>
              <w:t xml:space="preserve">Confirm: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The index is relevant in the context of the Retail Investor AIF’s policy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The fee is payable only on the amount by which the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Retail Investor AIF out performs the index</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u w:val="single"/>
              </w:rPr>
            </w:pPr>
            <w:r w:rsidRPr="00F627B2">
              <w:rPr>
                <w:rFonts w:ascii="Lato" w:hAnsi="Lato"/>
                <w:szCs w:val="22"/>
                <w:u w:val="single"/>
              </w:rPr>
              <w:t>And</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(iii)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Any underperformance of the index in preceding periods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is clawed back (cleared) before a fee becomes due in subsequent periods</w:t>
            </w: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 xml:space="preserve"> (iv)</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For Retail Investor AIF</w:t>
            </w:r>
            <w:r w:rsidRPr="00F627B2" w:rsidDel="00F574A7">
              <w:rPr>
                <w:rFonts w:ascii="Lato" w:hAnsi="Lato"/>
                <w:szCs w:val="22"/>
              </w:rPr>
              <w:t xml:space="preserve"> </w:t>
            </w:r>
            <w:r w:rsidRPr="00F627B2">
              <w:rPr>
                <w:rFonts w:ascii="Lato" w:hAnsi="Lato"/>
                <w:szCs w:val="22"/>
              </w:rPr>
              <w:t>s whose investment policy is to replicate an</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      </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Index, this limit is increased to 35% in the case of a single</w:t>
            </w:r>
          </w:p>
          <w:p w:rsidR="00B86B94" w:rsidRPr="00F627B2" w:rsidRDefault="00B86B94" w:rsidP="00B86B94">
            <w:pPr>
              <w:spacing w:line="240" w:lineRule="auto"/>
              <w:rPr>
                <w:rFonts w:ascii="Lato" w:hAnsi="Lato"/>
                <w:szCs w:val="22"/>
              </w:rPr>
            </w:pPr>
            <w:r w:rsidRPr="00F627B2">
              <w:rPr>
                <w:rFonts w:ascii="Lato" w:hAnsi="Lato"/>
                <w:szCs w:val="22"/>
              </w:rPr>
              <w:t>issuer where this is justified by exceptional market conditions</w:t>
            </w:r>
          </w:p>
          <w:p w:rsidR="00B86B94" w:rsidRPr="00F627B2" w:rsidRDefault="00B86B94" w:rsidP="00B86B94">
            <w:pPr>
              <w:spacing w:line="240" w:lineRule="auto"/>
              <w:rPr>
                <w:rFonts w:ascii="Lato" w:hAnsi="Lato"/>
                <w:szCs w:val="22"/>
              </w:rPr>
            </w:pP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g)</w:t>
            </w: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eastAsia="Arial Unicode MS" w:hAnsi="Lato"/>
                <w:color w:val="auto"/>
                <w:sz w:val="22"/>
                <w:szCs w:val="22"/>
              </w:rPr>
            </w:pPr>
            <w:r w:rsidRPr="00F627B2">
              <w:rPr>
                <w:rFonts w:ascii="Lato" w:hAnsi="Lato"/>
                <w:color w:val="auto"/>
                <w:sz w:val="22"/>
                <w:szCs w:val="22"/>
              </w:rPr>
              <w:t xml:space="preserve">Risk warnings </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w:t>
            </w:r>
          </w:p>
        </w:tc>
        <w:tc>
          <w:tcPr>
            <w:tcW w:w="6744" w:type="dxa"/>
            <w:tcBorders>
              <w:top w:val="nil"/>
              <w:left w:val="nil"/>
              <w:bottom w:val="nil"/>
              <w:right w:val="single" w:sz="4" w:space="0" w:color="auto"/>
            </w:tcBorders>
          </w:tcPr>
          <w:p w:rsidR="00B86B94" w:rsidRPr="00F627B2" w:rsidRDefault="00B86B94" w:rsidP="00B86B94">
            <w:pPr>
              <w:pStyle w:val="Heading1"/>
              <w:spacing w:before="0" w:after="0" w:line="240" w:lineRule="auto"/>
              <w:rPr>
                <w:rFonts w:ascii="Lato" w:eastAsia="Arial Unicode MS" w:hAnsi="Lato"/>
                <w:color w:val="auto"/>
                <w:sz w:val="22"/>
                <w:szCs w:val="22"/>
              </w:rPr>
            </w:pPr>
            <w:r w:rsidRPr="00F627B2">
              <w:rPr>
                <w:rFonts w:ascii="Lato" w:hAnsi="Lato"/>
                <w:color w:val="auto"/>
                <w:sz w:val="22"/>
                <w:szCs w:val="22"/>
              </w:rPr>
              <w:t xml:space="preserve">Disclose that the performance fee is based on net realised and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eastAsia="Arial Unicode MS" w:hAnsi="Lato"/>
                <w:color w:val="auto"/>
                <w:sz w:val="22"/>
                <w:szCs w:val="22"/>
              </w:rPr>
            </w:pPr>
            <w:r w:rsidRPr="00F627B2">
              <w:rPr>
                <w:rFonts w:ascii="Lato" w:hAnsi="Lato"/>
                <w:color w:val="auto"/>
                <w:sz w:val="22"/>
                <w:szCs w:val="22"/>
              </w:rPr>
              <w:t>net unrealised gains and losses as at the end of each calculation period and as a result, incentive fees may be paid on unrealised gains which may subsequently never be realised</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ight="-109"/>
              <w:rPr>
                <w:rFonts w:ascii="Lato" w:hAnsi="Lato"/>
                <w:szCs w:val="22"/>
              </w:rPr>
            </w:pPr>
            <w:r w:rsidRPr="00F627B2">
              <w:rPr>
                <w:rFonts w:ascii="Lato" w:hAnsi="Lato"/>
                <w:szCs w:val="22"/>
              </w:rPr>
              <w:t>2.16.10</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u w:val="single"/>
              </w:rPr>
            </w:pPr>
            <w:r w:rsidRPr="00F627B2">
              <w:rPr>
                <w:rFonts w:ascii="Lato" w:hAnsi="Lato"/>
                <w:szCs w:val="22"/>
                <w:u w:val="single"/>
              </w:rPr>
              <w:t>Directed brokerage services and similar arrangements (e.g. fee sharing, commission rebates, retrocessions and hard commissions)</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center"/>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a)    </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Disclose full details of any directed brokerage services or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center"/>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similar arrangement operated in relation to the Retail Investor AIF (including details of the services provided). </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center"/>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Disclose</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 (i)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 ‘The Retail Investor AIF shall ensure that where a person, acting on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1E4A73">
              <w:rPr>
                <w:rFonts w:ascii="Lato" w:hAnsi="Lato"/>
                <w:szCs w:val="22"/>
              </w:rPr>
              <w:t xml:space="preserve">its </w:t>
            </w:r>
            <w:r w:rsidRPr="00F627B2">
              <w:rPr>
                <w:rFonts w:ascii="Lato" w:hAnsi="Lato"/>
                <w:szCs w:val="22"/>
              </w:rPr>
              <w:t>behalf, successfully negotiates the recapture of a portion of the commissions charged by brokers or dealers in connection with the purchase and/or sale of securities, the rebated commission shall be paid to the Retail Investor AIF’; and</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b)(i)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Where relevant provide that ‘ the Retail Investor AIF shall not</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reimburse out of its assets the operator of the directed brokerage</w:t>
            </w:r>
            <w:r w:rsidRPr="00F627B2" w:rsidDel="00950044">
              <w:rPr>
                <w:rFonts w:ascii="Lato" w:hAnsi="Lato"/>
                <w:szCs w:val="22"/>
              </w:rPr>
              <w:t xml:space="preserve"> </w:t>
            </w:r>
            <w:r w:rsidRPr="00F627B2">
              <w:rPr>
                <w:rFonts w:ascii="Lato" w:hAnsi="Lato"/>
                <w:szCs w:val="22"/>
              </w:rPr>
              <w:t xml:space="preserve">services or similar arrangement  for reasonable properly vouched costs, fees and expenses directly incurred by the operator in relation to the services or arrangement unless the prospectus disclosure required by Section 2.16.11(a) has been made ’ </w:t>
            </w:r>
          </w:p>
          <w:p w:rsidR="00B86B94" w:rsidRPr="00F627B2" w:rsidRDefault="00B86B94" w:rsidP="00B86B94">
            <w:pPr>
              <w:spacing w:line="240" w:lineRule="auto"/>
              <w:rPr>
                <w:rFonts w:ascii="Lato" w:hAnsi="Lato"/>
                <w:szCs w:val="22"/>
              </w:rPr>
            </w:pPr>
          </w:p>
          <w:p w:rsidR="00B86B94" w:rsidRPr="00F627B2" w:rsidRDefault="00B86B94" w:rsidP="00B86B94">
            <w:pPr>
              <w:spacing w:line="240" w:lineRule="auto"/>
              <w:rPr>
                <w:rFonts w:ascii="Lato" w:hAnsi="Lato"/>
                <w:szCs w:val="22"/>
              </w:rPr>
            </w:pPr>
            <w:r w:rsidRPr="00F627B2">
              <w:rPr>
                <w:rFonts w:ascii="Lato" w:hAnsi="Lato"/>
                <w:szCs w:val="22"/>
              </w:rPr>
              <w:t>Note: The Retail Investor AIF must be separately invoiced for these fees and expenses by the operator of the directed brokerage programme.</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2.17</w:t>
            </w:r>
          </w:p>
        </w:tc>
        <w:tc>
          <w:tcPr>
            <w:tcW w:w="6744"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Taxation</w:t>
            </w:r>
          </w:p>
        </w:tc>
        <w:tc>
          <w:tcPr>
            <w:tcW w:w="968"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Disclose</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2.17.1</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Brief indication relevant to unitholders/shareholders of the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tax system applicable to the Retail Investor AIF</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2.17.2</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Details of whether deductions are made at source from the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income and capital gains paid by the Retail Investor AIF to unitholders/shareholders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2.18</w:t>
            </w:r>
          </w:p>
        </w:tc>
        <w:tc>
          <w:tcPr>
            <w:tcW w:w="6744"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Statutory Information</w:t>
            </w:r>
          </w:p>
        </w:tc>
        <w:tc>
          <w:tcPr>
            <w:tcW w:w="968"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2.18.1</w:t>
            </w: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hAnsi="Lato"/>
                <w:color w:val="auto"/>
                <w:sz w:val="22"/>
                <w:szCs w:val="22"/>
              </w:rPr>
            </w:pPr>
            <w:r w:rsidRPr="00F627B2">
              <w:rPr>
                <w:rFonts w:ascii="Lato" w:hAnsi="Lato"/>
                <w:color w:val="auto"/>
                <w:sz w:val="22"/>
                <w:szCs w:val="22"/>
              </w:rPr>
              <w:t>Unit Trust</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Indicate that a unit in the Unit Trust represents the beneficial</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ownership of one undivided share in the assets of the Unit Trust</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2.18.2</w:t>
            </w: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eastAsia="Arial Unicode MS" w:hAnsi="Lato"/>
                <w:color w:val="auto"/>
                <w:sz w:val="22"/>
                <w:szCs w:val="22"/>
              </w:rPr>
            </w:pPr>
            <w:r w:rsidRPr="00F627B2">
              <w:rPr>
                <w:rFonts w:ascii="Lato" w:hAnsi="Lato"/>
                <w:color w:val="auto"/>
                <w:sz w:val="22"/>
                <w:szCs w:val="22"/>
              </w:rPr>
              <w:t>Voting rights</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Give indication of unitholders/shareholders voting rights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b)</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Confirm no restrictions on voting rights are provided for</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2.18.3</w:t>
            </w: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eastAsia="Arial Unicode MS" w:hAnsi="Lato"/>
                <w:color w:val="auto"/>
                <w:sz w:val="22"/>
                <w:szCs w:val="22"/>
              </w:rPr>
            </w:pPr>
            <w:r w:rsidRPr="00F627B2">
              <w:rPr>
                <w:rFonts w:ascii="Lato" w:hAnsi="Lato"/>
                <w:color w:val="auto"/>
                <w:sz w:val="22"/>
                <w:szCs w:val="22"/>
              </w:rPr>
              <w:t xml:space="preserve">Winding up/Termination </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 (i)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Set out the distribution provisions on the termination/</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winding up of the scheme, in particular those affecting unitholders/shareholders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(ii)</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Confirm the provisions reflect the constitutional document</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(iii)</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Circumstances in which winding-up of the Retail Investor AIF can be</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decided on and winding-up procedure, in particular as regards the rights of the Unitholder </w:t>
            </w:r>
          </w:p>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b) (i)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Disclose the circumstances in which the shares/units of the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Retail Investor AIF, or a sub-fund thereof, can be redeemed compulsorily. </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(ii)</w:t>
            </w:r>
          </w:p>
        </w:tc>
        <w:tc>
          <w:tcPr>
            <w:tcW w:w="6744" w:type="dxa"/>
            <w:tcBorders>
              <w:top w:val="nil"/>
              <w:left w:val="nil"/>
              <w:bottom w:val="nil"/>
              <w:right w:val="nil"/>
            </w:tcBorders>
          </w:tcPr>
          <w:p w:rsidR="00B86B94" w:rsidRPr="00F627B2" w:rsidRDefault="00B86B94" w:rsidP="00B86B94">
            <w:pPr>
              <w:pStyle w:val="Heading9"/>
              <w:rPr>
                <w:rFonts w:ascii="Lato" w:hAnsi="Lato"/>
                <w:szCs w:val="22"/>
              </w:rPr>
            </w:pPr>
            <w:r w:rsidRPr="00F627B2">
              <w:rPr>
                <w:rFonts w:ascii="Lato" w:hAnsi="Lato"/>
                <w:szCs w:val="22"/>
              </w:rPr>
              <w:t xml:space="preserve">Confirm the compulsory redemption provisions reflect the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constitutional document</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2.18.4</w:t>
            </w: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eastAsia="Arial Unicode MS" w:hAnsi="Lato"/>
                <w:color w:val="auto"/>
                <w:sz w:val="22"/>
                <w:szCs w:val="22"/>
              </w:rPr>
            </w:pPr>
            <w:r w:rsidRPr="00F627B2">
              <w:rPr>
                <w:rFonts w:ascii="Lato" w:hAnsi="Lato"/>
                <w:color w:val="auto"/>
                <w:sz w:val="22"/>
                <w:szCs w:val="22"/>
              </w:rPr>
              <w:t xml:space="preserve">Valuation Rules for the Retail Investor AIF’s assets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w:t>
            </w: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hAnsi="Lato"/>
                <w:color w:val="auto"/>
                <w:sz w:val="22"/>
                <w:szCs w:val="22"/>
              </w:rPr>
            </w:pPr>
            <w:r w:rsidRPr="00F627B2">
              <w:rPr>
                <w:rFonts w:ascii="Lato" w:hAnsi="Lato"/>
                <w:color w:val="auto"/>
                <w:sz w:val="22"/>
                <w:szCs w:val="22"/>
              </w:rPr>
              <w:t>Disclose</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w:t>
            </w:r>
          </w:p>
        </w:tc>
        <w:tc>
          <w:tcPr>
            <w:tcW w:w="6744" w:type="dxa"/>
            <w:tcBorders>
              <w:top w:val="nil"/>
              <w:left w:val="nil"/>
              <w:bottom w:val="nil"/>
              <w:right w:val="single" w:sz="4" w:space="0" w:color="auto"/>
            </w:tcBorders>
          </w:tcPr>
          <w:p w:rsidR="00B86B94" w:rsidRPr="00F627B2" w:rsidRDefault="00B86B94" w:rsidP="00B86B94">
            <w:pPr>
              <w:pStyle w:val="Heading1"/>
              <w:spacing w:before="0" w:after="0" w:line="240" w:lineRule="auto"/>
              <w:rPr>
                <w:rFonts w:ascii="Lato" w:hAnsi="Lato"/>
                <w:color w:val="auto"/>
                <w:sz w:val="22"/>
                <w:szCs w:val="22"/>
              </w:rPr>
            </w:pPr>
            <w:r w:rsidRPr="00F627B2">
              <w:rPr>
                <w:rFonts w:ascii="Lato" w:hAnsi="Lato"/>
                <w:color w:val="auto"/>
                <w:sz w:val="22"/>
                <w:szCs w:val="22"/>
              </w:rPr>
              <w:t>The method used to value the assets of the Retail Investor AIF</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hAnsi="Lato"/>
                <w:color w:val="auto"/>
                <w:sz w:val="22"/>
                <w:szCs w:val="22"/>
              </w:rPr>
            </w:pP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b)</w:t>
            </w:r>
          </w:p>
        </w:tc>
        <w:tc>
          <w:tcPr>
            <w:tcW w:w="6744" w:type="dxa"/>
            <w:tcBorders>
              <w:top w:val="nil"/>
              <w:left w:val="nil"/>
              <w:bottom w:val="nil"/>
              <w:right w:val="single" w:sz="4" w:space="0" w:color="auto"/>
            </w:tcBorders>
          </w:tcPr>
          <w:p w:rsidR="00B86B94" w:rsidRPr="00F627B2" w:rsidRDefault="00B86B94" w:rsidP="00B86B94">
            <w:pPr>
              <w:pStyle w:val="Heading1"/>
              <w:spacing w:before="0" w:after="0" w:line="240" w:lineRule="auto"/>
              <w:rPr>
                <w:rFonts w:ascii="Lato" w:hAnsi="Lato"/>
                <w:color w:val="auto"/>
                <w:sz w:val="22"/>
                <w:szCs w:val="22"/>
              </w:rPr>
            </w:pPr>
            <w:r w:rsidRPr="00F627B2">
              <w:rPr>
                <w:rFonts w:ascii="Lato" w:hAnsi="Lato"/>
                <w:color w:val="auto"/>
                <w:sz w:val="22"/>
                <w:szCs w:val="22"/>
              </w:rPr>
              <w:t xml:space="preserve">Provide that the Retail Investor AIF values as often as it deals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hAnsi="Lato"/>
                <w:color w:val="auto"/>
                <w:sz w:val="22"/>
                <w:szCs w:val="22"/>
              </w:rPr>
            </w:pPr>
            <w:r w:rsidRPr="00F627B2">
              <w:rPr>
                <w:rFonts w:ascii="Lato" w:hAnsi="Lato"/>
                <w:color w:val="auto"/>
                <w:sz w:val="22"/>
                <w:szCs w:val="22"/>
              </w:rPr>
              <w:t>(issues and redeems)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hAnsi="Lato"/>
                <w:color w:val="auto"/>
                <w:sz w:val="22"/>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w:t>
            </w:r>
          </w:p>
        </w:tc>
        <w:tc>
          <w:tcPr>
            <w:tcW w:w="6744" w:type="dxa"/>
            <w:tcBorders>
              <w:top w:val="nil"/>
              <w:left w:val="nil"/>
              <w:bottom w:val="nil"/>
              <w:right w:val="single" w:sz="4" w:space="0" w:color="auto"/>
            </w:tcBorders>
          </w:tcPr>
          <w:p w:rsidR="00B86B94" w:rsidRPr="00F627B2" w:rsidRDefault="00B86B94" w:rsidP="00B86B94">
            <w:pPr>
              <w:pStyle w:val="Heading1"/>
              <w:spacing w:before="0" w:after="0" w:line="240" w:lineRule="auto"/>
              <w:rPr>
                <w:rFonts w:ascii="Lato" w:hAnsi="Lato"/>
                <w:color w:val="auto"/>
                <w:sz w:val="22"/>
                <w:szCs w:val="22"/>
              </w:rPr>
            </w:pPr>
            <w:r w:rsidRPr="00F627B2">
              <w:rPr>
                <w:rFonts w:ascii="Lato" w:hAnsi="Lato"/>
                <w:color w:val="auto"/>
                <w:sz w:val="22"/>
                <w:szCs w:val="22"/>
              </w:rPr>
              <w:t xml:space="preserve">Insert a description of the Retail Investor AIF’s valuation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hAnsi="Lato"/>
                <w:color w:val="auto"/>
                <w:sz w:val="22"/>
                <w:szCs w:val="22"/>
              </w:rPr>
            </w:pPr>
            <w:r w:rsidRPr="00F627B2">
              <w:rPr>
                <w:rFonts w:ascii="Lato" w:hAnsi="Lato"/>
                <w:color w:val="auto"/>
                <w:sz w:val="22"/>
                <w:szCs w:val="22"/>
              </w:rPr>
              <w:t>procedure and pricing methodology for valuing assets, including the methods used in valuing hard-to-value assets as per the constitutional document.</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hAnsi="Lato"/>
                <w:color w:val="auto"/>
                <w:sz w:val="22"/>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d)</w:t>
            </w:r>
          </w:p>
        </w:tc>
        <w:tc>
          <w:tcPr>
            <w:tcW w:w="6744" w:type="dxa"/>
            <w:tcBorders>
              <w:top w:val="nil"/>
              <w:left w:val="nil"/>
              <w:bottom w:val="nil"/>
              <w:right w:val="single" w:sz="4" w:space="0" w:color="auto"/>
            </w:tcBorders>
          </w:tcPr>
          <w:p w:rsidR="00B86B94" w:rsidRPr="00F627B2" w:rsidRDefault="00B86B94" w:rsidP="00B86B94">
            <w:pPr>
              <w:pStyle w:val="Heading1"/>
              <w:spacing w:before="0" w:after="0" w:line="240" w:lineRule="auto"/>
              <w:rPr>
                <w:rFonts w:ascii="Lato" w:hAnsi="Lato"/>
                <w:color w:val="auto"/>
                <w:sz w:val="22"/>
                <w:szCs w:val="22"/>
              </w:rPr>
            </w:pPr>
            <w:r w:rsidRPr="00F627B2">
              <w:rPr>
                <w:rFonts w:ascii="Lato" w:hAnsi="Lato"/>
                <w:color w:val="auto"/>
                <w:sz w:val="22"/>
                <w:szCs w:val="22"/>
              </w:rPr>
              <w:t>Disclose details of the external valuer, where relevant</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hAnsi="Lato"/>
                <w:color w:val="auto"/>
                <w:sz w:val="22"/>
                <w:szCs w:val="22"/>
              </w:rPr>
            </w:pP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(ii)</w:t>
            </w: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hAnsi="Lato"/>
                <w:color w:val="auto"/>
                <w:sz w:val="22"/>
                <w:szCs w:val="22"/>
              </w:rPr>
            </w:pPr>
            <w:r w:rsidRPr="00F627B2">
              <w:rPr>
                <w:rFonts w:ascii="Lato" w:hAnsi="Lato"/>
                <w:color w:val="auto"/>
                <w:sz w:val="22"/>
                <w:szCs w:val="22"/>
              </w:rPr>
              <w:t>Confirm</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Appendix 3 is completed and is attached; and</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b)</w:t>
            </w:r>
          </w:p>
        </w:tc>
        <w:tc>
          <w:tcPr>
            <w:tcW w:w="6744" w:type="dxa"/>
            <w:tcBorders>
              <w:top w:val="nil"/>
              <w:left w:val="nil"/>
              <w:bottom w:val="nil"/>
              <w:right w:val="nil"/>
            </w:tcBorders>
          </w:tcPr>
          <w:p w:rsidR="00B86B94" w:rsidRPr="00F627B2" w:rsidRDefault="00B86B94" w:rsidP="00B86B94">
            <w:pPr>
              <w:pStyle w:val="Heading3"/>
              <w:spacing w:before="0" w:after="0" w:line="240" w:lineRule="auto"/>
              <w:rPr>
                <w:rFonts w:ascii="Lato" w:eastAsia="Arial Unicode MS" w:hAnsi="Lato"/>
                <w:b w:val="0"/>
                <w:bCs/>
                <w:color w:val="auto"/>
                <w:sz w:val="22"/>
                <w:szCs w:val="22"/>
              </w:rPr>
            </w:pPr>
            <w:r w:rsidRPr="00F627B2">
              <w:rPr>
                <w:rFonts w:ascii="Lato" w:hAnsi="Lato"/>
                <w:b w:val="0"/>
                <w:bCs/>
                <w:color w:val="auto"/>
                <w:sz w:val="22"/>
                <w:szCs w:val="22"/>
              </w:rPr>
              <w:t xml:space="preserve">That there are valuation provisions for all investments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which a Retail Investor AIF intends to invest in.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2.18.5</w:t>
            </w: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eastAsia="Arial Unicode MS" w:hAnsi="Lato"/>
                <w:b/>
                <w:bCs/>
                <w:color w:val="auto"/>
                <w:sz w:val="22"/>
                <w:szCs w:val="22"/>
              </w:rPr>
            </w:pPr>
            <w:r w:rsidRPr="00F627B2">
              <w:rPr>
                <w:rFonts w:ascii="Lato" w:hAnsi="Lato"/>
                <w:color w:val="auto"/>
                <w:sz w:val="22"/>
                <w:szCs w:val="22"/>
              </w:rPr>
              <w:t xml:space="preserve">Publication of Subscription/Redemption Prices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hAnsi="Lato"/>
                <w:color w:val="auto"/>
                <w:sz w:val="22"/>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Disclose the means, frequency and places of the publication of the</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latest net asset value of the Retail Investor AIF or the latest market price of the unit of the Retail Investor AIF prices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b)</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Confirm the method(s) provided, i.e., </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Published in newspaper; and/or</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Made available on internet; and</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(iii)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Provide that dealing prices are also available from the office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of the Retail Investor AIF, its manager or administrator</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Confirm publication is as frequently as the Retail Investor AIF is dealing</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2.18.6</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Requirements for newspaper publication (if applicable)</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a)</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Disclose the name of the newspaper(s);  and</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b)</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Confirm dealing prices are being published in a newspaper(s)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in the jurisdiction(s) where marketing takes place</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2.18.7</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Requirements for internet publication (if applicable)</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a)</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Disclose information in relation to the publication policy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adopted by the Retail Investor AIF</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b)</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Provide that dealing prices, posted on the internet, must be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up-to-date.</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2.19</w:t>
            </w:r>
          </w:p>
        </w:tc>
        <w:tc>
          <w:tcPr>
            <w:tcW w:w="6744"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Umbrella Funds</w:t>
            </w:r>
          </w:p>
        </w:tc>
        <w:tc>
          <w:tcPr>
            <w:tcW w:w="968"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2.19.1</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In the case of an investment company provide on the cover of the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prospectus that the Retail Investor AIF is ‘an umbrella Retail Investor AIF with segregated liability between sub-funds’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2.19.2</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Investment companies which were authorised and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commenced trading before 30 June 2005 and which do not have segregated liability between sub-funds must clearly disclose the potential risks to unitholders arising from the absence of the segregation of liability between sub-funds.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2.19.3</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Provide that new sub-funds require the prior approval of the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Central Bank</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Del="00D0045C"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2.19.4</w:t>
            </w:r>
          </w:p>
        </w:tc>
        <w:tc>
          <w:tcPr>
            <w:tcW w:w="6744" w:type="dxa"/>
            <w:tcBorders>
              <w:top w:val="nil"/>
              <w:left w:val="nil"/>
              <w:bottom w:val="nil"/>
              <w:right w:val="single" w:sz="4" w:space="0" w:color="auto"/>
            </w:tcBorders>
          </w:tcPr>
          <w:p w:rsidR="00B86B94" w:rsidRPr="00F627B2" w:rsidDel="00D0045C" w:rsidRDefault="00B86B94" w:rsidP="00B86B94">
            <w:pPr>
              <w:spacing w:line="240" w:lineRule="auto"/>
              <w:rPr>
                <w:rFonts w:ascii="Lato" w:hAnsi="Lato"/>
                <w:szCs w:val="22"/>
              </w:rPr>
            </w:pPr>
            <w:r w:rsidRPr="00F627B2">
              <w:rPr>
                <w:rFonts w:ascii="Lato" w:hAnsi="Lato"/>
                <w:szCs w:val="22"/>
              </w:rPr>
              <w:t>List all the sub-funds approved by the Central Bank</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Del="00D0045C" w:rsidRDefault="00B86B94" w:rsidP="00B86B94">
            <w:pPr>
              <w:spacing w:line="240" w:lineRule="auto"/>
              <w:rPr>
                <w:rFonts w:ascii="Lato" w:hAnsi="Lato"/>
                <w:szCs w:val="22"/>
              </w:rPr>
            </w:pP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2.19.5</w:t>
            </w:r>
          </w:p>
        </w:tc>
        <w:tc>
          <w:tcPr>
            <w:tcW w:w="6744" w:type="dxa"/>
            <w:tcBorders>
              <w:top w:val="nil"/>
              <w:left w:val="nil"/>
              <w:bottom w:val="nil"/>
              <w:right w:val="single" w:sz="4" w:space="0" w:color="auto"/>
            </w:tcBorders>
          </w:tcPr>
          <w:p w:rsidR="00B86B94" w:rsidRPr="00F627B2" w:rsidDel="00D0045C" w:rsidRDefault="00B86B94" w:rsidP="00B86B94">
            <w:pPr>
              <w:spacing w:line="240" w:lineRule="auto"/>
              <w:rPr>
                <w:rFonts w:ascii="Lato" w:hAnsi="Lato"/>
                <w:szCs w:val="22"/>
              </w:rPr>
            </w:pPr>
            <w:r w:rsidRPr="00F627B2">
              <w:rPr>
                <w:rFonts w:ascii="Lato" w:hAnsi="Lato"/>
                <w:szCs w:val="22"/>
              </w:rPr>
              <w:t xml:space="preserve">If a separate prospectus is being produced for each sub-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Del="00D0045C" w:rsidRDefault="00B86B94" w:rsidP="00B86B94">
            <w:pPr>
              <w:spacing w:line="240" w:lineRule="auto"/>
              <w:rPr>
                <w:rFonts w:ascii="Lato" w:hAnsi="Lato"/>
                <w:szCs w:val="22"/>
              </w:rPr>
            </w:pPr>
            <w:r w:rsidRPr="00F627B2">
              <w:rPr>
                <w:rFonts w:ascii="Lato" w:hAnsi="Lato"/>
                <w:szCs w:val="22"/>
              </w:rPr>
              <w:t>fund, confirm a list of all sub-funds approved is included in each prospectus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Del="00D0045C"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ight="-109"/>
              <w:rPr>
                <w:rFonts w:ascii="Lato" w:hAnsi="Lato"/>
                <w:szCs w:val="22"/>
              </w:rPr>
            </w:pPr>
            <w:r w:rsidRPr="00F627B2">
              <w:rPr>
                <w:rFonts w:ascii="Lato" w:hAnsi="Lato"/>
                <w:szCs w:val="22"/>
              </w:rPr>
              <w:t>2.19.6</w:t>
            </w:r>
          </w:p>
        </w:tc>
        <w:tc>
          <w:tcPr>
            <w:tcW w:w="6744" w:type="dxa"/>
            <w:tcBorders>
              <w:top w:val="nil"/>
              <w:left w:val="nil"/>
              <w:bottom w:val="nil"/>
              <w:right w:val="nil"/>
            </w:tcBorders>
          </w:tcPr>
          <w:p w:rsidR="00B86B94" w:rsidRPr="00F627B2" w:rsidDel="00D0045C" w:rsidRDefault="00B86B94" w:rsidP="00B86B94">
            <w:pPr>
              <w:spacing w:line="240" w:lineRule="auto"/>
              <w:rPr>
                <w:rFonts w:ascii="Lato" w:hAnsi="Lato"/>
                <w:szCs w:val="22"/>
              </w:rPr>
            </w:pPr>
            <w:r w:rsidRPr="00F627B2">
              <w:rPr>
                <w:rFonts w:ascii="Lato" w:hAnsi="Lato"/>
                <w:szCs w:val="22"/>
              </w:rPr>
              <w:t xml:space="preserve">Similarly, if a supplement is being produced for each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Del="00D0045C" w:rsidRDefault="00B86B94" w:rsidP="00B86B94">
            <w:pPr>
              <w:spacing w:line="240" w:lineRule="auto"/>
              <w:rPr>
                <w:rFonts w:ascii="Lato" w:hAnsi="Lato"/>
                <w:szCs w:val="22"/>
              </w:rPr>
            </w:pPr>
            <w:r w:rsidRPr="00F627B2">
              <w:rPr>
                <w:rFonts w:ascii="Lato" w:hAnsi="Lato"/>
                <w:szCs w:val="22"/>
              </w:rPr>
              <w:t>sub-fund, confirm the prospectus lists all sub-funds</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Del="00D0045C" w:rsidRDefault="00B86B94" w:rsidP="00B86B94">
            <w:pPr>
              <w:spacing w:line="240" w:lineRule="auto"/>
              <w:rPr>
                <w:rFonts w:ascii="Lato" w:hAnsi="Lato"/>
                <w:szCs w:val="22"/>
              </w:rPr>
            </w:pPr>
            <w:r w:rsidRPr="00F627B2">
              <w:rPr>
                <w:rFonts w:ascii="Lato" w:hAnsi="Lato"/>
                <w:szCs w:val="22"/>
              </w:rPr>
              <w:t>Or</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Del="00D0045C" w:rsidRDefault="00B86B94" w:rsidP="00B86B94">
            <w:pPr>
              <w:spacing w:line="240" w:lineRule="auto"/>
              <w:rPr>
                <w:rFonts w:ascii="Lato" w:hAnsi="Lato"/>
                <w:szCs w:val="22"/>
              </w:rPr>
            </w:pPr>
            <w:r w:rsidRPr="00F627B2">
              <w:rPr>
                <w:rFonts w:ascii="Lato" w:hAnsi="Lato"/>
                <w:szCs w:val="22"/>
              </w:rPr>
              <w:t xml:space="preserve">Where all the sub-funds are not named in the main prospectus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Del="00D0045C" w:rsidRDefault="00B86B94" w:rsidP="00B86B94">
            <w:pPr>
              <w:spacing w:line="240" w:lineRule="auto"/>
              <w:rPr>
                <w:rFonts w:ascii="Lato" w:hAnsi="Lato"/>
                <w:szCs w:val="22"/>
              </w:rPr>
            </w:pPr>
            <w:r w:rsidRPr="00F627B2">
              <w:rPr>
                <w:rFonts w:ascii="Lato" w:hAnsi="Lato"/>
                <w:szCs w:val="22"/>
              </w:rPr>
              <w:t>confirm that they are all listed  in each supplement or a separate supplement</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Del="00D0045C"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2.19.7</w:t>
            </w:r>
          </w:p>
        </w:tc>
        <w:tc>
          <w:tcPr>
            <w:tcW w:w="6744" w:type="dxa"/>
            <w:tcBorders>
              <w:top w:val="nil"/>
              <w:left w:val="nil"/>
              <w:bottom w:val="nil"/>
              <w:right w:val="single" w:sz="4" w:space="0" w:color="auto"/>
            </w:tcBorders>
          </w:tcPr>
          <w:p w:rsidR="00B86B94" w:rsidRPr="00F627B2" w:rsidDel="00D0045C" w:rsidRDefault="00B86B94" w:rsidP="00B86B94">
            <w:pPr>
              <w:spacing w:line="240" w:lineRule="auto"/>
              <w:rPr>
                <w:rFonts w:ascii="Lato" w:hAnsi="Lato"/>
                <w:szCs w:val="22"/>
              </w:rPr>
            </w:pPr>
            <w:r w:rsidRPr="00F627B2">
              <w:rPr>
                <w:rFonts w:ascii="Lato" w:hAnsi="Lato"/>
                <w:szCs w:val="22"/>
              </w:rPr>
              <w:t xml:space="preserve">Where relevant state in bold text that the supplement forms part of,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1E4A73">
              <w:rPr>
                <w:rFonts w:ascii="Lato" w:hAnsi="Lato"/>
                <w:szCs w:val="22"/>
              </w:rPr>
              <w:t>and</w:t>
            </w:r>
            <w:r w:rsidRPr="00F627B2">
              <w:rPr>
                <w:rFonts w:ascii="Lato" w:hAnsi="Lato"/>
                <w:szCs w:val="22"/>
              </w:rPr>
              <w:t xml:space="preserve"> should be read in conjunction with the prospectus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Del="00D0045C"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2.19.8</w:t>
            </w: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eastAsia="Arial Unicode MS" w:hAnsi="Lato"/>
                <w:color w:val="auto"/>
                <w:sz w:val="22"/>
                <w:szCs w:val="22"/>
              </w:rPr>
            </w:pPr>
            <w:r w:rsidRPr="00F627B2">
              <w:rPr>
                <w:rFonts w:ascii="Lato" w:hAnsi="Lato"/>
                <w:color w:val="auto"/>
                <w:sz w:val="22"/>
                <w:szCs w:val="22"/>
              </w:rPr>
              <w:t xml:space="preserve">Confirm that investment companies authorised before 30 June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hAnsi="Lato"/>
                <w:color w:val="auto"/>
                <w:sz w:val="22"/>
                <w:szCs w:val="22"/>
              </w:rPr>
            </w:pPr>
            <w:r w:rsidRPr="00F627B2">
              <w:rPr>
                <w:rFonts w:ascii="Lato" w:hAnsi="Lato"/>
                <w:color w:val="auto"/>
                <w:sz w:val="22"/>
                <w:szCs w:val="22"/>
              </w:rPr>
              <w:t>2005, which have as an investment objective the employment of leverage, may not establish additional sub-funds unless the umbrella Retail Investor AIF has taken measures necessary to apply segregated liability between sub-funds.</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2.19.9</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Exchanges</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If provided for:</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Disclose the procedures for the exchange of shares.</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b)</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Disclose the charges, if any, applicable to the exchanges of</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units in one sub-fund for units in another</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2.19.10</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u w:val="single"/>
              </w:rPr>
            </w:pPr>
            <w:r w:rsidRPr="00F627B2">
              <w:rPr>
                <w:rFonts w:ascii="Lato" w:hAnsi="Lato"/>
                <w:szCs w:val="22"/>
              </w:rPr>
              <w:t>If applicable,</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Disclose ability to invest in other sub-funds of the Umbrella</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b)</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Disclose the extent to which sub-fund may invest in another sub-fund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and the conditions which apply to such investments.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Where a sub-fund (the “Investing Fund”) of an umbrella Retail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jc w:val="both"/>
              <w:rPr>
                <w:rFonts w:ascii="Lato" w:hAnsi="Lato"/>
                <w:szCs w:val="22"/>
              </w:rPr>
            </w:pPr>
            <w:r w:rsidRPr="001E4A73">
              <w:rPr>
                <w:rFonts w:ascii="Lato" w:hAnsi="Lato"/>
                <w:szCs w:val="22"/>
              </w:rPr>
              <w:t xml:space="preserve">Investor </w:t>
            </w:r>
            <w:r w:rsidRPr="00F627B2">
              <w:rPr>
                <w:rFonts w:ascii="Lato" w:hAnsi="Lato"/>
                <w:szCs w:val="22"/>
              </w:rPr>
              <w:t>AIF invests in the units of other sub-funds of that umbrella (each a “Receiving Fund”), the rate of the annual management fee which investors in the Investing Fund are charged in respect of that portion of the Investing Fund’s assets invested in Receiving Funds (whether such fee is paid directly at the Investing Fund level, indirectly at the level of the Receiving Funds or a combination of both) may not exceed the rate of the maximum annual management fee which investors in the Investing Fund may be charged in respect of the balance of the Investing Fund’s assets, such that there shall be no double charging of annual management fee to the Investing Fund as a result of its investments in the Receiving Fund. This provision is also applicable to the annual fee charged by an investment manager where this fee is paid directly out of the assets of the Retail Investor AIF</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d)</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Provide that Investment by way of transfer for consideration is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1E4A73">
              <w:rPr>
                <w:rFonts w:ascii="Lato" w:hAnsi="Lato"/>
                <w:szCs w:val="22"/>
              </w:rPr>
              <w:t xml:space="preserve">subject to </w:t>
            </w:r>
            <w:r w:rsidRPr="00F627B2">
              <w:rPr>
                <w:rFonts w:ascii="Lato" w:hAnsi="Lato"/>
                <w:szCs w:val="22"/>
              </w:rPr>
              <w:t>prior notification to the Central Bank</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single" w:sz="4" w:space="0" w:color="auto"/>
              <w:left w:val="single" w:sz="4" w:space="0" w:color="auto"/>
              <w:bottom w:val="single" w:sz="4" w:space="0" w:color="auto"/>
              <w:right w:val="nil"/>
            </w:tcBorders>
          </w:tcPr>
          <w:p w:rsidR="00B86B94" w:rsidRPr="00F627B2" w:rsidRDefault="00B86B94" w:rsidP="00B86B94">
            <w:pPr>
              <w:spacing w:line="240" w:lineRule="auto"/>
              <w:rPr>
                <w:rFonts w:ascii="Lato" w:hAnsi="Lato"/>
                <w:szCs w:val="22"/>
              </w:rPr>
            </w:pPr>
            <w:r w:rsidRPr="00F627B2">
              <w:rPr>
                <w:rFonts w:ascii="Lato" w:hAnsi="Lato"/>
                <w:szCs w:val="22"/>
              </w:rPr>
              <w:t>2.20</w:t>
            </w:r>
          </w:p>
        </w:tc>
        <w:tc>
          <w:tcPr>
            <w:tcW w:w="6744" w:type="dxa"/>
            <w:tcBorders>
              <w:top w:val="single" w:sz="4" w:space="0" w:color="auto"/>
              <w:left w:val="nil"/>
              <w:bottom w:val="single" w:sz="4" w:space="0" w:color="auto"/>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Warehousing</w:t>
            </w:r>
          </w:p>
        </w:tc>
        <w:tc>
          <w:tcPr>
            <w:tcW w:w="968"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Disclose any proposals to acquire assets pursuant to a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warehousing arrangement </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b)</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Disclose details of any fee payable in relation to such</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arrangements; and  </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State that the Retail Investor AIF will pay no more than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current market value for these assets.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2.21</w:t>
            </w:r>
          </w:p>
        </w:tc>
        <w:tc>
          <w:tcPr>
            <w:tcW w:w="6744"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Classes of Funds</w:t>
            </w:r>
          </w:p>
        </w:tc>
        <w:tc>
          <w:tcPr>
            <w:tcW w:w="968"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2.21.1</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Confirm a separate prospectus is not being issued for classes.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2.21.2</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Confirm the constitutional document provides for the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creation of classes</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2.21.3</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Clearly disclose how the net asset value per share class is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calculated </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2.21.4</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Provide that the creation of further share classes must be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notified to, and cleared, in advance with the Central Bank </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Or</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Provide that the creation of further share classes must be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effected in accordance with the requirements of the Central Bank</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2.21.5</w:t>
            </w:r>
          </w:p>
        </w:tc>
        <w:tc>
          <w:tcPr>
            <w:tcW w:w="6744" w:type="dxa"/>
            <w:tcBorders>
              <w:top w:val="nil"/>
              <w:left w:val="nil"/>
              <w:bottom w:val="nil"/>
              <w:right w:val="nil"/>
            </w:tcBorders>
          </w:tcPr>
          <w:p w:rsidR="00B86B94" w:rsidRPr="00F627B2" w:rsidRDefault="00B86B94" w:rsidP="00B86B94">
            <w:pPr>
              <w:pStyle w:val="Heading6"/>
              <w:rPr>
                <w:rFonts w:ascii="Lato" w:eastAsia="Arial Unicode MS" w:hAnsi="Lato"/>
                <w:b w:val="0"/>
                <w:szCs w:val="22"/>
              </w:rPr>
            </w:pPr>
            <w:r w:rsidRPr="00F627B2">
              <w:rPr>
                <w:rFonts w:ascii="Lato" w:hAnsi="Lato"/>
                <w:b w:val="0"/>
                <w:i/>
                <w:iCs/>
                <w:szCs w:val="22"/>
              </w:rPr>
              <w:t>Where a class is being provided for by way of a supplement</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Confirm:</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The supplement only contains information specific to the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 particular class (e.g. fees, distribution policy);</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b)</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The prospectus indicates that details of the classes will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be disclosed in the relevant supplement; and</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The name of the Retail Investor AIF</w:t>
            </w:r>
            <w:r w:rsidRPr="00F627B2" w:rsidDel="00AA2700">
              <w:rPr>
                <w:rFonts w:ascii="Lato" w:hAnsi="Lato"/>
                <w:szCs w:val="22"/>
              </w:rPr>
              <w:t xml:space="preserve"> </w:t>
            </w:r>
            <w:r w:rsidRPr="00F627B2">
              <w:rPr>
                <w:rFonts w:ascii="Lato" w:hAnsi="Lato"/>
                <w:szCs w:val="22"/>
              </w:rPr>
              <w:t xml:space="preserve">(and sub-fund, if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applicable) are contained in the supplement</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2.21.6</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u w:val="single"/>
              </w:rPr>
            </w:pPr>
            <w:r w:rsidRPr="00F627B2">
              <w:rPr>
                <w:rFonts w:ascii="Lato" w:hAnsi="Lato"/>
                <w:szCs w:val="22"/>
                <w:u w:val="single"/>
              </w:rPr>
              <w:t>Where a new class is being created with a fixed price,</w:t>
            </w:r>
          </w:p>
          <w:p w:rsidR="00B86B94" w:rsidRPr="00F627B2" w:rsidRDefault="00B86B94" w:rsidP="00B86B94">
            <w:pPr>
              <w:spacing w:line="240" w:lineRule="auto"/>
              <w:rPr>
                <w:rFonts w:ascii="Lato" w:hAnsi="Lato"/>
                <w:szCs w:val="22"/>
                <w:u w:val="single"/>
              </w:rPr>
            </w:pPr>
            <w:r w:rsidRPr="00F627B2">
              <w:rPr>
                <w:rFonts w:ascii="Lato" w:hAnsi="Lato"/>
                <w:szCs w:val="22"/>
              </w:rPr>
              <w:t>Confirm  the following are attached:</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Letter from the depositary confirming that “the proposal to issue a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1E4A73">
              <w:rPr>
                <w:rFonts w:ascii="Lato" w:hAnsi="Lato"/>
                <w:szCs w:val="22"/>
              </w:rPr>
              <w:t>share</w:t>
            </w:r>
            <w:r w:rsidRPr="00F627B2">
              <w:rPr>
                <w:rFonts w:ascii="Lato" w:hAnsi="Lato"/>
                <w:szCs w:val="22"/>
              </w:rPr>
              <w:t xml:space="preserve"> class in the scheme at an initial offer price rather than at current NAV per share will not, in our view, prejudice the existing shareholders in the Retail Investor AIF” or wording to this effect.</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b)</w:t>
            </w:r>
          </w:p>
        </w:tc>
        <w:tc>
          <w:tcPr>
            <w:tcW w:w="6744" w:type="dxa"/>
            <w:tcBorders>
              <w:top w:val="nil"/>
              <w:left w:val="nil"/>
              <w:bottom w:val="nil"/>
              <w:right w:val="single" w:sz="4" w:space="0" w:color="auto"/>
            </w:tcBorders>
          </w:tcPr>
          <w:p w:rsidR="00B86B94" w:rsidRPr="00F627B2" w:rsidRDefault="00B86B94" w:rsidP="00B86B94">
            <w:pPr>
              <w:pStyle w:val="Heading3"/>
              <w:spacing w:before="0" w:after="0" w:line="240" w:lineRule="auto"/>
              <w:rPr>
                <w:rFonts w:ascii="Lato" w:eastAsia="Arial Unicode MS" w:hAnsi="Lato"/>
                <w:b w:val="0"/>
                <w:bCs/>
                <w:color w:val="auto"/>
                <w:sz w:val="22"/>
                <w:szCs w:val="22"/>
              </w:rPr>
            </w:pPr>
            <w:r w:rsidRPr="00F627B2">
              <w:rPr>
                <w:rFonts w:ascii="Lato" w:hAnsi="Lato"/>
                <w:b w:val="0"/>
                <w:bCs/>
                <w:color w:val="auto"/>
                <w:sz w:val="22"/>
                <w:szCs w:val="22"/>
              </w:rPr>
              <w:t xml:space="preserve">A numeric example from the Depositary outlining how all </w:t>
            </w:r>
            <w:r w:rsidRPr="00F627B2">
              <w:rPr>
                <w:rFonts w:ascii="Lato" w:hAnsi="Lato"/>
                <w:b w:val="0"/>
                <w:sz w:val="22"/>
                <w:szCs w:val="22"/>
              </w:rPr>
              <w:t>investors</w:t>
            </w:r>
            <w:r w:rsidRPr="00F627B2">
              <w:rPr>
                <w:rFonts w:ascii="Lato" w:hAnsi="Lato"/>
                <w:szCs w:val="22"/>
              </w:rPr>
              <w:t xml:space="preserv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1E4A73">
              <w:rPr>
                <w:rFonts w:ascii="Lato" w:hAnsi="Lato"/>
                <w:szCs w:val="22"/>
              </w:rPr>
              <w:t>will be</w:t>
            </w:r>
            <w:r w:rsidRPr="00F627B2">
              <w:rPr>
                <w:rFonts w:ascii="Lato" w:hAnsi="Lato"/>
                <w:szCs w:val="22"/>
              </w:rPr>
              <w:t xml:space="preserve"> treated equally (e.g. what calculation method is used, how units/shares are allocated)</w:t>
            </w:r>
          </w:p>
        </w:tc>
        <w:tc>
          <w:tcPr>
            <w:tcW w:w="1048"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3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667"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2.21.7</w:t>
            </w:r>
          </w:p>
        </w:tc>
        <w:tc>
          <w:tcPr>
            <w:tcW w:w="6744" w:type="dxa"/>
            <w:tcBorders>
              <w:top w:val="nil"/>
              <w:left w:val="nil"/>
              <w:bottom w:val="nil"/>
              <w:right w:val="single" w:sz="4" w:space="0" w:color="auto"/>
            </w:tcBorders>
          </w:tcPr>
          <w:p w:rsidR="00B86B94" w:rsidRPr="00F627B2" w:rsidRDefault="00B86B94" w:rsidP="00B86B94">
            <w:pPr>
              <w:pStyle w:val="Heading1"/>
              <w:spacing w:before="0" w:after="0" w:line="240" w:lineRule="auto"/>
              <w:rPr>
                <w:rFonts w:ascii="Lato" w:eastAsia="Arial Unicode MS" w:hAnsi="Lato"/>
                <w:color w:val="auto"/>
                <w:sz w:val="22"/>
                <w:szCs w:val="22"/>
              </w:rPr>
            </w:pPr>
            <w:r w:rsidRPr="00F627B2">
              <w:rPr>
                <w:rFonts w:ascii="Lato" w:hAnsi="Lato"/>
                <w:color w:val="auto"/>
                <w:sz w:val="22"/>
                <w:szCs w:val="22"/>
              </w:rPr>
              <w:t>Hedged and unhedged Retail Investor AIF and Share Classes</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Describe clearly the general currency hedging strategies of the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1E4A73">
              <w:rPr>
                <w:rFonts w:ascii="Lato" w:hAnsi="Lato"/>
                <w:szCs w:val="22"/>
              </w:rPr>
              <w:t>Retail</w:t>
            </w:r>
            <w:r w:rsidRPr="00F627B2">
              <w:rPr>
                <w:rFonts w:ascii="Lato" w:hAnsi="Lato"/>
                <w:szCs w:val="22"/>
              </w:rPr>
              <w:t xml:space="preserve"> Investor AIF</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b)</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Describe clearly the features of individual currency share classes</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Where the Retail Investor AIF intends to invest in assets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1E4A73">
              <w:rPr>
                <w:rFonts w:ascii="Lato" w:hAnsi="Lato"/>
                <w:szCs w:val="22"/>
              </w:rPr>
              <w:t>denominated</w:t>
            </w:r>
            <w:r w:rsidRPr="00F627B2">
              <w:rPr>
                <w:rFonts w:ascii="Lato" w:hAnsi="Lato"/>
                <w:szCs w:val="22"/>
              </w:rPr>
              <w:t xml:space="preserve"> in currencies other than the base currency, disclose whether it is the Retail Investor AIF’s intention to hedge the resulting currency exposure back into the base currency and, if so, to what extent</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d)</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Disclose the general costs and/or exchange rate risks associated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1E4A73">
              <w:rPr>
                <w:rFonts w:ascii="Lato" w:hAnsi="Lato"/>
                <w:szCs w:val="22"/>
              </w:rPr>
              <w:t>with</w:t>
            </w:r>
            <w:r w:rsidRPr="00F627B2">
              <w:rPr>
                <w:rFonts w:ascii="Lato" w:hAnsi="Lato"/>
                <w:szCs w:val="22"/>
              </w:rPr>
              <w:t xml:space="preserve"> the currency strategy.</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e)</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In the case of unhedged share classes:</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Disclose that a currency conversion will take place on subscription,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redemption and distributions at prevailing exchange rates; and</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Where appropriate, disclose that the value of the share expressed in</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the class currency will be subject to exchange rate risk in relation to the base currency.</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In the case of hedged share classes:</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f)</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Indicate that, to the extent that hedging is successful, the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jc w:val="both"/>
              <w:rPr>
                <w:rFonts w:ascii="Lato" w:hAnsi="Lato"/>
                <w:szCs w:val="22"/>
              </w:rPr>
            </w:pPr>
            <w:r w:rsidRPr="001E4A73">
              <w:rPr>
                <w:rFonts w:ascii="Lato" w:hAnsi="Lato"/>
                <w:szCs w:val="22"/>
              </w:rPr>
              <w:t>performance</w:t>
            </w:r>
            <w:r w:rsidRPr="00F627B2">
              <w:rPr>
                <w:rFonts w:ascii="Lato" w:hAnsi="Lato"/>
                <w:szCs w:val="22"/>
              </w:rPr>
              <w:t xml:space="preserve"> of the class is likely to move in line with the performance of the underlying assets and that unitholders in the hedged class will not benefit if the class currency falls against the base currency and/or the currency in which the assets of the Retail Investor AIF are denominated.</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g)</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Disclose the implications of the hedging policy.  This shall at a</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minimum include:</w:t>
            </w: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(i) a statement indicating the extent to which the Retail Investor AIF</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intends to hedge against currency fluctuations and noting that while not the intention, over-hedged or under-hedged positions may arise due to factors outside of the control of the Retail Investor AIF.</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(ii) provision that over-hedged positions will not be permitted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to exceed 105% of the net asset value of the class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(iii) a statement that hedged positions will be kept under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review to ensure that over-hedged positions do not exceed </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105% of the net asset value of the class.  This review will also incorporate a procedure to ensure that positions materially in excess of 100% will not be carried forward from month to month</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(iv) a statement that transactions will be clearly attributable to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 specific class (therefore currency exposures of different  currency classes may not be combined or offset and currency exposures of assets of the Retail Investor AIF may not be allocated to separate share classes)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(v) a disclosure that the costs and gains/losses of the hedging</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transactions will accrue solely to the relevant class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tabs>
                <w:tab w:val="left" w:pos="34"/>
              </w:tabs>
              <w:spacing w:line="240" w:lineRule="auto"/>
              <w:ind w:right="174"/>
              <w:jc w:val="right"/>
              <w:rPr>
                <w:rFonts w:ascii="Lato" w:hAnsi="Lato"/>
                <w:szCs w:val="22"/>
              </w:rPr>
            </w:pPr>
            <w:r w:rsidRPr="00F627B2">
              <w:rPr>
                <w:rFonts w:ascii="Lato" w:hAnsi="Lato"/>
                <w:szCs w:val="22"/>
              </w:rPr>
              <w:t>h)</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Disclose that the Retail Investor AIF shall only engage in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interest rate hedging at share class level where the benefits and costs of such hedging will be accrued and attributed solely to unitholders in the hedged share class; and. </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Provide that these arrangements shall be in accordance with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the requirements of Section 2.21.7 (a) to (g)</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2.21.8</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Side Pocket Share Classes</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Provide a clear and unambiguous description of any proposed side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pStyle w:val="Heading4"/>
              <w:rPr>
                <w:rFonts w:ascii="Lato" w:hAnsi="Lato"/>
                <w:b w:val="0"/>
                <w:sz w:val="22"/>
                <w:szCs w:val="22"/>
              </w:rPr>
            </w:pPr>
            <w:r w:rsidRPr="00F627B2">
              <w:rPr>
                <w:rFonts w:ascii="Lato" w:hAnsi="Lato"/>
                <w:b w:val="0"/>
                <w:szCs w:val="22"/>
              </w:rPr>
              <w:t>pocket</w:t>
            </w:r>
            <w:r w:rsidRPr="00F627B2">
              <w:rPr>
                <w:rFonts w:ascii="Lato" w:hAnsi="Lato"/>
                <w:b w:val="0"/>
                <w:sz w:val="22"/>
                <w:szCs w:val="22"/>
              </w:rPr>
              <w:t xml:space="preserve"> arrangements and information on the action which will be taken in the event that the assets within the side pockets are not re-admitted to trading or otherwise increase in value and/or liquidity as anticipated.</w:t>
            </w:r>
          </w:p>
          <w:p w:rsidR="00B86B94" w:rsidRPr="00F627B2" w:rsidRDefault="00B86B94" w:rsidP="00B86B94">
            <w:pPr>
              <w:spacing w:line="240" w:lineRule="auto"/>
              <w:rPr>
                <w:rFonts w:ascii="Lato" w:hAnsi="Lato"/>
                <w:szCs w:val="22"/>
              </w:rPr>
            </w:pP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(ii)</w:t>
            </w: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 xml:space="preserve">Disclose the clause in the constitutional document which permits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1E4A73">
              <w:rPr>
                <w:rFonts w:ascii="Lato" w:hAnsi="Lato"/>
                <w:szCs w:val="22"/>
              </w:rPr>
              <w:t>the</w:t>
            </w:r>
            <w:r w:rsidRPr="00F627B2">
              <w:rPr>
                <w:rFonts w:ascii="Lato" w:hAnsi="Lato"/>
                <w:szCs w:val="22"/>
              </w:rPr>
              <w:t xml:space="preserve"> creation of side pockets</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2.21.9</w:t>
            </w:r>
          </w:p>
        </w:tc>
        <w:tc>
          <w:tcPr>
            <w:tcW w:w="6744" w:type="dxa"/>
            <w:tcBorders>
              <w:top w:val="nil"/>
              <w:left w:val="nil"/>
              <w:bottom w:val="nil"/>
              <w:right w:val="nil"/>
            </w:tcBorders>
          </w:tcPr>
          <w:p w:rsidR="00B86B94" w:rsidRPr="00F627B2" w:rsidRDefault="00B86B94" w:rsidP="00B86B94">
            <w:pPr>
              <w:pStyle w:val="Heading1"/>
              <w:spacing w:before="0" w:after="0" w:line="240" w:lineRule="auto"/>
              <w:rPr>
                <w:rFonts w:ascii="Lato" w:hAnsi="Lato"/>
                <w:color w:val="auto"/>
                <w:sz w:val="22"/>
                <w:szCs w:val="22"/>
              </w:rPr>
            </w:pPr>
            <w:r w:rsidRPr="00F627B2">
              <w:rPr>
                <w:rFonts w:ascii="Lato" w:hAnsi="Lato"/>
                <w:color w:val="auto"/>
                <w:sz w:val="22"/>
                <w:szCs w:val="22"/>
              </w:rPr>
              <w:t>Unit Trust</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 w:val="14"/>
                <w:szCs w:val="14"/>
              </w:rPr>
            </w:pPr>
            <w:r w:rsidRPr="00F627B2">
              <w:rPr>
                <w:rFonts w:ascii="Lato" w:hAnsi="Lato"/>
                <w:sz w:val="14"/>
                <w:szCs w:val="14"/>
              </w:rPr>
              <w:t>Yes/No</w:t>
            </w: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Are classes being created that restrict investment to specific</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categories of unitholders?</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If yes, confirm that particulars thereof (including details of</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the target audience and how it complies with the Unit Trusts Act 1990) are contained in the covering letter with this application as well as confirmation that the proposal is consistent with the Unit Trusts Act 1990.</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ind w:left="-108"/>
              <w:rPr>
                <w:rFonts w:ascii="Lato" w:hAnsi="Lato"/>
                <w:szCs w:val="22"/>
              </w:rPr>
            </w:pPr>
            <w:r w:rsidRPr="00F627B2">
              <w:rPr>
                <w:rFonts w:ascii="Lato" w:hAnsi="Lato"/>
                <w:szCs w:val="22"/>
              </w:rPr>
              <w:t>2.21.10</w:t>
            </w: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Investment through Subsidiaries</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Where applicable, disclose:</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(a) the name of the subsidiary; and</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(b) that the subsidiary is wholly owned by the Retail Investor AIF.</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2.22</w:t>
            </w:r>
          </w:p>
        </w:tc>
        <w:tc>
          <w:tcPr>
            <w:tcW w:w="6744"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pStyle w:val="BodyText3"/>
              <w:rPr>
                <w:rFonts w:ascii="Lato" w:hAnsi="Lato"/>
                <w:szCs w:val="22"/>
              </w:rPr>
            </w:pPr>
            <w:r w:rsidRPr="00F627B2">
              <w:rPr>
                <w:rFonts w:ascii="Lato" w:hAnsi="Lato"/>
                <w:szCs w:val="22"/>
              </w:rPr>
              <w:t>Closed-ended Retail Investor AIFs</w:t>
            </w:r>
          </w:p>
        </w:tc>
        <w:tc>
          <w:tcPr>
            <w:tcW w:w="968"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single" w:sz="4" w:space="0" w:color="auto"/>
              <w:left w:val="nil"/>
              <w:bottom w:val="nil"/>
              <w:right w:val="nil"/>
            </w:tcBorders>
          </w:tcPr>
          <w:p w:rsidR="00B86B94" w:rsidRPr="00F627B2" w:rsidRDefault="00B86B94" w:rsidP="00B86B94">
            <w:pPr>
              <w:pStyle w:val="BodyText3"/>
              <w:rPr>
                <w:rFonts w:ascii="Lato" w:hAnsi="Lato"/>
                <w:szCs w:val="22"/>
              </w:rPr>
            </w:pP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2.22.1</w:t>
            </w:r>
          </w:p>
        </w:tc>
        <w:tc>
          <w:tcPr>
            <w:tcW w:w="6744" w:type="dxa"/>
            <w:tcBorders>
              <w:top w:val="nil"/>
              <w:left w:val="nil"/>
              <w:bottom w:val="nil"/>
              <w:right w:val="single" w:sz="4" w:space="0" w:color="auto"/>
            </w:tcBorders>
          </w:tcPr>
          <w:p w:rsidR="00B86B94" w:rsidRPr="00F627B2" w:rsidRDefault="00B86B94" w:rsidP="00B86B94">
            <w:pPr>
              <w:pStyle w:val="BodyText3"/>
              <w:rPr>
                <w:rFonts w:ascii="Lato" w:hAnsi="Lato"/>
                <w:szCs w:val="22"/>
              </w:rPr>
            </w:pPr>
            <w:r w:rsidRPr="00F627B2">
              <w:rPr>
                <w:rFonts w:ascii="Lato" w:hAnsi="Lato"/>
                <w:szCs w:val="22"/>
              </w:rPr>
              <w:t xml:space="preserve">Disclose the duration of the finite closed-ended period of the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BodyText3"/>
              <w:rPr>
                <w:rFonts w:ascii="Lato" w:hAnsi="Lato"/>
                <w:szCs w:val="22"/>
              </w:rPr>
            </w:pPr>
            <w:r w:rsidRPr="00F627B2">
              <w:rPr>
                <w:rFonts w:ascii="Lato" w:hAnsi="Lato"/>
                <w:szCs w:val="22"/>
              </w:rPr>
              <w:t>Retail Investor AIF as a material part of the investment policy</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BodyText3"/>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BodyText3"/>
              <w:rPr>
                <w:rFonts w:ascii="Lato" w:hAnsi="Lato"/>
                <w:szCs w:val="22"/>
              </w:rPr>
            </w:pPr>
            <w:r w:rsidRPr="00F627B2">
              <w:rPr>
                <w:rFonts w:ascii="Lato" w:hAnsi="Lato"/>
                <w:szCs w:val="22"/>
              </w:rPr>
              <w:t xml:space="preserve">The maximum initial duration permitted by the Central Bank </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BodyText3"/>
              <w:rPr>
                <w:rFonts w:ascii="Lato" w:hAnsi="Lato"/>
                <w:szCs w:val="22"/>
              </w:rPr>
            </w:pPr>
            <w:r w:rsidRPr="00F627B2">
              <w:rPr>
                <w:rFonts w:ascii="Lato" w:hAnsi="Lato"/>
                <w:szCs w:val="22"/>
              </w:rPr>
              <w:t>for a closed ended Retail Investor AIF is:</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pStyle w:val="BodyText3"/>
              <w:rPr>
                <w:rFonts w:ascii="Lato" w:hAnsi="Lato"/>
                <w:szCs w:val="22"/>
              </w:rPr>
            </w:pPr>
            <w:r w:rsidRPr="00F627B2">
              <w:rPr>
                <w:rFonts w:ascii="Lato" w:hAnsi="Lato"/>
                <w:szCs w:val="22"/>
              </w:rPr>
              <w:t>(a) 5 years or less; or</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pStyle w:val="BodyText3"/>
              <w:rPr>
                <w:rFonts w:ascii="Lato" w:hAnsi="Lato"/>
                <w:szCs w:val="22"/>
              </w:rPr>
            </w:pPr>
            <w:r w:rsidRPr="00F627B2">
              <w:rPr>
                <w:rFonts w:ascii="Lato" w:hAnsi="Lato"/>
                <w:szCs w:val="22"/>
              </w:rPr>
              <w:t>(b) 10 years or less provided this is reasonably required by the</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BodyText3"/>
              <w:rPr>
                <w:rFonts w:ascii="Lato" w:hAnsi="Lato"/>
                <w:szCs w:val="22"/>
              </w:rPr>
            </w:pPr>
            <w:r w:rsidRPr="00F627B2">
              <w:rPr>
                <w:rFonts w:ascii="Lato" w:hAnsi="Lato"/>
                <w:szCs w:val="22"/>
              </w:rPr>
              <w:t>investment objective of the Retail Investor AIF which has made realistic provision for liquidity in its units; or</w:t>
            </w: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RDefault="00B86B94" w:rsidP="00B86B94">
            <w:pPr>
              <w:pStyle w:val="BodyText3"/>
              <w:rPr>
                <w:rFonts w:ascii="Lato" w:hAnsi="Lato"/>
                <w:szCs w:val="22"/>
              </w:rPr>
            </w:pPr>
            <w:r w:rsidRPr="00F627B2">
              <w:rPr>
                <w:rFonts w:ascii="Lato" w:hAnsi="Lato"/>
                <w:szCs w:val="22"/>
              </w:rPr>
              <w:t>(c) greater than 10 years in the case of a Retail Investor AIF</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BodyText3"/>
              <w:rPr>
                <w:rFonts w:ascii="Lato" w:hAnsi="Lato"/>
                <w:szCs w:val="22"/>
              </w:rPr>
            </w:pPr>
            <w:r w:rsidRPr="00F627B2">
              <w:rPr>
                <w:rFonts w:ascii="Lato" w:hAnsi="Lato"/>
                <w:szCs w:val="22"/>
              </w:rPr>
              <w:t>which has made realistic provision for liquidity in its units and which has provided specific opportunities for the redemption of units after 10 years, by all those unitholders who may wish to do so, and on a periodic basis thereafter.</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BodyText3"/>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2.22.2</w:t>
            </w:r>
          </w:p>
        </w:tc>
        <w:tc>
          <w:tcPr>
            <w:tcW w:w="6744" w:type="dxa"/>
            <w:tcBorders>
              <w:top w:val="nil"/>
              <w:left w:val="nil"/>
              <w:bottom w:val="nil"/>
              <w:right w:val="single" w:sz="4" w:space="0" w:color="auto"/>
            </w:tcBorders>
          </w:tcPr>
          <w:p w:rsidR="00B86B94" w:rsidRPr="00F627B2" w:rsidRDefault="00B86B94" w:rsidP="00B86B94">
            <w:pPr>
              <w:pStyle w:val="BodyText3"/>
              <w:rPr>
                <w:rFonts w:ascii="Lato" w:hAnsi="Lato"/>
                <w:szCs w:val="22"/>
              </w:rPr>
            </w:pPr>
            <w:r w:rsidRPr="00F627B2">
              <w:rPr>
                <w:rFonts w:ascii="Lato" w:hAnsi="Lato"/>
                <w:bCs/>
                <w:szCs w:val="22"/>
              </w:rPr>
              <w:t>Umbrella scheme:</w:t>
            </w:r>
            <w:r w:rsidRPr="00F627B2">
              <w:rPr>
                <w:rFonts w:ascii="Lato" w:hAnsi="Lato"/>
                <w:szCs w:val="22"/>
              </w:rPr>
              <w:t xml:space="preserve"> disclose the closed-ended period of each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BodyText3"/>
              <w:rPr>
                <w:rFonts w:ascii="Lato" w:hAnsi="Lato"/>
                <w:b/>
                <w:bCs/>
                <w:szCs w:val="22"/>
              </w:rPr>
            </w:pPr>
            <w:r w:rsidRPr="00F627B2">
              <w:rPr>
                <w:rFonts w:ascii="Lato" w:hAnsi="Lato"/>
                <w:szCs w:val="22"/>
              </w:rPr>
              <w:t>sub-fund</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BodyText3"/>
              <w:rPr>
                <w:rFonts w:ascii="Lato" w:hAnsi="Lato"/>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w:t>
            </w:r>
          </w:p>
        </w:tc>
        <w:tc>
          <w:tcPr>
            <w:tcW w:w="6744" w:type="dxa"/>
            <w:tcBorders>
              <w:top w:val="nil"/>
              <w:left w:val="nil"/>
              <w:bottom w:val="nil"/>
              <w:right w:val="nil"/>
            </w:tcBorders>
          </w:tcPr>
          <w:p w:rsidR="00B86B94" w:rsidRPr="00F627B2" w:rsidRDefault="00B86B94" w:rsidP="00B86B94">
            <w:pPr>
              <w:pStyle w:val="BodyTextIndent"/>
              <w:ind w:left="-5"/>
              <w:rPr>
                <w:rFonts w:ascii="Lato" w:hAnsi="Lato"/>
                <w:b w:val="0"/>
                <w:bCs w:val="0"/>
                <w:sz w:val="22"/>
                <w:szCs w:val="22"/>
              </w:rPr>
            </w:pPr>
            <w:r w:rsidRPr="00F627B2">
              <w:rPr>
                <w:rFonts w:ascii="Lato" w:hAnsi="Lato"/>
                <w:b w:val="0"/>
                <w:bCs w:val="0"/>
                <w:sz w:val="22"/>
                <w:szCs w:val="22"/>
              </w:rPr>
              <w:t xml:space="preserve">Provide that at the end of finite closed-ended period) the Retail Investor AIF will undertake one of the following:  </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 xml:space="preserve">(i) </w:t>
            </w:r>
          </w:p>
        </w:tc>
        <w:tc>
          <w:tcPr>
            <w:tcW w:w="6744" w:type="dxa"/>
            <w:tcBorders>
              <w:top w:val="nil"/>
              <w:left w:val="nil"/>
              <w:bottom w:val="nil"/>
              <w:right w:val="single" w:sz="4" w:space="0" w:color="auto"/>
            </w:tcBorders>
          </w:tcPr>
          <w:p w:rsidR="00B86B94" w:rsidRPr="00F627B2" w:rsidRDefault="00B86B94" w:rsidP="00B86B94">
            <w:pPr>
              <w:pStyle w:val="BodyTextIndent"/>
              <w:ind w:left="-5"/>
              <w:rPr>
                <w:rFonts w:ascii="Lato" w:hAnsi="Lato"/>
                <w:b w:val="0"/>
                <w:bCs w:val="0"/>
                <w:sz w:val="22"/>
                <w:szCs w:val="22"/>
              </w:rPr>
            </w:pPr>
            <w:r w:rsidRPr="00F627B2">
              <w:rPr>
                <w:rFonts w:ascii="Lato" w:hAnsi="Lato"/>
                <w:b w:val="0"/>
                <w:bCs w:val="0"/>
                <w:sz w:val="22"/>
                <w:szCs w:val="22"/>
              </w:rPr>
              <w:t xml:space="preserve">Wind-up and apply to the Central Bank for a revocation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BodyTextIndent"/>
              <w:ind w:left="-5"/>
              <w:rPr>
                <w:rFonts w:ascii="Lato" w:hAnsi="Lato"/>
                <w:b w:val="0"/>
                <w:bCs w:val="0"/>
                <w:sz w:val="22"/>
                <w:szCs w:val="22"/>
              </w:rPr>
            </w:pPr>
            <w:r w:rsidRPr="00F627B2">
              <w:rPr>
                <w:rFonts w:ascii="Lato" w:hAnsi="Lato"/>
                <w:b w:val="0"/>
                <w:bCs w:val="0"/>
                <w:sz w:val="22"/>
                <w:szCs w:val="22"/>
              </w:rPr>
              <w:t>of the Retail Investor AIF’s authorisation;</w:t>
            </w: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(ii)</w:t>
            </w:r>
          </w:p>
        </w:tc>
        <w:tc>
          <w:tcPr>
            <w:tcW w:w="6744" w:type="dxa"/>
            <w:tcBorders>
              <w:top w:val="nil"/>
              <w:left w:val="nil"/>
              <w:bottom w:val="nil"/>
              <w:right w:val="single" w:sz="4" w:space="0" w:color="auto"/>
            </w:tcBorders>
          </w:tcPr>
          <w:p w:rsidR="00B86B94" w:rsidRPr="00F627B2" w:rsidRDefault="00B86B94" w:rsidP="00B86B94">
            <w:pPr>
              <w:pStyle w:val="BodyTextIndent"/>
              <w:ind w:left="-5"/>
              <w:rPr>
                <w:rFonts w:ascii="Lato" w:hAnsi="Lato"/>
                <w:b w:val="0"/>
                <w:bCs w:val="0"/>
                <w:sz w:val="22"/>
                <w:szCs w:val="22"/>
              </w:rPr>
            </w:pPr>
            <w:r w:rsidRPr="00F627B2">
              <w:rPr>
                <w:rFonts w:ascii="Lato" w:hAnsi="Lato"/>
                <w:b w:val="0"/>
                <w:bCs w:val="0"/>
                <w:sz w:val="22"/>
                <w:szCs w:val="22"/>
              </w:rPr>
              <w:t xml:space="preserve">Redeem all outstanding units and apply to the Central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BodyTextIndent"/>
              <w:ind w:left="-5"/>
              <w:rPr>
                <w:rFonts w:ascii="Lato" w:hAnsi="Lato"/>
                <w:b w:val="0"/>
                <w:bCs w:val="0"/>
                <w:sz w:val="22"/>
                <w:szCs w:val="22"/>
              </w:rPr>
            </w:pPr>
            <w:r w:rsidRPr="00F627B2">
              <w:rPr>
                <w:rFonts w:ascii="Lato" w:hAnsi="Lato"/>
                <w:b w:val="0"/>
                <w:bCs w:val="0"/>
                <w:sz w:val="22"/>
                <w:szCs w:val="22"/>
              </w:rPr>
              <w:t>Bank for revocation of the Retail Investor AIF’s authorisation;</w:t>
            </w: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(iii)</w:t>
            </w:r>
          </w:p>
        </w:tc>
        <w:tc>
          <w:tcPr>
            <w:tcW w:w="6744" w:type="dxa"/>
            <w:tcBorders>
              <w:top w:val="nil"/>
              <w:left w:val="nil"/>
              <w:bottom w:val="nil"/>
              <w:right w:val="single" w:sz="4" w:space="0" w:color="auto"/>
            </w:tcBorders>
          </w:tcPr>
          <w:p w:rsidR="00B86B94" w:rsidRPr="00F627B2" w:rsidRDefault="00B86B94" w:rsidP="00B86B94">
            <w:pPr>
              <w:pStyle w:val="BodyTextIndent"/>
              <w:ind w:left="-5"/>
              <w:rPr>
                <w:rFonts w:ascii="Lato" w:hAnsi="Lato"/>
                <w:b w:val="0"/>
                <w:bCs w:val="0"/>
                <w:sz w:val="22"/>
                <w:szCs w:val="22"/>
              </w:rPr>
            </w:pPr>
            <w:r w:rsidRPr="00F627B2">
              <w:rPr>
                <w:rFonts w:ascii="Lato" w:hAnsi="Lato"/>
                <w:b w:val="0"/>
                <w:bCs w:val="0"/>
                <w:sz w:val="22"/>
                <w:szCs w:val="22"/>
              </w:rPr>
              <w:t>Convert into an open-ended scheme; or</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trHeight w:val="240"/>
        </w:trPr>
        <w:tc>
          <w:tcPr>
            <w:tcW w:w="1070" w:type="dxa"/>
            <w:vMerge w:val="restart"/>
            <w:tcBorders>
              <w:top w:val="nil"/>
              <w:left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(iv)</w:t>
            </w:r>
          </w:p>
        </w:tc>
        <w:tc>
          <w:tcPr>
            <w:tcW w:w="6744" w:type="dxa"/>
            <w:vMerge w:val="restart"/>
            <w:tcBorders>
              <w:top w:val="nil"/>
              <w:left w:val="nil"/>
              <w:right w:val="single" w:sz="4" w:space="0" w:color="auto"/>
            </w:tcBorders>
          </w:tcPr>
          <w:p w:rsidR="00B86B94" w:rsidRPr="00F627B2" w:rsidRDefault="00B86B94" w:rsidP="00B86B94">
            <w:pPr>
              <w:pStyle w:val="BodyTextIndent"/>
              <w:ind w:left="-5"/>
              <w:rPr>
                <w:rFonts w:ascii="Lato" w:hAnsi="Lato"/>
                <w:b w:val="0"/>
                <w:bCs w:val="0"/>
                <w:sz w:val="22"/>
                <w:szCs w:val="22"/>
              </w:rPr>
            </w:pPr>
            <w:r w:rsidRPr="00F627B2">
              <w:rPr>
                <w:rFonts w:ascii="Lato" w:hAnsi="Lato"/>
                <w:b w:val="0"/>
                <w:bCs w:val="0"/>
                <w:sz w:val="22"/>
                <w:szCs w:val="22"/>
              </w:rPr>
              <w:t>Obtain shareholder/unitholder approval to extend the closed-ended period for a further finite period:</w:t>
            </w:r>
            <w:r w:rsidRPr="00F627B2">
              <w:rPr>
                <w:rFonts w:ascii="Lato" w:hAnsi="Lato"/>
                <w:b w:val="0"/>
                <w:sz w:val="22"/>
                <w:szCs w:val="22"/>
              </w:rPr>
              <w:t xml:space="preserv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vMerge w:val="restart"/>
            <w:tcBorders>
              <w:top w:val="nil"/>
              <w:left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vMerge w:val="restart"/>
            <w:tcBorders>
              <w:top w:val="nil"/>
              <w:left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vMerge w:val="restart"/>
            <w:tcBorders>
              <w:top w:val="nil"/>
              <w:left w:val="single" w:sz="4" w:space="0" w:color="auto"/>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trHeight w:val="375"/>
        </w:trPr>
        <w:tc>
          <w:tcPr>
            <w:tcW w:w="1070" w:type="dxa"/>
            <w:vMerge/>
            <w:tcBorders>
              <w:top w:val="nil"/>
              <w:left w:val="nil"/>
              <w:right w:val="nil"/>
            </w:tcBorders>
          </w:tcPr>
          <w:p w:rsidR="00B86B94" w:rsidRPr="00F627B2" w:rsidRDefault="00B86B94" w:rsidP="00B86B94">
            <w:pPr>
              <w:spacing w:line="240" w:lineRule="auto"/>
              <w:rPr>
                <w:rFonts w:ascii="Lato" w:hAnsi="Lato"/>
                <w:szCs w:val="22"/>
              </w:rPr>
            </w:pPr>
          </w:p>
        </w:tc>
        <w:tc>
          <w:tcPr>
            <w:tcW w:w="6744" w:type="dxa"/>
            <w:vMerge/>
            <w:tcBorders>
              <w:top w:val="nil"/>
              <w:left w:val="nil"/>
              <w:right w:val="nil"/>
            </w:tcBorders>
          </w:tcPr>
          <w:p w:rsidR="00B86B94" w:rsidRPr="00F627B2" w:rsidRDefault="00B86B94" w:rsidP="00B86B94">
            <w:pPr>
              <w:pStyle w:val="BodyTextIndent"/>
              <w:ind w:left="-5"/>
              <w:rPr>
                <w:rFonts w:ascii="Lato" w:hAnsi="Lato"/>
                <w:b w:val="0"/>
                <w:bCs w:val="0"/>
                <w:sz w:val="22"/>
                <w:szCs w:val="22"/>
              </w:rPr>
            </w:pP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vMerge/>
            <w:tcBorders>
              <w:top w:val="nil"/>
              <w:left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vMerge/>
            <w:tcBorders>
              <w:top w:val="nil"/>
              <w:left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vMerge/>
            <w:tcBorders>
              <w:top w:val="nil"/>
              <w:left w:val="nil"/>
              <w:right w:val="nil"/>
            </w:tcBorders>
          </w:tcPr>
          <w:p w:rsidR="00B86B94" w:rsidRPr="00F627B2" w:rsidRDefault="00B86B94" w:rsidP="00B86B94">
            <w:pPr>
              <w:spacing w:line="240" w:lineRule="auto"/>
              <w:rPr>
                <w:rFonts w:ascii="Lato" w:hAnsi="Lato"/>
                <w:szCs w:val="22"/>
              </w:rPr>
            </w:pPr>
          </w:p>
        </w:tc>
        <w:tc>
          <w:tcPr>
            <w:tcW w:w="426"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Del="00C47AC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Del="00C47AC2" w:rsidRDefault="00B86B94" w:rsidP="00B86B94">
            <w:pPr>
              <w:pStyle w:val="Caption"/>
              <w:ind w:left="-5"/>
              <w:rPr>
                <w:rFonts w:ascii="Lato" w:hAnsi="Lato"/>
                <w:b w:val="0"/>
                <w:bCs w:val="0"/>
                <w:szCs w:val="22"/>
              </w:rPr>
            </w:pPr>
            <w:r w:rsidRPr="00F627B2">
              <w:rPr>
                <w:rFonts w:ascii="Lato" w:hAnsi="Lato"/>
                <w:b w:val="0"/>
                <w:szCs w:val="22"/>
              </w:rPr>
              <w:t>Closed-Ended Retail Investor AIFs</w:t>
            </w: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Del="00C47AC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Del="00C47AC2" w:rsidRDefault="00B86B94" w:rsidP="00B86B94">
            <w:pPr>
              <w:pStyle w:val="Caption"/>
              <w:ind w:left="-5"/>
              <w:rPr>
                <w:rFonts w:ascii="Lato" w:hAnsi="Lato"/>
                <w:b w:val="0"/>
                <w:bCs w:val="0"/>
                <w:szCs w:val="22"/>
              </w:rPr>
            </w:pPr>
            <w:r w:rsidRPr="00F627B2">
              <w:rPr>
                <w:rFonts w:ascii="Lato" w:hAnsi="Lato"/>
                <w:b w:val="0"/>
                <w:i/>
                <w:szCs w:val="22"/>
              </w:rPr>
              <w:t>Changes to Duration</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Del="00C47AC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Del="00C47AC2" w:rsidRDefault="00B86B94" w:rsidP="00B86B94">
            <w:pPr>
              <w:pStyle w:val="Caption"/>
              <w:ind w:left="-5"/>
              <w:rPr>
                <w:rFonts w:ascii="Lato" w:hAnsi="Lato"/>
                <w:b w:val="0"/>
                <w:bCs w:val="0"/>
                <w:szCs w:val="22"/>
              </w:rPr>
            </w:pPr>
            <w:r w:rsidRPr="00F627B2">
              <w:rPr>
                <w:rFonts w:ascii="Lato" w:hAnsi="Lato"/>
                <w:b w:val="0"/>
                <w:szCs w:val="22"/>
              </w:rPr>
              <w:t xml:space="preserve">No realistic liquidity provisions: Where there is a proposed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Del="00C47AC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Del="00C47AC2" w:rsidRDefault="00B86B94" w:rsidP="00B86B94">
            <w:pPr>
              <w:pStyle w:val="Caption"/>
              <w:ind w:left="-5"/>
              <w:rPr>
                <w:rFonts w:ascii="Lato" w:hAnsi="Lato"/>
                <w:b w:val="0"/>
                <w:bCs w:val="0"/>
                <w:szCs w:val="22"/>
              </w:rPr>
            </w:pPr>
            <w:r w:rsidRPr="00F627B2">
              <w:rPr>
                <w:rFonts w:ascii="Lato" w:hAnsi="Lato"/>
                <w:b w:val="0"/>
                <w:szCs w:val="22"/>
              </w:rPr>
              <w:t>change to the duration of a closed-ended Retail Investor AIF with no opportunity for unitholders to redeem or otherwise exit the closed ended Retail Investor AIF, the Retail Investor AIF shall ensure that votes in favour of the change must represent at least 75% of votes cast.</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Del="00C47AC2" w:rsidRDefault="00B86B94" w:rsidP="00B86B94">
            <w:pPr>
              <w:spacing w:line="240" w:lineRule="auto"/>
              <w:rPr>
                <w:rFonts w:ascii="Lato" w:hAnsi="Lato"/>
                <w:szCs w:val="22"/>
              </w:rPr>
            </w:pPr>
          </w:p>
        </w:tc>
        <w:tc>
          <w:tcPr>
            <w:tcW w:w="6744" w:type="dxa"/>
            <w:tcBorders>
              <w:top w:val="nil"/>
              <w:left w:val="nil"/>
              <w:bottom w:val="nil"/>
              <w:right w:val="single" w:sz="4" w:space="0" w:color="auto"/>
            </w:tcBorders>
          </w:tcPr>
          <w:p w:rsidR="00B86B94" w:rsidRPr="00F627B2" w:rsidDel="00C47AC2" w:rsidRDefault="00B86B94" w:rsidP="00B86B94">
            <w:pPr>
              <w:pStyle w:val="Caption"/>
              <w:ind w:left="-5"/>
              <w:rPr>
                <w:rFonts w:ascii="Lato" w:hAnsi="Lato"/>
                <w:b w:val="0"/>
                <w:bCs w:val="0"/>
                <w:szCs w:val="22"/>
              </w:rPr>
            </w:pPr>
            <w:r w:rsidRPr="00F627B2">
              <w:rPr>
                <w:rFonts w:ascii="Lato" w:hAnsi="Lato"/>
                <w:b w:val="0"/>
                <w:szCs w:val="22"/>
              </w:rPr>
              <w:t xml:space="preserve">Realistic liquidity provisions: Where there is a proposed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Del="00C47AC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Del="00C47AC2" w:rsidRDefault="00B86B94" w:rsidP="00B86B94">
            <w:pPr>
              <w:pStyle w:val="Caption"/>
              <w:ind w:left="-5"/>
              <w:rPr>
                <w:rFonts w:ascii="Lato" w:hAnsi="Lato"/>
                <w:b w:val="0"/>
                <w:bCs w:val="0"/>
                <w:szCs w:val="22"/>
              </w:rPr>
            </w:pPr>
            <w:r w:rsidRPr="00F627B2">
              <w:rPr>
                <w:rFonts w:ascii="Lato" w:hAnsi="Lato"/>
                <w:b w:val="0"/>
                <w:szCs w:val="22"/>
              </w:rPr>
              <w:t>change to the duration of the Retail Investor AIF with an opportunity for unitholders to redeem or otherwise exit the closed ended Retail Investor AIF, the Retail Investor AIF shall ensure that votes in favour of the change must represent at least 50% of votes cast.</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single" w:sz="4" w:space="0" w:color="auto"/>
              <w:right w:val="nil"/>
            </w:tcBorders>
          </w:tcPr>
          <w:p w:rsidR="00B86B94" w:rsidRPr="00F627B2" w:rsidDel="00C47AC2" w:rsidRDefault="00B86B94" w:rsidP="00B86B94">
            <w:pPr>
              <w:spacing w:line="240" w:lineRule="auto"/>
              <w:rPr>
                <w:rFonts w:ascii="Lato" w:hAnsi="Lato"/>
                <w:szCs w:val="22"/>
              </w:rPr>
            </w:pPr>
          </w:p>
        </w:tc>
        <w:tc>
          <w:tcPr>
            <w:tcW w:w="6744" w:type="dxa"/>
            <w:tcBorders>
              <w:top w:val="nil"/>
              <w:left w:val="nil"/>
              <w:bottom w:val="single" w:sz="4" w:space="0" w:color="auto"/>
              <w:right w:val="nil"/>
            </w:tcBorders>
          </w:tcPr>
          <w:p w:rsidR="00B86B94" w:rsidRPr="00F627B2" w:rsidDel="00C47AC2" w:rsidRDefault="00B86B94" w:rsidP="00B86B94">
            <w:pPr>
              <w:pStyle w:val="Caption"/>
              <w:ind w:left="-5"/>
              <w:rPr>
                <w:rFonts w:ascii="Lato" w:hAnsi="Lato"/>
                <w:b w:val="0"/>
                <w:bCs w:val="0"/>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2.23</w:t>
            </w:r>
          </w:p>
        </w:tc>
        <w:tc>
          <w:tcPr>
            <w:tcW w:w="6744"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pStyle w:val="Caption"/>
              <w:ind w:left="-5"/>
              <w:rPr>
                <w:rFonts w:ascii="Lato" w:hAnsi="Lato"/>
                <w:b w:val="0"/>
                <w:bCs w:val="0"/>
                <w:szCs w:val="22"/>
              </w:rPr>
            </w:pPr>
            <w:r w:rsidRPr="00F627B2">
              <w:rPr>
                <w:rFonts w:ascii="Lato" w:hAnsi="Lato"/>
                <w:b w:val="0"/>
                <w:bCs w:val="0"/>
                <w:szCs w:val="22"/>
              </w:rPr>
              <w:t>Open-ended Retail Investor AIF s with limited liquidity</w:t>
            </w:r>
          </w:p>
        </w:tc>
        <w:tc>
          <w:tcPr>
            <w:tcW w:w="968"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2.23.1</w:t>
            </w:r>
          </w:p>
        </w:tc>
        <w:tc>
          <w:tcPr>
            <w:tcW w:w="6744" w:type="dxa"/>
            <w:tcBorders>
              <w:top w:val="single" w:sz="4" w:space="0" w:color="auto"/>
              <w:left w:val="nil"/>
              <w:bottom w:val="nil"/>
              <w:right w:val="nil"/>
            </w:tcBorders>
          </w:tcPr>
          <w:p w:rsidR="00B86B94" w:rsidRPr="00F627B2" w:rsidRDefault="00B86B94" w:rsidP="00B86B94">
            <w:pPr>
              <w:pStyle w:val="Caption"/>
              <w:ind w:left="-5"/>
              <w:rPr>
                <w:rFonts w:ascii="Lato" w:hAnsi="Lato"/>
                <w:b w:val="0"/>
                <w:bCs w:val="0"/>
                <w:szCs w:val="22"/>
              </w:rPr>
            </w:pPr>
            <w:r w:rsidRPr="00F627B2">
              <w:rPr>
                <w:rFonts w:ascii="Lato" w:hAnsi="Lato"/>
                <w:b w:val="0"/>
                <w:bCs w:val="0"/>
                <w:szCs w:val="22"/>
              </w:rPr>
              <w:t>Provide for</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a)</w:t>
            </w:r>
          </w:p>
        </w:tc>
        <w:tc>
          <w:tcPr>
            <w:tcW w:w="6744" w:type="dxa"/>
            <w:tcBorders>
              <w:top w:val="nil"/>
              <w:left w:val="nil"/>
              <w:bottom w:val="nil"/>
              <w:right w:val="single" w:sz="4" w:space="0" w:color="auto"/>
            </w:tcBorders>
          </w:tcPr>
          <w:p w:rsidR="00B86B94" w:rsidRPr="00F627B2" w:rsidRDefault="00B86B94" w:rsidP="00B86B94">
            <w:pPr>
              <w:pStyle w:val="Caption"/>
              <w:ind w:left="-5"/>
              <w:rPr>
                <w:rFonts w:ascii="Lato" w:hAnsi="Lato"/>
                <w:b w:val="0"/>
                <w:bCs w:val="0"/>
                <w:szCs w:val="22"/>
              </w:rPr>
            </w:pPr>
            <w:r w:rsidRPr="00F627B2">
              <w:rPr>
                <w:rFonts w:ascii="Lato" w:hAnsi="Lato"/>
                <w:b w:val="0"/>
                <w:bCs w:val="0"/>
                <w:szCs w:val="22"/>
              </w:rPr>
              <w:t>redemption at least monthly</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b)</w:t>
            </w:r>
          </w:p>
        </w:tc>
        <w:tc>
          <w:tcPr>
            <w:tcW w:w="6744" w:type="dxa"/>
            <w:tcBorders>
              <w:top w:val="nil"/>
              <w:left w:val="nil"/>
              <w:bottom w:val="nil"/>
              <w:right w:val="single" w:sz="4" w:space="0" w:color="auto"/>
            </w:tcBorders>
          </w:tcPr>
          <w:p w:rsidR="00B86B94" w:rsidRPr="00F627B2" w:rsidRDefault="00B86B94" w:rsidP="00B86B94">
            <w:pPr>
              <w:pStyle w:val="Caption"/>
              <w:ind w:left="-5"/>
              <w:rPr>
                <w:rFonts w:ascii="Lato" w:hAnsi="Lato"/>
                <w:b w:val="0"/>
                <w:bCs w:val="0"/>
                <w:szCs w:val="22"/>
              </w:rPr>
            </w:pPr>
            <w:r w:rsidRPr="00F627B2">
              <w:rPr>
                <w:rFonts w:ascii="Lato" w:hAnsi="Lato"/>
                <w:b w:val="0"/>
                <w:bCs w:val="0"/>
                <w:szCs w:val="22"/>
              </w:rPr>
              <w:t>Retail Investor AIF</w:t>
            </w:r>
            <w:r w:rsidRPr="00F627B2" w:rsidDel="007156D4">
              <w:rPr>
                <w:rFonts w:ascii="Lato" w:hAnsi="Lato"/>
                <w:b w:val="0"/>
                <w:bCs w:val="0"/>
                <w:szCs w:val="22"/>
              </w:rPr>
              <w:t xml:space="preserve"> </w:t>
            </w:r>
            <w:r w:rsidRPr="00F627B2">
              <w:rPr>
                <w:rFonts w:ascii="Lato" w:hAnsi="Lato"/>
                <w:b w:val="0"/>
                <w:bCs w:val="0"/>
                <w:szCs w:val="22"/>
              </w:rPr>
              <w:t xml:space="preserve">s which are not closed-ended Retail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Caption"/>
              <w:ind w:left="-5"/>
              <w:rPr>
                <w:rFonts w:ascii="Lato" w:hAnsi="Lato"/>
                <w:b w:val="0"/>
                <w:bCs w:val="0"/>
                <w:szCs w:val="22"/>
              </w:rPr>
            </w:pPr>
            <w:r w:rsidRPr="00F627B2">
              <w:rPr>
                <w:rFonts w:ascii="Lato" w:hAnsi="Lato"/>
                <w:b w:val="0"/>
                <w:bCs w:val="0"/>
                <w:szCs w:val="22"/>
              </w:rPr>
              <w:t>Investor AIF</w:t>
            </w:r>
            <w:r w:rsidRPr="00F627B2" w:rsidDel="007156D4">
              <w:rPr>
                <w:rFonts w:ascii="Lato" w:hAnsi="Lato"/>
                <w:b w:val="0"/>
                <w:bCs w:val="0"/>
                <w:szCs w:val="22"/>
              </w:rPr>
              <w:t xml:space="preserve"> </w:t>
            </w:r>
            <w:r w:rsidRPr="00F627B2">
              <w:rPr>
                <w:rFonts w:ascii="Lato" w:hAnsi="Lato"/>
                <w:b w:val="0"/>
                <w:bCs w:val="0"/>
                <w:szCs w:val="22"/>
              </w:rPr>
              <w:t>s but which do not</w:t>
            </w:r>
            <w:r w:rsidRPr="00F627B2">
              <w:rPr>
                <w:rFonts w:ascii="Lato" w:hAnsi="Lato"/>
                <w:b w:val="0"/>
                <w:szCs w:val="22"/>
              </w:rPr>
              <w:t xml:space="preserve"> provide redemption facilities monthly, must be classified as open-ended Retail Investor AIF</w:t>
            </w:r>
            <w:r w:rsidRPr="00F627B2" w:rsidDel="007156D4">
              <w:rPr>
                <w:rFonts w:ascii="Lato" w:hAnsi="Lato"/>
                <w:b w:val="0"/>
                <w:szCs w:val="22"/>
              </w:rPr>
              <w:t xml:space="preserve"> </w:t>
            </w:r>
            <w:r w:rsidRPr="00F627B2">
              <w:rPr>
                <w:rFonts w:ascii="Lato" w:hAnsi="Lato"/>
                <w:b w:val="0"/>
                <w:szCs w:val="22"/>
              </w:rPr>
              <w:t xml:space="preserve">s with limited liquidity. </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single" w:sz="4" w:space="0" w:color="auto"/>
              <w:right w:val="nil"/>
            </w:tcBorders>
          </w:tcPr>
          <w:p w:rsidR="00B86B94" w:rsidRPr="00F627B2" w:rsidRDefault="00B86B94" w:rsidP="00B86B94">
            <w:pPr>
              <w:pStyle w:val="Caption"/>
              <w:ind w:left="-5"/>
              <w:rPr>
                <w:rFonts w:ascii="Lato" w:hAnsi="Lato"/>
                <w:b w:val="0"/>
                <w:bCs w:val="0"/>
                <w:szCs w:val="22"/>
              </w:rPr>
            </w:pPr>
          </w:p>
        </w:tc>
        <w:tc>
          <w:tcPr>
            <w:tcW w:w="968"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r w:rsidRPr="00F627B2">
              <w:rPr>
                <w:rFonts w:ascii="Lato" w:hAnsi="Lato"/>
                <w:szCs w:val="22"/>
              </w:rPr>
              <w:t>2.24</w:t>
            </w:r>
          </w:p>
        </w:tc>
        <w:tc>
          <w:tcPr>
            <w:tcW w:w="6744"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pStyle w:val="Caption"/>
              <w:ind w:left="-5"/>
              <w:rPr>
                <w:rFonts w:ascii="Lato" w:hAnsi="Lato"/>
                <w:b w:val="0"/>
                <w:bCs w:val="0"/>
                <w:szCs w:val="22"/>
              </w:rPr>
            </w:pPr>
            <w:r w:rsidRPr="00F627B2">
              <w:rPr>
                <w:rFonts w:ascii="Lato" w:hAnsi="Lato"/>
                <w:b w:val="0"/>
                <w:szCs w:val="22"/>
              </w:rPr>
              <w:t>Prime broker</w:t>
            </w:r>
          </w:p>
        </w:tc>
        <w:tc>
          <w:tcPr>
            <w:tcW w:w="968"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r w:rsidRPr="00F627B2">
              <w:rPr>
                <w:rFonts w:ascii="Lato" w:hAnsi="Lato"/>
                <w:szCs w:val="22"/>
              </w:rPr>
              <w:t>2.24.1</w:t>
            </w:r>
          </w:p>
        </w:tc>
        <w:tc>
          <w:tcPr>
            <w:tcW w:w="6744" w:type="dxa"/>
            <w:tcBorders>
              <w:top w:val="single" w:sz="4" w:space="0" w:color="auto"/>
              <w:left w:val="nil"/>
              <w:bottom w:val="nil"/>
              <w:right w:val="nil"/>
            </w:tcBorders>
          </w:tcPr>
          <w:p w:rsidR="00B86B94" w:rsidRPr="00F627B2" w:rsidRDefault="00B86B94" w:rsidP="00B86B94">
            <w:pPr>
              <w:pStyle w:val="Caption"/>
              <w:ind w:left="-5"/>
              <w:rPr>
                <w:rFonts w:ascii="Lato" w:hAnsi="Lato"/>
                <w:b w:val="0"/>
                <w:bCs w:val="0"/>
                <w:szCs w:val="22"/>
              </w:rPr>
            </w:pPr>
            <w:r w:rsidRPr="00F627B2">
              <w:rPr>
                <w:rFonts w:ascii="Lato" w:hAnsi="Lato"/>
                <w:b w:val="0"/>
                <w:szCs w:val="22"/>
              </w:rPr>
              <w:t>Disclose:</w:t>
            </w:r>
          </w:p>
        </w:tc>
        <w:tc>
          <w:tcPr>
            <w:tcW w:w="968"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nil"/>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w:t>
            </w:r>
          </w:p>
        </w:tc>
        <w:tc>
          <w:tcPr>
            <w:tcW w:w="6744" w:type="dxa"/>
            <w:tcBorders>
              <w:top w:val="nil"/>
              <w:left w:val="nil"/>
              <w:bottom w:val="nil"/>
              <w:right w:val="single" w:sz="4" w:space="0" w:color="auto"/>
            </w:tcBorders>
          </w:tcPr>
          <w:p w:rsidR="00B86B94" w:rsidRPr="00F627B2" w:rsidRDefault="00B86B94" w:rsidP="00B86B94">
            <w:pPr>
              <w:pStyle w:val="Caption"/>
              <w:ind w:left="-5"/>
              <w:rPr>
                <w:rFonts w:ascii="Lato" w:hAnsi="Lato"/>
                <w:b w:val="0"/>
                <w:bCs w:val="0"/>
                <w:szCs w:val="22"/>
              </w:rPr>
            </w:pPr>
            <w:r w:rsidRPr="00F627B2">
              <w:rPr>
                <w:rFonts w:ascii="Lato" w:hAnsi="Lato"/>
                <w:b w:val="0"/>
                <w:szCs w:val="22"/>
              </w:rPr>
              <w:t>The identity of the prime broker;</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(ii)</w:t>
            </w:r>
          </w:p>
        </w:tc>
        <w:tc>
          <w:tcPr>
            <w:tcW w:w="6744" w:type="dxa"/>
            <w:tcBorders>
              <w:top w:val="nil"/>
              <w:left w:val="nil"/>
              <w:bottom w:val="nil"/>
              <w:right w:val="single" w:sz="4" w:space="0" w:color="auto"/>
            </w:tcBorders>
          </w:tcPr>
          <w:p w:rsidR="00B86B94" w:rsidRPr="00F627B2" w:rsidRDefault="00B86B94" w:rsidP="00B86B94">
            <w:pPr>
              <w:pStyle w:val="Caption"/>
              <w:ind w:left="-5"/>
              <w:rPr>
                <w:rFonts w:ascii="Lato" w:hAnsi="Lato"/>
                <w:b w:val="0"/>
                <w:bCs w:val="0"/>
                <w:szCs w:val="22"/>
              </w:rPr>
            </w:pPr>
            <w:r w:rsidRPr="00F627B2">
              <w:rPr>
                <w:rFonts w:ascii="Lato" w:hAnsi="Lato"/>
                <w:b w:val="0"/>
                <w:szCs w:val="22"/>
              </w:rPr>
              <w:t xml:space="preserve">A description of any material arrangements of the Retail Investor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pStyle w:val="Caption"/>
              <w:ind w:left="-5"/>
              <w:rPr>
                <w:rFonts w:ascii="Lato" w:hAnsi="Lato"/>
                <w:b w:val="0"/>
                <w:bCs w:val="0"/>
                <w:szCs w:val="22"/>
              </w:rPr>
            </w:pPr>
            <w:r w:rsidRPr="001E4A73">
              <w:rPr>
                <w:rFonts w:ascii="Lato" w:hAnsi="Lato"/>
                <w:b w:val="0"/>
                <w:szCs w:val="22"/>
              </w:rPr>
              <w:t>AIF</w:t>
            </w:r>
            <w:r w:rsidRPr="00F627B2">
              <w:rPr>
                <w:rFonts w:ascii="Lato" w:hAnsi="Lato"/>
                <w:b w:val="0"/>
                <w:szCs w:val="22"/>
              </w:rPr>
              <w:t xml:space="preserve"> with its prime brokers;</w:t>
            </w: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(iii)</w:t>
            </w:r>
          </w:p>
        </w:tc>
        <w:tc>
          <w:tcPr>
            <w:tcW w:w="6744" w:type="dxa"/>
            <w:tcBorders>
              <w:top w:val="nil"/>
              <w:left w:val="nil"/>
              <w:bottom w:val="nil"/>
              <w:right w:val="single" w:sz="4" w:space="0" w:color="auto"/>
            </w:tcBorders>
          </w:tcPr>
          <w:p w:rsidR="00B86B94" w:rsidRPr="00F627B2" w:rsidRDefault="00B86B94" w:rsidP="00B86B94">
            <w:pPr>
              <w:pStyle w:val="Caption"/>
              <w:ind w:left="-5"/>
              <w:rPr>
                <w:rFonts w:ascii="Lato" w:hAnsi="Lato"/>
                <w:b w:val="0"/>
                <w:bCs w:val="0"/>
                <w:szCs w:val="22"/>
              </w:rPr>
            </w:pPr>
            <w:r w:rsidRPr="00F627B2">
              <w:rPr>
                <w:rFonts w:ascii="Lato" w:hAnsi="Lato"/>
                <w:b w:val="0"/>
                <w:szCs w:val="22"/>
              </w:rPr>
              <w:t>The way the conflicts of interest are managed;</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(iv)</w:t>
            </w:r>
          </w:p>
        </w:tc>
        <w:tc>
          <w:tcPr>
            <w:tcW w:w="6744" w:type="dxa"/>
            <w:tcBorders>
              <w:top w:val="nil"/>
              <w:left w:val="nil"/>
              <w:bottom w:val="nil"/>
              <w:right w:val="single" w:sz="4" w:space="0" w:color="auto"/>
            </w:tcBorders>
          </w:tcPr>
          <w:p w:rsidR="00B86B94" w:rsidRPr="00F627B2" w:rsidRDefault="00B86B94" w:rsidP="00B86B94">
            <w:pPr>
              <w:pStyle w:val="Caption"/>
              <w:ind w:left="-5"/>
              <w:rPr>
                <w:rFonts w:ascii="Lato" w:hAnsi="Lato"/>
                <w:b w:val="0"/>
                <w:bCs w:val="0"/>
                <w:szCs w:val="22"/>
              </w:rPr>
            </w:pPr>
            <w:r w:rsidRPr="00F627B2">
              <w:rPr>
                <w:rFonts w:ascii="Lato" w:hAnsi="Lato"/>
                <w:b w:val="0"/>
                <w:szCs w:val="22"/>
              </w:rPr>
              <w:t xml:space="preserve">Any provision in the contract with the depositary on the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p>
        </w:tc>
        <w:tc>
          <w:tcPr>
            <w:tcW w:w="6744" w:type="dxa"/>
            <w:tcBorders>
              <w:top w:val="nil"/>
              <w:left w:val="nil"/>
              <w:bottom w:val="nil"/>
              <w:right w:val="nil"/>
            </w:tcBorders>
          </w:tcPr>
          <w:p w:rsidR="00B86B94" w:rsidRPr="00F627B2" w:rsidRDefault="00B86B94" w:rsidP="00B86B94">
            <w:pPr>
              <w:pStyle w:val="Caption"/>
              <w:ind w:left="-5"/>
              <w:rPr>
                <w:rFonts w:ascii="Lato" w:hAnsi="Lato"/>
                <w:b w:val="0"/>
                <w:bCs w:val="0"/>
                <w:szCs w:val="22"/>
              </w:rPr>
            </w:pPr>
            <w:r w:rsidRPr="00F627B2">
              <w:rPr>
                <w:rFonts w:ascii="Lato" w:hAnsi="Lato"/>
                <w:b w:val="0"/>
                <w:szCs w:val="22"/>
              </w:rPr>
              <w:t>possibility of transfer and reuse of AIF assets; and</w:t>
            </w:r>
          </w:p>
        </w:tc>
        <w:tc>
          <w:tcPr>
            <w:tcW w:w="968"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single" w:sz="4" w:space="0" w:color="auto"/>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jc w:val="right"/>
              <w:rPr>
                <w:rFonts w:ascii="Lato" w:hAnsi="Lato"/>
                <w:szCs w:val="22"/>
              </w:rPr>
            </w:pPr>
            <w:r w:rsidRPr="00F627B2">
              <w:rPr>
                <w:rFonts w:ascii="Lato" w:hAnsi="Lato"/>
                <w:szCs w:val="22"/>
              </w:rPr>
              <w:t>(v)</w:t>
            </w:r>
          </w:p>
        </w:tc>
        <w:tc>
          <w:tcPr>
            <w:tcW w:w="6744" w:type="dxa"/>
            <w:tcBorders>
              <w:top w:val="nil"/>
              <w:left w:val="nil"/>
              <w:bottom w:val="nil"/>
              <w:right w:val="single" w:sz="4" w:space="0" w:color="auto"/>
            </w:tcBorders>
          </w:tcPr>
          <w:p w:rsidR="00B86B94" w:rsidRPr="00F627B2" w:rsidRDefault="00B86B94" w:rsidP="00B86B94">
            <w:pPr>
              <w:pStyle w:val="Caption"/>
              <w:ind w:left="-5"/>
              <w:rPr>
                <w:rFonts w:ascii="Lato" w:hAnsi="Lato"/>
                <w:b w:val="0"/>
                <w:bCs w:val="0"/>
                <w:szCs w:val="22"/>
              </w:rPr>
            </w:pPr>
            <w:r w:rsidRPr="00F627B2">
              <w:rPr>
                <w:rFonts w:ascii="Lato" w:hAnsi="Lato"/>
                <w:b w:val="0"/>
                <w:szCs w:val="22"/>
              </w:rPr>
              <w:t xml:space="preserve">Information about any transfer of liability to the prime broker </w:t>
            </w:r>
          </w:p>
        </w:tc>
        <w:tc>
          <w:tcPr>
            <w:tcW w:w="968"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3" w:type="dxa"/>
            <w:gridSpan w:val="2"/>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single" w:sz="4" w:space="0" w:color="auto"/>
              <w:bottom w:val="single" w:sz="4" w:space="0" w:color="auto"/>
              <w:right w:val="single" w:sz="4" w:space="0" w:color="auto"/>
            </w:tcBorders>
          </w:tcPr>
          <w:p w:rsidR="00B86B94" w:rsidRPr="00F627B2" w:rsidRDefault="00B86B94" w:rsidP="00B86B94">
            <w:pPr>
              <w:spacing w:line="240" w:lineRule="auto"/>
              <w:rPr>
                <w:rFonts w:ascii="Lato" w:hAnsi="Lato"/>
                <w:szCs w:val="22"/>
              </w:rPr>
            </w:pPr>
          </w:p>
        </w:tc>
        <w:tc>
          <w:tcPr>
            <w:tcW w:w="252" w:type="dxa"/>
            <w:tcBorders>
              <w:top w:val="nil"/>
              <w:left w:val="single" w:sz="4" w:space="0" w:color="auto"/>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r w:rsidR="00B86B94" w:rsidRPr="00F627B2" w:rsidTr="00F627B2">
        <w:trPr>
          <w:gridAfter w:val="1"/>
          <w:wAfter w:w="21" w:type="dxa"/>
        </w:trPr>
        <w:tc>
          <w:tcPr>
            <w:tcW w:w="1070"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6744" w:type="dxa"/>
            <w:tcBorders>
              <w:top w:val="nil"/>
              <w:left w:val="nil"/>
              <w:bottom w:val="nil"/>
              <w:right w:val="nil"/>
            </w:tcBorders>
          </w:tcPr>
          <w:p w:rsidR="00B86B94" w:rsidRPr="00F627B2" w:rsidRDefault="00B86B94" w:rsidP="00B86B94">
            <w:pPr>
              <w:pStyle w:val="Caption"/>
              <w:ind w:left="-5"/>
              <w:rPr>
                <w:rFonts w:ascii="Lato" w:hAnsi="Lato"/>
                <w:b w:val="0"/>
                <w:bCs w:val="0"/>
                <w:szCs w:val="22"/>
              </w:rPr>
            </w:pPr>
            <w:r w:rsidRPr="00F627B2">
              <w:rPr>
                <w:rFonts w:ascii="Lato" w:hAnsi="Lato"/>
                <w:b w:val="0"/>
                <w:szCs w:val="22"/>
              </w:rPr>
              <w:t>that may exist</w:t>
            </w:r>
          </w:p>
        </w:tc>
        <w:tc>
          <w:tcPr>
            <w:tcW w:w="968"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3" w:type="dxa"/>
            <w:gridSpan w:val="2"/>
            <w:tcBorders>
              <w:top w:val="nil"/>
              <w:left w:val="nil"/>
              <w:bottom w:val="nil"/>
              <w:right w:val="nil"/>
            </w:tcBorders>
          </w:tcPr>
          <w:p w:rsidR="00B86B94" w:rsidRPr="00F627B2" w:rsidRDefault="00B86B94" w:rsidP="00B86B94">
            <w:pPr>
              <w:spacing w:line="240" w:lineRule="auto"/>
              <w:rPr>
                <w:rFonts w:ascii="Lato" w:hAnsi="Lato"/>
                <w:szCs w:val="22"/>
              </w:rPr>
            </w:pPr>
          </w:p>
        </w:tc>
        <w:tc>
          <w:tcPr>
            <w:tcW w:w="700" w:type="dxa"/>
            <w:gridSpan w:val="2"/>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84"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50" w:type="dxa"/>
            <w:tcBorders>
              <w:top w:val="single" w:sz="4" w:space="0" w:color="auto"/>
              <w:left w:val="nil"/>
              <w:bottom w:val="nil"/>
              <w:right w:val="nil"/>
            </w:tcBorders>
          </w:tcPr>
          <w:p w:rsidR="00B86B94" w:rsidRPr="00F627B2" w:rsidRDefault="00B86B94" w:rsidP="00B86B94">
            <w:pPr>
              <w:spacing w:line="240" w:lineRule="auto"/>
              <w:rPr>
                <w:rFonts w:ascii="Lato" w:hAnsi="Lato"/>
                <w:szCs w:val="22"/>
              </w:rPr>
            </w:pPr>
          </w:p>
        </w:tc>
        <w:tc>
          <w:tcPr>
            <w:tcW w:w="252" w:type="dxa"/>
            <w:tcBorders>
              <w:top w:val="nil"/>
              <w:left w:val="nil"/>
              <w:bottom w:val="nil"/>
              <w:right w:val="nil"/>
            </w:tcBorders>
          </w:tcPr>
          <w:p w:rsidR="00B86B94" w:rsidRPr="00F627B2" w:rsidRDefault="00B86B94" w:rsidP="00B86B94">
            <w:pPr>
              <w:spacing w:line="240" w:lineRule="auto"/>
              <w:rPr>
                <w:rFonts w:ascii="Lato" w:hAnsi="Lato"/>
                <w:szCs w:val="22"/>
              </w:rPr>
            </w:pPr>
          </w:p>
        </w:tc>
        <w:tc>
          <w:tcPr>
            <w:tcW w:w="405" w:type="dxa"/>
            <w:tcBorders>
              <w:top w:val="nil"/>
              <w:left w:val="nil"/>
              <w:bottom w:val="nil"/>
              <w:right w:val="nil"/>
            </w:tcBorders>
          </w:tcPr>
          <w:p w:rsidR="00B86B94" w:rsidRPr="00F627B2" w:rsidRDefault="00B86B94" w:rsidP="00B86B94">
            <w:pPr>
              <w:spacing w:line="240" w:lineRule="auto"/>
              <w:rPr>
                <w:rFonts w:ascii="Lato" w:hAnsi="Lato"/>
                <w:szCs w:val="22"/>
              </w:rPr>
            </w:pPr>
          </w:p>
        </w:tc>
      </w:tr>
    </w:tbl>
    <w:p w:rsidR="00A53A00" w:rsidRDefault="00A53A00" w:rsidP="00CD3F77">
      <w:pPr>
        <w:jc w:val="both"/>
        <w:rPr>
          <w:rFonts w:ascii="Lato" w:hAnsi="Lato"/>
          <w:sz w:val="20"/>
          <w:lang w:val="en-US"/>
        </w:rPr>
      </w:pPr>
      <w:r>
        <w:rPr>
          <w:rFonts w:ascii="Lato" w:hAnsi="Lato"/>
          <w:sz w:val="20"/>
          <w:lang w:val="en-US"/>
        </w:rPr>
        <w:t xml:space="preserve">Any personal data provided by you may be processed by the Central Bank in connection with the performance of its statutory functions. If you have any questions in relation to the processing of your personal data by the Central Bank, you may contact our Data Protection Officer at </w:t>
      </w:r>
      <w:hyperlink r:id="rId18" w:history="1">
        <w:r>
          <w:rPr>
            <w:rStyle w:val="Hyperlink"/>
            <w:rFonts w:ascii="Lato" w:hAnsi="Lato"/>
            <w:sz w:val="20"/>
            <w:lang w:val="en-US"/>
          </w:rPr>
          <w:t>dataprotection@centralbank.ie</w:t>
        </w:r>
      </w:hyperlink>
      <w:r>
        <w:rPr>
          <w:rFonts w:ascii="Lato" w:hAnsi="Lato"/>
          <w:sz w:val="20"/>
          <w:lang w:val="en-US"/>
        </w:rPr>
        <w:t xml:space="preserve">. A copy of the Central Bank’s Data Protection Notice is available at </w:t>
      </w:r>
      <w:hyperlink r:id="rId19" w:history="1">
        <w:r>
          <w:rPr>
            <w:rStyle w:val="Hyperlink"/>
            <w:rFonts w:ascii="Lato" w:hAnsi="Lato"/>
            <w:sz w:val="20"/>
            <w:lang w:val="en-US"/>
          </w:rPr>
          <w:t>www.centralbank.ie/fns/privacy-statement</w:t>
        </w:r>
      </w:hyperlink>
      <w:r>
        <w:rPr>
          <w:rFonts w:ascii="Lato" w:hAnsi="Lato"/>
          <w:sz w:val="20"/>
          <w:lang w:val="en-US"/>
        </w:rPr>
        <w:t>.</w:t>
      </w:r>
    </w:p>
    <w:p w:rsidR="00877692" w:rsidRDefault="00877692">
      <w:pPr>
        <w:spacing w:line="240" w:lineRule="auto"/>
        <w:rPr>
          <w:rFonts w:ascii="Lato" w:hAnsi="Lato"/>
          <w:szCs w:val="22"/>
        </w:rPr>
      </w:pPr>
    </w:p>
    <w:p w:rsidR="00A53A00" w:rsidRDefault="00A53A00">
      <w:pPr>
        <w:spacing w:line="240" w:lineRule="auto"/>
        <w:rPr>
          <w:rFonts w:ascii="Lato" w:hAnsi="Lato"/>
          <w:szCs w:val="22"/>
        </w:rPr>
      </w:pPr>
    </w:p>
    <w:p w:rsidR="00A53A00" w:rsidRPr="00F627B2" w:rsidRDefault="00A53A00">
      <w:pPr>
        <w:spacing w:line="240" w:lineRule="auto"/>
        <w:rPr>
          <w:rFonts w:ascii="Lato" w:hAnsi="Lato"/>
          <w:szCs w:val="22"/>
        </w:rPr>
        <w:sectPr w:rsidR="00A53A00" w:rsidRPr="00F627B2" w:rsidSect="00F627B2">
          <w:pgSz w:w="11904" w:h="16834"/>
          <w:pgMar w:top="851" w:right="1800" w:bottom="1440" w:left="1800" w:header="142" w:footer="266" w:gutter="0"/>
          <w:pgNumType w:start="26"/>
          <w:cols w:space="708"/>
          <w:titlePg/>
        </w:sectPr>
      </w:pPr>
    </w:p>
    <w:p w:rsidR="00F36940" w:rsidRPr="00F627B2" w:rsidRDefault="0023674A" w:rsidP="00F36940">
      <w:pPr>
        <w:pStyle w:val="Noparagraphstyle"/>
        <w:suppressAutoHyphens/>
        <w:spacing w:after="227"/>
        <w:jc w:val="center"/>
        <w:rPr>
          <w:rFonts w:ascii="Lato" w:hAnsi="Lato" w:cs="HelveticaNeueLTStd-Lt"/>
          <w:color w:val="FFFFFF"/>
          <w:sz w:val="20"/>
          <w:szCs w:val="20"/>
        </w:rPr>
      </w:pPr>
      <w:r w:rsidRPr="00F627B2">
        <w:rPr>
          <w:rFonts w:ascii="Lato" w:hAnsi="Lato" w:cs="HelveticaNeueLTStd-Bd"/>
          <w:b/>
          <w:bCs/>
          <w:noProof/>
          <w:color w:val="FFFFFF"/>
          <w:sz w:val="20"/>
          <w:szCs w:val="20"/>
          <w:lang w:val="en-IE" w:eastAsia="en-IE"/>
        </w:rPr>
        <w:drawing>
          <wp:anchor distT="0" distB="0" distL="114300" distR="114300" simplePos="0" relativeHeight="251658752" behindDoc="1" locked="0" layoutInCell="1" allowOverlap="1">
            <wp:simplePos x="0" y="0"/>
            <wp:positionH relativeFrom="column">
              <wp:posOffset>-1152525</wp:posOffset>
            </wp:positionH>
            <wp:positionV relativeFrom="paragraph">
              <wp:posOffset>-961390</wp:posOffset>
            </wp:positionV>
            <wp:extent cx="7562215" cy="11010900"/>
            <wp:effectExtent l="0" t="0" r="0" b="0"/>
            <wp:wrapNone/>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62215" cy="1101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6940" w:rsidRPr="00F627B2">
        <w:rPr>
          <w:rStyle w:val="HelvBold"/>
          <w:rFonts w:ascii="Lato" w:hAnsi="Lato" w:cs="HelveticaNeueLTStd-Bd"/>
          <w:bCs/>
          <w:color w:val="FFFFFF"/>
          <w:sz w:val="20"/>
          <w:szCs w:val="20"/>
        </w:rPr>
        <w:t xml:space="preserve">T </w:t>
      </w:r>
      <w:r w:rsidR="00F36940" w:rsidRPr="00F627B2">
        <w:rPr>
          <w:rFonts w:ascii="Lato" w:hAnsi="Lato" w:cs="HelveticaNeueLTStd-Lt"/>
          <w:color w:val="FFFFFF"/>
          <w:sz w:val="20"/>
          <w:szCs w:val="20"/>
        </w:rPr>
        <w:t xml:space="preserve">+353 1 224 </w:t>
      </w:r>
      <w:r w:rsidR="00BD16AE" w:rsidRPr="00F627B2">
        <w:rPr>
          <w:rFonts w:ascii="Lato" w:hAnsi="Lato" w:cs="HelveticaNeueLTStd-Lt"/>
          <w:color w:val="FFFFFF"/>
          <w:sz w:val="20"/>
          <w:szCs w:val="20"/>
        </w:rPr>
        <w:t>6</w:t>
      </w:r>
      <w:r w:rsidR="00F36940" w:rsidRPr="00F627B2">
        <w:rPr>
          <w:rFonts w:ascii="Lato" w:hAnsi="Lato" w:cs="HelveticaNeueLTStd-Lt"/>
          <w:color w:val="FFFFFF"/>
          <w:sz w:val="20"/>
          <w:szCs w:val="20"/>
        </w:rPr>
        <w:t xml:space="preserve">000      </w:t>
      </w:r>
      <w:r w:rsidR="00F36940" w:rsidRPr="00F627B2">
        <w:rPr>
          <w:rFonts w:ascii="Lato" w:hAnsi="Lato" w:cs="HelveticaNeueLTStd-Lt"/>
          <w:color w:val="FFFFFF"/>
          <w:sz w:val="20"/>
          <w:szCs w:val="20"/>
          <w:u w:val="single"/>
        </w:rPr>
        <w:t>www.centralbank.ie</w:t>
      </w:r>
      <w:r w:rsidR="00F36940" w:rsidRPr="00F627B2">
        <w:rPr>
          <w:rFonts w:ascii="Lato" w:hAnsi="Lato" w:cs="HelveticaNeueLTStd-Lt"/>
          <w:color w:val="FFFFFF"/>
          <w:sz w:val="20"/>
          <w:szCs w:val="20"/>
        </w:rPr>
        <w:t xml:space="preserve">     </w:t>
      </w:r>
      <w:r w:rsidR="00C14214" w:rsidRPr="00F627B2">
        <w:rPr>
          <w:rFonts w:ascii="Lato" w:hAnsi="Lato" w:cs="HelveticaNeueLTStd-Lt"/>
          <w:color w:val="FFFFFF"/>
          <w:sz w:val="20"/>
          <w:szCs w:val="20"/>
        </w:rPr>
        <w:t>AIFauthorisations</w:t>
      </w:r>
      <w:r w:rsidR="00BD16AE" w:rsidRPr="00F627B2">
        <w:rPr>
          <w:rFonts w:ascii="Lato" w:hAnsi="Lato" w:cs="HelveticaNeueLTStd-Lt"/>
          <w:color w:val="FFFFFF"/>
          <w:sz w:val="20"/>
          <w:szCs w:val="20"/>
        </w:rPr>
        <w:t>@centralbank.ie</w:t>
      </w:r>
      <w:r w:rsidR="00F36940" w:rsidRPr="00F627B2">
        <w:rPr>
          <w:rFonts w:ascii="Lato" w:hAnsi="Lato" w:cs="HelveticaNeueLTStd-Lt"/>
          <w:color w:val="FFFFFF"/>
          <w:sz w:val="20"/>
          <w:szCs w:val="20"/>
        </w:rPr>
        <w:t xml:space="preserve"> </w:t>
      </w:r>
    </w:p>
    <w:p w:rsidR="00877692" w:rsidRPr="00F627B2" w:rsidRDefault="0023674A">
      <w:pPr>
        <w:spacing w:line="240" w:lineRule="auto"/>
        <w:rPr>
          <w:rFonts w:ascii="Lato" w:hAnsi="Lato"/>
          <w:szCs w:val="22"/>
        </w:rPr>
      </w:pPr>
      <w:r w:rsidRPr="00F627B2">
        <w:rPr>
          <w:rFonts w:ascii="Lato" w:hAnsi="Lato"/>
          <w:noProof/>
          <w:szCs w:val="22"/>
          <w:lang w:val="en-IE" w:eastAsia="en-IE"/>
        </w:rPr>
        <mc:AlternateContent>
          <mc:Choice Requires="wps">
            <w:drawing>
              <wp:anchor distT="0" distB="0" distL="114300" distR="114300" simplePos="0" relativeHeight="251657728" behindDoc="0" locked="0" layoutInCell="1" allowOverlap="1">
                <wp:simplePos x="0" y="0"/>
                <wp:positionH relativeFrom="column">
                  <wp:posOffset>-990600</wp:posOffset>
                </wp:positionH>
                <wp:positionV relativeFrom="paragraph">
                  <wp:posOffset>8357235</wp:posOffset>
                </wp:positionV>
                <wp:extent cx="3771900" cy="3293745"/>
                <wp:effectExtent l="0" t="0" r="0" b="444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29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EA3" w:rsidRPr="00F627B2" w:rsidRDefault="00457EA3" w:rsidP="00452495">
                            <w:pPr>
                              <w:pStyle w:val="Noparagraphstyle"/>
                              <w:suppressAutoHyphens/>
                              <w:ind w:left="113"/>
                              <w:rPr>
                                <w:rStyle w:val="HelvBold"/>
                                <w:rFonts w:ascii="Lato" w:hAnsi="Lato" w:cs="HelveticaNeueLTStd-Bd"/>
                                <w:bCs/>
                                <w:color w:val="FFFFFF"/>
                                <w:sz w:val="20"/>
                                <w:szCs w:val="20"/>
                              </w:rPr>
                            </w:pPr>
                            <w:r w:rsidRPr="00F627B2">
                              <w:rPr>
                                <w:rStyle w:val="HelvBold"/>
                                <w:rFonts w:ascii="Lato" w:hAnsi="Lato" w:cs="HelveticaNeueLTStd-Bd"/>
                                <w:bCs/>
                                <w:color w:val="FFFFFF"/>
                                <w:sz w:val="20"/>
                                <w:szCs w:val="20"/>
                              </w:rPr>
                              <w:t>Bosca PO 559, Baile Átha Cliath 1, Éire</w:t>
                            </w:r>
                          </w:p>
                          <w:p w:rsidR="00457EA3" w:rsidRPr="00F627B2" w:rsidRDefault="00457EA3" w:rsidP="00452495">
                            <w:pPr>
                              <w:pStyle w:val="Noparagraphstyle"/>
                              <w:suppressAutoHyphens/>
                              <w:ind w:left="113"/>
                              <w:rPr>
                                <w:rFonts w:ascii="Lato" w:hAnsi="Lato"/>
                                <w:sz w:val="20"/>
                                <w:szCs w:val="20"/>
                              </w:rPr>
                            </w:pPr>
                            <w:r w:rsidRPr="00F627B2">
                              <w:rPr>
                                <w:rStyle w:val="HelvBold"/>
                                <w:rFonts w:ascii="Lato" w:hAnsi="Lato" w:cs="HelveticaNeueLTStd-Bd"/>
                                <w:bCs/>
                                <w:color w:val="FFFFFF"/>
                                <w:sz w:val="20"/>
                                <w:szCs w:val="20"/>
                              </w:rPr>
                              <w:t>PO Box 559, Dublin 1, Ireland</w:t>
                            </w:r>
                          </w:p>
                          <w:p w:rsidR="00457EA3" w:rsidRPr="00F627B2" w:rsidRDefault="00457EA3" w:rsidP="00CE5178">
                            <w:pPr>
                              <w:rPr>
                                <w:rFonts w:ascii="Lato" w:hAnsi="Lato"/>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78pt;margin-top:658.05pt;width:297pt;height:25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LJtQIAALsFAAAOAAAAZHJzL2Uyb0RvYy54bWysVNtu2zAMfR+wfxD07voSJY6NOkUbx8OA&#10;7gK0+wDFlmNhtuRJSpxu2L+PkpM0aTFg2OYHQRKpQx7ymNc3+65FO6Y0lyLD4VWAEROlrLjYZPjL&#10;Y+HNMdKGioq2UrAMPzGNbxZv31wPfcoi2ci2YgoBiNDp0Ge4MaZPfV+XDeuovpI9E2CspeqogaPa&#10;+JWiA6B3rR8FwcwfpKp6JUumNdzmoxEvHH5ds9J8qmvNDGozDLkZtyq3ru3qL65pulG0b3h5SIP+&#10;RRYd5QKCnqByaijaKv4KquOlklrW5qqUnS/rmpfMcQA2YfCCzUNDe+a4QHF0fyqT/n+w5cfdZ4V4&#10;leEJRoJ20KJHtjfoTu5RFNryDL1OweuhBz+zh3tos6Oq+3tZftVIyGVDxYbdKiWHhtEK0nMv/bOn&#10;I462IOvhg6wgDt0a6YD2teps7aAaCNChTU+n1thcSricxHGYBGAqwTaJkklMpjY7n6bH573S5h2T&#10;HbKbDCvovYOnu3ttRteji40mZMHb1vW/FRcXgDneQHB4am02DdfOH0mQrOarOfFINFt5JMhz77ZY&#10;Em9WhPE0n+TLZR7+tHFDkja8qpiwYY7SCsmfte4g8lEUJ3Fp2fLKwtmUtNqsl61COwrSLtx3KMiZ&#10;m3+ZhqsXcHlBKYxIcBclXjGbxx4pyNRL4mDuBWFyl8wCkpC8uKR0zwX7d0poyHAyjaajmn7LLXDf&#10;a2407biB4dHyLsPzkxNNrQZXonKtNZS34/6sFDb951JAu4+Ndoq1Ih3lavbrPaBYGa9l9QTaVRKU&#10;BSqEiQebRqrvGA0wPTKsv22pYhi17wXoPwkJsePGHcg0juCgzi3rcwsVJUBl2GA0bpdmHFHbXvFN&#10;A5HGP07IW/hnau7U/JwVULEHmBCO1GGa2RF0fnZezzN38QsAAP//AwBQSwMEFAAGAAgAAAAhAGQG&#10;VkzhAAAADgEAAA8AAABkcnMvZG93bnJldi54bWxMj81OwzAQhO9IvIO1SNxaOySNQohTIRBXEOVH&#10;4ubG2yQiXkex24S3ZznR486MZr+ptosbxAmn0HvSkKwVCKTG255aDe9vT6sCRIiGrBk8oYYfDLCt&#10;Ly8qU1o/0yuedrEVXEKhNBq6GMdSytB06ExY+xGJvYOfnIl8Tq20k5m53A3yRqlcOtMTf+jMiA8d&#10;Nt+7o9Pw8Xz4+szUS/voNuPsFyXJ3Uqtr6+W+zsQEZf4H4Y/fEaHmpn2/kg2iEHDKtnkPCaykyZ5&#10;AoIzWVqwtGepSLMCZF3J8xn1LwAAAP//AwBQSwECLQAUAAYACAAAACEAtoM4kv4AAADhAQAAEwAA&#10;AAAAAAAAAAAAAAAAAAAAW0NvbnRlbnRfVHlwZXNdLnhtbFBLAQItABQABgAIAAAAIQA4/SH/1gAA&#10;AJQBAAALAAAAAAAAAAAAAAAAAC8BAABfcmVscy8ucmVsc1BLAQItABQABgAIAAAAIQDa9bLJtQIA&#10;ALsFAAAOAAAAAAAAAAAAAAAAAC4CAABkcnMvZTJvRG9jLnhtbFBLAQItABQABgAIAAAAIQBkBlZM&#10;4QAAAA4BAAAPAAAAAAAAAAAAAAAAAA8FAABkcnMvZG93bnJldi54bWxQSwUGAAAAAAQABADzAAAA&#10;HQYAAAAA&#10;" filled="f" stroked="f">
                <v:textbox>
                  <w:txbxContent>
                    <w:p w:rsidR="00457EA3" w:rsidRPr="00F627B2" w:rsidRDefault="00457EA3" w:rsidP="00452495">
                      <w:pPr>
                        <w:pStyle w:val="Noparagraphstyle"/>
                        <w:suppressAutoHyphens/>
                        <w:ind w:left="113"/>
                        <w:rPr>
                          <w:rStyle w:val="HelvBold"/>
                          <w:rFonts w:ascii="Lato" w:hAnsi="Lato" w:cs="HelveticaNeueLTStd-Bd"/>
                          <w:bCs/>
                          <w:color w:val="FFFFFF"/>
                          <w:sz w:val="20"/>
                          <w:szCs w:val="20"/>
                        </w:rPr>
                      </w:pPr>
                      <w:r w:rsidRPr="00F627B2">
                        <w:rPr>
                          <w:rStyle w:val="HelvBold"/>
                          <w:rFonts w:ascii="Lato" w:hAnsi="Lato" w:cs="HelveticaNeueLTStd-Bd"/>
                          <w:bCs/>
                          <w:color w:val="FFFFFF"/>
                          <w:sz w:val="20"/>
                          <w:szCs w:val="20"/>
                        </w:rPr>
                        <w:t>Bosca PO 559, Baile Átha Cliath 1, Éire</w:t>
                      </w:r>
                    </w:p>
                    <w:p w:rsidR="00457EA3" w:rsidRPr="00F627B2" w:rsidRDefault="00457EA3" w:rsidP="00452495">
                      <w:pPr>
                        <w:pStyle w:val="Noparagraphstyle"/>
                        <w:suppressAutoHyphens/>
                        <w:ind w:left="113"/>
                        <w:rPr>
                          <w:rFonts w:ascii="Lato" w:hAnsi="Lato"/>
                          <w:sz w:val="20"/>
                          <w:szCs w:val="20"/>
                        </w:rPr>
                      </w:pPr>
                      <w:r w:rsidRPr="00F627B2">
                        <w:rPr>
                          <w:rStyle w:val="HelvBold"/>
                          <w:rFonts w:ascii="Lato" w:hAnsi="Lato" w:cs="HelveticaNeueLTStd-Bd"/>
                          <w:bCs/>
                          <w:color w:val="FFFFFF"/>
                          <w:sz w:val="20"/>
                          <w:szCs w:val="20"/>
                        </w:rPr>
                        <w:t>PO Box 559, Dublin 1, Ireland</w:t>
                      </w:r>
                    </w:p>
                    <w:p w:rsidR="00457EA3" w:rsidRPr="00F627B2" w:rsidRDefault="00457EA3" w:rsidP="00CE5178">
                      <w:pPr>
                        <w:rPr>
                          <w:rFonts w:ascii="Lato" w:hAnsi="Lato"/>
                          <w:sz w:val="20"/>
                        </w:rPr>
                      </w:pPr>
                    </w:p>
                  </w:txbxContent>
                </v:textbox>
              </v:shape>
            </w:pict>
          </mc:Fallback>
        </mc:AlternateContent>
      </w:r>
      <w:r w:rsidRPr="00F627B2">
        <w:rPr>
          <w:rFonts w:ascii="Lato" w:hAnsi="Lato"/>
          <w:noProof/>
          <w:szCs w:val="22"/>
          <w:lang w:val="en-IE" w:eastAsia="en-IE"/>
        </w:rPr>
        <mc:AlternateContent>
          <mc:Choice Requires="wps">
            <w:drawing>
              <wp:anchor distT="0" distB="0" distL="114300" distR="114300" simplePos="0" relativeHeight="251656704" behindDoc="0" locked="0" layoutInCell="1" allowOverlap="1">
                <wp:simplePos x="0" y="0"/>
                <wp:positionH relativeFrom="column">
                  <wp:posOffset>-520065</wp:posOffset>
                </wp:positionH>
                <wp:positionV relativeFrom="paragraph">
                  <wp:posOffset>5717540</wp:posOffset>
                </wp:positionV>
                <wp:extent cx="2400300" cy="914400"/>
                <wp:effectExtent l="3810" t="0" r="0"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EA3" w:rsidRDefault="00457E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0.95pt;margin-top:450.2pt;width:189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7rtAIAAMA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kOMBO2gRQ9sNOhWjii21Rl6nYLTfQ9uZoRj6LJjqvs7WX7VSMhVQ8WW3Sglh4bRCrIL7E3/7OqE&#10;oy3IZvggKwhDd0Y6oLFWnS0dFAMBOnTp8dQZm0oJh2FEyCUBUwm2JIhg60LQ9Hi7V9q8Y7JDdpFh&#10;BZ136HR/p43NhqZHFxtMyIK3ret+K54dgON0ArHhqrXZLFwzfyQkWcfrOPKicL72IpLn3k2xirx5&#10;ESxm+WW+WuXBTxs3iNKGVxUTNsxRWEH0Z407SHySxElaWra8snA2Ja22m1Wr0J6CsAv3HQpy5uY/&#10;T8MVAbi8oBRAcW/DxCvm8cKLimjmJQsSeyRIbpM5iZIoL55TuuOC/TslNEAnZ+FsEtNvuRH3veZG&#10;044bGB0t7zIcn5xoaiW4FpVrraG8ndZnpbDpP5UC2n1stBOs1eikVjNuRvcynJqtmDeyegQFKwkC&#10;Ay3C2INFI9V3jAYYIRnW33ZUMYza9wJegdMpzBy3iWaLEO6oc8vm3EJFCVAZNhhNy5WZ5tSuV3zb&#10;QKTp3Ql5Ay+n5k7UT1kd3huMCcftMNLsHDrfO6+nwbv8BQAA//8DAFBLAwQUAAYACAAAACEA44sZ&#10;vt8AAAAMAQAADwAAAGRycy9kb3ducmV2LnhtbEyPy07DMBBF90j8gzVI7Fo7lamaNE6FQGxBlIfU&#10;nRtPk4h4HMVuE/6eYQXL0T2690y5m30vLjjGLpCBbKlAINXBddQYeH97WmxAxGTJ2T4QGvjGCLvq&#10;+qq0hQsTveJlnxrBJRQLa6BNaSikjHWL3sZlGJA4O4XR28Tn2Eg32onLfS9XSq2ltx3xQmsHfGix&#10;/tqfvYGP59PhU6uX5tHfDVOYlSSfS2Nub+b7LYiEc/qD4Vef1aFip2M4k4uiN7DYZDmjBnKlNAgm&#10;Vvk6A3FkVGmtQVal/P9E9QMAAP//AwBQSwECLQAUAAYACAAAACEAtoM4kv4AAADhAQAAEwAAAAAA&#10;AAAAAAAAAAAAAAAAW0NvbnRlbnRfVHlwZXNdLnhtbFBLAQItABQABgAIAAAAIQA4/SH/1gAAAJQB&#10;AAALAAAAAAAAAAAAAAAAAC8BAABfcmVscy8ucmVsc1BLAQItABQABgAIAAAAIQBdIF7rtAIAAMAF&#10;AAAOAAAAAAAAAAAAAAAAAC4CAABkcnMvZTJvRG9jLnhtbFBLAQItABQABgAIAAAAIQDjixm+3wAA&#10;AAwBAAAPAAAAAAAAAAAAAAAAAA4FAABkcnMvZG93bnJldi54bWxQSwUGAAAAAAQABADzAAAAGgYA&#10;AAAA&#10;" filled="f" stroked="f">
                <v:textbox>
                  <w:txbxContent>
                    <w:p w:rsidR="00457EA3" w:rsidRDefault="00457EA3"/>
                  </w:txbxContent>
                </v:textbox>
              </v:shape>
            </w:pict>
          </mc:Fallback>
        </mc:AlternateContent>
      </w:r>
    </w:p>
    <w:sectPr w:rsidR="00877692" w:rsidRPr="00F627B2" w:rsidSect="00850F39">
      <w:headerReference w:type="default" r:id="rId21"/>
      <w:footerReference w:type="default" r:id="rId22"/>
      <w:pgSz w:w="11904" w:h="16834"/>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725" w:rsidRDefault="00CA4725">
      <w:pPr>
        <w:spacing w:line="240" w:lineRule="auto"/>
      </w:pPr>
      <w:r>
        <w:separator/>
      </w:r>
    </w:p>
  </w:endnote>
  <w:endnote w:type="continuationSeparator" w:id="0">
    <w:p w:rsidR="00CA4725" w:rsidRDefault="00CA47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Lato Light">
    <w:panose1 w:val="020F0302020204030203"/>
    <w:charset w:val="00"/>
    <w:family w:val="swiss"/>
    <w:pitch w:val="variable"/>
    <w:sig w:usb0="A00000AF" w:usb1="5000604B" w:usb2="00000000" w:usb3="00000000" w:csb0="00000093" w:csb1="00000000"/>
  </w:font>
  <w:font w:name="Lato">
    <w:panose1 w:val="020F0502020204030203"/>
    <w:charset w:val="00"/>
    <w:family w:val="swiss"/>
    <w:pitch w:val="variable"/>
    <w:sig w:usb0="A00000AF" w:usb1="50006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A3" w:rsidRDefault="00457E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7EA3" w:rsidRDefault="00457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472" w:rsidRDefault="00CA4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A3" w:rsidRDefault="00457EA3">
    <w:pPr>
      <w:pStyle w:val="Footer"/>
      <w:tabs>
        <w:tab w:val="clear" w:pos="4320"/>
        <w:tab w:val="clear" w:pos="8640"/>
        <w:tab w:val="left" w:pos="1560"/>
        <w:tab w:val="center" w:pos="415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A3" w:rsidRDefault="00457EA3">
    <w:pPr>
      <w:pStyle w:val="Footer"/>
      <w:tabs>
        <w:tab w:val="clear" w:pos="8640"/>
        <w:tab w:val="center" w:pos="4152"/>
        <w:tab w:val="left" w:pos="516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A3" w:rsidRDefault="00457EA3">
    <w:pPr>
      <w:pStyle w:val="Footer"/>
      <w:tabs>
        <w:tab w:val="clear" w:pos="8640"/>
        <w:tab w:val="center" w:pos="4152"/>
        <w:tab w:val="left" w:pos="5160"/>
      </w:tabs>
      <w:rPr>
        <w:color w:val="99336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725" w:rsidRDefault="00CA4725">
      <w:pPr>
        <w:spacing w:line="240" w:lineRule="auto"/>
      </w:pPr>
      <w:r>
        <w:separator/>
      </w:r>
    </w:p>
  </w:footnote>
  <w:footnote w:type="continuationSeparator" w:id="0">
    <w:p w:rsidR="00CA4725" w:rsidRDefault="00CA4725">
      <w:pPr>
        <w:spacing w:line="240" w:lineRule="auto"/>
      </w:pPr>
      <w:r>
        <w:continuationSeparator/>
      </w:r>
    </w:p>
  </w:footnote>
  <w:footnote w:id="1">
    <w:p w:rsidR="00457EA3" w:rsidRPr="00F627B2" w:rsidRDefault="00457EA3" w:rsidP="00464DF3">
      <w:pPr>
        <w:pStyle w:val="FootnoteText"/>
        <w:spacing w:line="240" w:lineRule="auto"/>
        <w:rPr>
          <w:rFonts w:ascii="Lato" w:hAnsi="Lato"/>
          <w:lang w:val="en-IE"/>
        </w:rPr>
      </w:pPr>
      <w:r w:rsidRPr="00F627B2">
        <w:rPr>
          <w:rStyle w:val="FootnoteReference"/>
          <w:rFonts w:ascii="Lato" w:hAnsi="Lato"/>
        </w:rPr>
        <w:t>2</w:t>
      </w:r>
      <w:r w:rsidRPr="00F627B2">
        <w:rPr>
          <w:rFonts w:ascii="Lato" w:hAnsi="Lato"/>
        </w:rPr>
        <w:t xml:space="preserve"> If the fee disclosed in the prospectus is less than the maximum fee permitted in these documents, unitholder approval will also be required for an increase in the fee disclosed in the prospectus unless the prospectus also provides that a higher fee may be charged.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A3" w:rsidRPr="00363B0D" w:rsidRDefault="00CA4472" w:rsidP="00CA4472">
    <w:pPr>
      <w:pStyle w:val="Header"/>
    </w:pPr>
    <w:fldSimple w:instr=" DOCPROPERTY bjHeaderEvenPageDocProperty \* MERGEFORMAT " w:fldLock="1">
      <w:r w:rsidRPr="00CA4472">
        <w:rPr>
          <w:rFonts w:ascii="Times New Roman" w:hAnsi="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A3" w:rsidRPr="00363B0D" w:rsidRDefault="00CA4472" w:rsidP="00CA4472">
    <w:pPr>
      <w:pStyle w:val="Header"/>
    </w:pPr>
    <w:fldSimple w:instr=" DOCPROPERTY bjHeaderBothDocProperty \* MERGEFORMAT " w:fldLock="1">
      <w:r w:rsidRPr="00CA4472">
        <w:rPr>
          <w:rFonts w:ascii="Times New Roman" w:hAnsi="Times New Roman"/>
          <w:color w:val="000000"/>
          <w:sz w:val="24"/>
        </w:rPr>
        <w:t xml:space="preserve"> </w:t>
      </w:r>
    </w:fldSimple>
    <w:r w:rsidR="00457EA3">
      <w:rPr>
        <w:noProof/>
        <w:lang w:val="en-IE" w:eastAsia="en-IE"/>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-451485</wp:posOffset>
          </wp:positionV>
          <wp:extent cx="7576185" cy="1071562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71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A3" w:rsidRDefault="00CA4472" w:rsidP="00CA4472">
    <w:fldSimple w:instr=" DOCPROPERTY bjHeaderFirstPageDocProperty \* MERGEFORMAT " w:fldLock="1">
      <w:r w:rsidRPr="00CA4472">
        <w:rPr>
          <w:rFonts w:ascii="Times New Roman" w:hAnsi="Times New Roman"/>
          <w:color w:val="000000"/>
          <w:sz w:val="24"/>
        </w:rPr>
        <w:t xml:space="preserve"> </w:t>
      </w:r>
    </w:fldSimple>
  </w:p>
  <w:tbl>
    <w:tblPr>
      <w:tblW w:w="9803" w:type="dxa"/>
      <w:tblLayout w:type="fixed"/>
      <w:tblLook w:val="04A0" w:firstRow="1" w:lastRow="0" w:firstColumn="1" w:lastColumn="0" w:noHBand="0" w:noVBand="1"/>
    </w:tblPr>
    <w:tblGrid>
      <w:gridCol w:w="1668"/>
      <w:gridCol w:w="7229"/>
      <w:gridCol w:w="906"/>
    </w:tblGrid>
    <w:tr w:rsidR="00457EA3" w:rsidRPr="00C46589" w:rsidTr="00390987">
      <w:tc>
        <w:tcPr>
          <w:tcW w:w="1668" w:type="dxa"/>
          <w:tcBorders>
            <w:right w:val="single" w:sz="4" w:space="0" w:color="5B9BD5"/>
          </w:tcBorders>
          <w:shd w:val="clear" w:color="auto" w:fill="auto"/>
        </w:tcPr>
        <w:p w:rsidR="00457EA3" w:rsidRDefault="00457EA3" w:rsidP="00984254">
          <w:pPr>
            <w:pStyle w:val="Header"/>
            <w:jc w:val="right"/>
            <w:rPr>
              <w:rFonts w:ascii="Lato" w:eastAsia="Lato" w:hAnsi="Lato"/>
              <w:sz w:val="14"/>
              <w:szCs w:val="14"/>
            </w:rPr>
          </w:pPr>
        </w:p>
        <w:p w:rsidR="00457EA3" w:rsidRPr="00C46589" w:rsidRDefault="00457EA3" w:rsidP="00984254">
          <w:pPr>
            <w:pStyle w:val="Header"/>
            <w:jc w:val="right"/>
            <w:rPr>
              <w:rFonts w:ascii="Lato" w:eastAsia="Lato" w:hAnsi="Lato"/>
              <w:sz w:val="14"/>
              <w:szCs w:val="14"/>
            </w:rPr>
          </w:pPr>
          <w:r w:rsidRPr="00C46589">
            <w:rPr>
              <w:rFonts w:ascii="Lato" w:eastAsia="Lato" w:hAnsi="Lato"/>
              <w:sz w:val="14"/>
              <w:szCs w:val="14"/>
            </w:rPr>
            <w:t>Central Bank of Ireland</w:t>
          </w:r>
        </w:p>
      </w:tc>
      <w:tc>
        <w:tcPr>
          <w:tcW w:w="7229" w:type="dxa"/>
          <w:tcBorders>
            <w:left w:val="single" w:sz="4" w:space="0" w:color="5B9BD5"/>
            <w:right w:val="single" w:sz="4" w:space="0" w:color="5B9BD5"/>
          </w:tcBorders>
          <w:shd w:val="clear" w:color="auto" w:fill="auto"/>
        </w:tcPr>
        <w:p w:rsidR="00457EA3" w:rsidRPr="00C46589" w:rsidRDefault="00457EA3" w:rsidP="00457EA3">
          <w:pPr>
            <w:pStyle w:val="Header"/>
            <w:jc w:val="right"/>
            <w:rPr>
              <w:rFonts w:ascii="Lato" w:eastAsia="Lato" w:hAnsi="Lato"/>
              <w:sz w:val="14"/>
              <w:szCs w:val="14"/>
            </w:rPr>
          </w:pPr>
          <w:r w:rsidRPr="00C46589">
            <w:rPr>
              <w:rFonts w:ascii="Lato" w:eastAsia="Lato" w:hAnsi="Lato"/>
              <w:sz w:val="14"/>
              <w:szCs w:val="14"/>
            </w:rPr>
            <w:t xml:space="preserve">Retail Investor AIF Application Form Section </w:t>
          </w:r>
          <w:r>
            <w:rPr>
              <w:rFonts w:ascii="Lato" w:eastAsia="Lato" w:hAnsi="Lato"/>
              <w:sz w:val="14"/>
              <w:szCs w:val="14"/>
            </w:rPr>
            <w:t>2 December 2021</w:t>
          </w:r>
        </w:p>
      </w:tc>
      <w:tc>
        <w:tcPr>
          <w:tcW w:w="906" w:type="dxa"/>
          <w:tcBorders>
            <w:left w:val="single" w:sz="4" w:space="0" w:color="5B9BD5"/>
          </w:tcBorders>
          <w:shd w:val="clear" w:color="auto" w:fill="auto"/>
        </w:tcPr>
        <w:p w:rsidR="00457EA3" w:rsidRPr="00C46589" w:rsidRDefault="00457EA3" w:rsidP="00984254">
          <w:pPr>
            <w:pStyle w:val="Header"/>
            <w:jc w:val="right"/>
            <w:rPr>
              <w:rFonts w:ascii="Lato" w:eastAsia="Lato" w:hAnsi="Lato"/>
              <w:sz w:val="14"/>
              <w:szCs w:val="14"/>
            </w:rPr>
          </w:pPr>
          <w:r w:rsidRPr="00C46589">
            <w:rPr>
              <w:rFonts w:ascii="Lato" w:eastAsia="Lato" w:hAnsi="Lato"/>
              <w:sz w:val="14"/>
              <w:szCs w:val="14"/>
            </w:rPr>
            <w:t xml:space="preserve">Page </w:t>
          </w:r>
          <w:r w:rsidRPr="00C46589">
            <w:rPr>
              <w:rFonts w:ascii="Lato" w:eastAsia="Lato" w:hAnsi="Lato"/>
              <w:sz w:val="14"/>
              <w:szCs w:val="14"/>
            </w:rPr>
            <w:fldChar w:fldCharType="begin"/>
          </w:r>
          <w:r w:rsidRPr="00C46589">
            <w:rPr>
              <w:rFonts w:ascii="Lato" w:eastAsia="Lato" w:hAnsi="Lato"/>
              <w:sz w:val="14"/>
              <w:szCs w:val="14"/>
            </w:rPr>
            <w:instrText xml:space="preserve"> PAGE   \* MERGEFORMAT </w:instrText>
          </w:r>
          <w:r w:rsidRPr="00C46589">
            <w:rPr>
              <w:rFonts w:ascii="Lato" w:eastAsia="Lato" w:hAnsi="Lato"/>
              <w:sz w:val="14"/>
              <w:szCs w:val="14"/>
            </w:rPr>
            <w:fldChar w:fldCharType="separate"/>
          </w:r>
          <w:r w:rsidR="00CA4472">
            <w:rPr>
              <w:rFonts w:ascii="Lato" w:eastAsia="Lato" w:hAnsi="Lato"/>
              <w:noProof/>
              <w:sz w:val="14"/>
              <w:szCs w:val="14"/>
            </w:rPr>
            <w:t>2</w:t>
          </w:r>
          <w:r w:rsidRPr="00C46589">
            <w:rPr>
              <w:rFonts w:ascii="Lato" w:eastAsia="Lato" w:hAnsi="Lato"/>
              <w:noProof/>
              <w:sz w:val="14"/>
              <w:szCs w:val="14"/>
            </w:rPr>
            <w:fldChar w:fldCharType="end"/>
          </w:r>
        </w:p>
      </w:tc>
    </w:tr>
  </w:tbl>
  <w:p w:rsidR="00457EA3" w:rsidRPr="00BA75BC" w:rsidRDefault="00457EA3" w:rsidP="00F627B2">
    <w:pPr>
      <w:pStyle w:val="Header"/>
      <w:pBdr>
        <w:top w:val="single" w:sz="2" w:space="3" w:color="FFFFFF"/>
        <w:left w:val="single" w:sz="2" w:space="3" w:color="FFFFFF"/>
        <w:bottom w:val="single" w:sz="2" w:space="4" w:color="FFFFFF"/>
        <w:right w:val="single" w:sz="2" w:space="3" w:color="FFFFFF"/>
      </w:pBdr>
      <w:tabs>
        <w:tab w:val="left" w:pos="5808"/>
      </w:tabs>
      <w:rPr>
        <w:rFonts w:ascii="Helvetica" w:hAnsi="Helvetica"/>
        <w:b/>
        <w:color w:val="FFFFFF"/>
        <w:sz w:val="17"/>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A3" w:rsidRDefault="00CA4472" w:rsidP="00CA4472">
    <w:fldSimple w:instr=" DOCPROPERTY bjHeaderBothDocProperty \* MERGEFORMAT " w:fldLock="1">
      <w:r w:rsidRPr="00CA4472">
        <w:rPr>
          <w:rFonts w:ascii="Times New Roman" w:hAnsi="Times New Roman"/>
          <w:color w:val="000000"/>
          <w:sz w:val="24"/>
        </w:rPr>
        <w:t xml:space="preserve"> </w:t>
      </w:r>
    </w:fldSimple>
  </w:p>
  <w:tbl>
    <w:tblPr>
      <w:tblW w:w="9803" w:type="dxa"/>
      <w:tblLayout w:type="fixed"/>
      <w:tblLook w:val="04A0" w:firstRow="1" w:lastRow="0" w:firstColumn="1" w:lastColumn="0" w:noHBand="0" w:noVBand="1"/>
    </w:tblPr>
    <w:tblGrid>
      <w:gridCol w:w="1668"/>
      <w:gridCol w:w="7229"/>
      <w:gridCol w:w="906"/>
    </w:tblGrid>
    <w:tr w:rsidR="00457EA3" w:rsidRPr="00C46589" w:rsidTr="00390987">
      <w:tc>
        <w:tcPr>
          <w:tcW w:w="1668" w:type="dxa"/>
          <w:tcBorders>
            <w:right w:val="single" w:sz="4" w:space="0" w:color="5B9BD5"/>
          </w:tcBorders>
          <w:shd w:val="clear" w:color="auto" w:fill="auto"/>
        </w:tcPr>
        <w:p w:rsidR="00457EA3" w:rsidRPr="00C46589" w:rsidRDefault="00457EA3" w:rsidP="006C3E7F">
          <w:pPr>
            <w:pStyle w:val="Header"/>
            <w:jc w:val="right"/>
            <w:rPr>
              <w:rFonts w:ascii="Lato" w:eastAsia="Lato" w:hAnsi="Lato"/>
              <w:sz w:val="14"/>
              <w:szCs w:val="14"/>
            </w:rPr>
          </w:pPr>
          <w:r w:rsidRPr="00C46589">
            <w:rPr>
              <w:rFonts w:ascii="Lato" w:eastAsia="Lato" w:hAnsi="Lato"/>
              <w:sz w:val="14"/>
              <w:szCs w:val="14"/>
            </w:rPr>
            <w:t>Central Bank of Ireland</w:t>
          </w:r>
        </w:p>
      </w:tc>
      <w:tc>
        <w:tcPr>
          <w:tcW w:w="7229" w:type="dxa"/>
          <w:tcBorders>
            <w:left w:val="single" w:sz="4" w:space="0" w:color="5B9BD5"/>
            <w:right w:val="single" w:sz="4" w:space="0" w:color="5B9BD5"/>
          </w:tcBorders>
          <w:shd w:val="clear" w:color="auto" w:fill="auto"/>
        </w:tcPr>
        <w:p w:rsidR="00457EA3" w:rsidRPr="00C46589" w:rsidRDefault="00457EA3">
          <w:pPr>
            <w:pStyle w:val="Header"/>
            <w:jc w:val="right"/>
            <w:rPr>
              <w:rFonts w:ascii="Lato" w:eastAsia="Lato" w:hAnsi="Lato"/>
              <w:sz w:val="14"/>
              <w:szCs w:val="14"/>
            </w:rPr>
          </w:pPr>
          <w:r w:rsidRPr="00C46589">
            <w:rPr>
              <w:rFonts w:ascii="Lato" w:eastAsia="Lato" w:hAnsi="Lato"/>
              <w:sz w:val="14"/>
              <w:szCs w:val="14"/>
            </w:rPr>
            <w:t xml:space="preserve">Retail Investor AIF Application Form Section </w:t>
          </w:r>
          <w:r>
            <w:rPr>
              <w:rFonts w:ascii="Lato" w:eastAsia="Lato" w:hAnsi="Lato"/>
              <w:sz w:val="14"/>
              <w:szCs w:val="14"/>
            </w:rPr>
            <w:t>2 December 2021</w:t>
          </w:r>
        </w:p>
      </w:tc>
      <w:tc>
        <w:tcPr>
          <w:tcW w:w="906" w:type="dxa"/>
          <w:tcBorders>
            <w:left w:val="single" w:sz="4" w:space="0" w:color="5B9BD5"/>
          </w:tcBorders>
          <w:shd w:val="clear" w:color="auto" w:fill="auto"/>
        </w:tcPr>
        <w:p w:rsidR="00457EA3" w:rsidRPr="00C46589" w:rsidRDefault="00457EA3" w:rsidP="006C3E7F">
          <w:pPr>
            <w:pStyle w:val="Header"/>
            <w:jc w:val="right"/>
            <w:rPr>
              <w:rFonts w:ascii="Lato" w:eastAsia="Lato" w:hAnsi="Lato"/>
              <w:sz w:val="14"/>
              <w:szCs w:val="14"/>
            </w:rPr>
          </w:pPr>
          <w:r w:rsidRPr="00C46589">
            <w:rPr>
              <w:rFonts w:ascii="Lato" w:eastAsia="Lato" w:hAnsi="Lato"/>
              <w:sz w:val="14"/>
              <w:szCs w:val="14"/>
            </w:rPr>
            <w:t xml:space="preserve">Page </w:t>
          </w:r>
          <w:r w:rsidRPr="00C46589">
            <w:rPr>
              <w:rFonts w:ascii="Lato" w:eastAsia="Lato" w:hAnsi="Lato"/>
              <w:sz w:val="14"/>
              <w:szCs w:val="14"/>
            </w:rPr>
            <w:fldChar w:fldCharType="begin"/>
          </w:r>
          <w:r w:rsidRPr="00C46589">
            <w:rPr>
              <w:rFonts w:ascii="Lato" w:eastAsia="Lato" w:hAnsi="Lato"/>
              <w:sz w:val="14"/>
              <w:szCs w:val="14"/>
            </w:rPr>
            <w:instrText xml:space="preserve"> PAGE   \* MERGEFORMAT </w:instrText>
          </w:r>
          <w:r w:rsidRPr="00C46589">
            <w:rPr>
              <w:rFonts w:ascii="Lato" w:eastAsia="Lato" w:hAnsi="Lato"/>
              <w:sz w:val="14"/>
              <w:szCs w:val="14"/>
            </w:rPr>
            <w:fldChar w:fldCharType="separate"/>
          </w:r>
          <w:r w:rsidR="00CA4472">
            <w:rPr>
              <w:rFonts w:ascii="Lato" w:eastAsia="Lato" w:hAnsi="Lato"/>
              <w:noProof/>
              <w:sz w:val="14"/>
              <w:szCs w:val="14"/>
            </w:rPr>
            <w:t>6</w:t>
          </w:r>
          <w:r w:rsidRPr="00C46589">
            <w:rPr>
              <w:rFonts w:ascii="Lato" w:eastAsia="Lato" w:hAnsi="Lato"/>
              <w:noProof/>
              <w:sz w:val="14"/>
              <w:szCs w:val="14"/>
            </w:rPr>
            <w:fldChar w:fldCharType="end"/>
          </w:r>
        </w:p>
      </w:tc>
    </w:tr>
  </w:tbl>
  <w:p w:rsidR="00457EA3" w:rsidRPr="00BA75BC" w:rsidRDefault="00457EA3" w:rsidP="00F627B2">
    <w:pPr>
      <w:pStyle w:val="Header"/>
      <w:pBdr>
        <w:top w:val="single" w:sz="2" w:space="3" w:color="FFFFFF"/>
        <w:left w:val="single" w:sz="2" w:space="3" w:color="FFFFFF"/>
        <w:bottom w:val="single" w:sz="2" w:space="4" w:color="FFFFFF"/>
        <w:right w:val="single" w:sz="2" w:space="3" w:color="FFFFFF"/>
      </w:pBdr>
      <w:tabs>
        <w:tab w:val="left" w:pos="5808"/>
      </w:tabs>
      <w:rPr>
        <w:rFonts w:ascii="Helvetica" w:hAnsi="Helvetica"/>
        <w:b/>
        <w:color w:val="FFFFFF"/>
        <w:sz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A3" w:rsidRPr="00363B0D" w:rsidRDefault="00CA4472" w:rsidP="00CA4472">
    <w:pPr>
      <w:pStyle w:val="Header"/>
    </w:pPr>
    <w:fldSimple w:instr=" DOCPROPERTY bjHeaderBothDocProperty \* MERGEFORMAT " w:fldLock="1">
      <w:r w:rsidRPr="00CA4472">
        <w:rPr>
          <w:rFonts w:ascii="Times New Roman" w:hAnsi="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41A13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A615E"/>
    <w:multiLevelType w:val="hybridMultilevel"/>
    <w:tmpl w:val="383CB4D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D5326D"/>
    <w:multiLevelType w:val="hybridMultilevel"/>
    <w:tmpl w:val="14601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B64411"/>
    <w:multiLevelType w:val="hybridMultilevel"/>
    <w:tmpl w:val="E0E447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D52E7B"/>
    <w:multiLevelType w:val="hybridMultilevel"/>
    <w:tmpl w:val="D8D864F0"/>
    <w:lvl w:ilvl="0" w:tplc="C76AE89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650D89"/>
    <w:multiLevelType w:val="hybridMultilevel"/>
    <w:tmpl w:val="E2D0E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7AB5002"/>
    <w:multiLevelType w:val="hybridMultilevel"/>
    <w:tmpl w:val="F19C8890"/>
    <w:lvl w:ilvl="0" w:tplc="BF06CC3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98F6558"/>
    <w:multiLevelType w:val="hybridMultilevel"/>
    <w:tmpl w:val="86BC455E"/>
    <w:lvl w:ilvl="0" w:tplc="89363D92">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8" w15:restartNumberingAfterBreak="0">
    <w:nsid w:val="39C6261A"/>
    <w:multiLevelType w:val="hybridMultilevel"/>
    <w:tmpl w:val="E4C85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742107"/>
    <w:multiLevelType w:val="hybridMultilevel"/>
    <w:tmpl w:val="9F805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67431D"/>
    <w:multiLevelType w:val="hybridMultilevel"/>
    <w:tmpl w:val="F658274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B8B6013"/>
    <w:multiLevelType w:val="hybridMultilevel"/>
    <w:tmpl w:val="DC14AE7A"/>
    <w:lvl w:ilvl="0" w:tplc="79DC869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FF353FF"/>
    <w:multiLevelType w:val="hybridMultilevel"/>
    <w:tmpl w:val="42B2113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4B8533D"/>
    <w:multiLevelType w:val="hybridMultilevel"/>
    <w:tmpl w:val="E5AC7CF0"/>
    <w:lvl w:ilvl="0" w:tplc="E7A4130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7982036"/>
    <w:multiLevelType w:val="hybridMultilevel"/>
    <w:tmpl w:val="4F7A7732"/>
    <w:lvl w:ilvl="0" w:tplc="37ECBA7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A1518EF"/>
    <w:multiLevelType w:val="hybridMultilevel"/>
    <w:tmpl w:val="AA76F4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843F67"/>
    <w:multiLevelType w:val="hybridMultilevel"/>
    <w:tmpl w:val="083C42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2800B7F"/>
    <w:multiLevelType w:val="hybridMultilevel"/>
    <w:tmpl w:val="5CAEE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B5C04CF"/>
    <w:multiLevelType w:val="hybridMultilevel"/>
    <w:tmpl w:val="452E4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B5E4C04"/>
    <w:multiLevelType w:val="hybridMultilevel"/>
    <w:tmpl w:val="D99A8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FD2D11"/>
    <w:multiLevelType w:val="hybridMultilevel"/>
    <w:tmpl w:val="9FFAD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6A13F34"/>
    <w:multiLevelType w:val="hybridMultilevel"/>
    <w:tmpl w:val="FC8639F2"/>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22" w15:restartNumberingAfterBreak="0">
    <w:nsid w:val="7A490F4B"/>
    <w:multiLevelType w:val="hybridMultilevel"/>
    <w:tmpl w:val="0F628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7"/>
  </w:num>
  <w:num w:numId="8">
    <w:abstractNumId w:val="2"/>
  </w:num>
  <w:num w:numId="9">
    <w:abstractNumId w:val="18"/>
  </w:num>
  <w:num w:numId="10">
    <w:abstractNumId w:val="14"/>
  </w:num>
  <w:num w:numId="11">
    <w:abstractNumId w:val="13"/>
  </w:num>
  <w:num w:numId="12">
    <w:abstractNumId w:val="11"/>
  </w:num>
  <w:num w:numId="13">
    <w:abstractNumId w:val="6"/>
  </w:num>
  <w:num w:numId="14">
    <w:abstractNumId w:val="4"/>
  </w:num>
  <w:num w:numId="15">
    <w:abstractNumId w:val="12"/>
  </w:num>
  <w:num w:numId="16">
    <w:abstractNumId w:val="10"/>
  </w:num>
  <w:num w:numId="17">
    <w:abstractNumId w:val="1"/>
  </w:num>
  <w:num w:numId="18">
    <w:abstractNumId w:val="9"/>
  </w:num>
  <w:num w:numId="19">
    <w:abstractNumId w:val="17"/>
  </w:num>
  <w:num w:numId="20">
    <w:abstractNumId w:val="22"/>
  </w:num>
  <w:num w:numId="21">
    <w:abstractNumId w:val="20"/>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21"/>
    <w:rsid w:val="00002E7F"/>
    <w:rsid w:val="00005F70"/>
    <w:rsid w:val="00006ED0"/>
    <w:rsid w:val="000129DA"/>
    <w:rsid w:val="000143F9"/>
    <w:rsid w:val="0001795A"/>
    <w:rsid w:val="00020220"/>
    <w:rsid w:val="00020329"/>
    <w:rsid w:val="000205C0"/>
    <w:rsid w:val="0002494F"/>
    <w:rsid w:val="00030F1C"/>
    <w:rsid w:val="0003529F"/>
    <w:rsid w:val="00035DFB"/>
    <w:rsid w:val="00036CBB"/>
    <w:rsid w:val="0003787D"/>
    <w:rsid w:val="00040D95"/>
    <w:rsid w:val="00041FB2"/>
    <w:rsid w:val="000438ED"/>
    <w:rsid w:val="000554C0"/>
    <w:rsid w:val="0006125B"/>
    <w:rsid w:val="00062633"/>
    <w:rsid w:val="00062D9F"/>
    <w:rsid w:val="00070F1E"/>
    <w:rsid w:val="00073961"/>
    <w:rsid w:val="00075146"/>
    <w:rsid w:val="00075664"/>
    <w:rsid w:val="00075CE7"/>
    <w:rsid w:val="000778F2"/>
    <w:rsid w:val="00080446"/>
    <w:rsid w:val="000810DE"/>
    <w:rsid w:val="00083F87"/>
    <w:rsid w:val="0008461E"/>
    <w:rsid w:val="00087156"/>
    <w:rsid w:val="00090395"/>
    <w:rsid w:val="000911ED"/>
    <w:rsid w:val="0009219D"/>
    <w:rsid w:val="00092C0E"/>
    <w:rsid w:val="000A1775"/>
    <w:rsid w:val="000A362C"/>
    <w:rsid w:val="000A3E05"/>
    <w:rsid w:val="000A5543"/>
    <w:rsid w:val="000A7B04"/>
    <w:rsid w:val="000B51D2"/>
    <w:rsid w:val="000D13D8"/>
    <w:rsid w:val="000D211E"/>
    <w:rsid w:val="000D22B6"/>
    <w:rsid w:val="000D3AF8"/>
    <w:rsid w:val="000D40C4"/>
    <w:rsid w:val="000D4537"/>
    <w:rsid w:val="000D5776"/>
    <w:rsid w:val="000D6345"/>
    <w:rsid w:val="000E06C0"/>
    <w:rsid w:val="000E23B3"/>
    <w:rsid w:val="000E3845"/>
    <w:rsid w:val="000E51D2"/>
    <w:rsid w:val="000F12F4"/>
    <w:rsid w:val="000F2FB2"/>
    <w:rsid w:val="001004B5"/>
    <w:rsid w:val="001028C9"/>
    <w:rsid w:val="001032D1"/>
    <w:rsid w:val="0011485F"/>
    <w:rsid w:val="00116068"/>
    <w:rsid w:val="00125267"/>
    <w:rsid w:val="00126527"/>
    <w:rsid w:val="00126CF2"/>
    <w:rsid w:val="0013530A"/>
    <w:rsid w:val="001451D0"/>
    <w:rsid w:val="001470C5"/>
    <w:rsid w:val="001472B8"/>
    <w:rsid w:val="00147897"/>
    <w:rsid w:val="00147B31"/>
    <w:rsid w:val="00150714"/>
    <w:rsid w:val="00151A5B"/>
    <w:rsid w:val="001550FC"/>
    <w:rsid w:val="001576D6"/>
    <w:rsid w:val="00162A28"/>
    <w:rsid w:val="00166309"/>
    <w:rsid w:val="00175437"/>
    <w:rsid w:val="0018172D"/>
    <w:rsid w:val="001820C5"/>
    <w:rsid w:val="00182354"/>
    <w:rsid w:val="00182B56"/>
    <w:rsid w:val="00184333"/>
    <w:rsid w:val="00191CE3"/>
    <w:rsid w:val="0019526E"/>
    <w:rsid w:val="0019704F"/>
    <w:rsid w:val="001A7ED3"/>
    <w:rsid w:val="001B015B"/>
    <w:rsid w:val="001B4FCB"/>
    <w:rsid w:val="001C4307"/>
    <w:rsid w:val="001C4783"/>
    <w:rsid w:val="001C54B7"/>
    <w:rsid w:val="001C7B4E"/>
    <w:rsid w:val="001D0093"/>
    <w:rsid w:val="001D30F0"/>
    <w:rsid w:val="001D799A"/>
    <w:rsid w:val="001E3DA4"/>
    <w:rsid w:val="001E5582"/>
    <w:rsid w:val="001F04A7"/>
    <w:rsid w:val="001F1B83"/>
    <w:rsid w:val="001F2299"/>
    <w:rsid w:val="001F38D8"/>
    <w:rsid w:val="001F4819"/>
    <w:rsid w:val="001F7D8C"/>
    <w:rsid w:val="0020279C"/>
    <w:rsid w:val="00204F3B"/>
    <w:rsid w:val="00215AEA"/>
    <w:rsid w:val="002171EB"/>
    <w:rsid w:val="00221423"/>
    <w:rsid w:val="00224BF8"/>
    <w:rsid w:val="00226429"/>
    <w:rsid w:val="00226C64"/>
    <w:rsid w:val="00232696"/>
    <w:rsid w:val="0023603C"/>
    <w:rsid w:val="0023674A"/>
    <w:rsid w:val="0023745F"/>
    <w:rsid w:val="00245C63"/>
    <w:rsid w:val="0024765A"/>
    <w:rsid w:val="002526A6"/>
    <w:rsid w:val="00254C3A"/>
    <w:rsid w:val="00255A1D"/>
    <w:rsid w:val="00256122"/>
    <w:rsid w:val="0025755B"/>
    <w:rsid w:val="0026095E"/>
    <w:rsid w:val="002611FC"/>
    <w:rsid w:val="002718B0"/>
    <w:rsid w:val="002804CA"/>
    <w:rsid w:val="00281C14"/>
    <w:rsid w:val="00282968"/>
    <w:rsid w:val="00283043"/>
    <w:rsid w:val="002911EE"/>
    <w:rsid w:val="00294628"/>
    <w:rsid w:val="002A3446"/>
    <w:rsid w:val="002A6595"/>
    <w:rsid w:val="002B077B"/>
    <w:rsid w:val="002B1D82"/>
    <w:rsid w:val="002B2CDF"/>
    <w:rsid w:val="002B4BC3"/>
    <w:rsid w:val="002B5FD5"/>
    <w:rsid w:val="002C0431"/>
    <w:rsid w:val="002C2733"/>
    <w:rsid w:val="002C4D15"/>
    <w:rsid w:val="002D3BC9"/>
    <w:rsid w:val="002E08E1"/>
    <w:rsid w:val="002E265B"/>
    <w:rsid w:val="002E5E9E"/>
    <w:rsid w:val="002F0343"/>
    <w:rsid w:val="002F07AF"/>
    <w:rsid w:val="00300E79"/>
    <w:rsid w:val="00301C2C"/>
    <w:rsid w:val="00301CBB"/>
    <w:rsid w:val="003044B0"/>
    <w:rsid w:val="0030682B"/>
    <w:rsid w:val="00306877"/>
    <w:rsid w:val="00306F35"/>
    <w:rsid w:val="00307718"/>
    <w:rsid w:val="003135B9"/>
    <w:rsid w:val="00313EDC"/>
    <w:rsid w:val="00314452"/>
    <w:rsid w:val="003208E0"/>
    <w:rsid w:val="00327830"/>
    <w:rsid w:val="00333264"/>
    <w:rsid w:val="00335263"/>
    <w:rsid w:val="0033791D"/>
    <w:rsid w:val="0034133B"/>
    <w:rsid w:val="003454DC"/>
    <w:rsid w:val="0035164D"/>
    <w:rsid w:val="00353AA6"/>
    <w:rsid w:val="00353ECA"/>
    <w:rsid w:val="00355D9E"/>
    <w:rsid w:val="00356F2F"/>
    <w:rsid w:val="00361E3F"/>
    <w:rsid w:val="00362BDC"/>
    <w:rsid w:val="00363B0D"/>
    <w:rsid w:val="003644B5"/>
    <w:rsid w:val="00365B85"/>
    <w:rsid w:val="00367575"/>
    <w:rsid w:val="00370D74"/>
    <w:rsid w:val="003736C2"/>
    <w:rsid w:val="00377D2D"/>
    <w:rsid w:val="003865B7"/>
    <w:rsid w:val="00390987"/>
    <w:rsid w:val="00390A5F"/>
    <w:rsid w:val="00392FFD"/>
    <w:rsid w:val="003A177E"/>
    <w:rsid w:val="003B2DB6"/>
    <w:rsid w:val="003C335F"/>
    <w:rsid w:val="003C3E16"/>
    <w:rsid w:val="003C4584"/>
    <w:rsid w:val="003C5ACA"/>
    <w:rsid w:val="003D0FCC"/>
    <w:rsid w:val="003D54D4"/>
    <w:rsid w:val="003E062B"/>
    <w:rsid w:val="003E1720"/>
    <w:rsid w:val="003E3558"/>
    <w:rsid w:val="003E5BB6"/>
    <w:rsid w:val="003F131E"/>
    <w:rsid w:val="003F241F"/>
    <w:rsid w:val="003F3C2A"/>
    <w:rsid w:val="003F52CE"/>
    <w:rsid w:val="00405251"/>
    <w:rsid w:val="00413484"/>
    <w:rsid w:val="004226CE"/>
    <w:rsid w:val="004231DE"/>
    <w:rsid w:val="00424BC8"/>
    <w:rsid w:val="004308B4"/>
    <w:rsid w:val="00431124"/>
    <w:rsid w:val="004339B6"/>
    <w:rsid w:val="0043415A"/>
    <w:rsid w:val="004356F5"/>
    <w:rsid w:val="00436F78"/>
    <w:rsid w:val="004426DA"/>
    <w:rsid w:val="0044691A"/>
    <w:rsid w:val="00447618"/>
    <w:rsid w:val="00447C79"/>
    <w:rsid w:val="00450459"/>
    <w:rsid w:val="00452495"/>
    <w:rsid w:val="00457EA3"/>
    <w:rsid w:val="00463C18"/>
    <w:rsid w:val="00464DF3"/>
    <w:rsid w:val="004707F0"/>
    <w:rsid w:val="00471ACC"/>
    <w:rsid w:val="0047303D"/>
    <w:rsid w:val="00473C1F"/>
    <w:rsid w:val="004748F6"/>
    <w:rsid w:val="00474CD1"/>
    <w:rsid w:val="00476BC7"/>
    <w:rsid w:val="00482236"/>
    <w:rsid w:val="00483384"/>
    <w:rsid w:val="00487DC3"/>
    <w:rsid w:val="004931E2"/>
    <w:rsid w:val="004934C9"/>
    <w:rsid w:val="0049482F"/>
    <w:rsid w:val="00495C53"/>
    <w:rsid w:val="00496306"/>
    <w:rsid w:val="00496917"/>
    <w:rsid w:val="004A253B"/>
    <w:rsid w:val="004A363F"/>
    <w:rsid w:val="004B59C9"/>
    <w:rsid w:val="004B68A1"/>
    <w:rsid w:val="004C67EC"/>
    <w:rsid w:val="004C6D95"/>
    <w:rsid w:val="004D26BE"/>
    <w:rsid w:val="004D2A80"/>
    <w:rsid w:val="004D490A"/>
    <w:rsid w:val="004D598E"/>
    <w:rsid w:val="004D612F"/>
    <w:rsid w:val="004E0561"/>
    <w:rsid w:val="004E159D"/>
    <w:rsid w:val="004E4AF2"/>
    <w:rsid w:val="004E4E29"/>
    <w:rsid w:val="004E6936"/>
    <w:rsid w:val="004E7035"/>
    <w:rsid w:val="004F01CA"/>
    <w:rsid w:val="004F3054"/>
    <w:rsid w:val="004F52B0"/>
    <w:rsid w:val="004F67F8"/>
    <w:rsid w:val="004F7639"/>
    <w:rsid w:val="005008BF"/>
    <w:rsid w:val="00503597"/>
    <w:rsid w:val="00503A7A"/>
    <w:rsid w:val="00506402"/>
    <w:rsid w:val="00512042"/>
    <w:rsid w:val="00512256"/>
    <w:rsid w:val="00512AB7"/>
    <w:rsid w:val="00512C41"/>
    <w:rsid w:val="00517DD8"/>
    <w:rsid w:val="00521143"/>
    <w:rsid w:val="005228F6"/>
    <w:rsid w:val="00522F0D"/>
    <w:rsid w:val="0052530C"/>
    <w:rsid w:val="00525B8D"/>
    <w:rsid w:val="00527E56"/>
    <w:rsid w:val="0053083F"/>
    <w:rsid w:val="005321A7"/>
    <w:rsid w:val="00532684"/>
    <w:rsid w:val="0053723C"/>
    <w:rsid w:val="005373F6"/>
    <w:rsid w:val="005406B1"/>
    <w:rsid w:val="00541647"/>
    <w:rsid w:val="005418AB"/>
    <w:rsid w:val="00543B82"/>
    <w:rsid w:val="005441DE"/>
    <w:rsid w:val="00544897"/>
    <w:rsid w:val="00544A5A"/>
    <w:rsid w:val="0054527E"/>
    <w:rsid w:val="0054655E"/>
    <w:rsid w:val="00546CAB"/>
    <w:rsid w:val="00547170"/>
    <w:rsid w:val="00550FC9"/>
    <w:rsid w:val="0055234E"/>
    <w:rsid w:val="0055409E"/>
    <w:rsid w:val="0055477B"/>
    <w:rsid w:val="00556CC9"/>
    <w:rsid w:val="00560C4B"/>
    <w:rsid w:val="00561900"/>
    <w:rsid w:val="00561C45"/>
    <w:rsid w:val="00562045"/>
    <w:rsid w:val="00564B82"/>
    <w:rsid w:val="005712BD"/>
    <w:rsid w:val="00573176"/>
    <w:rsid w:val="00577EE3"/>
    <w:rsid w:val="00581330"/>
    <w:rsid w:val="00586F3E"/>
    <w:rsid w:val="00595F27"/>
    <w:rsid w:val="005A0520"/>
    <w:rsid w:val="005A16BE"/>
    <w:rsid w:val="005A29E4"/>
    <w:rsid w:val="005A41D9"/>
    <w:rsid w:val="005A6CDD"/>
    <w:rsid w:val="005A7215"/>
    <w:rsid w:val="005A74DA"/>
    <w:rsid w:val="005B21A4"/>
    <w:rsid w:val="005B2ED6"/>
    <w:rsid w:val="005B3593"/>
    <w:rsid w:val="005B407E"/>
    <w:rsid w:val="005C6138"/>
    <w:rsid w:val="005C7409"/>
    <w:rsid w:val="005C79AC"/>
    <w:rsid w:val="005D011A"/>
    <w:rsid w:val="005D411D"/>
    <w:rsid w:val="005D4483"/>
    <w:rsid w:val="005E05FE"/>
    <w:rsid w:val="005E141E"/>
    <w:rsid w:val="005E24AB"/>
    <w:rsid w:val="005E2BEF"/>
    <w:rsid w:val="005F01BC"/>
    <w:rsid w:val="005F32F6"/>
    <w:rsid w:val="005F35B0"/>
    <w:rsid w:val="005F4652"/>
    <w:rsid w:val="005F5117"/>
    <w:rsid w:val="005F6AE5"/>
    <w:rsid w:val="00601FD3"/>
    <w:rsid w:val="006136DF"/>
    <w:rsid w:val="00613BAE"/>
    <w:rsid w:val="00613BDA"/>
    <w:rsid w:val="006178C8"/>
    <w:rsid w:val="006215E2"/>
    <w:rsid w:val="00624D79"/>
    <w:rsid w:val="006302B8"/>
    <w:rsid w:val="006307A2"/>
    <w:rsid w:val="00630BAE"/>
    <w:rsid w:val="00632B88"/>
    <w:rsid w:val="00636CC5"/>
    <w:rsid w:val="00642184"/>
    <w:rsid w:val="00642629"/>
    <w:rsid w:val="0064392C"/>
    <w:rsid w:val="0064409F"/>
    <w:rsid w:val="006501F9"/>
    <w:rsid w:val="00653286"/>
    <w:rsid w:val="00655FE9"/>
    <w:rsid w:val="00657D34"/>
    <w:rsid w:val="006631D6"/>
    <w:rsid w:val="00671AFC"/>
    <w:rsid w:val="0067227C"/>
    <w:rsid w:val="00674518"/>
    <w:rsid w:val="006803D9"/>
    <w:rsid w:val="0068485A"/>
    <w:rsid w:val="00687034"/>
    <w:rsid w:val="006903BB"/>
    <w:rsid w:val="00691B1B"/>
    <w:rsid w:val="00691D1D"/>
    <w:rsid w:val="006929C5"/>
    <w:rsid w:val="0069333A"/>
    <w:rsid w:val="0069341E"/>
    <w:rsid w:val="006963C8"/>
    <w:rsid w:val="006A2F1E"/>
    <w:rsid w:val="006A6AF2"/>
    <w:rsid w:val="006B0A91"/>
    <w:rsid w:val="006B6A22"/>
    <w:rsid w:val="006C342C"/>
    <w:rsid w:val="006C3E7F"/>
    <w:rsid w:val="006C496A"/>
    <w:rsid w:val="006C49ED"/>
    <w:rsid w:val="006C6F55"/>
    <w:rsid w:val="006E1A54"/>
    <w:rsid w:val="006E3B4B"/>
    <w:rsid w:val="006E4559"/>
    <w:rsid w:val="006E62E2"/>
    <w:rsid w:val="006F0599"/>
    <w:rsid w:val="006F13A9"/>
    <w:rsid w:val="006F4FA2"/>
    <w:rsid w:val="006F5C8A"/>
    <w:rsid w:val="006F5F89"/>
    <w:rsid w:val="006F747C"/>
    <w:rsid w:val="006F7A33"/>
    <w:rsid w:val="00702EB8"/>
    <w:rsid w:val="00707E8C"/>
    <w:rsid w:val="007156D4"/>
    <w:rsid w:val="00717BAB"/>
    <w:rsid w:val="0072056A"/>
    <w:rsid w:val="00722C40"/>
    <w:rsid w:val="00722E56"/>
    <w:rsid w:val="00724464"/>
    <w:rsid w:val="00733BAF"/>
    <w:rsid w:val="00734E18"/>
    <w:rsid w:val="007428FE"/>
    <w:rsid w:val="0074782D"/>
    <w:rsid w:val="00747C92"/>
    <w:rsid w:val="00751E00"/>
    <w:rsid w:val="00753796"/>
    <w:rsid w:val="007539BA"/>
    <w:rsid w:val="00755B0B"/>
    <w:rsid w:val="00757F89"/>
    <w:rsid w:val="00764265"/>
    <w:rsid w:val="0076719D"/>
    <w:rsid w:val="00770E8C"/>
    <w:rsid w:val="0079315F"/>
    <w:rsid w:val="007A1F78"/>
    <w:rsid w:val="007A33AC"/>
    <w:rsid w:val="007A39A7"/>
    <w:rsid w:val="007A45D1"/>
    <w:rsid w:val="007A475A"/>
    <w:rsid w:val="007A5AE8"/>
    <w:rsid w:val="007A6377"/>
    <w:rsid w:val="007A6F88"/>
    <w:rsid w:val="007A7110"/>
    <w:rsid w:val="007B0E6F"/>
    <w:rsid w:val="007B119A"/>
    <w:rsid w:val="007B3D99"/>
    <w:rsid w:val="007B5D3E"/>
    <w:rsid w:val="007B70F5"/>
    <w:rsid w:val="007C030F"/>
    <w:rsid w:val="007C10D4"/>
    <w:rsid w:val="007C37E3"/>
    <w:rsid w:val="007C6D1C"/>
    <w:rsid w:val="007D05C6"/>
    <w:rsid w:val="007D0673"/>
    <w:rsid w:val="007D0FAD"/>
    <w:rsid w:val="007D29BA"/>
    <w:rsid w:val="007D3305"/>
    <w:rsid w:val="007D5F2D"/>
    <w:rsid w:val="007E167B"/>
    <w:rsid w:val="007E2C87"/>
    <w:rsid w:val="007E620A"/>
    <w:rsid w:val="007F0514"/>
    <w:rsid w:val="007F22A3"/>
    <w:rsid w:val="007F268F"/>
    <w:rsid w:val="007F38C5"/>
    <w:rsid w:val="007F4EED"/>
    <w:rsid w:val="007F4FC9"/>
    <w:rsid w:val="0080036D"/>
    <w:rsid w:val="008028CF"/>
    <w:rsid w:val="00803455"/>
    <w:rsid w:val="008040CA"/>
    <w:rsid w:val="00805C8C"/>
    <w:rsid w:val="008071B4"/>
    <w:rsid w:val="0081045B"/>
    <w:rsid w:val="00810498"/>
    <w:rsid w:val="00810969"/>
    <w:rsid w:val="00810E3F"/>
    <w:rsid w:val="00810FEA"/>
    <w:rsid w:val="00812284"/>
    <w:rsid w:val="008161D3"/>
    <w:rsid w:val="00816A1D"/>
    <w:rsid w:val="008235B4"/>
    <w:rsid w:val="00827F69"/>
    <w:rsid w:val="00832B0F"/>
    <w:rsid w:val="00841792"/>
    <w:rsid w:val="00841ECF"/>
    <w:rsid w:val="0084355D"/>
    <w:rsid w:val="0084436A"/>
    <w:rsid w:val="00847542"/>
    <w:rsid w:val="00847D28"/>
    <w:rsid w:val="00850DE3"/>
    <w:rsid w:val="00850F39"/>
    <w:rsid w:val="008526D9"/>
    <w:rsid w:val="008527B0"/>
    <w:rsid w:val="00853CA3"/>
    <w:rsid w:val="00854668"/>
    <w:rsid w:val="00855171"/>
    <w:rsid w:val="00857EF9"/>
    <w:rsid w:val="00865AAF"/>
    <w:rsid w:val="0086751F"/>
    <w:rsid w:val="0087052F"/>
    <w:rsid w:val="0087199D"/>
    <w:rsid w:val="0087217C"/>
    <w:rsid w:val="0087303A"/>
    <w:rsid w:val="00875104"/>
    <w:rsid w:val="00876480"/>
    <w:rsid w:val="008764F8"/>
    <w:rsid w:val="00877692"/>
    <w:rsid w:val="00882E48"/>
    <w:rsid w:val="008836A0"/>
    <w:rsid w:val="00885A5D"/>
    <w:rsid w:val="00891A66"/>
    <w:rsid w:val="00892A50"/>
    <w:rsid w:val="00896A4A"/>
    <w:rsid w:val="008A2EA0"/>
    <w:rsid w:val="008A3AC8"/>
    <w:rsid w:val="008A704A"/>
    <w:rsid w:val="008B350C"/>
    <w:rsid w:val="008B394F"/>
    <w:rsid w:val="008B3BC2"/>
    <w:rsid w:val="008C356E"/>
    <w:rsid w:val="008D5B85"/>
    <w:rsid w:val="008D6B49"/>
    <w:rsid w:val="008E4DDD"/>
    <w:rsid w:val="008E5457"/>
    <w:rsid w:val="008F2281"/>
    <w:rsid w:val="008F27BD"/>
    <w:rsid w:val="00900872"/>
    <w:rsid w:val="00900D1E"/>
    <w:rsid w:val="009020C6"/>
    <w:rsid w:val="00903969"/>
    <w:rsid w:val="00904766"/>
    <w:rsid w:val="00911197"/>
    <w:rsid w:val="00915562"/>
    <w:rsid w:val="009208AA"/>
    <w:rsid w:val="00921230"/>
    <w:rsid w:val="00922B26"/>
    <w:rsid w:val="00924162"/>
    <w:rsid w:val="009266ED"/>
    <w:rsid w:val="0093081E"/>
    <w:rsid w:val="0093086F"/>
    <w:rsid w:val="009318A0"/>
    <w:rsid w:val="00934F55"/>
    <w:rsid w:val="00941E88"/>
    <w:rsid w:val="009420A8"/>
    <w:rsid w:val="00943F73"/>
    <w:rsid w:val="00944223"/>
    <w:rsid w:val="00944672"/>
    <w:rsid w:val="00950044"/>
    <w:rsid w:val="0095258E"/>
    <w:rsid w:val="00953B84"/>
    <w:rsid w:val="00955AE5"/>
    <w:rsid w:val="00956AD4"/>
    <w:rsid w:val="0096093C"/>
    <w:rsid w:val="00960C3F"/>
    <w:rsid w:val="00961377"/>
    <w:rsid w:val="009714B9"/>
    <w:rsid w:val="00971B4E"/>
    <w:rsid w:val="00971B79"/>
    <w:rsid w:val="00971E89"/>
    <w:rsid w:val="00972C66"/>
    <w:rsid w:val="00977647"/>
    <w:rsid w:val="00984254"/>
    <w:rsid w:val="0098599D"/>
    <w:rsid w:val="00987AD1"/>
    <w:rsid w:val="00993E37"/>
    <w:rsid w:val="00994B90"/>
    <w:rsid w:val="009A2205"/>
    <w:rsid w:val="009A3DBD"/>
    <w:rsid w:val="009B0533"/>
    <w:rsid w:val="009B5AC9"/>
    <w:rsid w:val="009C09A1"/>
    <w:rsid w:val="009C3FA1"/>
    <w:rsid w:val="009D0C6E"/>
    <w:rsid w:val="009D0D78"/>
    <w:rsid w:val="009D2753"/>
    <w:rsid w:val="009D6AA3"/>
    <w:rsid w:val="009E7AAF"/>
    <w:rsid w:val="009F1631"/>
    <w:rsid w:val="009F1F21"/>
    <w:rsid w:val="009F373B"/>
    <w:rsid w:val="009F5496"/>
    <w:rsid w:val="00A015FC"/>
    <w:rsid w:val="00A12E7F"/>
    <w:rsid w:val="00A233BD"/>
    <w:rsid w:val="00A244FF"/>
    <w:rsid w:val="00A250B8"/>
    <w:rsid w:val="00A253CA"/>
    <w:rsid w:val="00A31220"/>
    <w:rsid w:val="00A31D8D"/>
    <w:rsid w:val="00A32B81"/>
    <w:rsid w:val="00A3401E"/>
    <w:rsid w:val="00A34622"/>
    <w:rsid w:val="00A3525F"/>
    <w:rsid w:val="00A373A0"/>
    <w:rsid w:val="00A373A8"/>
    <w:rsid w:val="00A43D24"/>
    <w:rsid w:val="00A44DAC"/>
    <w:rsid w:val="00A45CB5"/>
    <w:rsid w:val="00A4616F"/>
    <w:rsid w:val="00A47226"/>
    <w:rsid w:val="00A53A00"/>
    <w:rsid w:val="00A54337"/>
    <w:rsid w:val="00A56F6A"/>
    <w:rsid w:val="00A57204"/>
    <w:rsid w:val="00A65866"/>
    <w:rsid w:val="00A65D56"/>
    <w:rsid w:val="00A66921"/>
    <w:rsid w:val="00A720F1"/>
    <w:rsid w:val="00A767F2"/>
    <w:rsid w:val="00A76959"/>
    <w:rsid w:val="00A8055B"/>
    <w:rsid w:val="00A81D8C"/>
    <w:rsid w:val="00A83F62"/>
    <w:rsid w:val="00A94307"/>
    <w:rsid w:val="00A96BA0"/>
    <w:rsid w:val="00A978A5"/>
    <w:rsid w:val="00AA0E85"/>
    <w:rsid w:val="00AA2700"/>
    <w:rsid w:val="00AA5803"/>
    <w:rsid w:val="00AA6D4C"/>
    <w:rsid w:val="00AA72C3"/>
    <w:rsid w:val="00AA7891"/>
    <w:rsid w:val="00AB0A23"/>
    <w:rsid w:val="00AB48E5"/>
    <w:rsid w:val="00AB7DF2"/>
    <w:rsid w:val="00AC2356"/>
    <w:rsid w:val="00AC467B"/>
    <w:rsid w:val="00AC6136"/>
    <w:rsid w:val="00AD26F2"/>
    <w:rsid w:val="00AD368F"/>
    <w:rsid w:val="00AD481E"/>
    <w:rsid w:val="00AD53CF"/>
    <w:rsid w:val="00AD5855"/>
    <w:rsid w:val="00AE023B"/>
    <w:rsid w:val="00AE0E4E"/>
    <w:rsid w:val="00AF065E"/>
    <w:rsid w:val="00AF2CB3"/>
    <w:rsid w:val="00AF46CE"/>
    <w:rsid w:val="00AF6CFB"/>
    <w:rsid w:val="00AF7D17"/>
    <w:rsid w:val="00B02B34"/>
    <w:rsid w:val="00B10F6A"/>
    <w:rsid w:val="00B1565D"/>
    <w:rsid w:val="00B1683E"/>
    <w:rsid w:val="00B20AE3"/>
    <w:rsid w:val="00B2197E"/>
    <w:rsid w:val="00B2472D"/>
    <w:rsid w:val="00B26434"/>
    <w:rsid w:val="00B27875"/>
    <w:rsid w:val="00B27B29"/>
    <w:rsid w:val="00B31A63"/>
    <w:rsid w:val="00B33A5E"/>
    <w:rsid w:val="00B378B8"/>
    <w:rsid w:val="00B40B02"/>
    <w:rsid w:val="00B42709"/>
    <w:rsid w:val="00B47D48"/>
    <w:rsid w:val="00B512BB"/>
    <w:rsid w:val="00B564AD"/>
    <w:rsid w:val="00B568A7"/>
    <w:rsid w:val="00B60525"/>
    <w:rsid w:val="00B6360E"/>
    <w:rsid w:val="00B70F71"/>
    <w:rsid w:val="00B71012"/>
    <w:rsid w:val="00B7175D"/>
    <w:rsid w:val="00B76258"/>
    <w:rsid w:val="00B77A66"/>
    <w:rsid w:val="00B8242C"/>
    <w:rsid w:val="00B8368F"/>
    <w:rsid w:val="00B86B94"/>
    <w:rsid w:val="00B903A3"/>
    <w:rsid w:val="00B9452D"/>
    <w:rsid w:val="00B9512B"/>
    <w:rsid w:val="00BA0256"/>
    <w:rsid w:val="00BA10DB"/>
    <w:rsid w:val="00BA27D1"/>
    <w:rsid w:val="00BA5F1F"/>
    <w:rsid w:val="00BB1DF3"/>
    <w:rsid w:val="00BC259D"/>
    <w:rsid w:val="00BC4AD5"/>
    <w:rsid w:val="00BD105E"/>
    <w:rsid w:val="00BD1694"/>
    <w:rsid w:val="00BD16AE"/>
    <w:rsid w:val="00BD33F8"/>
    <w:rsid w:val="00BD4C47"/>
    <w:rsid w:val="00BD6DF3"/>
    <w:rsid w:val="00BD7D74"/>
    <w:rsid w:val="00BE3AD7"/>
    <w:rsid w:val="00BF1487"/>
    <w:rsid w:val="00BF1811"/>
    <w:rsid w:val="00BF600C"/>
    <w:rsid w:val="00C01DD7"/>
    <w:rsid w:val="00C0345E"/>
    <w:rsid w:val="00C037DF"/>
    <w:rsid w:val="00C05324"/>
    <w:rsid w:val="00C14214"/>
    <w:rsid w:val="00C157DD"/>
    <w:rsid w:val="00C15971"/>
    <w:rsid w:val="00C25221"/>
    <w:rsid w:val="00C27CF3"/>
    <w:rsid w:val="00C33DE7"/>
    <w:rsid w:val="00C348EB"/>
    <w:rsid w:val="00C35B50"/>
    <w:rsid w:val="00C36E06"/>
    <w:rsid w:val="00C37937"/>
    <w:rsid w:val="00C44EBF"/>
    <w:rsid w:val="00C4620D"/>
    <w:rsid w:val="00C47AC2"/>
    <w:rsid w:val="00C47ADB"/>
    <w:rsid w:val="00C518A3"/>
    <w:rsid w:val="00C51B55"/>
    <w:rsid w:val="00C52036"/>
    <w:rsid w:val="00C5309B"/>
    <w:rsid w:val="00C56953"/>
    <w:rsid w:val="00C60858"/>
    <w:rsid w:val="00C6238B"/>
    <w:rsid w:val="00C632B3"/>
    <w:rsid w:val="00C7033C"/>
    <w:rsid w:val="00C72A9F"/>
    <w:rsid w:val="00C739B5"/>
    <w:rsid w:val="00C74F29"/>
    <w:rsid w:val="00C81BEC"/>
    <w:rsid w:val="00C83F6B"/>
    <w:rsid w:val="00C8500A"/>
    <w:rsid w:val="00C91B55"/>
    <w:rsid w:val="00C91D49"/>
    <w:rsid w:val="00C95A6B"/>
    <w:rsid w:val="00CA4472"/>
    <w:rsid w:val="00CA4725"/>
    <w:rsid w:val="00CA479B"/>
    <w:rsid w:val="00CA4892"/>
    <w:rsid w:val="00CB4795"/>
    <w:rsid w:val="00CB7509"/>
    <w:rsid w:val="00CC33D5"/>
    <w:rsid w:val="00CC37E9"/>
    <w:rsid w:val="00CC4451"/>
    <w:rsid w:val="00CC50DD"/>
    <w:rsid w:val="00CC6D86"/>
    <w:rsid w:val="00CD1679"/>
    <w:rsid w:val="00CD3F77"/>
    <w:rsid w:val="00CD4EAF"/>
    <w:rsid w:val="00CE0866"/>
    <w:rsid w:val="00CE5178"/>
    <w:rsid w:val="00CE65C1"/>
    <w:rsid w:val="00CE6855"/>
    <w:rsid w:val="00CE6D7B"/>
    <w:rsid w:val="00CF17B3"/>
    <w:rsid w:val="00CF2E7B"/>
    <w:rsid w:val="00CF4050"/>
    <w:rsid w:val="00CF5460"/>
    <w:rsid w:val="00D0045C"/>
    <w:rsid w:val="00D008B2"/>
    <w:rsid w:val="00D038D6"/>
    <w:rsid w:val="00D0447E"/>
    <w:rsid w:val="00D07394"/>
    <w:rsid w:val="00D10559"/>
    <w:rsid w:val="00D138F5"/>
    <w:rsid w:val="00D16DC5"/>
    <w:rsid w:val="00D20B7E"/>
    <w:rsid w:val="00D219F4"/>
    <w:rsid w:val="00D23551"/>
    <w:rsid w:val="00D23D3B"/>
    <w:rsid w:val="00D278BB"/>
    <w:rsid w:val="00D3128A"/>
    <w:rsid w:val="00D432E9"/>
    <w:rsid w:val="00D51CC1"/>
    <w:rsid w:val="00D55393"/>
    <w:rsid w:val="00D565D8"/>
    <w:rsid w:val="00D56C4B"/>
    <w:rsid w:val="00D74909"/>
    <w:rsid w:val="00D8351E"/>
    <w:rsid w:val="00D8611F"/>
    <w:rsid w:val="00D92B51"/>
    <w:rsid w:val="00D93B4B"/>
    <w:rsid w:val="00D941F7"/>
    <w:rsid w:val="00D947FE"/>
    <w:rsid w:val="00D9730E"/>
    <w:rsid w:val="00D97CC5"/>
    <w:rsid w:val="00DA02F4"/>
    <w:rsid w:val="00DA13BC"/>
    <w:rsid w:val="00DA7761"/>
    <w:rsid w:val="00DB1AF0"/>
    <w:rsid w:val="00DB3F0B"/>
    <w:rsid w:val="00DB4B6B"/>
    <w:rsid w:val="00DC1524"/>
    <w:rsid w:val="00DC2631"/>
    <w:rsid w:val="00DD3CC3"/>
    <w:rsid w:val="00DD7BB0"/>
    <w:rsid w:val="00DE0AE5"/>
    <w:rsid w:val="00DE3FF3"/>
    <w:rsid w:val="00DE5498"/>
    <w:rsid w:val="00DE7461"/>
    <w:rsid w:val="00DE7DA4"/>
    <w:rsid w:val="00DF53C2"/>
    <w:rsid w:val="00DF7C62"/>
    <w:rsid w:val="00E07C2F"/>
    <w:rsid w:val="00E14B25"/>
    <w:rsid w:val="00E15A76"/>
    <w:rsid w:val="00E16FF1"/>
    <w:rsid w:val="00E1725A"/>
    <w:rsid w:val="00E229E7"/>
    <w:rsid w:val="00E23CEE"/>
    <w:rsid w:val="00E2618B"/>
    <w:rsid w:val="00E27AA3"/>
    <w:rsid w:val="00E32214"/>
    <w:rsid w:val="00E3423B"/>
    <w:rsid w:val="00E37773"/>
    <w:rsid w:val="00E44CAA"/>
    <w:rsid w:val="00E45850"/>
    <w:rsid w:val="00E46E51"/>
    <w:rsid w:val="00E47F82"/>
    <w:rsid w:val="00E5122E"/>
    <w:rsid w:val="00E536C0"/>
    <w:rsid w:val="00E60457"/>
    <w:rsid w:val="00E60C57"/>
    <w:rsid w:val="00E610DE"/>
    <w:rsid w:val="00E638F9"/>
    <w:rsid w:val="00E63F22"/>
    <w:rsid w:val="00E643F6"/>
    <w:rsid w:val="00E64C4E"/>
    <w:rsid w:val="00E67841"/>
    <w:rsid w:val="00E71CBF"/>
    <w:rsid w:val="00E71E1B"/>
    <w:rsid w:val="00E80653"/>
    <w:rsid w:val="00E85600"/>
    <w:rsid w:val="00E91C06"/>
    <w:rsid w:val="00E92BF4"/>
    <w:rsid w:val="00E96C41"/>
    <w:rsid w:val="00EA13A5"/>
    <w:rsid w:val="00EA2672"/>
    <w:rsid w:val="00EA3878"/>
    <w:rsid w:val="00EA51DD"/>
    <w:rsid w:val="00EA69C1"/>
    <w:rsid w:val="00EB15FB"/>
    <w:rsid w:val="00EB2279"/>
    <w:rsid w:val="00EB2618"/>
    <w:rsid w:val="00EB48A4"/>
    <w:rsid w:val="00EC117D"/>
    <w:rsid w:val="00EC164B"/>
    <w:rsid w:val="00EC5074"/>
    <w:rsid w:val="00ED05F2"/>
    <w:rsid w:val="00ED171E"/>
    <w:rsid w:val="00ED183C"/>
    <w:rsid w:val="00ED688C"/>
    <w:rsid w:val="00EF0D75"/>
    <w:rsid w:val="00EF1946"/>
    <w:rsid w:val="00EF4BC6"/>
    <w:rsid w:val="00EF7AFE"/>
    <w:rsid w:val="00F00899"/>
    <w:rsid w:val="00F02993"/>
    <w:rsid w:val="00F06B10"/>
    <w:rsid w:val="00F107B2"/>
    <w:rsid w:val="00F1162A"/>
    <w:rsid w:val="00F22E28"/>
    <w:rsid w:val="00F2482E"/>
    <w:rsid w:val="00F24DFF"/>
    <w:rsid w:val="00F26116"/>
    <w:rsid w:val="00F32DCE"/>
    <w:rsid w:val="00F339B3"/>
    <w:rsid w:val="00F355A5"/>
    <w:rsid w:val="00F3568A"/>
    <w:rsid w:val="00F36940"/>
    <w:rsid w:val="00F45945"/>
    <w:rsid w:val="00F53FB6"/>
    <w:rsid w:val="00F574A7"/>
    <w:rsid w:val="00F617E3"/>
    <w:rsid w:val="00F61A9C"/>
    <w:rsid w:val="00F62305"/>
    <w:rsid w:val="00F627B2"/>
    <w:rsid w:val="00F6660C"/>
    <w:rsid w:val="00F6737E"/>
    <w:rsid w:val="00F72E2B"/>
    <w:rsid w:val="00F8057F"/>
    <w:rsid w:val="00F805C4"/>
    <w:rsid w:val="00F8255B"/>
    <w:rsid w:val="00F836FF"/>
    <w:rsid w:val="00F842A3"/>
    <w:rsid w:val="00F85B8A"/>
    <w:rsid w:val="00F91E59"/>
    <w:rsid w:val="00F96156"/>
    <w:rsid w:val="00FA7EF5"/>
    <w:rsid w:val="00FB0F28"/>
    <w:rsid w:val="00FB41B6"/>
    <w:rsid w:val="00FB497D"/>
    <w:rsid w:val="00FB5710"/>
    <w:rsid w:val="00FC4172"/>
    <w:rsid w:val="00FC6AD1"/>
    <w:rsid w:val="00FD4177"/>
    <w:rsid w:val="00FE342F"/>
    <w:rsid w:val="00FE4AA9"/>
    <w:rsid w:val="00FE56B8"/>
    <w:rsid w:val="00FE60F3"/>
    <w:rsid w:val="00FE6E3A"/>
    <w:rsid w:val="00FF04E9"/>
    <w:rsid w:val="00FF6523"/>
    <w:rsid w:val="00FF66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F39"/>
    <w:pPr>
      <w:spacing w:line="360" w:lineRule="auto"/>
    </w:pPr>
    <w:rPr>
      <w:rFonts w:ascii="Verdana" w:hAnsi="Verdana"/>
      <w:sz w:val="22"/>
      <w:lang w:val="en-GB" w:eastAsia="en-US"/>
    </w:rPr>
  </w:style>
  <w:style w:type="paragraph" w:styleId="Heading1">
    <w:name w:val="heading 1"/>
    <w:basedOn w:val="Normal"/>
    <w:next w:val="Normal"/>
    <w:qFormat/>
    <w:rsid w:val="00850F39"/>
    <w:pPr>
      <w:keepNext/>
      <w:spacing w:before="240" w:after="60"/>
      <w:outlineLvl w:val="0"/>
    </w:pPr>
    <w:rPr>
      <w:color w:val="275D81"/>
      <w:kern w:val="32"/>
      <w:sz w:val="56"/>
      <w:szCs w:val="32"/>
    </w:rPr>
  </w:style>
  <w:style w:type="paragraph" w:styleId="Heading2">
    <w:name w:val="heading 2"/>
    <w:aliases w:val="Heading 1.1"/>
    <w:basedOn w:val="Normal"/>
    <w:next w:val="Normal"/>
    <w:qFormat/>
    <w:rsid w:val="00850F39"/>
    <w:pPr>
      <w:keepNext/>
      <w:spacing w:before="240" w:after="60"/>
      <w:outlineLvl w:val="1"/>
    </w:pPr>
    <w:rPr>
      <w:b/>
      <w:color w:val="631013"/>
      <w:sz w:val="36"/>
      <w:szCs w:val="28"/>
    </w:rPr>
  </w:style>
  <w:style w:type="paragraph" w:styleId="Heading3">
    <w:name w:val="heading 3"/>
    <w:basedOn w:val="Normal"/>
    <w:next w:val="Normal"/>
    <w:qFormat/>
    <w:rsid w:val="00850F39"/>
    <w:pPr>
      <w:keepNext/>
      <w:spacing w:before="240" w:after="60"/>
      <w:outlineLvl w:val="2"/>
    </w:pPr>
    <w:rPr>
      <w:b/>
      <w:color w:val="0F1277"/>
      <w:sz w:val="26"/>
      <w:szCs w:val="26"/>
    </w:rPr>
  </w:style>
  <w:style w:type="paragraph" w:styleId="Heading4">
    <w:name w:val="heading 4"/>
    <w:basedOn w:val="Normal"/>
    <w:next w:val="Normal"/>
    <w:qFormat/>
    <w:rsid w:val="00850F39"/>
    <w:pPr>
      <w:keepNext/>
      <w:spacing w:line="240" w:lineRule="auto"/>
      <w:outlineLvl w:val="3"/>
    </w:pPr>
    <w:rPr>
      <w:rFonts w:ascii="Times New Roman" w:hAnsi="Times New Roman"/>
      <w:b/>
      <w:bCs/>
      <w:sz w:val="24"/>
      <w:szCs w:val="24"/>
      <w:lang w:val="en-IE"/>
    </w:rPr>
  </w:style>
  <w:style w:type="paragraph" w:styleId="Heading5">
    <w:name w:val="heading 5"/>
    <w:basedOn w:val="Normal"/>
    <w:next w:val="Normal"/>
    <w:qFormat/>
    <w:rsid w:val="00850F39"/>
    <w:pPr>
      <w:keepNext/>
      <w:spacing w:line="240" w:lineRule="auto"/>
      <w:outlineLvl w:val="4"/>
    </w:pPr>
    <w:rPr>
      <w:rFonts w:ascii="Times New Roman" w:hAnsi="Times New Roman"/>
      <w:b/>
      <w:bCs/>
      <w:i/>
      <w:iCs/>
      <w:szCs w:val="24"/>
      <w:lang w:val="en-IE"/>
    </w:rPr>
  </w:style>
  <w:style w:type="paragraph" w:styleId="Heading6">
    <w:name w:val="heading 6"/>
    <w:basedOn w:val="Normal"/>
    <w:next w:val="Normal"/>
    <w:qFormat/>
    <w:rsid w:val="00850F39"/>
    <w:pPr>
      <w:keepNext/>
      <w:spacing w:line="240" w:lineRule="auto"/>
      <w:outlineLvl w:val="5"/>
    </w:pPr>
    <w:rPr>
      <w:rFonts w:ascii="Times New Roman" w:hAnsi="Times New Roman"/>
      <w:b/>
      <w:bCs/>
      <w:szCs w:val="24"/>
      <w:u w:val="single"/>
      <w:lang w:val="en-IE"/>
    </w:rPr>
  </w:style>
  <w:style w:type="paragraph" w:styleId="Heading7">
    <w:name w:val="heading 7"/>
    <w:basedOn w:val="Normal"/>
    <w:next w:val="Normal"/>
    <w:qFormat/>
    <w:rsid w:val="00850F39"/>
    <w:pPr>
      <w:keepNext/>
      <w:spacing w:line="240" w:lineRule="auto"/>
      <w:ind w:left="113" w:right="113"/>
      <w:outlineLvl w:val="6"/>
    </w:pPr>
    <w:rPr>
      <w:rFonts w:ascii="Times New Roman" w:hAnsi="Times New Roman"/>
      <w:b/>
      <w:bCs/>
      <w:szCs w:val="24"/>
      <w:lang w:val="en-IE"/>
    </w:rPr>
  </w:style>
  <w:style w:type="paragraph" w:styleId="Heading8">
    <w:name w:val="heading 8"/>
    <w:basedOn w:val="Normal"/>
    <w:next w:val="Normal"/>
    <w:qFormat/>
    <w:rsid w:val="00850F39"/>
    <w:pPr>
      <w:keepNext/>
      <w:spacing w:line="240" w:lineRule="auto"/>
      <w:outlineLvl w:val="7"/>
    </w:pPr>
    <w:rPr>
      <w:rFonts w:ascii="Times New Roman" w:hAnsi="Times New Roman"/>
      <w:b/>
      <w:bCs/>
      <w:sz w:val="16"/>
      <w:szCs w:val="24"/>
      <w:lang w:val="en-IE"/>
    </w:rPr>
  </w:style>
  <w:style w:type="paragraph" w:styleId="Heading9">
    <w:name w:val="heading 9"/>
    <w:basedOn w:val="Normal"/>
    <w:next w:val="Normal"/>
    <w:qFormat/>
    <w:rsid w:val="00850F39"/>
    <w:pPr>
      <w:keepNext/>
      <w:spacing w:line="240" w:lineRule="auto"/>
      <w:outlineLvl w:val="8"/>
    </w:pPr>
    <w:rPr>
      <w:rFonts w:ascii="Times New Roman" w:hAnsi="Times New Roman"/>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0F39"/>
    <w:pPr>
      <w:tabs>
        <w:tab w:val="center" w:pos="4320"/>
        <w:tab w:val="right" w:pos="8640"/>
      </w:tabs>
    </w:pPr>
  </w:style>
  <w:style w:type="paragraph" w:styleId="Footer">
    <w:name w:val="footer"/>
    <w:basedOn w:val="Normal"/>
    <w:semiHidden/>
    <w:rsid w:val="00850F39"/>
    <w:pPr>
      <w:tabs>
        <w:tab w:val="center" w:pos="4320"/>
        <w:tab w:val="right" w:pos="8640"/>
      </w:tabs>
    </w:pPr>
  </w:style>
  <w:style w:type="character" w:styleId="PageNumber">
    <w:name w:val="page number"/>
    <w:basedOn w:val="DefaultParagraphFont"/>
    <w:semiHidden/>
    <w:rsid w:val="00850F39"/>
  </w:style>
  <w:style w:type="paragraph" w:customStyle="1" w:styleId="BodyText1">
    <w:name w:val="Body Text1"/>
    <w:basedOn w:val="Normal"/>
    <w:rsid w:val="00850F39"/>
  </w:style>
  <w:style w:type="paragraph" w:styleId="TOC2">
    <w:name w:val="toc 2"/>
    <w:basedOn w:val="Normal"/>
    <w:next w:val="Normal"/>
    <w:autoRedefine/>
    <w:semiHidden/>
    <w:rsid w:val="00850F39"/>
    <w:pPr>
      <w:ind w:left="220"/>
    </w:pPr>
  </w:style>
  <w:style w:type="paragraph" w:styleId="TOC1">
    <w:name w:val="toc 1"/>
    <w:basedOn w:val="Normal"/>
    <w:next w:val="Normal"/>
    <w:autoRedefine/>
    <w:semiHidden/>
    <w:rsid w:val="00850F39"/>
  </w:style>
  <w:style w:type="paragraph" w:styleId="TOC3">
    <w:name w:val="toc 3"/>
    <w:basedOn w:val="Normal"/>
    <w:next w:val="Normal"/>
    <w:autoRedefine/>
    <w:semiHidden/>
    <w:rsid w:val="00850F39"/>
    <w:pPr>
      <w:ind w:left="440"/>
    </w:pPr>
  </w:style>
  <w:style w:type="paragraph" w:styleId="TOC4">
    <w:name w:val="toc 4"/>
    <w:basedOn w:val="Normal"/>
    <w:next w:val="Normal"/>
    <w:autoRedefine/>
    <w:semiHidden/>
    <w:rsid w:val="00850F39"/>
    <w:pPr>
      <w:ind w:left="660"/>
    </w:pPr>
  </w:style>
  <w:style w:type="paragraph" w:styleId="TOC5">
    <w:name w:val="toc 5"/>
    <w:basedOn w:val="Normal"/>
    <w:next w:val="Normal"/>
    <w:autoRedefine/>
    <w:semiHidden/>
    <w:rsid w:val="00850F39"/>
    <w:pPr>
      <w:ind w:left="880"/>
    </w:pPr>
  </w:style>
  <w:style w:type="paragraph" w:styleId="TOC6">
    <w:name w:val="toc 6"/>
    <w:basedOn w:val="Normal"/>
    <w:next w:val="Normal"/>
    <w:autoRedefine/>
    <w:semiHidden/>
    <w:rsid w:val="00850F39"/>
    <w:pPr>
      <w:ind w:left="1100"/>
    </w:pPr>
  </w:style>
  <w:style w:type="paragraph" w:styleId="TOC7">
    <w:name w:val="toc 7"/>
    <w:basedOn w:val="Normal"/>
    <w:next w:val="Normal"/>
    <w:autoRedefine/>
    <w:semiHidden/>
    <w:rsid w:val="00850F39"/>
    <w:pPr>
      <w:ind w:left="1320"/>
    </w:pPr>
  </w:style>
  <w:style w:type="paragraph" w:styleId="TOC8">
    <w:name w:val="toc 8"/>
    <w:basedOn w:val="Normal"/>
    <w:next w:val="Normal"/>
    <w:autoRedefine/>
    <w:semiHidden/>
    <w:rsid w:val="00850F39"/>
    <w:pPr>
      <w:ind w:left="1540"/>
    </w:pPr>
  </w:style>
  <w:style w:type="paragraph" w:styleId="TOC9">
    <w:name w:val="toc 9"/>
    <w:basedOn w:val="Normal"/>
    <w:next w:val="Normal"/>
    <w:autoRedefine/>
    <w:semiHidden/>
    <w:rsid w:val="00850F39"/>
    <w:pPr>
      <w:ind w:left="1760"/>
    </w:pPr>
  </w:style>
  <w:style w:type="paragraph" w:styleId="ListBullet">
    <w:name w:val="List Bullet"/>
    <w:basedOn w:val="Normal"/>
    <w:autoRedefine/>
    <w:semiHidden/>
    <w:rsid w:val="00850F39"/>
    <w:pPr>
      <w:numPr>
        <w:numId w:val="1"/>
      </w:numPr>
      <w:spacing w:line="240" w:lineRule="auto"/>
    </w:pPr>
    <w:rPr>
      <w:rFonts w:ascii="Times New Roman" w:hAnsi="Times New Roman"/>
      <w:sz w:val="24"/>
    </w:rPr>
  </w:style>
  <w:style w:type="paragraph" w:styleId="BlockText">
    <w:name w:val="Block Text"/>
    <w:basedOn w:val="Normal"/>
    <w:semiHidden/>
    <w:rsid w:val="00850F39"/>
    <w:pPr>
      <w:spacing w:line="240" w:lineRule="auto"/>
      <w:ind w:left="113" w:right="113"/>
    </w:pPr>
    <w:rPr>
      <w:rFonts w:ascii="Times New Roman" w:hAnsi="Times New Roman"/>
      <w:b/>
      <w:bCs/>
      <w:szCs w:val="24"/>
      <w:lang w:val="en-IE"/>
    </w:rPr>
  </w:style>
  <w:style w:type="paragraph" w:styleId="BodyTextIndent">
    <w:name w:val="Body Text Indent"/>
    <w:basedOn w:val="Normal"/>
    <w:semiHidden/>
    <w:rsid w:val="00850F39"/>
    <w:pPr>
      <w:spacing w:line="240" w:lineRule="auto"/>
      <w:ind w:left="-684"/>
    </w:pPr>
    <w:rPr>
      <w:rFonts w:ascii="Times New Roman" w:hAnsi="Times New Roman"/>
      <w:b/>
      <w:bCs/>
      <w:sz w:val="24"/>
      <w:lang w:val="en-IE"/>
    </w:rPr>
  </w:style>
  <w:style w:type="paragraph" w:styleId="BodyText3">
    <w:name w:val="Body Text 3"/>
    <w:basedOn w:val="Normal"/>
    <w:semiHidden/>
    <w:rsid w:val="00850F39"/>
    <w:pPr>
      <w:spacing w:line="240" w:lineRule="auto"/>
      <w:jc w:val="both"/>
    </w:pPr>
    <w:rPr>
      <w:rFonts w:ascii="Times New Roman" w:hAnsi="Times New Roman"/>
      <w:szCs w:val="24"/>
      <w:lang w:val="en-IE"/>
    </w:rPr>
  </w:style>
  <w:style w:type="paragraph" w:styleId="Caption">
    <w:name w:val="caption"/>
    <w:basedOn w:val="Normal"/>
    <w:next w:val="Normal"/>
    <w:qFormat/>
    <w:rsid w:val="00850F39"/>
    <w:pPr>
      <w:spacing w:line="240" w:lineRule="auto"/>
      <w:ind w:left="-720"/>
    </w:pPr>
    <w:rPr>
      <w:rFonts w:ascii="Times New Roman" w:hAnsi="Times New Roman"/>
      <w:b/>
      <w:bCs/>
      <w:szCs w:val="24"/>
      <w:lang w:val="en-IE"/>
    </w:rPr>
  </w:style>
  <w:style w:type="paragraph" w:styleId="BalloonText">
    <w:name w:val="Balloon Text"/>
    <w:basedOn w:val="Normal"/>
    <w:link w:val="BalloonTextChar"/>
    <w:uiPriority w:val="99"/>
    <w:semiHidden/>
    <w:unhideWhenUsed/>
    <w:rsid w:val="00F3694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36940"/>
    <w:rPr>
      <w:rFonts w:ascii="Tahoma" w:hAnsi="Tahoma" w:cs="Tahoma"/>
      <w:sz w:val="16"/>
      <w:szCs w:val="16"/>
      <w:lang w:val="en-GB" w:eastAsia="en-US"/>
    </w:rPr>
  </w:style>
  <w:style w:type="character" w:customStyle="1" w:styleId="HeaderChar">
    <w:name w:val="Header Char"/>
    <w:link w:val="Header"/>
    <w:uiPriority w:val="99"/>
    <w:rsid w:val="00F36940"/>
    <w:rPr>
      <w:rFonts w:ascii="Verdana" w:hAnsi="Verdana"/>
      <w:sz w:val="22"/>
      <w:lang w:val="en-GB" w:eastAsia="en-US"/>
    </w:rPr>
  </w:style>
  <w:style w:type="paragraph" w:customStyle="1" w:styleId="Noparagraphstyle">
    <w:name w:val="[No paragraph style]"/>
    <w:uiPriority w:val="99"/>
    <w:rsid w:val="00F36940"/>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character" w:customStyle="1" w:styleId="HelvBold">
    <w:name w:val="Helv Bold"/>
    <w:uiPriority w:val="99"/>
    <w:rsid w:val="00F36940"/>
    <w:rPr>
      <w:rFonts w:ascii="HelveticaNeueLTStd-Bd" w:hAnsi="HelveticaNeueLTStd-Bd"/>
      <w:b/>
    </w:rPr>
  </w:style>
  <w:style w:type="paragraph" w:styleId="FootnoteText">
    <w:name w:val="footnote text"/>
    <w:basedOn w:val="Normal"/>
    <w:link w:val="FootnoteTextChar"/>
    <w:uiPriority w:val="99"/>
    <w:semiHidden/>
    <w:unhideWhenUsed/>
    <w:rsid w:val="00733BAF"/>
    <w:rPr>
      <w:sz w:val="20"/>
    </w:rPr>
  </w:style>
  <w:style w:type="character" w:customStyle="1" w:styleId="FootnoteTextChar">
    <w:name w:val="Footnote Text Char"/>
    <w:link w:val="FootnoteText"/>
    <w:uiPriority w:val="99"/>
    <w:semiHidden/>
    <w:rsid w:val="00733BAF"/>
    <w:rPr>
      <w:rFonts w:ascii="Verdana" w:hAnsi="Verdana"/>
      <w:lang w:val="en-GB" w:eastAsia="en-US"/>
    </w:rPr>
  </w:style>
  <w:style w:type="character" w:styleId="FootnoteReference">
    <w:name w:val="footnote reference"/>
    <w:uiPriority w:val="99"/>
    <w:semiHidden/>
    <w:unhideWhenUsed/>
    <w:rsid w:val="00733BAF"/>
    <w:rPr>
      <w:vertAlign w:val="superscript"/>
    </w:rPr>
  </w:style>
  <w:style w:type="paragraph" w:customStyle="1" w:styleId="Default">
    <w:name w:val="Default"/>
    <w:rsid w:val="007B0E6F"/>
    <w:pPr>
      <w:autoSpaceDE w:val="0"/>
      <w:autoSpaceDN w:val="0"/>
      <w:adjustRightInd w:val="0"/>
    </w:pPr>
    <w:rPr>
      <w:color w:val="000000"/>
      <w:sz w:val="24"/>
      <w:szCs w:val="24"/>
    </w:rPr>
  </w:style>
  <w:style w:type="character" w:styleId="CommentReference">
    <w:name w:val="annotation reference"/>
    <w:uiPriority w:val="99"/>
    <w:semiHidden/>
    <w:unhideWhenUsed/>
    <w:rsid w:val="005C7409"/>
    <w:rPr>
      <w:sz w:val="16"/>
      <w:szCs w:val="16"/>
    </w:rPr>
  </w:style>
  <w:style w:type="paragraph" w:styleId="CommentText">
    <w:name w:val="annotation text"/>
    <w:basedOn w:val="Normal"/>
    <w:link w:val="CommentTextChar"/>
    <w:uiPriority w:val="99"/>
    <w:semiHidden/>
    <w:unhideWhenUsed/>
    <w:rsid w:val="005C7409"/>
    <w:rPr>
      <w:sz w:val="20"/>
    </w:rPr>
  </w:style>
  <w:style w:type="character" w:customStyle="1" w:styleId="CommentTextChar">
    <w:name w:val="Comment Text Char"/>
    <w:link w:val="CommentText"/>
    <w:uiPriority w:val="99"/>
    <w:semiHidden/>
    <w:rsid w:val="005C7409"/>
    <w:rPr>
      <w:rFonts w:ascii="Verdana" w:hAnsi="Verdana"/>
      <w:lang w:val="en-GB" w:eastAsia="en-US"/>
    </w:rPr>
  </w:style>
  <w:style w:type="paragraph" w:styleId="CommentSubject">
    <w:name w:val="annotation subject"/>
    <w:basedOn w:val="CommentText"/>
    <w:next w:val="CommentText"/>
    <w:link w:val="CommentSubjectChar"/>
    <w:uiPriority w:val="99"/>
    <w:semiHidden/>
    <w:unhideWhenUsed/>
    <w:rsid w:val="005C7409"/>
    <w:rPr>
      <w:b/>
      <w:bCs/>
    </w:rPr>
  </w:style>
  <w:style w:type="character" w:customStyle="1" w:styleId="CommentSubjectChar">
    <w:name w:val="Comment Subject Char"/>
    <w:link w:val="CommentSubject"/>
    <w:uiPriority w:val="99"/>
    <w:semiHidden/>
    <w:rsid w:val="005C7409"/>
    <w:rPr>
      <w:rFonts w:ascii="Verdana" w:hAnsi="Verdana"/>
      <w:b/>
      <w:bCs/>
      <w:lang w:val="en-GB" w:eastAsia="en-US"/>
    </w:rPr>
  </w:style>
  <w:style w:type="paragraph" w:customStyle="1" w:styleId="CBCoverSubtitleLightWhite">
    <w:name w:val="CB_Cover Subtitle_Light_White"/>
    <w:basedOn w:val="Normal"/>
    <w:qFormat/>
    <w:rsid w:val="00556CC9"/>
    <w:pPr>
      <w:spacing w:after="160" w:line="580" w:lineRule="exact"/>
    </w:pPr>
    <w:rPr>
      <w:rFonts w:ascii="Lato Light" w:eastAsia="Lato" w:hAnsi="Lato Light"/>
      <w:color w:val="FFFFFF"/>
      <w:sz w:val="54"/>
      <w:szCs w:val="54"/>
      <w:lang w:val="en-IE"/>
    </w:rPr>
  </w:style>
  <w:style w:type="character" w:styleId="Hyperlink">
    <w:name w:val="Hyperlink"/>
    <w:uiPriority w:val="99"/>
    <w:semiHidden/>
    <w:unhideWhenUsed/>
    <w:rsid w:val="00A53A00"/>
    <w:rPr>
      <w:color w:val="0563C1"/>
      <w:u w:val="single"/>
    </w:rPr>
  </w:style>
  <w:style w:type="paragraph" w:styleId="ListParagraph">
    <w:name w:val="List Paragraph"/>
    <w:basedOn w:val="Normal"/>
    <w:uiPriority w:val="34"/>
    <w:qFormat/>
    <w:rsid w:val="00457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72264">
      <w:bodyDiv w:val="1"/>
      <w:marLeft w:val="0"/>
      <w:marRight w:val="0"/>
      <w:marTop w:val="0"/>
      <w:marBottom w:val="0"/>
      <w:divBdr>
        <w:top w:val="none" w:sz="0" w:space="0" w:color="auto"/>
        <w:left w:val="none" w:sz="0" w:space="0" w:color="auto"/>
        <w:bottom w:val="none" w:sz="0" w:space="0" w:color="auto"/>
        <w:right w:val="none" w:sz="0" w:space="0" w:color="auto"/>
      </w:divBdr>
    </w:div>
    <w:div w:id="20182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dataprotection@centralbank.ie"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entralbank.ie/fns/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F126F-8626-4BCB-BD2B-8416CE29677D}">
  <ds:schemaRefs>
    <ds:schemaRef ds:uri="http://schemas.microsoft.com/office/2006/metadata/longProperties"/>
  </ds:schemaRefs>
</ds:datastoreItem>
</file>

<file path=customXml/itemProps2.xml><?xml version="1.0" encoding="utf-8"?>
<ds:datastoreItem xmlns:ds="http://schemas.openxmlformats.org/officeDocument/2006/customXml" ds:itemID="{E0A08494-502C-40C6-9556-3589E5AE600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3CE0CE4-64F8-4AA9-9B95-C0BCE804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13134</Words>
  <Characters>74869</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87828</CharactersWithSpaces>
  <SharedDoc>false</SharedDoc>
  <HLinks>
    <vt:vector size="12" baseType="variant">
      <vt:variant>
        <vt:i4>8126561</vt:i4>
      </vt:variant>
      <vt:variant>
        <vt:i4>3</vt:i4>
      </vt:variant>
      <vt:variant>
        <vt:i4>0</vt:i4>
      </vt:variant>
      <vt:variant>
        <vt:i4>5</vt:i4>
      </vt:variant>
      <vt:variant>
        <vt:lpwstr>http://www.centralbank.ie/fns/privacy-statement</vt:lpwstr>
      </vt:variant>
      <vt:variant>
        <vt:lpwstr/>
      </vt:variant>
      <vt:variant>
        <vt:i4>6553688</vt:i4>
      </vt:variant>
      <vt:variant>
        <vt:i4>0</vt:i4>
      </vt:variant>
      <vt:variant>
        <vt:i4>0</vt:i4>
      </vt:variant>
      <vt:variant>
        <vt:i4>5</vt:i4>
      </vt:variant>
      <vt:variant>
        <vt:lpwstr>mailto:dataprotection@centralbank.ie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Public</cp:keywords>
  <dc:description/>
  <cp:lastModifiedBy/>
  <cp:revision>1</cp:revision>
  <dcterms:created xsi:type="dcterms:W3CDTF">2021-12-20T15:39:00Z</dcterms:created>
  <dcterms:modified xsi:type="dcterms:W3CDTF">2021-12-20T15:39:00Z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077744b1-a991-466b-afad-de9cfbfb8007</vt:lpwstr>
  </property>
  <property fmtid="{D5CDD505-2E9C-101B-9397-08002B2CF9AE}" pid="3" name="bjSaver">
    <vt:lpwstr>dghfQvIes4Mq9Tn4o3G3l4X3e5Prdmlp</vt:lpwstr>
  </property>
  <property fmtid="{D5CDD505-2E9C-101B-9397-08002B2CF9AE}" pid="4" name="bjDocumentSecurityLabel">
    <vt:lpwstr>Public</vt:lpwstr>
  </property>
  <property fmtid="{D5CDD505-2E9C-101B-9397-08002B2CF9AE}" pid="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6" name="bjDocumentLabelXML-0">
    <vt:lpwstr>ames.com/2008/01/sie/internal/label"&gt;&lt;element uid="33ed6465-8d2f-4fab-bbbc-787e2c148707" value="" /&gt;&lt;element uid="28c775dd-3fa7-40f2-8368-0e7fa48abc25" value="" /&gt;&lt;/sisl&gt;</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ies>
</file>