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5B78" w14:textId="77777777" w:rsidR="008972E3" w:rsidRDefault="008972E3" w:rsidP="008972E3">
      <w:pPr>
        <w:spacing w:before="240"/>
        <w:ind w:left="720" w:firstLine="720"/>
        <w:jc w:val="center"/>
        <w:rPr>
          <w:b/>
        </w:rPr>
      </w:pPr>
      <w:bookmarkStart w:id="0" w:name="_GoBack"/>
      <w:bookmarkEnd w:id="0"/>
      <w:r>
        <w:rPr>
          <w:noProof/>
          <w:lang w:eastAsia="en-IE"/>
        </w:rPr>
        <w:drawing>
          <wp:anchor distT="0" distB="0" distL="114300" distR="114300" simplePos="0" relativeHeight="251659264" behindDoc="1" locked="0" layoutInCell="1" allowOverlap="1" wp14:anchorId="7D09D3BB" wp14:editId="7A079FE5">
            <wp:simplePos x="0" y="0"/>
            <wp:positionH relativeFrom="page">
              <wp:posOffset>180975</wp:posOffset>
            </wp:positionH>
            <wp:positionV relativeFrom="paragraph">
              <wp:posOffset>-685800</wp:posOffset>
            </wp:positionV>
            <wp:extent cx="7264400" cy="9980999"/>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1310" cy="999049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Pr>
          <w:b/>
        </w:rPr>
        <w:tab/>
      </w:r>
      <w:r>
        <w:rPr>
          <w:b/>
        </w:rPr>
        <w:tab/>
      </w:r>
    </w:p>
    <w:p w14:paraId="1817FA2E" w14:textId="77777777" w:rsidR="008972E3" w:rsidRDefault="008972E3" w:rsidP="008972E3">
      <w:pPr>
        <w:spacing w:before="240"/>
        <w:ind w:left="720" w:firstLine="720"/>
        <w:jc w:val="center"/>
        <w:rPr>
          <w:b/>
        </w:rPr>
      </w:pPr>
    </w:p>
    <w:p w14:paraId="7DF8173D" w14:textId="77777777" w:rsidR="008972E3" w:rsidRDefault="008972E3" w:rsidP="008972E3">
      <w:pPr>
        <w:spacing w:before="240"/>
        <w:ind w:left="720" w:firstLine="720"/>
        <w:jc w:val="center"/>
        <w:rPr>
          <w:b/>
        </w:rPr>
      </w:pPr>
    </w:p>
    <w:p w14:paraId="76C41333" w14:textId="7B90776E" w:rsidR="008972E3" w:rsidRDefault="0024534F" w:rsidP="0024534F">
      <w:pPr>
        <w:tabs>
          <w:tab w:val="left" w:pos="2580"/>
        </w:tabs>
        <w:spacing w:before="240"/>
        <w:ind w:left="720" w:firstLine="720"/>
        <w:rPr>
          <w:b/>
        </w:rPr>
      </w:pPr>
      <w:r>
        <w:rPr>
          <w:b/>
        </w:rPr>
        <w:tab/>
      </w:r>
    </w:p>
    <w:p w14:paraId="2FAFC57B" w14:textId="77777777" w:rsidR="008972E3" w:rsidRDefault="008972E3" w:rsidP="008972E3">
      <w:pPr>
        <w:spacing w:before="240"/>
        <w:ind w:left="720" w:firstLine="720"/>
        <w:jc w:val="center"/>
        <w:rPr>
          <w:b/>
        </w:rPr>
      </w:pPr>
    </w:p>
    <w:p w14:paraId="46D806EF" w14:textId="7A74BB45" w:rsidR="008972E3" w:rsidRDefault="0024534F" w:rsidP="0024534F">
      <w:pPr>
        <w:tabs>
          <w:tab w:val="left" w:pos="6855"/>
        </w:tabs>
        <w:spacing w:before="240"/>
        <w:ind w:left="720" w:firstLine="720"/>
        <w:rPr>
          <w:b/>
        </w:rPr>
      </w:pPr>
      <w:r>
        <w:rPr>
          <w:b/>
        </w:rPr>
        <w:tab/>
      </w:r>
    </w:p>
    <w:p w14:paraId="4C3196E2" w14:textId="77777777" w:rsidR="008972E3" w:rsidRDefault="008972E3" w:rsidP="008972E3">
      <w:pPr>
        <w:spacing w:before="240"/>
        <w:ind w:left="720" w:firstLine="720"/>
        <w:jc w:val="center"/>
        <w:rPr>
          <w:b/>
        </w:rPr>
      </w:pPr>
    </w:p>
    <w:p w14:paraId="4644AA97" w14:textId="77777777" w:rsidR="008972E3" w:rsidRDefault="008972E3" w:rsidP="008972E3">
      <w:pPr>
        <w:spacing w:before="240"/>
        <w:ind w:left="720" w:firstLine="720"/>
        <w:jc w:val="center"/>
        <w:rPr>
          <w:b/>
        </w:rPr>
      </w:pPr>
    </w:p>
    <w:p w14:paraId="6D02BC4F" w14:textId="77777777" w:rsidR="008972E3" w:rsidRDefault="008972E3" w:rsidP="008972E3">
      <w:pPr>
        <w:spacing w:before="240"/>
        <w:ind w:left="720" w:firstLine="720"/>
        <w:jc w:val="center"/>
        <w:rPr>
          <w:b/>
        </w:rPr>
      </w:pPr>
    </w:p>
    <w:p w14:paraId="39924D62" w14:textId="1F862FBD" w:rsidR="0024534F" w:rsidRPr="00693C6F" w:rsidRDefault="006C39C5" w:rsidP="0024534F">
      <w:pPr>
        <w:spacing w:before="240"/>
        <w:rPr>
          <w:b/>
          <w:color w:val="92CDDC" w:themeColor="accent5" w:themeTint="99"/>
          <w:sz w:val="40"/>
          <w:szCs w:val="40"/>
        </w:rPr>
      </w:pPr>
      <w:r>
        <w:rPr>
          <w:b/>
          <w:color w:val="92CDDC" w:themeColor="accent5" w:themeTint="99"/>
          <w:sz w:val="40"/>
          <w:szCs w:val="40"/>
        </w:rPr>
        <w:t xml:space="preserve">Notification </w:t>
      </w:r>
      <w:r w:rsidR="00BF100B">
        <w:rPr>
          <w:b/>
          <w:color w:val="92CDDC" w:themeColor="accent5" w:themeTint="99"/>
          <w:sz w:val="40"/>
          <w:szCs w:val="40"/>
        </w:rPr>
        <w:t>Form</w:t>
      </w:r>
      <w:r w:rsidR="0024534F" w:rsidRPr="00693C6F">
        <w:rPr>
          <w:b/>
          <w:color w:val="92CDDC" w:themeColor="accent5" w:themeTint="99"/>
          <w:sz w:val="40"/>
          <w:szCs w:val="40"/>
        </w:rPr>
        <w:t xml:space="preserve"> for the Exchange of Information in relation to </w:t>
      </w:r>
      <w:r w:rsidR="00CE11FF">
        <w:rPr>
          <w:b/>
          <w:color w:val="92CDDC" w:themeColor="accent5" w:themeTint="99"/>
          <w:sz w:val="40"/>
          <w:szCs w:val="40"/>
        </w:rPr>
        <w:t xml:space="preserve">Freedom to Provide Services </w:t>
      </w:r>
      <w:r w:rsidR="00BF100B">
        <w:rPr>
          <w:b/>
          <w:color w:val="92CDDC" w:themeColor="accent5" w:themeTint="99"/>
          <w:sz w:val="40"/>
          <w:szCs w:val="40"/>
        </w:rPr>
        <w:t>A</w:t>
      </w:r>
      <w:r w:rsidR="00CE11FF">
        <w:rPr>
          <w:b/>
          <w:color w:val="92CDDC" w:themeColor="accent5" w:themeTint="99"/>
          <w:sz w:val="40"/>
          <w:szCs w:val="40"/>
        </w:rPr>
        <w:t xml:space="preserve">pplications </w:t>
      </w:r>
      <w:r w:rsidR="00BF100B">
        <w:rPr>
          <w:b/>
          <w:color w:val="92CDDC" w:themeColor="accent5" w:themeTint="99"/>
          <w:sz w:val="40"/>
          <w:szCs w:val="40"/>
        </w:rPr>
        <w:t xml:space="preserve">by Payment Institutions and E-Money Institutions </w:t>
      </w:r>
      <w:r w:rsidR="00CE11FF">
        <w:rPr>
          <w:b/>
          <w:color w:val="92CDDC" w:themeColor="accent5" w:themeTint="99"/>
          <w:sz w:val="40"/>
          <w:szCs w:val="40"/>
        </w:rPr>
        <w:t xml:space="preserve">with no </w:t>
      </w:r>
      <w:r w:rsidR="00BF100B">
        <w:rPr>
          <w:b/>
          <w:color w:val="92CDDC" w:themeColor="accent5" w:themeTint="99"/>
          <w:sz w:val="40"/>
          <w:szCs w:val="40"/>
        </w:rPr>
        <w:t>A</w:t>
      </w:r>
      <w:r w:rsidR="00CE11FF">
        <w:rPr>
          <w:b/>
          <w:color w:val="92CDDC" w:themeColor="accent5" w:themeTint="99"/>
          <w:sz w:val="40"/>
          <w:szCs w:val="40"/>
        </w:rPr>
        <w:t xml:space="preserve">gent or </w:t>
      </w:r>
      <w:r w:rsidR="00BF100B">
        <w:rPr>
          <w:b/>
          <w:color w:val="92CDDC" w:themeColor="accent5" w:themeTint="99"/>
          <w:sz w:val="40"/>
          <w:szCs w:val="40"/>
        </w:rPr>
        <w:t>D</w:t>
      </w:r>
      <w:r w:rsidR="00CE11FF">
        <w:rPr>
          <w:b/>
          <w:color w:val="92CDDC" w:themeColor="accent5" w:themeTint="99"/>
          <w:sz w:val="40"/>
          <w:szCs w:val="40"/>
        </w:rPr>
        <w:t>istributor</w:t>
      </w:r>
      <w:r w:rsidR="0024534F" w:rsidRPr="00693C6F">
        <w:rPr>
          <w:b/>
          <w:color w:val="92CDDC" w:themeColor="accent5" w:themeTint="99"/>
          <w:sz w:val="40"/>
          <w:szCs w:val="40"/>
        </w:rPr>
        <w:t xml:space="preserve"> </w:t>
      </w:r>
    </w:p>
    <w:p w14:paraId="0430537A" w14:textId="43910EBC" w:rsidR="008972E3" w:rsidRPr="00693C6F" w:rsidRDefault="0024534F" w:rsidP="0024534F">
      <w:pPr>
        <w:spacing w:before="240"/>
        <w:rPr>
          <w:b/>
          <w:color w:val="92CDDC" w:themeColor="accent5" w:themeTint="99"/>
          <w:sz w:val="28"/>
          <w:szCs w:val="28"/>
        </w:rPr>
      </w:pPr>
      <w:r w:rsidRPr="00693C6F">
        <w:rPr>
          <w:b/>
          <w:color w:val="FFFFFF" w:themeColor="background1"/>
          <w:sz w:val="28"/>
          <w:szCs w:val="28"/>
        </w:rPr>
        <w:t>U</w:t>
      </w:r>
      <w:r w:rsidR="00C41609" w:rsidRPr="00693C6F">
        <w:rPr>
          <w:b/>
          <w:color w:val="FFFFFF" w:themeColor="background1"/>
          <w:sz w:val="28"/>
          <w:szCs w:val="28"/>
        </w:rPr>
        <w:t xml:space="preserve">nder </w:t>
      </w:r>
      <w:r w:rsidR="00A071DF">
        <w:rPr>
          <w:b/>
          <w:color w:val="FFFFFF" w:themeColor="background1"/>
          <w:sz w:val="28"/>
          <w:szCs w:val="28"/>
        </w:rPr>
        <w:t xml:space="preserve">Regulation 37 </w:t>
      </w:r>
      <w:r w:rsidR="00426AAF">
        <w:rPr>
          <w:b/>
          <w:color w:val="FFFFFF" w:themeColor="background1"/>
          <w:sz w:val="28"/>
          <w:szCs w:val="28"/>
        </w:rPr>
        <w:t xml:space="preserve">of the European Union (Payment Services) Regulations 2018 </w:t>
      </w:r>
      <w:r w:rsidR="00847F63" w:rsidRPr="00847F63">
        <w:rPr>
          <w:b/>
          <w:color w:val="FFFFFF" w:themeColor="background1"/>
          <w:sz w:val="28"/>
          <w:szCs w:val="28"/>
        </w:rPr>
        <w:t>and Regulation 26 of the European Communities (Electronic Money) Regulations 2011 (as amended)</w:t>
      </w:r>
    </w:p>
    <w:p w14:paraId="4E5AD015" w14:textId="54297824" w:rsidR="0024534F" w:rsidRPr="0018270D" w:rsidRDefault="00B3366A" w:rsidP="0024534F">
      <w:pPr>
        <w:spacing w:before="240"/>
        <w:rPr>
          <w:b/>
          <w:color w:val="FFFFFF" w:themeColor="background1"/>
          <w:sz w:val="36"/>
          <w:szCs w:val="36"/>
        </w:rPr>
      </w:pPr>
      <w:r>
        <w:rPr>
          <w:b/>
          <w:color w:val="FFFFFF" w:themeColor="background1"/>
          <w:sz w:val="28"/>
          <w:szCs w:val="28"/>
        </w:rPr>
        <w:t>May</w:t>
      </w:r>
      <w:r w:rsidRPr="00693C6F">
        <w:rPr>
          <w:b/>
          <w:color w:val="FFFFFF" w:themeColor="background1"/>
          <w:sz w:val="28"/>
          <w:szCs w:val="28"/>
        </w:rPr>
        <w:t xml:space="preserve"> </w:t>
      </w:r>
      <w:r w:rsidR="0024534F" w:rsidRPr="00693C6F">
        <w:rPr>
          <w:b/>
          <w:color w:val="FFFFFF" w:themeColor="background1"/>
          <w:sz w:val="28"/>
          <w:szCs w:val="28"/>
        </w:rPr>
        <w:t>20</w:t>
      </w:r>
      <w:r>
        <w:rPr>
          <w:b/>
          <w:color w:val="FFFFFF" w:themeColor="background1"/>
          <w:sz w:val="28"/>
          <w:szCs w:val="28"/>
        </w:rPr>
        <w:t>21</w:t>
      </w:r>
    </w:p>
    <w:p w14:paraId="44F0A287" w14:textId="762301ED" w:rsidR="00254639" w:rsidRDefault="00254639">
      <w:pPr>
        <w:rPr>
          <w:b/>
        </w:rPr>
      </w:pPr>
      <w:r>
        <w:rPr>
          <w:b/>
        </w:rPr>
        <w:br w:type="page"/>
      </w:r>
    </w:p>
    <w:p w14:paraId="27EFBCE0" w14:textId="77777777" w:rsidR="00294864" w:rsidRPr="00BB2DB6" w:rsidRDefault="00294864" w:rsidP="00294864">
      <w:pPr>
        <w:jc w:val="center"/>
      </w:pPr>
      <w:r>
        <w:rPr>
          <w:rFonts w:cstheme="minorHAnsi"/>
          <w:b/>
          <w:color w:val="1F497D" w:themeColor="text2"/>
          <w:sz w:val="28"/>
          <w:szCs w:val="28"/>
        </w:rPr>
        <w:lastRenderedPageBreak/>
        <w:t xml:space="preserve">IMPORTANT INFORMATION TO BE READ </w:t>
      </w:r>
      <w:r>
        <w:rPr>
          <w:rFonts w:cstheme="minorHAnsi"/>
          <w:b/>
          <w:color w:val="1F497D" w:themeColor="text2"/>
          <w:sz w:val="28"/>
          <w:szCs w:val="28"/>
          <w:u w:val="single"/>
        </w:rPr>
        <w:t>B</w:t>
      </w:r>
      <w:r w:rsidRPr="00165BF3">
        <w:rPr>
          <w:rFonts w:cstheme="minorHAnsi"/>
          <w:b/>
          <w:color w:val="1F497D" w:themeColor="text2"/>
          <w:sz w:val="28"/>
          <w:szCs w:val="28"/>
          <w:u w:val="single"/>
        </w:rPr>
        <w:t>EFORE</w:t>
      </w:r>
      <w:r>
        <w:rPr>
          <w:rFonts w:cstheme="minorHAnsi"/>
          <w:b/>
          <w:color w:val="1F497D" w:themeColor="text2"/>
          <w:sz w:val="28"/>
          <w:szCs w:val="28"/>
        </w:rPr>
        <w:t xml:space="preserve"> COMPLETING THIS NOTIFICATION FORM</w:t>
      </w:r>
    </w:p>
    <w:p w14:paraId="332DAE00" w14:textId="77777777" w:rsidR="00294864" w:rsidRPr="00A03041" w:rsidRDefault="00294864" w:rsidP="00294864">
      <w:pPr>
        <w:spacing w:after="0"/>
        <w:jc w:val="both"/>
        <w:rPr>
          <w:rFonts w:cstheme="minorHAnsi"/>
          <w:sz w:val="20"/>
          <w:szCs w:val="20"/>
          <w:lang w:val="en-US"/>
        </w:rPr>
      </w:pPr>
    </w:p>
    <w:p w14:paraId="7A78FA8E" w14:textId="77777777" w:rsidR="00294864" w:rsidRPr="00165BF3" w:rsidRDefault="00294864" w:rsidP="00294864">
      <w:pPr>
        <w:pBdr>
          <w:top w:val="single" w:sz="4" w:space="1" w:color="auto"/>
          <w:left w:val="single" w:sz="4" w:space="4" w:color="auto"/>
          <w:bottom w:val="single" w:sz="4" w:space="1" w:color="auto"/>
          <w:right w:val="single" w:sz="4" w:space="4" w:color="auto"/>
        </w:pBdr>
        <w:spacing w:after="0"/>
        <w:rPr>
          <w:rFonts w:cstheme="minorHAnsi"/>
          <w:b/>
          <w:bCs/>
          <w:color w:val="1F497D" w:themeColor="text2"/>
        </w:rPr>
      </w:pPr>
      <w:r w:rsidRPr="00165BF3">
        <w:rPr>
          <w:rFonts w:cstheme="minorHAnsi"/>
          <w:b/>
          <w:bCs/>
          <w:color w:val="1F497D" w:themeColor="text2"/>
        </w:rPr>
        <w:t>Terms used in this Notification Form:</w:t>
      </w:r>
    </w:p>
    <w:p w14:paraId="0E312182" w14:textId="77777777" w:rsidR="00294864" w:rsidRPr="00165BF3" w:rsidRDefault="00294864" w:rsidP="00294864">
      <w:pPr>
        <w:pBdr>
          <w:top w:val="single" w:sz="4" w:space="1" w:color="auto"/>
          <w:left w:val="single" w:sz="4" w:space="4" w:color="auto"/>
          <w:bottom w:val="single" w:sz="4" w:space="1" w:color="auto"/>
          <w:right w:val="single" w:sz="4" w:space="4" w:color="auto"/>
        </w:pBdr>
        <w:spacing w:after="0"/>
        <w:rPr>
          <w:rFonts w:cstheme="minorHAnsi"/>
          <w:b/>
          <w:bCs/>
          <w:color w:val="1F497D" w:themeColor="text2"/>
        </w:rPr>
      </w:pPr>
    </w:p>
    <w:p w14:paraId="2764CBDE" w14:textId="77777777" w:rsidR="00B4054E" w:rsidRDefault="00B4054E" w:rsidP="00B4054E">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b/>
          <w:color w:val="404040" w:themeColor="text1" w:themeTint="BF"/>
          <w:lang w:val="en-GB"/>
        </w:rPr>
      </w:pPr>
      <w:r w:rsidRPr="00C24779">
        <w:rPr>
          <w:b/>
        </w:rPr>
        <w:t>Member State</w:t>
      </w:r>
      <w:r>
        <w:t xml:space="preserve"> </w:t>
      </w:r>
      <w:r>
        <w:rPr>
          <w:lang w:val="en"/>
        </w:rPr>
        <w:t xml:space="preserve">- </w:t>
      </w:r>
      <w:r w:rsidRPr="00E70294">
        <w:rPr>
          <w:lang w:val="en"/>
        </w:rPr>
        <w:t>Member State of the European Union and, where relevant, includes a contracting party to the Agreement on the European Economic Area signed at Oporto on 2 May 1992 (as adjusted by the Protocol signed at Brussels on 17 March 1993), as amended</w:t>
      </w:r>
    </w:p>
    <w:p w14:paraId="1C37E58C" w14:textId="77777777" w:rsidR="00B4054E" w:rsidRDefault="00B4054E" w:rsidP="00294864">
      <w:pPr>
        <w:pBdr>
          <w:top w:val="single" w:sz="4" w:space="1" w:color="auto"/>
          <w:left w:val="single" w:sz="4" w:space="4" w:color="auto"/>
          <w:bottom w:val="single" w:sz="4" w:space="1" w:color="auto"/>
          <w:right w:val="single" w:sz="4" w:space="4" w:color="auto"/>
        </w:pBdr>
        <w:spacing w:after="0"/>
        <w:jc w:val="both"/>
        <w:rPr>
          <w:rFonts w:cstheme="minorHAnsi"/>
          <w:b/>
          <w:bCs/>
          <w:color w:val="000000"/>
        </w:rPr>
      </w:pPr>
    </w:p>
    <w:p w14:paraId="2E366C3C" w14:textId="77777777" w:rsidR="00B4054E" w:rsidRDefault="00B4054E" w:rsidP="00B4054E">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b/>
          <w:color w:val="404040" w:themeColor="text1" w:themeTint="BF"/>
          <w:lang w:val="en-GB"/>
        </w:rPr>
      </w:pPr>
      <w:r w:rsidRPr="00693C6F">
        <w:rPr>
          <w:rFonts w:eastAsia="Times New Roman" w:cs="Arial"/>
          <w:b/>
          <w:color w:val="000000" w:themeColor="text1"/>
          <w:lang w:val="en" w:eastAsia="en-IE"/>
        </w:rPr>
        <w:t>Applicant</w:t>
      </w:r>
      <w:r>
        <w:rPr>
          <w:rFonts w:eastAsia="Times New Roman" w:cs="Arial"/>
          <w:color w:val="000000" w:themeColor="text1"/>
          <w:lang w:val="en" w:eastAsia="en-IE"/>
        </w:rPr>
        <w:t xml:space="preserve"> – the firm submitting this Notification Form to the Central Bank advising that it is seeking to provide services in another Member State on a Freedom of Services basis</w:t>
      </w:r>
    </w:p>
    <w:p w14:paraId="3B2D1D9C" w14:textId="77777777" w:rsidR="00B4054E" w:rsidRDefault="00B4054E" w:rsidP="00294864">
      <w:pPr>
        <w:pBdr>
          <w:top w:val="single" w:sz="4" w:space="1" w:color="auto"/>
          <w:left w:val="single" w:sz="4" w:space="4" w:color="auto"/>
          <w:bottom w:val="single" w:sz="4" w:space="1" w:color="auto"/>
          <w:right w:val="single" w:sz="4" w:space="4" w:color="auto"/>
        </w:pBdr>
        <w:spacing w:after="0"/>
        <w:jc w:val="both"/>
        <w:rPr>
          <w:rFonts w:cstheme="minorHAnsi"/>
          <w:b/>
          <w:bCs/>
          <w:color w:val="000000"/>
        </w:rPr>
      </w:pPr>
    </w:p>
    <w:p w14:paraId="0DDF3EE3" w14:textId="13D561C1" w:rsidR="00294864" w:rsidRPr="00B4054E" w:rsidRDefault="00294864" w:rsidP="00294864">
      <w:pPr>
        <w:pBdr>
          <w:top w:val="single" w:sz="4" w:space="1" w:color="auto"/>
          <w:left w:val="single" w:sz="4" w:space="4" w:color="auto"/>
          <w:bottom w:val="single" w:sz="4" w:space="1" w:color="auto"/>
          <w:right w:val="single" w:sz="4" w:space="4" w:color="auto"/>
        </w:pBdr>
        <w:spacing w:after="0"/>
        <w:jc w:val="both"/>
        <w:rPr>
          <w:rFonts w:cstheme="minorHAnsi"/>
          <w:bCs/>
          <w:color w:val="000000" w:themeColor="text1"/>
        </w:rPr>
      </w:pPr>
      <w:r w:rsidRPr="00165BF3">
        <w:rPr>
          <w:rFonts w:cstheme="minorHAnsi"/>
          <w:b/>
          <w:bCs/>
          <w:color w:val="000000"/>
        </w:rPr>
        <w:t>Central Bank</w:t>
      </w:r>
      <w:r w:rsidRPr="00165BF3">
        <w:rPr>
          <w:rFonts w:cstheme="minorHAnsi"/>
          <w:bCs/>
          <w:color w:val="000000"/>
        </w:rPr>
        <w:t xml:space="preserve"> – </w:t>
      </w:r>
      <w:r w:rsidRPr="00B4054E">
        <w:rPr>
          <w:rFonts w:cstheme="minorHAnsi"/>
          <w:bCs/>
          <w:color w:val="000000" w:themeColor="text1"/>
        </w:rPr>
        <w:t>Central Bank of Ireland</w:t>
      </w:r>
    </w:p>
    <w:p w14:paraId="19683B7D" w14:textId="77777777" w:rsidR="00294864" w:rsidRPr="00B4054E" w:rsidRDefault="00294864" w:rsidP="00294864">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color w:val="000000" w:themeColor="text1"/>
          <w:lang w:val="en-GB"/>
        </w:rPr>
      </w:pPr>
    </w:p>
    <w:p w14:paraId="4EBEECDF" w14:textId="77777777" w:rsidR="00294864" w:rsidRPr="00B4054E" w:rsidRDefault="00294864" w:rsidP="00294864">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color w:val="000000" w:themeColor="text1"/>
          <w:lang w:val="en-GB"/>
        </w:rPr>
      </w:pPr>
      <w:r w:rsidRPr="00B4054E">
        <w:rPr>
          <w:rFonts w:ascii="Calibri" w:eastAsia="MS PGothic" w:hAnsi="Calibri" w:cs="Times New Roman"/>
          <w:b/>
          <w:color w:val="000000" w:themeColor="text1"/>
          <w:lang w:val="en-GB"/>
        </w:rPr>
        <w:t>EBA</w:t>
      </w:r>
      <w:r w:rsidRPr="00B4054E">
        <w:rPr>
          <w:rFonts w:ascii="Calibri" w:eastAsia="MS PGothic" w:hAnsi="Calibri" w:cs="Times New Roman"/>
          <w:color w:val="000000" w:themeColor="text1"/>
          <w:lang w:val="en-GB"/>
        </w:rPr>
        <w:t xml:space="preserve"> – European Banking Authority</w:t>
      </w:r>
    </w:p>
    <w:p w14:paraId="0D920546" w14:textId="77777777" w:rsidR="00294864" w:rsidRDefault="00294864" w:rsidP="00294864">
      <w:pPr>
        <w:pBdr>
          <w:top w:val="single" w:sz="4" w:space="1" w:color="auto"/>
          <w:left w:val="single" w:sz="4" w:space="4" w:color="auto"/>
          <w:bottom w:val="single" w:sz="4" w:space="1" w:color="auto"/>
          <w:right w:val="single" w:sz="4" w:space="4" w:color="auto"/>
        </w:pBdr>
        <w:spacing w:after="0"/>
        <w:jc w:val="both"/>
        <w:rPr>
          <w:rFonts w:ascii="Calibri" w:eastAsia="MS PGothic" w:hAnsi="Calibri" w:cs="Times New Roman"/>
          <w:color w:val="404040" w:themeColor="text1" w:themeTint="BF"/>
          <w:lang w:val="en-GB"/>
        </w:rPr>
      </w:pPr>
    </w:p>
    <w:p w14:paraId="35E1153D" w14:textId="77777777" w:rsidR="00294864" w:rsidRDefault="00294864" w:rsidP="00294864">
      <w:pPr>
        <w:pBdr>
          <w:top w:val="single" w:sz="4" w:space="1" w:color="auto"/>
          <w:left w:val="single" w:sz="4" w:space="4" w:color="auto"/>
          <w:bottom w:val="single" w:sz="4" w:space="1" w:color="auto"/>
          <w:right w:val="single" w:sz="4" w:space="4" w:color="auto"/>
        </w:pBdr>
        <w:spacing w:after="0"/>
        <w:jc w:val="both"/>
        <w:rPr>
          <w:rStyle w:val="Hyperlink"/>
        </w:rPr>
      </w:pPr>
      <w:r>
        <w:rPr>
          <w:b/>
        </w:rPr>
        <w:t xml:space="preserve">RTS - </w:t>
      </w:r>
      <w:hyperlink r:id="rId10" w:history="1">
        <w:r w:rsidRPr="00140638">
          <w:rPr>
            <w:rStyle w:val="Hyperlink"/>
          </w:rPr>
          <w:t>Regulatory Technical Standards</w:t>
        </w:r>
      </w:hyperlink>
    </w:p>
    <w:p w14:paraId="16F89197" w14:textId="77777777" w:rsidR="00294864" w:rsidRPr="00165BF3" w:rsidRDefault="00294864" w:rsidP="00294864">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p>
    <w:p w14:paraId="58F60BD2" w14:textId="77777777" w:rsidR="00294864" w:rsidRPr="00165BF3" w:rsidRDefault="00294864" w:rsidP="00294864">
      <w:pPr>
        <w:spacing w:after="0"/>
        <w:jc w:val="both"/>
        <w:rPr>
          <w:rFonts w:cstheme="minorHAnsi"/>
          <w:bCs/>
          <w:color w:val="000000"/>
        </w:rPr>
      </w:pPr>
    </w:p>
    <w:p w14:paraId="22C25C30" w14:textId="77777777" w:rsidR="00FF5265" w:rsidRDefault="00FF5265" w:rsidP="00294864">
      <w:pPr>
        <w:rPr>
          <w:rFonts w:ascii="Calibri" w:hAnsi="Calibri"/>
          <w:b/>
          <w:u w:val="single"/>
        </w:rPr>
      </w:pPr>
    </w:p>
    <w:p w14:paraId="72305971" w14:textId="72CC4D67" w:rsidR="00294864" w:rsidRPr="00C41609" w:rsidRDefault="00294864" w:rsidP="00294864">
      <w:pPr>
        <w:rPr>
          <w:rFonts w:ascii="Calibri" w:hAnsi="Calibri"/>
          <w:b/>
          <w:u w:val="single"/>
        </w:rPr>
      </w:pPr>
      <w:r>
        <w:rPr>
          <w:rFonts w:ascii="Calibri" w:hAnsi="Calibri"/>
          <w:b/>
          <w:u w:val="single"/>
        </w:rPr>
        <w:t>BACKGROUND INFORMATION</w:t>
      </w:r>
    </w:p>
    <w:p w14:paraId="43E4424E" w14:textId="7C13DF95" w:rsidR="00294864" w:rsidRPr="00693C6F" w:rsidRDefault="00294864" w:rsidP="00294864">
      <w:pPr>
        <w:pStyle w:val="CM1"/>
        <w:spacing w:line="360" w:lineRule="auto"/>
        <w:jc w:val="both"/>
        <w:rPr>
          <w:rFonts w:asciiTheme="minorHAnsi" w:hAnsiTheme="minorHAnsi"/>
          <w:sz w:val="22"/>
          <w:szCs w:val="22"/>
        </w:rPr>
      </w:pPr>
      <w:r w:rsidRPr="00693C6F">
        <w:rPr>
          <w:rFonts w:asciiTheme="minorHAnsi" w:hAnsiTheme="minorHAnsi"/>
          <w:sz w:val="22"/>
          <w:szCs w:val="22"/>
        </w:rPr>
        <w:t>Thi</w:t>
      </w:r>
      <w:r w:rsidR="00B4054E">
        <w:rPr>
          <w:rFonts w:asciiTheme="minorHAnsi" w:hAnsiTheme="minorHAnsi"/>
          <w:sz w:val="22"/>
          <w:szCs w:val="22"/>
        </w:rPr>
        <w:t>s Notification Form applies to p</w:t>
      </w:r>
      <w:r w:rsidRPr="00693C6F">
        <w:rPr>
          <w:rFonts w:asciiTheme="minorHAnsi" w:hAnsiTheme="minorHAnsi"/>
          <w:sz w:val="22"/>
          <w:szCs w:val="22"/>
        </w:rPr>
        <w:t xml:space="preserve">ayment </w:t>
      </w:r>
      <w:r w:rsidR="00B4054E">
        <w:rPr>
          <w:rFonts w:asciiTheme="minorHAnsi" w:hAnsiTheme="minorHAnsi"/>
          <w:sz w:val="22"/>
          <w:szCs w:val="22"/>
        </w:rPr>
        <w:t>i</w:t>
      </w:r>
      <w:r w:rsidRPr="00693C6F">
        <w:rPr>
          <w:rFonts w:asciiTheme="minorHAnsi" w:hAnsiTheme="minorHAnsi"/>
          <w:sz w:val="22"/>
          <w:szCs w:val="22"/>
        </w:rPr>
        <w:t xml:space="preserve">nstitutions and </w:t>
      </w:r>
      <w:r w:rsidR="00B4054E">
        <w:rPr>
          <w:rFonts w:asciiTheme="minorHAnsi" w:hAnsiTheme="minorHAnsi"/>
          <w:sz w:val="22"/>
          <w:szCs w:val="22"/>
        </w:rPr>
        <w:t>e</w:t>
      </w:r>
      <w:r w:rsidR="00BF100B">
        <w:rPr>
          <w:rFonts w:asciiTheme="minorHAnsi" w:hAnsiTheme="minorHAnsi"/>
          <w:sz w:val="22"/>
          <w:szCs w:val="22"/>
        </w:rPr>
        <w:t>-</w:t>
      </w:r>
      <w:r w:rsidR="00B4054E">
        <w:rPr>
          <w:rFonts w:asciiTheme="minorHAnsi" w:hAnsiTheme="minorHAnsi"/>
          <w:sz w:val="22"/>
          <w:szCs w:val="22"/>
        </w:rPr>
        <w:t>money i</w:t>
      </w:r>
      <w:r w:rsidRPr="00693C6F">
        <w:rPr>
          <w:rFonts w:asciiTheme="minorHAnsi" w:hAnsiTheme="minorHAnsi"/>
          <w:sz w:val="22"/>
          <w:szCs w:val="22"/>
        </w:rPr>
        <w:t>nstitutions wishing</w:t>
      </w:r>
      <w:r w:rsidRPr="00693C6F">
        <w:rPr>
          <w:rFonts w:asciiTheme="minorHAnsi" w:hAnsiTheme="minorHAnsi" w:cs="EUAlbertina"/>
          <w:color w:val="000000"/>
          <w:sz w:val="22"/>
          <w:szCs w:val="22"/>
        </w:rPr>
        <w:t xml:space="preserve"> to provide payment services in a Member State other than its home Member State, in the exercise of the right of </w:t>
      </w:r>
      <w:r w:rsidR="00303265">
        <w:rPr>
          <w:rFonts w:asciiTheme="minorHAnsi" w:hAnsiTheme="minorHAnsi" w:cs="EUAlbertina"/>
          <w:color w:val="000000"/>
          <w:sz w:val="22"/>
          <w:szCs w:val="22"/>
        </w:rPr>
        <w:t>freedom to provide services</w:t>
      </w:r>
      <w:r w:rsidRPr="00693C6F">
        <w:rPr>
          <w:rFonts w:asciiTheme="minorHAnsi" w:hAnsiTheme="minorHAnsi"/>
          <w:sz w:val="22"/>
          <w:szCs w:val="22"/>
        </w:rPr>
        <w:t>.</w:t>
      </w:r>
    </w:p>
    <w:p w14:paraId="26D086B9" w14:textId="77777777" w:rsidR="00294864" w:rsidRPr="00693C6F" w:rsidRDefault="00294864" w:rsidP="00294864">
      <w:pPr>
        <w:pStyle w:val="CM1"/>
        <w:spacing w:line="360" w:lineRule="auto"/>
        <w:jc w:val="both"/>
        <w:rPr>
          <w:rFonts w:asciiTheme="minorHAnsi" w:hAnsiTheme="minorHAnsi"/>
          <w:sz w:val="22"/>
          <w:szCs w:val="22"/>
        </w:rPr>
      </w:pPr>
    </w:p>
    <w:p w14:paraId="0FC5B8CD" w14:textId="77777777" w:rsidR="00B67815" w:rsidRDefault="00294864" w:rsidP="0040442D">
      <w:pPr>
        <w:spacing w:after="0" w:line="360" w:lineRule="auto"/>
        <w:jc w:val="both"/>
        <w:rPr>
          <w:rFonts w:eastAsia="Times New Roman" w:cs="Arial"/>
          <w:color w:val="000000" w:themeColor="text1"/>
          <w:lang w:val="en" w:eastAsia="en-IE"/>
        </w:rPr>
      </w:pPr>
      <w:r>
        <w:t xml:space="preserve">Regulation </w:t>
      </w:r>
      <w:r w:rsidRPr="00A071DF">
        <w:t>37 of the</w:t>
      </w:r>
      <w:r>
        <w:t xml:space="preserve"> European Union (Payment Services) Regulations 2018</w:t>
      </w:r>
      <w:r w:rsidR="00847F63">
        <w:t xml:space="preserve"> </w:t>
      </w:r>
      <w:r w:rsidR="00847F63" w:rsidRPr="00847F63">
        <w:t>and Regulation 26 of the European Communities (Electronic Money) Regulations 2011 (as amended)</w:t>
      </w:r>
      <w:r>
        <w:t xml:space="preserve"> </w:t>
      </w:r>
      <w:r w:rsidRPr="00693C6F">
        <w:rPr>
          <w:rFonts w:eastAsia="Times New Roman" w:cs="Arial"/>
          <w:color w:val="000000" w:themeColor="text1"/>
          <w:lang w:val="en" w:eastAsia="en-IE"/>
        </w:rPr>
        <w:t>set out the pr</w:t>
      </w:r>
      <w:r w:rsidR="00847F63">
        <w:rPr>
          <w:rFonts w:eastAsia="Times New Roman" w:cs="Arial"/>
          <w:color w:val="000000" w:themeColor="text1"/>
          <w:lang w:val="en" w:eastAsia="en-IE"/>
        </w:rPr>
        <w:t xml:space="preserve">ocedure </w:t>
      </w:r>
      <w:r w:rsidR="00847F63" w:rsidRPr="00847F63">
        <w:rPr>
          <w:rFonts w:eastAsia="Times New Roman" w:cs="Arial"/>
          <w:color w:val="000000" w:themeColor="text1"/>
          <w:lang w:val="en" w:eastAsia="en-IE"/>
        </w:rPr>
        <w:t>for an application to exercise the right of establishment and the freedom to provide services by respectively a payment institution and an e</w:t>
      </w:r>
      <w:r w:rsidR="00BF100B">
        <w:rPr>
          <w:rFonts w:eastAsia="Times New Roman" w:cs="Arial"/>
          <w:color w:val="000000" w:themeColor="text1"/>
          <w:lang w:val="en" w:eastAsia="en-IE"/>
        </w:rPr>
        <w:t>-</w:t>
      </w:r>
      <w:r w:rsidR="00847F63" w:rsidRPr="00847F63">
        <w:rPr>
          <w:rFonts w:eastAsia="Times New Roman" w:cs="Arial"/>
          <w:color w:val="000000" w:themeColor="text1"/>
          <w:lang w:val="en" w:eastAsia="en-IE"/>
        </w:rPr>
        <w:t>money institution</w:t>
      </w:r>
      <w:r w:rsidRPr="00693C6F">
        <w:rPr>
          <w:rFonts w:eastAsia="Times New Roman" w:cs="Arial"/>
          <w:color w:val="000000" w:themeColor="text1"/>
          <w:lang w:val="en" w:eastAsia="en-IE"/>
        </w:rPr>
        <w:t>.  This can be done either through the establishment of branch offices or by the engagement of agents in other Member States or through the free provision of services on a cross border basis (i.e. without establishing a permanent presence).   </w:t>
      </w:r>
    </w:p>
    <w:p w14:paraId="3949CC67" w14:textId="05492684" w:rsidR="00FF5265" w:rsidRDefault="00FF5265" w:rsidP="0040442D">
      <w:pPr>
        <w:spacing w:after="0" w:line="360" w:lineRule="auto"/>
        <w:jc w:val="both"/>
        <w:rPr>
          <w:rFonts w:eastAsia="Times New Roman" w:cs="Arial"/>
          <w:color w:val="000000" w:themeColor="text1"/>
          <w:lang w:val="en" w:eastAsia="en-IE"/>
        </w:rPr>
      </w:pPr>
    </w:p>
    <w:p w14:paraId="62574D8C" w14:textId="4A46EB85" w:rsidR="00FF5265" w:rsidRDefault="00FF5265" w:rsidP="0040442D">
      <w:pPr>
        <w:spacing w:after="0" w:line="360" w:lineRule="auto"/>
        <w:jc w:val="both"/>
        <w:rPr>
          <w:rFonts w:eastAsia="Times New Roman" w:cs="Arial"/>
          <w:color w:val="000000" w:themeColor="text1"/>
          <w:lang w:val="en" w:eastAsia="en-IE"/>
        </w:rPr>
      </w:pPr>
    </w:p>
    <w:p w14:paraId="1DC62A3B" w14:textId="564ED5E6" w:rsidR="00FF5265" w:rsidRDefault="00FF5265" w:rsidP="0040442D">
      <w:pPr>
        <w:spacing w:after="0" w:line="360" w:lineRule="auto"/>
        <w:jc w:val="both"/>
        <w:rPr>
          <w:rFonts w:eastAsia="Times New Roman" w:cs="Arial"/>
          <w:color w:val="000000" w:themeColor="text1"/>
          <w:lang w:val="en" w:eastAsia="en-IE"/>
        </w:rPr>
      </w:pPr>
    </w:p>
    <w:p w14:paraId="2970C8CD" w14:textId="66D417B1" w:rsidR="00FF5265" w:rsidRDefault="00FF5265" w:rsidP="0040442D">
      <w:pPr>
        <w:spacing w:after="0" w:line="360" w:lineRule="auto"/>
        <w:jc w:val="both"/>
        <w:rPr>
          <w:rFonts w:eastAsia="Times New Roman" w:cs="Arial"/>
          <w:color w:val="000000" w:themeColor="text1"/>
          <w:lang w:val="en" w:eastAsia="en-IE"/>
        </w:rPr>
      </w:pPr>
    </w:p>
    <w:p w14:paraId="719DDC7B" w14:textId="50204C33" w:rsidR="00FF5265" w:rsidRDefault="00FF5265" w:rsidP="0040442D">
      <w:pPr>
        <w:spacing w:after="0" w:line="360" w:lineRule="auto"/>
        <w:jc w:val="both"/>
        <w:rPr>
          <w:rFonts w:eastAsia="Times New Roman" w:cs="Arial"/>
          <w:color w:val="000000" w:themeColor="text1"/>
          <w:lang w:val="en" w:eastAsia="en-IE"/>
        </w:rPr>
      </w:pPr>
    </w:p>
    <w:p w14:paraId="6184B615" w14:textId="2F4F4214" w:rsidR="0040442D" w:rsidRPr="00FF5265" w:rsidRDefault="0040442D" w:rsidP="0040442D">
      <w:pPr>
        <w:spacing w:after="0" w:line="360" w:lineRule="auto"/>
        <w:jc w:val="both"/>
        <w:rPr>
          <w:rFonts w:eastAsia="Times New Roman" w:cs="Arial"/>
          <w:b/>
          <w:color w:val="000000" w:themeColor="text1"/>
          <w:lang w:val="en" w:eastAsia="en-IE"/>
        </w:rPr>
      </w:pPr>
      <w:r w:rsidRPr="00FF5265">
        <w:rPr>
          <w:rFonts w:eastAsia="Times New Roman" w:cs="Arial"/>
          <w:b/>
          <w:color w:val="000000" w:themeColor="text1"/>
          <w:lang w:val="en" w:eastAsia="en-IE"/>
        </w:rPr>
        <w:lastRenderedPageBreak/>
        <w:t>This Notification Form is to be used by an applicant:</w:t>
      </w:r>
    </w:p>
    <w:p w14:paraId="3B4A21F7" w14:textId="2175595B" w:rsidR="0040442D" w:rsidRPr="00FF5265" w:rsidRDefault="0040442D" w:rsidP="0040442D">
      <w:pPr>
        <w:pStyle w:val="ListParagraph"/>
        <w:numPr>
          <w:ilvl w:val="0"/>
          <w:numId w:val="10"/>
        </w:numPr>
        <w:spacing w:line="360" w:lineRule="auto"/>
        <w:jc w:val="both"/>
        <w:rPr>
          <w:rFonts w:eastAsia="Times New Roman" w:cs="Arial"/>
          <w:b/>
          <w:color w:val="000000" w:themeColor="text1"/>
          <w:lang w:val="en" w:eastAsia="en-IE"/>
        </w:rPr>
      </w:pPr>
      <w:r w:rsidRPr="00FF5265">
        <w:rPr>
          <w:rFonts w:eastAsia="Times New Roman" w:cs="Arial"/>
          <w:b/>
          <w:color w:val="000000" w:themeColor="text1"/>
          <w:lang w:val="en" w:eastAsia="en-IE"/>
        </w:rPr>
        <w:t xml:space="preserve">Wishing to operate on a freedom to provide services basis, in another Member State for the first time;  </w:t>
      </w:r>
      <w:r w:rsidR="00B67815">
        <w:rPr>
          <w:rFonts w:eastAsia="Times New Roman" w:cs="Arial"/>
          <w:b/>
          <w:color w:val="000000" w:themeColor="text1"/>
          <w:lang w:val="en" w:eastAsia="en-IE"/>
        </w:rPr>
        <w:t>or</w:t>
      </w:r>
    </w:p>
    <w:p w14:paraId="2605CE82" w14:textId="7023F8FE" w:rsidR="0040442D" w:rsidRPr="00FF5265" w:rsidRDefault="0040442D" w:rsidP="0040442D">
      <w:pPr>
        <w:pStyle w:val="ListParagraph"/>
        <w:numPr>
          <w:ilvl w:val="0"/>
          <w:numId w:val="10"/>
        </w:numPr>
        <w:spacing w:line="360" w:lineRule="auto"/>
        <w:jc w:val="both"/>
        <w:rPr>
          <w:rFonts w:eastAsia="Times New Roman" w:cs="Arial"/>
          <w:b/>
          <w:color w:val="000000" w:themeColor="text1"/>
          <w:lang w:val="en" w:eastAsia="en-IE"/>
        </w:rPr>
      </w:pPr>
      <w:r w:rsidRPr="00FF5265">
        <w:rPr>
          <w:rFonts w:eastAsia="Times New Roman" w:cs="Arial"/>
          <w:b/>
          <w:color w:val="000000" w:themeColor="text1"/>
          <w:lang w:val="en" w:eastAsia="en-IE"/>
        </w:rPr>
        <w:t xml:space="preserve">Making changes to the information provided </w:t>
      </w:r>
      <w:r w:rsidR="00B67815">
        <w:rPr>
          <w:rFonts w:eastAsia="Times New Roman" w:cs="Arial"/>
          <w:b/>
          <w:color w:val="000000" w:themeColor="text1"/>
          <w:lang w:val="en" w:eastAsia="en-IE"/>
        </w:rPr>
        <w:t xml:space="preserve">to the Central Bank </w:t>
      </w:r>
      <w:r w:rsidRPr="00FF5265">
        <w:rPr>
          <w:rFonts w:eastAsia="Times New Roman" w:cs="Arial"/>
          <w:b/>
          <w:color w:val="000000" w:themeColor="text1"/>
          <w:lang w:val="en" w:eastAsia="en-IE"/>
        </w:rPr>
        <w:t>in a previous Freedom of Services Notification Form; or</w:t>
      </w:r>
    </w:p>
    <w:p w14:paraId="15705B1D" w14:textId="2F4DCA67" w:rsidR="0040442D" w:rsidRPr="00FF5265" w:rsidRDefault="0040442D" w:rsidP="0040442D">
      <w:pPr>
        <w:pStyle w:val="ListParagraph"/>
        <w:numPr>
          <w:ilvl w:val="0"/>
          <w:numId w:val="10"/>
        </w:numPr>
        <w:spacing w:line="360" w:lineRule="auto"/>
        <w:jc w:val="both"/>
        <w:rPr>
          <w:rFonts w:eastAsia="Times New Roman" w:cs="Arial"/>
          <w:b/>
          <w:color w:val="000000" w:themeColor="text1"/>
          <w:lang w:val="en" w:eastAsia="en-IE"/>
        </w:rPr>
      </w:pPr>
      <w:r w:rsidRPr="00FF5265">
        <w:rPr>
          <w:rFonts w:eastAsia="Times New Roman" w:cs="Arial"/>
          <w:b/>
          <w:color w:val="000000" w:themeColor="text1"/>
          <w:lang w:val="en" w:eastAsia="en-IE"/>
        </w:rPr>
        <w:t xml:space="preserve">Wishing to notify the Central Bank of the cessation of business activity previously </w:t>
      </w:r>
      <w:r w:rsidR="00B67815">
        <w:rPr>
          <w:rFonts w:eastAsia="Times New Roman" w:cs="Arial"/>
          <w:b/>
          <w:color w:val="000000" w:themeColor="text1"/>
          <w:lang w:val="en" w:eastAsia="en-IE"/>
        </w:rPr>
        <w:t xml:space="preserve">notified as being provided </w:t>
      </w:r>
      <w:r w:rsidRPr="00FF5265">
        <w:rPr>
          <w:rFonts w:eastAsia="Times New Roman" w:cs="Arial"/>
          <w:b/>
          <w:color w:val="000000" w:themeColor="text1"/>
          <w:lang w:val="en" w:eastAsia="en-IE"/>
        </w:rPr>
        <w:t xml:space="preserve">on a freedom of services basis, in another Member State. </w:t>
      </w:r>
    </w:p>
    <w:p w14:paraId="5320E329" w14:textId="77777777" w:rsidR="00FF5265" w:rsidRDefault="00FF5265" w:rsidP="00B4054E">
      <w:pPr>
        <w:spacing w:line="360" w:lineRule="auto"/>
        <w:jc w:val="both"/>
        <w:rPr>
          <w:rFonts w:eastAsia="Times New Roman" w:cs="Arial"/>
          <w:color w:val="000000" w:themeColor="text1"/>
          <w:lang w:val="en" w:eastAsia="en-IE"/>
        </w:rPr>
      </w:pPr>
    </w:p>
    <w:p w14:paraId="44B32255" w14:textId="155759E8" w:rsidR="0040442D" w:rsidRPr="00B4054E" w:rsidRDefault="0040442D" w:rsidP="00B4054E">
      <w:pPr>
        <w:spacing w:line="360" w:lineRule="auto"/>
        <w:jc w:val="both"/>
        <w:rPr>
          <w:rFonts w:eastAsia="Times New Roman" w:cs="Arial"/>
          <w:color w:val="000000" w:themeColor="text1"/>
          <w:lang w:val="en" w:eastAsia="en-IE"/>
        </w:rPr>
      </w:pPr>
      <w:r w:rsidRPr="00B4054E">
        <w:rPr>
          <w:rFonts w:eastAsia="Times New Roman" w:cs="Arial"/>
          <w:color w:val="000000" w:themeColor="text1"/>
          <w:lang w:val="en" w:eastAsia="en-IE"/>
        </w:rPr>
        <w:t xml:space="preserve">Where the Notification Form is being used to notify the Central Bank of changes (referred to at </w:t>
      </w:r>
      <w:r w:rsidR="00362C73">
        <w:rPr>
          <w:rFonts w:eastAsia="Times New Roman" w:cs="Arial"/>
          <w:color w:val="000000" w:themeColor="text1"/>
          <w:lang w:val="en" w:eastAsia="en-IE"/>
        </w:rPr>
        <w:t>(</w:t>
      </w:r>
      <w:r w:rsidRPr="00B4054E">
        <w:rPr>
          <w:rFonts w:eastAsia="Times New Roman" w:cs="Arial"/>
          <w:color w:val="000000" w:themeColor="text1"/>
          <w:lang w:val="en" w:eastAsia="en-IE"/>
        </w:rPr>
        <w:t>b</w:t>
      </w:r>
      <w:r w:rsidR="00362C73">
        <w:rPr>
          <w:rFonts w:eastAsia="Times New Roman" w:cs="Arial"/>
          <w:color w:val="000000" w:themeColor="text1"/>
          <w:lang w:val="en" w:eastAsia="en-IE"/>
        </w:rPr>
        <w:t>)</w:t>
      </w:r>
      <w:r w:rsidRPr="00B4054E">
        <w:rPr>
          <w:rFonts w:eastAsia="Times New Roman" w:cs="Arial"/>
          <w:color w:val="000000" w:themeColor="text1"/>
          <w:lang w:val="en" w:eastAsia="en-IE"/>
        </w:rPr>
        <w:t xml:space="preserve"> above) or </w:t>
      </w:r>
      <w:r>
        <w:rPr>
          <w:rFonts w:eastAsia="Times New Roman" w:cs="Arial"/>
          <w:color w:val="000000" w:themeColor="text1"/>
          <w:lang w:val="en" w:eastAsia="en-IE"/>
        </w:rPr>
        <w:t>cessations</w:t>
      </w:r>
      <w:r w:rsidRPr="00B4054E">
        <w:rPr>
          <w:rFonts w:eastAsia="Times New Roman" w:cs="Arial"/>
          <w:color w:val="000000" w:themeColor="text1"/>
          <w:lang w:val="en" w:eastAsia="en-IE"/>
        </w:rPr>
        <w:t xml:space="preserve"> (referred to at </w:t>
      </w:r>
      <w:r w:rsidR="00362C73">
        <w:rPr>
          <w:rFonts w:eastAsia="Times New Roman" w:cs="Arial"/>
          <w:color w:val="000000" w:themeColor="text1"/>
          <w:lang w:val="en" w:eastAsia="en-IE"/>
        </w:rPr>
        <w:t>(</w:t>
      </w:r>
      <w:r>
        <w:rPr>
          <w:rFonts w:eastAsia="Times New Roman" w:cs="Arial"/>
          <w:color w:val="000000" w:themeColor="text1"/>
          <w:lang w:val="en" w:eastAsia="en-IE"/>
        </w:rPr>
        <w:t>c</w:t>
      </w:r>
      <w:r w:rsidR="00362C73">
        <w:rPr>
          <w:rFonts w:eastAsia="Times New Roman" w:cs="Arial"/>
          <w:color w:val="000000" w:themeColor="text1"/>
          <w:lang w:val="en" w:eastAsia="en-IE"/>
        </w:rPr>
        <w:t>)</w:t>
      </w:r>
      <w:r w:rsidRPr="00B4054E">
        <w:rPr>
          <w:rFonts w:eastAsia="Times New Roman" w:cs="Arial"/>
          <w:color w:val="000000" w:themeColor="text1"/>
          <w:lang w:val="en" w:eastAsia="en-IE"/>
        </w:rPr>
        <w:t xml:space="preserve"> above) only the relevant </w:t>
      </w:r>
      <w:r w:rsidR="00FF5265">
        <w:rPr>
          <w:rFonts w:eastAsia="Times New Roman" w:cs="Arial"/>
          <w:color w:val="000000" w:themeColor="text1"/>
          <w:lang w:val="en" w:eastAsia="en-IE"/>
        </w:rPr>
        <w:t xml:space="preserve">updated </w:t>
      </w:r>
      <w:r w:rsidRPr="00B4054E">
        <w:rPr>
          <w:rFonts w:eastAsia="Times New Roman" w:cs="Arial"/>
          <w:color w:val="000000" w:themeColor="text1"/>
          <w:lang w:val="en" w:eastAsia="en-IE"/>
        </w:rPr>
        <w:t>information needs to be included in the Notification Form.</w:t>
      </w:r>
    </w:p>
    <w:p w14:paraId="356D4489" w14:textId="1F3EDE32" w:rsidR="00BF100B" w:rsidRPr="00693C6F" w:rsidRDefault="00294864" w:rsidP="00BF100B">
      <w:pPr>
        <w:spacing w:after="0" w:line="360" w:lineRule="auto"/>
        <w:jc w:val="both"/>
      </w:pPr>
      <w:r w:rsidRPr="00693C6F">
        <w:t xml:space="preserve">The EBA has published </w:t>
      </w:r>
      <w:hyperlink r:id="rId11" w:history="1">
        <w:r w:rsidRPr="00693C6F">
          <w:rPr>
            <w:rStyle w:val="Hyperlink"/>
          </w:rPr>
          <w:t>Regulatory Technical Standards</w:t>
        </w:r>
      </w:hyperlink>
      <w:r w:rsidRPr="00693C6F">
        <w:t xml:space="preserve"> for the cooperation and exchange of information between competent authorities relating to the exercise of the right of establishment and the freedom to provide services of payment institutions</w:t>
      </w:r>
      <w:r w:rsidR="00BF100B">
        <w:t xml:space="preserve"> and e-money institutions</w:t>
      </w:r>
      <w:r w:rsidRPr="00693C6F">
        <w:t>.</w:t>
      </w:r>
      <w:r w:rsidR="00BF100B">
        <w:t xml:space="preserve">  The information requested in this Notification Form reflects the provisions of Annex V of the RTS.</w:t>
      </w:r>
    </w:p>
    <w:p w14:paraId="4EA2418F" w14:textId="0EA398C7" w:rsidR="00294864" w:rsidRPr="00693C6F" w:rsidRDefault="00294864" w:rsidP="00294864">
      <w:pPr>
        <w:spacing w:after="0" w:line="360" w:lineRule="auto"/>
        <w:jc w:val="both"/>
      </w:pPr>
    </w:p>
    <w:p w14:paraId="13B3293F" w14:textId="77777777" w:rsidR="00294864" w:rsidRPr="00140638" w:rsidRDefault="00294864" w:rsidP="00294864">
      <w:pPr>
        <w:spacing w:after="0" w:line="360" w:lineRule="auto"/>
        <w:jc w:val="both"/>
        <w:rPr>
          <w:rFonts w:eastAsia="Times New Roman" w:cstheme="minorHAnsi"/>
          <w:b/>
          <w:u w:val="single"/>
          <w:lang w:val="en-GB"/>
        </w:rPr>
      </w:pPr>
      <w:r w:rsidRPr="00140638">
        <w:rPr>
          <w:rFonts w:cstheme="minorHAnsi"/>
          <w:b/>
          <w:u w:val="single"/>
          <w:lang w:val="en-GB"/>
        </w:rPr>
        <w:t>NOTES ON COMPLETION</w:t>
      </w:r>
    </w:p>
    <w:p w14:paraId="5B421BF1" w14:textId="7E7D41EE" w:rsidR="00294864" w:rsidRPr="00FF5265" w:rsidRDefault="00294864" w:rsidP="00444E5B">
      <w:pPr>
        <w:pStyle w:val="ListParagraph"/>
        <w:numPr>
          <w:ilvl w:val="0"/>
          <w:numId w:val="3"/>
        </w:numPr>
        <w:spacing w:line="360" w:lineRule="auto"/>
        <w:ind w:left="0" w:firstLine="0"/>
        <w:jc w:val="both"/>
        <w:rPr>
          <w:rFonts w:cstheme="minorHAnsi"/>
          <w:b/>
          <w:smallCaps/>
        </w:rPr>
      </w:pPr>
      <w:r w:rsidRPr="00D9222B">
        <w:rPr>
          <w:rFonts w:cstheme="minorHAnsi"/>
          <w:b/>
          <w:smallCaps/>
        </w:rPr>
        <w:t>Please do not complete this</w:t>
      </w:r>
      <w:r>
        <w:rPr>
          <w:rFonts w:cstheme="minorHAnsi"/>
          <w:b/>
          <w:smallCaps/>
        </w:rPr>
        <w:t xml:space="preserve"> notification form </w:t>
      </w:r>
      <w:r w:rsidRPr="00D9222B">
        <w:rPr>
          <w:rFonts w:cstheme="minorHAnsi"/>
          <w:b/>
          <w:smallCaps/>
        </w:rPr>
        <w:t xml:space="preserve">until you have read and are familiar with: </w:t>
      </w:r>
    </w:p>
    <w:p w14:paraId="5F3124C7" w14:textId="1A33F8B7" w:rsidR="00294864" w:rsidRPr="00FF5265" w:rsidRDefault="00C146B6" w:rsidP="00444E5B">
      <w:pPr>
        <w:pStyle w:val="ListParagraph"/>
        <w:numPr>
          <w:ilvl w:val="0"/>
          <w:numId w:val="7"/>
        </w:numPr>
        <w:spacing w:line="360" w:lineRule="auto"/>
        <w:jc w:val="both"/>
      </w:pPr>
      <w:hyperlink r:id="rId12" w:history="1">
        <w:r w:rsidR="00294864" w:rsidRPr="00FF5265">
          <w:rPr>
            <w:rStyle w:val="Hyperlink"/>
            <w:rFonts w:asciiTheme="minorHAnsi" w:hAnsiTheme="minorHAnsi" w:cstheme="minorHAnsi"/>
          </w:rPr>
          <w:t xml:space="preserve">The </w:t>
        </w:r>
        <w:r w:rsidR="00294864" w:rsidRPr="00FF5265">
          <w:rPr>
            <w:rStyle w:val="Hyperlink"/>
          </w:rPr>
          <w:t>European Union (Payment Services) Regulations 2018</w:t>
        </w:r>
      </w:hyperlink>
      <w:r w:rsidR="00294864" w:rsidRPr="00FF5265">
        <w:t>, including Regulation 37 thereof;</w:t>
      </w:r>
    </w:p>
    <w:p w14:paraId="3D87D2AC" w14:textId="22695E4D" w:rsidR="00D340BC" w:rsidRPr="00FF5265" w:rsidRDefault="00D340BC" w:rsidP="00D340BC">
      <w:pPr>
        <w:pStyle w:val="ListParagraph"/>
        <w:numPr>
          <w:ilvl w:val="0"/>
          <w:numId w:val="7"/>
        </w:numPr>
        <w:spacing w:line="360" w:lineRule="auto"/>
        <w:jc w:val="both"/>
        <w:rPr>
          <w:rFonts w:asciiTheme="minorHAnsi" w:hAnsiTheme="minorHAnsi" w:cstheme="minorHAnsi"/>
        </w:rPr>
      </w:pPr>
      <w:r w:rsidRPr="00FF5265">
        <w:rPr>
          <w:rFonts w:asciiTheme="minorHAnsi" w:hAnsiTheme="minorHAnsi" w:cstheme="minorHAnsi"/>
        </w:rPr>
        <w:t>The European Communities (Electronic Money) Regulations 2011 (as amended), including Regulation 26 thereof;</w:t>
      </w:r>
    </w:p>
    <w:p w14:paraId="7966AE9D" w14:textId="2E37C8AD" w:rsidR="00D340BC" w:rsidRPr="00FF5265" w:rsidRDefault="00C146B6" w:rsidP="00D340BC">
      <w:pPr>
        <w:pStyle w:val="ListParagraph"/>
        <w:numPr>
          <w:ilvl w:val="0"/>
          <w:numId w:val="7"/>
        </w:numPr>
        <w:spacing w:line="360" w:lineRule="auto"/>
        <w:jc w:val="both"/>
        <w:rPr>
          <w:rFonts w:asciiTheme="minorHAnsi" w:hAnsiTheme="minorHAnsi" w:cstheme="minorHAnsi"/>
        </w:rPr>
      </w:pPr>
      <w:hyperlink r:id="rId13" w:history="1">
        <w:r w:rsidR="00D340BC" w:rsidRPr="00FF5265">
          <w:rPr>
            <w:rStyle w:val="Hyperlink"/>
            <w:rFonts w:asciiTheme="minorHAnsi" w:hAnsiTheme="minorHAnsi" w:cstheme="minorHAnsi"/>
          </w:rPr>
          <w:t>Directive (EU) 2015/2366 of the European Parliament and of the Council of 25 November 2015</w:t>
        </w:r>
      </w:hyperlink>
      <w:r w:rsidR="00D340BC" w:rsidRPr="00FF5265">
        <w:rPr>
          <w:rFonts w:asciiTheme="minorHAnsi" w:hAnsiTheme="minorHAnsi" w:cstheme="minorHAnsi"/>
        </w:rPr>
        <w:t xml:space="preserve"> on </w:t>
      </w:r>
      <w:r w:rsidR="009B1151" w:rsidRPr="00FF5265">
        <w:rPr>
          <w:rFonts w:asciiTheme="minorHAnsi" w:hAnsiTheme="minorHAnsi" w:cstheme="minorHAnsi"/>
        </w:rPr>
        <w:t>P</w:t>
      </w:r>
      <w:r w:rsidR="00D340BC" w:rsidRPr="00FF5265">
        <w:rPr>
          <w:rFonts w:asciiTheme="minorHAnsi" w:hAnsiTheme="minorHAnsi" w:cstheme="minorHAnsi"/>
        </w:rPr>
        <w:t xml:space="preserve">ayment </w:t>
      </w:r>
      <w:r w:rsidR="009B1151" w:rsidRPr="00FF5265">
        <w:rPr>
          <w:rFonts w:asciiTheme="minorHAnsi" w:hAnsiTheme="minorHAnsi" w:cstheme="minorHAnsi"/>
        </w:rPr>
        <w:t>S</w:t>
      </w:r>
      <w:r w:rsidR="00D340BC" w:rsidRPr="00FF5265">
        <w:rPr>
          <w:rFonts w:asciiTheme="minorHAnsi" w:hAnsiTheme="minorHAnsi" w:cstheme="minorHAnsi"/>
        </w:rPr>
        <w:t xml:space="preserve">ervices in the </w:t>
      </w:r>
      <w:r w:rsidR="009B1151" w:rsidRPr="00FF5265">
        <w:rPr>
          <w:rFonts w:asciiTheme="minorHAnsi" w:hAnsiTheme="minorHAnsi" w:cstheme="minorHAnsi"/>
        </w:rPr>
        <w:t>I</w:t>
      </w:r>
      <w:r w:rsidR="00D340BC" w:rsidRPr="00FF5265">
        <w:rPr>
          <w:rFonts w:asciiTheme="minorHAnsi" w:hAnsiTheme="minorHAnsi" w:cstheme="minorHAnsi"/>
        </w:rPr>
        <w:t xml:space="preserve">nternal </w:t>
      </w:r>
      <w:r w:rsidR="009B1151" w:rsidRPr="00FF5265">
        <w:rPr>
          <w:rFonts w:asciiTheme="minorHAnsi" w:hAnsiTheme="minorHAnsi" w:cstheme="minorHAnsi"/>
        </w:rPr>
        <w:t>M</w:t>
      </w:r>
      <w:r w:rsidR="00D340BC" w:rsidRPr="00FF5265">
        <w:rPr>
          <w:rFonts w:asciiTheme="minorHAnsi" w:hAnsiTheme="minorHAnsi" w:cstheme="minorHAnsi"/>
        </w:rPr>
        <w:t>arket; and</w:t>
      </w:r>
    </w:p>
    <w:p w14:paraId="51DC088D" w14:textId="77777777" w:rsidR="00D340BC" w:rsidRPr="00FF5265" w:rsidRDefault="00D340BC" w:rsidP="00D340BC">
      <w:pPr>
        <w:pStyle w:val="Default"/>
        <w:numPr>
          <w:ilvl w:val="0"/>
          <w:numId w:val="7"/>
        </w:numPr>
        <w:spacing w:line="360" w:lineRule="auto"/>
        <w:jc w:val="both"/>
        <w:rPr>
          <w:rFonts w:asciiTheme="minorHAnsi" w:hAnsiTheme="minorHAnsi"/>
          <w:sz w:val="22"/>
          <w:szCs w:val="22"/>
        </w:rPr>
      </w:pPr>
      <w:r w:rsidRPr="00FF5265">
        <w:rPr>
          <w:rFonts w:asciiTheme="minorHAnsi" w:hAnsiTheme="minorHAnsi"/>
          <w:sz w:val="22"/>
          <w:szCs w:val="22"/>
        </w:rPr>
        <w:t xml:space="preserve">The </w:t>
      </w:r>
      <w:hyperlink r:id="rId14" w:history="1">
        <w:r w:rsidRPr="00FF5265">
          <w:rPr>
            <w:rStyle w:val="Hyperlink"/>
            <w:rFonts w:asciiTheme="minorHAnsi" w:hAnsiTheme="minorHAnsi"/>
            <w:sz w:val="22"/>
            <w:szCs w:val="22"/>
          </w:rPr>
          <w:t>Regulatory Technical Standards</w:t>
        </w:r>
      </w:hyperlink>
      <w:r w:rsidRPr="00FF5265">
        <w:rPr>
          <w:rFonts w:asciiTheme="minorHAnsi" w:hAnsiTheme="minorHAnsi"/>
          <w:sz w:val="22"/>
          <w:szCs w:val="22"/>
        </w:rPr>
        <w:t xml:space="preserve"> for the cooperation and exchange of information between competent authorities relating to the exercise of the right of establishment and the freedom to provide services of payment institutions and e-money institutions.</w:t>
      </w:r>
    </w:p>
    <w:p w14:paraId="70349401" w14:textId="77777777" w:rsidR="00294864" w:rsidRPr="00004761" w:rsidRDefault="00294864" w:rsidP="00444E5B">
      <w:pPr>
        <w:spacing w:after="0" w:line="360" w:lineRule="auto"/>
        <w:jc w:val="both"/>
        <w:rPr>
          <w:color w:val="000000"/>
          <w:sz w:val="16"/>
          <w:szCs w:val="16"/>
        </w:rPr>
      </w:pPr>
    </w:p>
    <w:p w14:paraId="2C1ECDCB" w14:textId="55F2EF58" w:rsidR="00294864" w:rsidRPr="00140638" w:rsidRDefault="00294864" w:rsidP="00444E5B">
      <w:pPr>
        <w:numPr>
          <w:ilvl w:val="0"/>
          <w:numId w:val="3"/>
        </w:numPr>
        <w:spacing w:after="0" w:line="360" w:lineRule="auto"/>
        <w:ind w:left="357" w:hanging="357"/>
        <w:jc w:val="both"/>
      </w:pPr>
      <w:r w:rsidRPr="00FF5265">
        <w:rPr>
          <w:b/>
        </w:rPr>
        <w:t xml:space="preserve">This Notification Form must be completed by the applicant in </w:t>
      </w:r>
      <w:r w:rsidRPr="00FF5265">
        <w:rPr>
          <w:b/>
          <w:bCs/>
        </w:rPr>
        <w:t>typed format and</w:t>
      </w:r>
      <w:r w:rsidRPr="00FF5265">
        <w:rPr>
          <w:b/>
        </w:rPr>
        <w:t xml:space="preserve"> submitted </w:t>
      </w:r>
      <w:r w:rsidRPr="00B67815">
        <w:rPr>
          <w:b/>
        </w:rPr>
        <w:t>by email</w:t>
      </w:r>
      <w:r w:rsidRPr="00FF5265">
        <w:rPr>
          <w:b/>
        </w:rPr>
        <w:t xml:space="preserve"> to the Central Bank </w:t>
      </w:r>
      <w:r w:rsidRPr="00FF5265">
        <w:rPr>
          <w:b/>
          <w:u w:val="single"/>
        </w:rPr>
        <w:t>at least 3 months</w:t>
      </w:r>
      <w:r w:rsidRPr="00FF5265">
        <w:rPr>
          <w:b/>
        </w:rPr>
        <w:t xml:space="preserve"> in advance of any proposed </w:t>
      </w:r>
      <w:r w:rsidR="00FA1673" w:rsidRPr="00FF5265">
        <w:rPr>
          <w:b/>
        </w:rPr>
        <w:t>provision of services on a freedom of services basis</w:t>
      </w:r>
      <w:r w:rsidRPr="00B67815">
        <w:rPr>
          <w:b/>
          <w:bCs/>
        </w:rPr>
        <w:t>.</w:t>
      </w:r>
      <w:r w:rsidR="00BF100B">
        <w:rPr>
          <w:b/>
          <w:bCs/>
        </w:rPr>
        <w:t xml:space="preserve">  </w:t>
      </w:r>
      <w:r>
        <w:rPr>
          <w:b/>
          <w:bCs/>
        </w:rPr>
        <w:t xml:space="preserve">Application documentation should be submitted by email to </w:t>
      </w:r>
      <w:hyperlink r:id="rId15" w:history="1">
        <w:r w:rsidR="00CD7605" w:rsidRPr="00CD7605">
          <w:rPr>
            <w:rStyle w:val="Hyperlink"/>
          </w:rPr>
          <w:t>paymentspasspo</w:t>
        </w:r>
        <w:r w:rsidR="00CD7605" w:rsidRPr="00C47187">
          <w:rPr>
            <w:rStyle w:val="Hyperlink"/>
          </w:rPr>
          <w:t>rting@centralbank.ie</w:t>
        </w:r>
      </w:hyperlink>
      <w:r>
        <w:rPr>
          <w:b/>
          <w:bCs/>
        </w:rPr>
        <w:t>.  The use of unsecured email is not recommended for sensitive or confidential material.</w:t>
      </w:r>
    </w:p>
    <w:p w14:paraId="34C9C016" w14:textId="77777777" w:rsidR="00294864" w:rsidRPr="00004761" w:rsidRDefault="00294864" w:rsidP="00444E5B">
      <w:pPr>
        <w:spacing w:after="0" w:line="360" w:lineRule="auto"/>
        <w:ind w:left="357" w:hanging="357"/>
        <w:jc w:val="both"/>
        <w:rPr>
          <w:sz w:val="16"/>
          <w:szCs w:val="16"/>
        </w:rPr>
      </w:pPr>
    </w:p>
    <w:p w14:paraId="3ADACF94" w14:textId="2A97F8B6" w:rsidR="00294864" w:rsidRPr="00140638" w:rsidRDefault="00294864" w:rsidP="00444E5B">
      <w:pPr>
        <w:numPr>
          <w:ilvl w:val="0"/>
          <w:numId w:val="3"/>
        </w:numPr>
        <w:spacing w:after="0" w:line="360" w:lineRule="auto"/>
        <w:ind w:left="360"/>
        <w:jc w:val="both"/>
        <w:rPr>
          <w:u w:val="single"/>
        </w:rPr>
      </w:pPr>
      <w:r>
        <w:lastRenderedPageBreak/>
        <w:t xml:space="preserve">The applicant </w:t>
      </w:r>
      <w:r w:rsidRPr="00140638">
        <w:t xml:space="preserve">must </w:t>
      </w:r>
      <w:r>
        <w:t xml:space="preserve">answer all questions asked and provide all information or documentation requested </w:t>
      </w:r>
      <w:r w:rsidRPr="00140638">
        <w:t xml:space="preserve">before the application can be considered.  </w:t>
      </w:r>
      <w:r>
        <w:t xml:space="preserve">In the event that </w:t>
      </w:r>
      <w:r w:rsidRPr="00140638">
        <w:t xml:space="preserve">a question does not apply, please write </w:t>
      </w:r>
      <w:r>
        <w:t>‘</w:t>
      </w:r>
      <w:r w:rsidRPr="00140638">
        <w:rPr>
          <w:b/>
        </w:rPr>
        <w:t>not applicable</w:t>
      </w:r>
      <w:r>
        <w:rPr>
          <w:b/>
        </w:rPr>
        <w:t>’</w:t>
      </w:r>
      <w:r w:rsidRPr="00140638">
        <w:t xml:space="preserve"> or </w:t>
      </w:r>
      <w:r>
        <w:t>‘</w:t>
      </w:r>
      <w:r w:rsidRPr="00140638">
        <w:rPr>
          <w:b/>
        </w:rPr>
        <w:t>none</w:t>
      </w:r>
      <w:r>
        <w:rPr>
          <w:b/>
        </w:rPr>
        <w:t>’</w:t>
      </w:r>
      <w:r w:rsidRPr="00140638">
        <w:t xml:space="preserve"> as appropriate</w:t>
      </w:r>
      <w:r>
        <w:t xml:space="preserve"> and provide an explanation as to why this is considered to be the case</w:t>
      </w:r>
      <w:r w:rsidRPr="00140638">
        <w:t xml:space="preserve">.  </w:t>
      </w:r>
      <w:r w:rsidRPr="00140638">
        <w:rPr>
          <w:u w:val="single"/>
        </w:rPr>
        <w:t>Do not leave any blank spaces.</w:t>
      </w:r>
      <w:r w:rsidRPr="00140638">
        <w:t xml:space="preserve"> </w:t>
      </w:r>
      <w:r>
        <w:rPr>
          <w:b/>
          <w:bCs/>
        </w:rPr>
        <w:t>Incomplete a</w:t>
      </w:r>
      <w:r w:rsidRPr="00140638">
        <w:rPr>
          <w:b/>
          <w:bCs/>
        </w:rPr>
        <w:t>pplications will be returned</w:t>
      </w:r>
      <w:r>
        <w:rPr>
          <w:b/>
          <w:bCs/>
        </w:rPr>
        <w:t xml:space="preserve"> to the applicant who will be advised that the application does not contain sufficient material to be </w:t>
      </w:r>
      <w:r w:rsidR="009B1151">
        <w:rPr>
          <w:b/>
          <w:bCs/>
        </w:rPr>
        <w:t xml:space="preserve">progressed to the assessment phase of the </w:t>
      </w:r>
      <w:r w:rsidR="001F6EFF">
        <w:rPr>
          <w:b/>
          <w:bCs/>
        </w:rPr>
        <w:t>application</w:t>
      </w:r>
      <w:r w:rsidR="009B1151">
        <w:rPr>
          <w:b/>
          <w:bCs/>
        </w:rPr>
        <w:t xml:space="preserve"> </w:t>
      </w:r>
      <w:r>
        <w:rPr>
          <w:b/>
          <w:bCs/>
        </w:rPr>
        <w:t>process</w:t>
      </w:r>
      <w:r w:rsidRPr="00140638">
        <w:rPr>
          <w:b/>
          <w:bCs/>
        </w:rPr>
        <w:t>.</w:t>
      </w:r>
      <w:r w:rsidRPr="00140638">
        <w:t xml:space="preserve"> </w:t>
      </w:r>
    </w:p>
    <w:p w14:paraId="775A3475" w14:textId="77777777" w:rsidR="00294864" w:rsidRPr="00004761" w:rsidRDefault="00294864" w:rsidP="00444E5B">
      <w:pPr>
        <w:spacing w:after="0" w:line="360" w:lineRule="auto"/>
        <w:jc w:val="both"/>
        <w:rPr>
          <w:sz w:val="16"/>
          <w:szCs w:val="16"/>
          <w:u w:val="single"/>
        </w:rPr>
      </w:pPr>
    </w:p>
    <w:p w14:paraId="5F085DAD" w14:textId="77777777" w:rsidR="005C564A" w:rsidRDefault="00294864" w:rsidP="00B4054E">
      <w:pPr>
        <w:pStyle w:val="ListParagraph"/>
        <w:numPr>
          <w:ilvl w:val="0"/>
          <w:numId w:val="3"/>
        </w:numPr>
        <w:spacing w:line="360" w:lineRule="auto"/>
        <w:ind w:left="360"/>
        <w:jc w:val="both"/>
      </w:pPr>
      <w:r w:rsidRPr="00140638">
        <w:t xml:space="preserve">Where </w:t>
      </w:r>
      <w:r>
        <w:t xml:space="preserve">an </w:t>
      </w:r>
      <w:r w:rsidRPr="00140638">
        <w:t>applicant</w:t>
      </w:r>
      <w:r>
        <w:t xml:space="preserve"> i</w:t>
      </w:r>
      <w:r w:rsidRPr="00140638">
        <w:t xml:space="preserve">s required to </w:t>
      </w:r>
      <w:r w:rsidR="007E54FF">
        <w:t xml:space="preserve">provide </w:t>
      </w:r>
      <w:r w:rsidRPr="00140638">
        <w:t>‘confirm</w:t>
      </w:r>
      <w:r w:rsidR="007E54FF">
        <w:t>ation</w:t>
      </w:r>
      <w:r w:rsidRPr="00140638">
        <w:t>’, a tick (‘</w:t>
      </w:r>
      <w:r w:rsidRPr="00140638">
        <w:sym w:font="Wingdings" w:char="F0FC"/>
      </w:r>
      <w:r w:rsidRPr="00140638">
        <w:t>’) placed in the relevant box will be taken as a confirmation.</w:t>
      </w:r>
      <w:r w:rsidR="00004761" w:rsidRPr="00004761">
        <w:t xml:space="preserve"> </w:t>
      </w:r>
    </w:p>
    <w:p w14:paraId="6B7FB3AD" w14:textId="4593BF78" w:rsidR="00D340BC" w:rsidRDefault="00D340BC" w:rsidP="00B4054E">
      <w:pPr>
        <w:pStyle w:val="ListParagraph"/>
        <w:ind w:left="360"/>
      </w:pPr>
    </w:p>
    <w:p w14:paraId="089CAF59" w14:textId="7A7FEC72" w:rsidR="00D340BC" w:rsidRDefault="00D340BC" w:rsidP="00B4054E">
      <w:pPr>
        <w:pStyle w:val="ListParagraph"/>
        <w:numPr>
          <w:ilvl w:val="0"/>
          <w:numId w:val="3"/>
        </w:numPr>
        <w:spacing w:line="360" w:lineRule="auto"/>
        <w:ind w:left="360"/>
        <w:jc w:val="both"/>
      </w:pPr>
      <w:r w:rsidRPr="00140638">
        <w:t xml:space="preserve">If insufficient space has been provided for a reply or if the answer is requested on a separate sheet, </w:t>
      </w:r>
      <w:r>
        <w:t xml:space="preserve">the applicant should </w:t>
      </w:r>
      <w:r w:rsidRPr="00140638">
        <w:t xml:space="preserve">provide that information on a separate sheet and refer to it in the space provided for the answer.  Please ensure that any sheets are clearly marked with the name of the </w:t>
      </w:r>
      <w:r>
        <w:t xml:space="preserve">applicant </w:t>
      </w:r>
      <w:r w:rsidRPr="00140638">
        <w:t>and referenced to the appropriate question.</w:t>
      </w:r>
    </w:p>
    <w:p w14:paraId="2CF3816A" w14:textId="77777777" w:rsidR="00D340BC" w:rsidRDefault="00D340BC" w:rsidP="00B4054E">
      <w:pPr>
        <w:spacing w:after="0" w:line="360" w:lineRule="auto"/>
        <w:ind w:left="360"/>
        <w:jc w:val="both"/>
      </w:pPr>
    </w:p>
    <w:p w14:paraId="1D194BF6" w14:textId="18688FF7" w:rsidR="00D340BC" w:rsidRDefault="00D340BC" w:rsidP="00B4054E">
      <w:pPr>
        <w:pStyle w:val="ListParagraph"/>
        <w:numPr>
          <w:ilvl w:val="0"/>
          <w:numId w:val="3"/>
        </w:numPr>
        <w:spacing w:line="360" w:lineRule="auto"/>
        <w:ind w:left="360"/>
        <w:jc w:val="both"/>
      </w:pPr>
      <w:r w:rsidRPr="00140638">
        <w:t xml:space="preserve">Any questions that have a </w:t>
      </w:r>
      <w:r>
        <w:t>‘</w:t>
      </w:r>
      <w:r w:rsidRPr="00B4054E">
        <w:rPr>
          <w:b/>
          <w:bCs/>
        </w:rPr>
        <w:t>YES’</w:t>
      </w:r>
      <w:r w:rsidRPr="00140638">
        <w:t xml:space="preserve"> and a </w:t>
      </w:r>
      <w:r>
        <w:t>‘</w:t>
      </w:r>
      <w:r w:rsidRPr="00B4054E">
        <w:rPr>
          <w:b/>
          <w:bCs/>
        </w:rPr>
        <w:t>NO’</w:t>
      </w:r>
      <w:r w:rsidRPr="00140638">
        <w:t xml:space="preserve"> box should be completed </w:t>
      </w:r>
      <w:r>
        <w:t xml:space="preserve">by the applicant </w:t>
      </w:r>
      <w:r w:rsidRPr="00140638">
        <w:t>accordingly.</w:t>
      </w:r>
    </w:p>
    <w:p w14:paraId="7E67AD6D" w14:textId="2A411ADD" w:rsidR="0040442D" w:rsidRDefault="0040442D" w:rsidP="00B4054E">
      <w:pPr>
        <w:spacing w:after="0" w:line="360" w:lineRule="auto"/>
        <w:jc w:val="both"/>
      </w:pPr>
    </w:p>
    <w:p w14:paraId="11E76D6E" w14:textId="1D10A404" w:rsidR="00294864" w:rsidRDefault="00294864" w:rsidP="00B4054E">
      <w:pPr>
        <w:pStyle w:val="ListParagraph"/>
        <w:numPr>
          <w:ilvl w:val="0"/>
          <w:numId w:val="3"/>
        </w:numPr>
        <w:spacing w:line="360" w:lineRule="auto"/>
        <w:ind w:left="360"/>
        <w:jc w:val="both"/>
      </w:pPr>
      <w:r w:rsidRPr="00140638">
        <w:t xml:space="preserve">Further information or clarification may be requested </w:t>
      </w:r>
      <w:r>
        <w:t xml:space="preserve">from the applicant </w:t>
      </w:r>
      <w:r w:rsidRPr="00140638">
        <w:t>(having regard to the replies furnished</w:t>
      </w:r>
      <w:r>
        <w:t xml:space="preserve"> with its application</w:t>
      </w:r>
      <w:r w:rsidRPr="00140638">
        <w:t xml:space="preserve">) for the purpose of considering and </w:t>
      </w:r>
      <w:r>
        <w:t xml:space="preserve">assessing </w:t>
      </w:r>
      <w:r w:rsidRPr="00140638">
        <w:t>an application.</w:t>
      </w:r>
    </w:p>
    <w:p w14:paraId="60CDAC7C" w14:textId="77777777" w:rsidR="00140F7F" w:rsidRDefault="00140F7F" w:rsidP="00140F7F">
      <w:pPr>
        <w:pStyle w:val="ListParagraph"/>
      </w:pPr>
    </w:p>
    <w:p w14:paraId="1204CEA1" w14:textId="77777777" w:rsidR="00140F7F" w:rsidRPr="00140F7F" w:rsidRDefault="00140F7F" w:rsidP="00140F7F">
      <w:pPr>
        <w:pStyle w:val="ListParagraph"/>
        <w:numPr>
          <w:ilvl w:val="0"/>
          <w:numId w:val="3"/>
        </w:numPr>
        <w:spacing w:line="360" w:lineRule="auto"/>
        <w:ind w:left="360"/>
        <w:jc w:val="both"/>
      </w:pPr>
      <w:r w:rsidRPr="00140F7F">
        <w:t xml:space="preserve">NOTE: 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6" w:history="1">
        <w:r w:rsidRPr="00140F7F">
          <w:t>dataprotection@centralbank.ie</w:t>
        </w:r>
      </w:hyperlink>
      <w:r w:rsidRPr="00140F7F">
        <w:t xml:space="preserve">. A copy of the Central Bank’s Data Protection Notice is available at </w:t>
      </w:r>
      <w:hyperlink r:id="rId17" w:history="1">
        <w:r w:rsidRPr="00140F7F">
          <w:t>www.centralbank.ie/fns/privacy-statement</w:t>
        </w:r>
      </w:hyperlink>
      <w:r w:rsidRPr="00140F7F">
        <w:t>.</w:t>
      </w:r>
    </w:p>
    <w:p w14:paraId="2270E9FF" w14:textId="77777777" w:rsidR="00140F7F" w:rsidRDefault="00140F7F" w:rsidP="00140F7F">
      <w:pPr>
        <w:pStyle w:val="ListParagraph"/>
        <w:spacing w:line="360" w:lineRule="auto"/>
        <w:ind w:left="360"/>
        <w:jc w:val="both"/>
      </w:pPr>
    </w:p>
    <w:p w14:paraId="7E4A0366" w14:textId="77777777" w:rsidR="00D340BC" w:rsidRDefault="00D340BC" w:rsidP="00B4054E">
      <w:pPr>
        <w:pStyle w:val="ListParagraph"/>
        <w:ind w:left="360"/>
      </w:pPr>
    </w:p>
    <w:p w14:paraId="78714B80" w14:textId="496EF160" w:rsidR="00D340BC" w:rsidRPr="007D44DE" w:rsidRDefault="00D340BC" w:rsidP="00B4054E">
      <w:pPr>
        <w:pStyle w:val="ListParagraph"/>
        <w:spacing w:line="360" w:lineRule="auto"/>
        <w:ind w:left="0"/>
        <w:jc w:val="both"/>
      </w:pPr>
    </w:p>
    <w:p w14:paraId="6A73F9FB" w14:textId="77777777" w:rsidR="00D340BC" w:rsidRPr="00140638" w:rsidRDefault="00D340BC" w:rsidP="004B4848">
      <w:pPr>
        <w:spacing w:after="0" w:line="360" w:lineRule="auto"/>
        <w:jc w:val="both"/>
      </w:pPr>
    </w:p>
    <w:p w14:paraId="28D42086" w14:textId="77777777" w:rsidR="005C564A" w:rsidRDefault="005C564A" w:rsidP="00294864">
      <w:pPr>
        <w:jc w:val="both"/>
        <w:rPr>
          <w:b/>
        </w:rPr>
      </w:pPr>
    </w:p>
    <w:p w14:paraId="5FB002FE" w14:textId="77777777" w:rsidR="005C564A" w:rsidRDefault="005C564A" w:rsidP="00294864">
      <w:pPr>
        <w:jc w:val="both"/>
        <w:rPr>
          <w:b/>
        </w:rPr>
      </w:pPr>
    </w:p>
    <w:p w14:paraId="542E4783" w14:textId="77777777" w:rsidR="00D340BC" w:rsidRDefault="00D340BC" w:rsidP="00294864">
      <w:pPr>
        <w:jc w:val="both"/>
        <w:rPr>
          <w:b/>
        </w:rPr>
      </w:pPr>
    </w:p>
    <w:p w14:paraId="3C4C163C" w14:textId="1F247DDE" w:rsidR="009D4D98" w:rsidRDefault="009D4D98" w:rsidP="00294864">
      <w:pPr>
        <w:jc w:val="both"/>
        <w:rPr>
          <w:b/>
        </w:rPr>
      </w:pPr>
    </w:p>
    <w:p w14:paraId="56985FA2" w14:textId="6D348715" w:rsidR="00294864" w:rsidRPr="007D44DE" w:rsidRDefault="00303265" w:rsidP="00294864">
      <w:pPr>
        <w:jc w:val="both"/>
        <w:rPr>
          <w:b/>
        </w:rPr>
      </w:pPr>
      <w:r>
        <w:rPr>
          <w:b/>
        </w:rPr>
        <w:lastRenderedPageBreak/>
        <w:t>Annex V</w:t>
      </w:r>
      <w:r w:rsidR="00294864" w:rsidRPr="007D44DE">
        <w:rPr>
          <w:b/>
        </w:rPr>
        <w:t xml:space="preserve"> of the RTS specifies the information</w:t>
      </w:r>
      <w:r w:rsidR="00294864">
        <w:rPr>
          <w:b/>
        </w:rPr>
        <w:t xml:space="preserve"> that must be submitted by the a</w:t>
      </w:r>
      <w:r w:rsidR="00294864" w:rsidRPr="007D44DE">
        <w:rPr>
          <w:b/>
        </w:rPr>
        <w:t>pplicant in relation to passport applica</w:t>
      </w:r>
      <w:r w:rsidR="001F6EFF">
        <w:rPr>
          <w:b/>
        </w:rPr>
        <w:t>tions</w:t>
      </w:r>
      <w:r w:rsidR="00294864" w:rsidRPr="007D44DE">
        <w:rPr>
          <w:b/>
        </w:rPr>
        <w:t xml:space="preserve"> for </w:t>
      </w:r>
      <w:r>
        <w:rPr>
          <w:b/>
        </w:rPr>
        <w:t xml:space="preserve">freedom </w:t>
      </w:r>
      <w:r w:rsidR="001F6EFF">
        <w:rPr>
          <w:b/>
        </w:rPr>
        <w:t xml:space="preserve">to provide </w:t>
      </w:r>
      <w:r>
        <w:rPr>
          <w:b/>
        </w:rPr>
        <w:t>services</w:t>
      </w:r>
      <w:r w:rsidR="001F6EFF">
        <w:rPr>
          <w:b/>
        </w:rPr>
        <w:t xml:space="preserve"> with no agent or distributor</w:t>
      </w:r>
      <w:r w:rsidR="00294864" w:rsidRPr="007D44DE">
        <w:rPr>
          <w:b/>
        </w:rPr>
        <w:t>.</w:t>
      </w:r>
    </w:p>
    <w:p w14:paraId="2E99B24E" w14:textId="4D7A39B6" w:rsidR="00294864" w:rsidRPr="00607208" w:rsidRDefault="00303265" w:rsidP="00294864">
      <w:pPr>
        <w:jc w:val="center"/>
        <w:rPr>
          <w:b/>
          <w:sz w:val="24"/>
          <w:szCs w:val="24"/>
        </w:rPr>
      </w:pPr>
      <w:r>
        <w:rPr>
          <w:b/>
          <w:sz w:val="24"/>
          <w:szCs w:val="24"/>
        </w:rPr>
        <w:t>ANNEX V</w:t>
      </w:r>
    </w:p>
    <w:p w14:paraId="595A15C1" w14:textId="4AC5B139" w:rsidR="00294864" w:rsidRPr="007D44DE" w:rsidRDefault="00294864" w:rsidP="00294864">
      <w:pPr>
        <w:jc w:val="both"/>
        <w:rPr>
          <w:b/>
        </w:rPr>
      </w:pPr>
      <w:r w:rsidRPr="007D44DE">
        <w:rPr>
          <w:b/>
        </w:rPr>
        <w:t xml:space="preserve">Notification template for the exchange of information in relation to </w:t>
      </w:r>
      <w:r w:rsidR="00303265">
        <w:rPr>
          <w:b/>
        </w:rPr>
        <w:t xml:space="preserve">freedom to provide services </w:t>
      </w:r>
      <w:r w:rsidRPr="007D44DE">
        <w:rPr>
          <w:b/>
        </w:rPr>
        <w:t xml:space="preserve">applications </w:t>
      </w:r>
      <w:r w:rsidR="00303265">
        <w:rPr>
          <w:b/>
        </w:rPr>
        <w:t>with no</w:t>
      </w:r>
      <w:r w:rsidRPr="007D44DE">
        <w:rPr>
          <w:b/>
        </w:rPr>
        <w:t xml:space="preserve"> agent</w:t>
      </w:r>
      <w:r w:rsidR="00303265">
        <w:rPr>
          <w:b/>
        </w:rPr>
        <w:t xml:space="preserve"> or distributor </w:t>
      </w:r>
    </w:p>
    <w:tbl>
      <w:tblPr>
        <w:tblW w:w="5979" w:type="pct"/>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7"/>
        <w:gridCol w:w="5529"/>
        <w:gridCol w:w="4678"/>
      </w:tblGrid>
      <w:tr w:rsidR="00294864" w:rsidRPr="00A63412" w14:paraId="2F04527F" w14:textId="77777777" w:rsidTr="00B3366A">
        <w:tc>
          <w:tcPr>
            <w:tcW w:w="26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70016886" w14:textId="77777777" w:rsidR="00294864" w:rsidRPr="00A63412" w:rsidRDefault="00294864" w:rsidP="00B3366A"/>
        </w:tc>
        <w:tc>
          <w:tcPr>
            <w:tcW w:w="25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0113CD9A" w14:textId="77777777" w:rsidR="00294864" w:rsidRPr="00D9222B" w:rsidRDefault="00294864" w:rsidP="00B3366A">
            <w:pPr>
              <w:rPr>
                <w:b/>
              </w:rPr>
            </w:pPr>
            <w:r w:rsidRPr="00D9222B">
              <w:rPr>
                <w:b/>
              </w:rPr>
              <w:t>Information to be provided by Applicant</w:t>
            </w:r>
          </w:p>
        </w:tc>
        <w:tc>
          <w:tcPr>
            <w:tcW w:w="21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6FC3363A" w14:textId="77777777" w:rsidR="00294864" w:rsidRPr="00D9222B" w:rsidRDefault="00294864" w:rsidP="00B3366A">
            <w:pPr>
              <w:rPr>
                <w:b/>
              </w:rPr>
            </w:pPr>
            <w:r w:rsidRPr="00D9222B">
              <w:rPr>
                <w:b/>
              </w:rPr>
              <w:t>Response Provided by Applicant</w:t>
            </w:r>
          </w:p>
        </w:tc>
      </w:tr>
      <w:tr w:rsidR="00294864" w:rsidRPr="00A63412" w14:paraId="736A9D03" w14:textId="77777777" w:rsidTr="00B3366A">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3DDA814" w14:textId="77777777" w:rsidR="00294864" w:rsidRPr="00A63412" w:rsidRDefault="00294864" w:rsidP="00B3366A">
            <w:r w:rsidRPr="00A63412">
              <w:t>1)</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985EE37" w14:textId="77777777" w:rsidR="00294864" w:rsidRPr="00A63412" w:rsidRDefault="00294864" w:rsidP="00B3366A">
            <w:r w:rsidRPr="00A63412">
              <w:t>Home Member State</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210A3DA" w14:textId="77777777" w:rsidR="00294864" w:rsidRPr="00A63412" w:rsidRDefault="00294864" w:rsidP="00B3366A">
            <w:r w:rsidRPr="00A63412">
              <w:t> </w:t>
            </w:r>
          </w:p>
        </w:tc>
      </w:tr>
      <w:tr w:rsidR="00303265" w:rsidRPr="00A63412" w14:paraId="71A32647" w14:textId="77777777" w:rsidTr="00B3366A">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C166C7B" w14:textId="77777777" w:rsidR="00303265" w:rsidRPr="00A63412" w:rsidRDefault="00303265" w:rsidP="00303265">
            <w:r w:rsidRPr="00A63412">
              <w:t>2)</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34C9634" w14:textId="384CF8E6" w:rsidR="00303265" w:rsidRPr="00A63412" w:rsidRDefault="00303265" w:rsidP="00303265">
            <w:r w:rsidRPr="00A63412">
              <w:t xml:space="preserve">Name of the competent authority of the </w:t>
            </w:r>
            <w:r>
              <w:t>H</w:t>
            </w:r>
            <w:r w:rsidRPr="00A63412">
              <w:t>ome Member State</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C2B3BD6" w14:textId="111B3664" w:rsidR="00303265" w:rsidRPr="00A63412" w:rsidRDefault="00303265" w:rsidP="00303265">
            <w:r w:rsidRPr="00A63412">
              <w:t> </w:t>
            </w:r>
          </w:p>
        </w:tc>
      </w:tr>
      <w:tr w:rsidR="00303265" w:rsidRPr="00A63412" w14:paraId="22B7FDEF" w14:textId="77777777" w:rsidTr="00303265">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B007213" w14:textId="77777777" w:rsidR="00303265" w:rsidRPr="00A63412" w:rsidRDefault="00303265" w:rsidP="00303265">
            <w:r w:rsidRPr="00A63412">
              <w:t>3)</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B24F52D" w14:textId="5C0261BC" w:rsidR="00303265" w:rsidRPr="00A63412" w:rsidRDefault="00303265" w:rsidP="00303265">
            <w:r w:rsidRPr="00A63412">
              <w:t xml:space="preserve">Date of receipt by the competent authority of the </w:t>
            </w:r>
            <w:r>
              <w:t>H</w:t>
            </w:r>
            <w:r w:rsidRPr="00A63412">
              <w:t>ome Member State of the complete and accurate application from the payment institution/e-money institution</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3DEBAFA" w14:textId="626C471B" w:rsidR="00303265" w:rsidRPr="00A63412" w:rsidRDefault="00303265" w:rsidP="00303265">
            <w:r w:rsidRPr="00A63412">
              <w:t>DD/MM/YY</w:t>
            </w:r>
          </w:p>
        </w:tc>
      </w:tr>
      <w:tr w:rsidR="00303265" w:rsidRPr="00A63412" w14:paraId="62F893FC" w14:textId="77777777" w:rsidTr="00303265">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7958FFF" w14:textId="77777777" w:rsidR="00303265" w:rsidRPr="00A63412" w:rsidRDefault="00303265" w:rsidP="00303265">
            <w:r w:rsidRPr="00A63412">
              <w:t>4)</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FC1D8C5" w14:textId="25170690" w:rsidR="00303265" w:rsidRPr="00303265" w:rsidRDefault="00303265" w:rsidP="00303265">
            <w:r w:rsidRPr="00303265">
              <w:t>Member State where the services are to be provided</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1AA5BAB6" w14:textId="2910A622" w:rsidR="00303265" w:rsidRPr="00A63412" w:rsidRDefault="00303265" w:rsidP="00303265"/>
        </w:tc>
      </w:tr>
      <w:tr w:rsidR="00303265" w:rsidRPr="00A63412" w14:paraId="2CE407A2" w14:textId="77777777" w:rsidTr="00B3366A">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5520967" w14:textId="77777777" w:rsidR="00303265" w:rsidRPr="00A63412" w:rsidRDefault="00303265" w:rsidP="00303265">
            <w:r w:rsidRPr="00A63412">
              <w:t>5)</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73FB2F8" w14:textId="286CF62C" w:rsidR="00303265" w:rsidRPr="00A63412" w:rsidRDefault="00303265" w:rsidP="00256659">
            <w:r w:rsidRPr="00A63412">
              <w:t xml:space="preserve">Type of </w:t>
            </w:r>
            <w:r w:rsidR="00256659">
              <w:t>application</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1C1CC5B" w14:textId="246316D4" w:rsidR="00303265" w:rsidRDefault="00303265" w:rsidP="00303265">
            <w:pPr>
              <w:spacing w:after="0" w:line="240" w:lineRule="auto"/>
            </w:pPr>
            <w:r w:rsidRPr="00A63412">
              <w:rPr>
                <w:rFonts w:ascii="Segoe UI Symbol" w:hAnsi="Segoe UI Symbol" w:cs="Segoe UI Symbol"/>
              </w:rPr>
              <w:t>☐</w:t>
            </w:r>
            <w:r w:rsidRPr="00A63412">
              <w:t xml:space="preserve"> First </w:t>
            </w:r>
            <w:r w:rsidR="00256659">
              <w:t>application</w:t>
            </w:r>
          </w:p>
          <w:p w14:paraId="52C986FD" w14:textId="086F7A04" w:rsidR="00303265" w:rsidRPr="00A63412" w:rsidRDefault="00303265" w:rsidP="00303265">
            <w:pPr>
              <w:spacing w:after="0" w:line="240" w:lineRule="auto"/>
            </w:pPr>
            <w:r w:rsidRPr="00A63412">
              <w:rPr>
                <w:rFonts w:ascii="Segoe UI Symbol" w:hAnsi="Segoe UI Symbol" w:cs="Segoe UI Symbol"/>
              </w:rPr>
              <w:t>☐</w:t>
            </w:r>
            <w:r w:rsidRPr="00A63412">
              <w:t xml:space="preserve"> Change to previous </w:t>
            </w:r>
            <w:r w:rsidR="00256659">
              <w:t>application</w:t>
            </w:r>
          </w:p>
          <w:p w14:paraId="49DC8B97" w14:textId="0B518F5B" w:rsidR="00303265" w:rsidRPr="00A63412" w:rsidRDefault="00303265" w:rsidP="00303265">
            <w:pPr>
              <w:spacing w:after="0" w:line="240" w:lineRule="auto"/>
            </w:pPr>
            <w:r w:rsidRPr="00A63412">
              <w:rPr>
                <w:rFonts w:ascii="Segoe UI Symbol" w:hAnsi="Segoe UI Symbol" w:cs="Segoe UI Symbol"/>
              </w:rPr>
              <w:t>☐</w:t>
            </w:r>
            <w:r w:rsidRPr="00A63412">
              <w:t xml:space="preserve"> </w:t>
            </w:r>
            <w:r>
              <w:t>End of business activity / cessation</w:t>
            </w:r>
          </w:p>
        </w:tc>
      </w:tr>
      <w:tr w:rsidR="00FA1673" w:rsidRPr="00A63412" w14:paraId="1479F3C5"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3059B48" w14:textId="77777777" w:rsidR="00FA1673" w:rsidRPr="00A63412" w:rsidRDefault="00FA1673" w:rsidP="00FA1673">
            <w:r w:rsidRPr="00A63412">
              <w:t>6)</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922F34B" w14:textId="2E2CD852" w:rsidR="00FA1673" w:rsidRPr="00A63412" w:rsidRDefault="00FA1673" w:rsidP="00FA1673">
            <w:r w:rsidRPr="00A63412">
              <w:t>Type of Institution</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9739663" w14:textId="77777777" w:rsidR="00FA1673" w:rsidRPr="00A63412" w:rsidRDefault="00FA1673" w:rsidP="00FA1673">
            <w:pPr>
              <w:spacing w:after="0" w:line="240" w:lineRule="auto"/>
            </w:pPr>
            <w:r w:rsidRPr="00A63412">
              <w:rPr>
                <w:rFonts w:ascii="Segoe UI Symbol" w:hAnsi="Segoe UI Symbol" w:cs="Segoe UI Symbol"/>
              </w:rPr>
              <w:t>☐</w:t>
            </w:r>
            <w:r w:rsidRPr="00A63412">
              <w:t xml:space="preserve"> Payment Institution</w:t>
            </w:r>
          </w:p>
          <w:p w14:paraId="47153AB4" w14:textId="325D0A37" w:rsidR="00FA1673" w:rsidRPr="00A63412" w:rsidRDefault="00FA1673" w:rsidP="00FA1673">
            <w:pPr>
              <w:spacing w:after="0" w:line="240" w:lineRule="auto"/>
            </w:pPr>
            <w:r w:rsidRPr="00A63412">
              <w:rPr>
                <w:rFonts w:ascii="Segoe UI Symbol" w:hAnsi="Segoe UI Symbol" w:cs="Segoe UI Symbol"/>
              </w:rPr>
              <w:t>☐</w:t>
            </w:r>
            <w:r w:rsidRPr="00A63412">
              <w:t xml:space="preserve"> E-Money Institution</w:t>
            </w:r>
          </w:p>
        </w:tc>
      </w:tr>
      <w:tr w:rsidR="00FA1673" w:rsidRPr="00A63412" w14:paraId="7D253479"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5898105" w14:textId="77777777" w:rsidR="00FA1673" w:rsidRPr="00A63412" w:rsidRDefault="00FA1673" w:rsidP="00FA1673">
            <w:r w:rsidRPr="00A63412">
              <w:t>7)</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72755FD" w14:textId="634C0C9B" w:rsidR="00FA1673" w:rsidRPr="00A63412" w:rsidRDefault="00FA1673" w:rsidP="00FA1673">
            <w:r w:rsidRPr="00A63412">
              <w:t>Name of the payment institution/e-money institution</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35D66674" w14:textId="64886950" w:rsidR="00FA1673" w:rsidRPr="00A63412" w:rsidRDefault="00FA1673" w:rsidP="00FA1673">
            <w:pPr>
              <w:spacing w:after="0" w:line="240" w:lineRule="auto"/>
            </w:pPr>
          </w:p>
        </w:tc>
      </w:tr>
      <w:tr w:rsidR="00FA1673" w:rsidRPr="00A63412" w14:paraId="115EA89C"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75AF8FA" w14:textId="77777777" w:rsidR="00FA1673" w:rsidRPr="00A63412" w:rsidRDefault="00FA1673" w:rsidP="00FA1673">
            <w:r w:rsidRPr="00A63412">
              <w:t>8)</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180E3B68" w14:textId="778C722B" w:rsidR="00FA1673" w:rsidRPr="00A63412" w:rsidRDefault="00FA1673" w:rsidP="00FA1673">
            <w:r w:rsidRPr="00A63412">
              <w:t>Head office address of the payment</w:t>
            </w:r>
            <w:r>
              <w:t xml:space="preserve"> institution</w:t>
            </w:r>
            <w:r w:rsidRPr="00A63412">
              <w:t>/e-money institution</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509BB2D" w14:textId="77777777" w:rsidR="00FA1673" w:rsidRPr="00A63412" w:rsidRDefault="00FA1673" w:rsidP="00FA1673">
            <w:r w:rsidRPr="00A63412">
              <w:t> </w:t>
            </w:r>
          </w:p>
        </w:tc>
      </w:tr>
      <w:tr w:rsidR="00FA1673" w:rsidRPr="00A63412" w14:paraId="646883A9"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7771480" w14:textId="77777777" w:rsidR="00FA1673" w:rsidRPr="00A63412" w:rsidRDefault="00FA1673" w:rsidP="00FA1673">
            <w:r w:rsidRPr="00A63412">
              <w:t>9)</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E5A7CAB" w14:textId="7B4EF5F6" w:rsidR="00FA1673" w:rsidRPr="00A63412" w:rsidRDefault="00FA1673" w:rsidP="00FA1673">
            <w:r w:rsidRPr="00A63412">
              <w:t xml:space="preserve">Unique identification number of the payment institution/e-money institution in the format of the </w:t>
            </w:r>
            <w:r>
              <w:t>H</w:t>
            </w:r>
            <w:r w:rsidRPr="00A63412">
              <w:t xml:space="preserve">ome Member State as specified in Annex I </w:t>
            </w:r>
            <w:r w:rsidR="009D4D98">
              <w:t xml:space="preserve">of the RTS </w:t>
            </w:r>
            <w:r w:rsidRPr="00A63412">
              <w:t>(where applicable)</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06D83DC" w14:textId="77777777" w:rsidR="00FA1673" w:rsidRPr="00A63412" w:rsidRDefault="00FA1673" w:rsidP="00FA1673">
            <w:r w:rsidRPr="00A63412">
              <w:t> </w:t>
            </w:r>
          </w:p>
        </w:tc>
      </w:tr>
      <w:tr w:rsidR="00FA1673" w:rsidRPr="00A63412" w14:paraId="2926505E"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88FC416" w14:textId="77777777" w:rsidR="00FA1673" w:rsidRPr="00A63412" w:rsidRDefault="00FA1673" w:rsidP="00FA1673">
            <w:r w:rsidRPr="00A63412">
              <w:t>10)</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E6243BA" w14:textId="6DABD3D5" w:rsidR="00FA1673" w:rsidRPr="00A63412" w:rsidRDefault="00FA1673" w:rsidP="00FA1673">
            <w:r w:rsidRPr="00A63412">
              <w:t>Legal Entity Identifier (LEI) of the payment institution/e-money institution (where available)</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ACD1833" w14:textId="77777777" w:rsidR="00FA1673" w:rsidRPr="00A63412" w:rsidRDefault="00FA1673" w:rsidP="00FA1673">
            <w:r w:rsidRPr="00A63412">
              <w:t> </w:t>
            </w:r>
          </w:p>
        </w:tc>
      </w:tr>
      <w:tr w:rsidR="00FA1673" w:rsidRPr="00A63412" w14:paraId="65C310E3"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DE5F918" w14:textId="77777777" w:rsidR="00FA1673" w:rsidRPr="00A63412" w:rsidRDefault="00FA1673" w:rsidP="00FA1673">
            <w:r w:rsidRPr="00A63412">
              <w:t>11)</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3A91EA7B" w14:textId="644C12DB" w:rsidR="00FA1673" w:rsidRPr="00A63412" w:rsidRDefault="00FA1673" w:rsidP="00FA1673">
            <w:r w:rsidRPr="00A63412">
              <w:t>Home Member State authorisation number of the payment institution/e-money institution (where applicable)</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ADD4595" w14:textId="77777777" w:rsidR="00FA1673" w:rsidRPr="00A63412" w:rsidRDefault="00FA1673" w:rsidP="00FA1673">
            <w:r w:rsidRPr="00A63412">
              <w:t> </w:t>
            </w:r>
          </w:p>
        </w:tc>
      </w:tr>
      <w:tr w:rsidR="00FA1673" w:rsidRPr="00A63412" w14:paraId="55F12C97"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ABCEC2E" w14:textId="474BF47C" w:rsidR="00FA1673" w:rsidRPr="00A63412" w:rsidRDefault="00FA1673" w:rsidP="00FA1673">
            <w:r w:rsidRPr="00A63412">
              <w:t>12)</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8835B07" w14:textId="77777777" w:rsidR="00FA1673" w:rsidRDefault="00FA1673" w:rsidP="00FA1673">
            <w:r w:rsidRPr="00A63412">
              <w:t>Contact person within the payment institution/e-money institution</w:t>
            </w:r>
          </w:p>
          <w:p w14:paraId="4CBD6CD6" w14:textId="2C1D3B94" w:rsidR="00004761" w:rsidRPr="00A63412" w:rsidRDefault="00004761" w:rsidP="00FA1673"/>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1A053C90" w14:textId="77777777" w:rsidR="00FA1673" w:rsidRPr="00A63412" w:rsidRDefault="00FA1673" w:rsidP="00FA1673"/>
        </w:tc>
      </w:tr>
      <w:tr w:rsidR="00FA1673" w:rsidRPr="00A63412" w14:paraId="71AB1B3B" w14:textId="77777777" w:rsidTr="00B3366A">
        <w:tc>
          <w:tcPr>
            <w:tcW w:w="26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076BB14E" w14:textId="77777777" w:rsidR="00FA1673" w:rsidRPr="00A63412" w:rsidRDefault="00FA1673" w:rsidP="00FA1673"/>
        </w:tc>
        <w:tc>
          <w:tcPr>
            <w:tcW w:w="25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497DB2D6" w14:textId="77777777" w:rsidR="00FA1673" w:rsidRPr="00A63412" w:rsidRDefault="00FA1673" w:rsidP="00FA1673">
            <w:r w:rsidRPr="00D9222B">
              <w:rPr>
                <w:b/>
              </w:rPr>
              <w:t>Information to be provided by Applicant</w:t>
            </w:r>
          </w:p>
        </w:tc>
        <w:tc>
          <w:tcPr>
            <w:tcW w:w="21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764289BD" w14:textId="77777777" w:rsidR="00FA1673" w:rsidRPr="00A63412" w:rsidRDefault="00FA1673" w:rsidP="00FA1673">
            <w:r w:rsidRPr="00D9222B">
              <w:rPr>
                <w:b/>
              </w:rPr>
              <w:t>Response Provided by Applicant</w:t>
            </w:r>
          </w:p>
        </w:tc>
      </w:tr>
      <w:tr w:rsidR="00FA1673" w:rsidRPr="00A63412" w14:paraId="7E48FA9E" w14:textId="77777777" w:rsidTr="00B3366A">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C40A523" w14:textId="33C6EBCF" w:rsidR="00FA1673" w:rsidRPr="00A63412" w:rsidRDefault="00FA1673" w:rsidP="00FA1673">
            <w:r>
              <w:t>13)</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70C0F8C" w14:textId="71512216" w:rsidR="00FA1673" w:rsidRPr="00A63412" w:rsidRDefault="00FA1673" w:rsidP="00FA1673">
            <w:r w:rsidRPr="00A63412">
              <w:t>Email of the contact person within the payment institution/e-money institution</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4BD53E9" w14:textId="77777777" w:rsidR="00FA1673" w:rsidRPr="00A63412" w:rsidRDefault="00FA1673" w:rsidP="00FA1673">
            <w:r w:rsidRPr="00A63412">
              <w:t> </w:t>
            </w:r>
          </w:p>
        </w:tc>
      </w:tr>
      <w:tr w:rsidR="00FA1673" w:rsidRPr="00A63412" w14:paraId="1905639F"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0C36B98" w14:textId="18495B96" w:rsidR="00FA1673" w:rsidRPr="00A63412" w:rsidRDefault="00FA1673" w:rsidP="00FA1673">
            <w:r>
              <w:t>14)</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4038B25" w14:textId="514B4609" w:rsidR="00FA1673" w:rsidRPr="00A63412" w:rsidRDefault="00FA1673" w:rsidP="00FA1673">
            <w:r w:rsidRPr="00A63412">
              <w:t>Telephone number of the contact person within the payment institution/e-money institution</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6FDFDFB" w14:textId="77777777" w:rsidR="00FA1673" w:rsidRPr="00A63412" w:rsidRDefault="00FA1673" w:rsidP="00FA1673">
            <w:r w:rsidRPr="00A63412">
              <w:t> </w:t>
            </w:r>
          </w:p>
        </w:tc>
      </w:tr>
      <w:tr w:rsidR="00FA1673" w:rsidRPr="00A63412" w14:paraId="09455F2F" w14:textId="77777777" w:rsidTr="00FA1673">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ECB91A4" w14:textId="130C77AB" w:rsidR="00FA1673" w:rsidRPr="00A63412" w:rsidRDefault="00FA1673" w:rsidP="00FA1673">
            <w:r>
              <w:t>15</w:t>
            </w:r>
            <w:r w:rsidRPr="00A63412">
              <w:t>)</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29F3A56" w14:textId="607F1117" w:rsidR="00FA1673" w:rsidRPr="00FA1673" w:rsidRDefault="00FA1673" w:rsidP="00FA1673">
            <w:pPr>
              <w:jc w:val="both"/>
            </w:pPr>
            <w:r w:rsidRPr="00FA1673">
              <w:t>The intended date of start of the provision of payment/e-money services (shall not precede the communication of the decision of the competent authority of the home Member State referred to in Article 28(3) of Directive (EU) 2015/2366</w:t>
            </w:r>
            <w:r w:rsidR="005C564A">
              <w:t>)</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18DD587" w14:textId="1D05D2BA" w:rsidR="00FA1673" w:rsidRPr="00FA1673" w:rsidRDefault="00FA1673" w:rsidP="00FA1673">
            <w:pPr>
              <w:jc w:val="both"/>
            </w:pPr>
            <w:r w:rsidRPr="00A63412">
              <w:t> </w:t>
            </w:r>
            <w:r w:rsidRPr="00FA1673">
              <w:t>DD/MM/YYYY</w:t>
            </w:r>
          </w:p>
        </w:tc>
      </w:tr>
      <w:tr w:rsidR="00FA1673" w:rsidRPr="00A63412" w14:paraId="3608A957" w14:textId="77777777" w:rsidTr="00B3366A">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36C81F8" w14:textId="688136AA" w:rsidR="00FA1673" w:rsidRPr="00A63412" w:rsidRDefault="00FA1673" w:rsidP="00FA1673">
            <w:r w:rsidRPr="00A63412">
              <w:t>1</w:t>
            </w:r>
            <w:r>
              <w:t>6</w:t>
            </w:r>
            <w:r w:rsidRPr="00A63412">
              <w:t>)</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4C2E9C7" w14:textId="69F19B8A" w:rsidR="00FA1673" w:rsidRPr="00A63412" w:rsidRDefault="00FA1673" w:rsidP="00FA1673">
            <w:r w:rsidRPr="00A63412">
              <w:t xml:space="preserve">Payment services to be provided </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73"/>
              <w:gridCol w:w="4284"/>
            </w:tblGrid>
            <w:tr w:rsidR="00FA1673" w:rsidRPr="00A63412" w14:paraId="5A26BA15"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48F334F" w14:textId="77777777" w:rsidR="00FA1673" w:rsidRPr="00A63412" w:rsidRDefault="00FA1673" w:rsidP="00FA1673">
                  <w:r w:rsidRPr="00A63412">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4B04A7E" w14:textId="77777777" w:rsidR="00FA1673" w:rsidRPr="00A63412" w:rsidRDefault="00FA1673" w:rsidP="00FA1673">
                  <w:r w:rsidRPr="00A63412">
                    <w:rPr>
                      <w:rFonts w:ascii="Segoe UI Symbol" w:hAnsi="Segoe UI Symbol" w:cs="Segoe UI Symbol"/>
                    </w:rPr>
                    <w:t>☐</w:t>
                  </w:r>
                  <w:r w:rsidRPr="00A63412">
                    <w:t xml:space="preserve"> Services enabling cash to be placed on a payment account as well as all the operations required for operating a payment account</w:t>
                  </w:r>
                </w:p>
              </w:tc>
            </w:tr>
            <w:tr w:rsidR="00FA1673" w:rsidRPr="00A63412" w14:paraId="6DBF04B7"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ABDB091" w14:textId="77777777" w:rsidR="00FA1673" w:rsidRPr="00A63412" w:rsidRDefault="00FA1673" w:rsidP="00FA1673">
                  <w:r w:rsidRPr="00A63412">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A2B6498" w14:textId="77777777" w:rsidR="00FA1673" w:rsidRPr="00A63412" w:rsidRDefault="00FA1673" w:rsidP="00FA1673">
                  <w:r w:rsidRPr="00A63412">
                    <w:rPr>
                      <w:rFonts w:ascii="Segoe UI Symbol" w:hAnsi="Segoe UI Symbol" w:cs="Segoe UI Symbol"/>
                    </w:rPr>
                    <w:t>☐</w:t>
                  </w:r>
                  <w:r w:rsidRPr="00A63412">
                    <w:t xml:space="preserve"> Services enabling cash withdrawals from a payment account as well as all the operations required for operating a payment account</w:t>
                  </w:r>
                </w:p>
              </w:tc>
            </w:tr>
            <w:tr w:rsidR="00FA1673" w:rsidRPr="00A63412" w14:paraId="21B5BEF6"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424D717" w14:textId="77777777" w:rsidR="00FA1673" w:rsidRPr="00A63412" w:rsidRDefault="00FA1673" w:rsidP="00FA1673">
                  <w:r w:rsidRPr="00A63412">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45C7BE0" w14:textId="77777777" w:rsidR="00FA1673" w:rsidRPr="00A63412" w:rsidRDefault="00FA1673" w:rsidP="00FA1673">
                  <w:r w:rsidRPr="00A63412">
                    <w:t>Execution of payment transactions, including transfers of funds on a payment account with the user's payment provider or with another payment service provider:</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88"/>
                    <w:gridCol w:w="3875"/>
                  </w:tblGrid>
                  <w:tr w:rsidR="00FA1673" w:rsidRPr="00A63412" w14:paraId="3116C78B"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B091725" w14:textId="77777777" w:rsidR="00FA1673" w:rsidRPr="00A63412" w:rsidRDefault="00FA1673" w:rsidP="00FA1673">
                        <w:r w:rsidRPr="00A63412">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6C9A6F4" w14:textId="77777777" w:rsidR="00FA1673" w:rsidRPr="00A63412" w:rsidRDefault="00FA1673" w:rsidP="00FA1673">
                        <w:r w:rsidRPr="00A63412">
                          <w:t xml:space="preserve">execution of direct debits, including one-off direct debits </w:t>
                        </w:r>
                        <w:r w:rsidRPr="00A63412">
                          <w:rPr>
                            <w:rFonts w:ascii="Segoe UI Symbol" w:hAnsi="Segoe UI Symbol" w:cs="Segoe UI Symbol"/>
                          </w:rPr>
                          <w:t>☐</w:t>
                        </w:r>
                      </w:p>
                    </w:tc>
                  </w:tr>
                  <w:tr w:rsidR="00FA1673" w:rsidRPr="00A63412" w14:paraId="740AE6C1"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1F1DE5C" w14:textId="77777777" w:rsidR="00FA1673" w:rsidRPr="00A63412" w:rsidRDefault="00FA1673" w:rsidP="00FA1673">
                        <w:r w:rsidRPr="00A63412">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6EC5879" w14:textId="77777777" w:rsidR="00FA1673" w:rsidRPr="00A63412" w:rsidRDefault="00FA1673" w:rsidP="00FA1673">
                        <w:r w:rsidRPr="00A63412">
                          <w:t xml:space="preserve">execution of payment transactions through a payment card or a similar device </w:t>
                        </w:r>
                        <w:r w:rsidRPr="00A63412">
                          <w:rPr>
                            <w:rFonts w:ascii="Segoe UI Symbol" w:hAnsi="Segoe UI Symbol" w:cs="Segoe UI Symbol"/>
                          </w:rPr>
                          <w:t>☐</w:t>
                        </w:r>
                      </w:p>
                    </w:tc>
                  </w:tr>
                  <w:tr w:rsidR="00FA1673" w:rsidRPr="00A63412" w14:paraId="6C20DB4D"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1438148" w14:textId="77777777" w:rsidR="00FA1673" w:rsidRPr="00A63412" w:rsidRDefault="00FA1673" w:rsidP="00FA1673">
                        <w:r w:rsidRPr="00A63412">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5C39B11" w14:textId="77777777" w:rsidR="00FA1673" w:rsidRPr="00A63412" w:rsidRDefault="00FA1673" w:rsidP="00FA1673">
                        <w:r w:rsidRPr="00A63412">
                          <w:t xml:space="preserve">execution of credit transfers, including standing orders </w:t>
                        </w:r>
                        <w:r w:rsidRPr="00A63412">
                          <w:rPr>
                            <w:rFonts w:ascii="Segoe UI Symbol" w:hAnsi="Segoe UI Symbol" w:cs="Segoe UI Symbol"/>
                          </w:rPr>
                          <w:t>☐</w:t>
                        </w:r>
                      </w:p>
                    </w:tc>
                  </w:tr>
                </w:tbl>
                <w:p w14:paraId="438A0A30" w14:textId="77777777" w:rsidR="00FA1673" w:rsidRPr="00A63412" w:rsidRDefault="00FA1673" w:rsidP="00FA1673"/>
              </w:tc>
            </w:tr>
            <w:tr w:rsidR="00FA1673" w:rsidRPr="00A63412" w14:paraId="446A0D3C"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46BAFF1" w14:textId="77777777" w:rsidR="00FA1673" w:rsidRPr="00A63412" w:rsidRDefault="00FA1673" w:rsidP="00FA1673">
                  <w:r w:rsidRPr="00A63412">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249A2D1" w14:textId="77777777" w:rsidR="00FA1673" w:rsidRPr="00A63412" w:rsidRDefault="00FA1673" w:rsidP="00FA1673">
                  <w:r w:rsidRPr="00A63412">
                    <w:t>Execution of payment transactions where the funds are covered by a credit line for a payment service user:</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88"/>
                    <w:gridCol w:w="3875"/>
                  </w:tblGrid>
                  <w:tr w:rsidR="00FA1673" w:rsidRPr="00A63412" w14:paraId="095531A9"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DF805D8" w14:textId="77777777" w:rsidR="00FA1673" w:rsidRPr="00A63412" w:rsidRDefault="00FA1673" w:rsidP="00FA1673">
                        <w:r w:rsidRPr="00A63412">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F04E1BF" w14:textId="77777777" w:rsidR="00FA1673" w:rsidRPr="00A63412" w:rsidRDefault="00FA1673" w:rsidP="00FA1673">
                        <w:r w:rsidRPr="00A63412">
                          <w:t xml:space="preserve">execution of direct debits, including one-off direct debits </w:t>
                        </w:r>
                        <w:r w:rsidRPr="00A63412">
                          <w:rPr>
                            <w:rFonts w:ascii="Segoe UI Symbol" w:hAnsi="Segoe UI Symbol" w:cs="Segoe UI Symbol"/>
                          </w:rPr>
                          <w:t>☐</w:t>
                        </w:r>
                      </w:p>
                    </w:tc>
                  </w:tr>
                  <w:tr w:rsidR="00FA1673" w:rsidRPr="00A63412" w14:paraId="37D37E5D"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45EC8A2" w14:textId="77777777" w:rsidR="00FA1673" w:rsidRPr="00A63412" w:rsidRDefault="00FA1673" w:rsidP="00FA1673">
                        <w:r w:rsidRPr="00A63412">
                          <w:lastRenderedPageBreak/>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343B715" w14:textId="77777777" w:rsidR="00FA1673" w:rsidRPr="00A63412" w:rsidRDefault="00FA1673" w:rsidP="00FA1673">
                        <w:r w:rsidRPr="00A63412">
                          <w:t xml:space="preserve">execution of payment transactions through a payment card or a similar device </w:t>
                        </w:r>
                        <w:r w:rsidRPr="00A63412">
                          <w:rPr>
                            <w:rFonts w:ascii="Segoe UI Symbol" w:hAnsi="Segoe UI Symbol" w:cs="Segoe UI Symbol"/>
                          </w:rPr>
                          <w:t>☐</w:t>
                        </w:r>
                      </w:p>
                    </w:tc>
                  </w:tr>
                  <w:tr w:rsidR="00FA1673" w:rsidRPr="00A63412" w14:paraId="6164AA7C"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7A3988A" w14:textId="77777777" w:rsidR="00FA1673" w:rsidRPr="00A63412" w:rsidRDefault="00FA1673" w:rsidP="00FA1673">
                        <w:r w:rsidRPr="00A63412">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A1FCF68" w14:textId="77777777" w:rsidR="00FA1673" w:rsidRPr="00A63412" w:rsidRDefault="00FA1673" w:rsidP="00FA1673">
                        <w:r w:rsidRPr="00A63412">
                          <w:t xml:space="preserve">execution of credit transfers, including standing orders </w:t>
                        </w:r>
                        <w:r w:rsidRPr="00A63412">
                          <w:rPr>
                            <w:rFonts w:ascii="Segoe UI Symbol" w:hAnsi="Segoe UI Symbol" w:cs="Segoe UI Symbol"/>
                          </w:rPr>
                          <w:t>☐</w:t>
                        </w:r>
                      </w:p>
                    </w:tc>
                  </w:tr>
                </w:tbl>
                <w:p w14:paraId="2388567D" w14:textId="77777777" w:rsidR="00B67815" w:rsidRDefault="00FA1673" w:rsidP="00FA1673">
                  <w:r w:rsidRPr="00A63412">
                    <w:t>Including granting of credit in accordance with Article 18(4) of Directive (EU) 2015/2366:</w:t>
                  </w:r>
                </w:p>
                <w:p w14:paraId="6DED51DA" w14:textId="565AA184" w:rsidR="00FA1673" w:rsidRPr="00A63412" w:rsidRDefault="00FA1673" w:rsidP="00FA1673">
                  <w:r w:rsidRPr="00A63412">
                    <w:rPr>
                      <w:rFonts w:ascii="Segoe UI Symbol" w:hAnsi="Segoe UI Symbol" w:cs="Segoe UI Symbol"/>
                    </w:rPr>
                    <w:t>☐</w:t>
                  </w:r>
                  <w:r w:rsidRPr="00A63412">
                    <w:t xml:space="preserve"> yes </w:t>
                  </w:r>
                  <w:r w:rsidRPr="00A63412">
                    <w:rPr>
                      <w:rFonts w:ascii="Segoe UI Symbol" w:hAnsi="Segoe UI Symbol" w:cs="Segoe UI Symbol"/>
                    </w:rPr>
                    <w:t>☐</w:t>
                  </w:r>
                  <w:r w:rsidRPr="00A63412">
                    <w:t xml:space="preserve"> no</w:t>
                  </w:r>
                </w:p>
              </w:tc>
            </w:tr>
            <w:tr w:rsidR="00FA1673" w:rsidRPr="00A63412" w14:paraId="0290311E"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38A8626" w14:textId="77777777" w:rsidR="00FA1673" w:rsidRPr="00A63412" w:rsidRDefault="00FA1673" w:rsidP="00FA1673">
                  <w:r w:rsidRPr="00A63412">
                    <w:lastRenderedPageBreak/>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44920FE" w14:textId="77777777" w:rsidR="00FA1673" w:rsidRPr="00A63412" w:rsidRDefault="00FA1673" w:rsidP="00FA1673">
                  <w:r w:rsidRPr="00A63412">
                    <w:rPr>
                      <w:rFonts w:ascii="Segoe UI Symbol" w:hAnsi="Segoe UI Symbol" w:cs="Segoe UI Symbol"/>
                    </w:rPr>
                    <w:t>☐</w:t>
                  </w:r>
                  <w:r w:rsidRPr="00A63412">
                    <w:t xml:space="preserve"> Issuing of payment instruments</w:t>
                  </w:r>
                </w:p>
                <w:p w14:paraId="64838B29" w14:textId="77777777" w:rsidR="00FA1673" w:rsidRPr="00A63412" w:rsidRDefault="00FA1673" w:rsidP="00FA1673">
                  <w:r w:rsidRPr="00A63412">
                    <w:rPr>
                      <w:rFonts w:ascii="Segoe UI Symbol" w:hAnsi="Segoe UI Symbol" w:cs="Segoe UI Symbol"/>
                    </w:rPr>
                    <w:t>☐</w:t>
                  </w:r>
                  <w:r w:rsidRPr="00A63412">
                    <w:t xml:space="preserve"> Acquiring of payment transactions</w:t>
                  </w:r>
                </w:p>
                <w:p w14:paraId="0B91F831" w14:textId="77777777" w:rsidR="00B67815" w:rsidRDefault="00FA1673" w:rsidP="00FA1673">
                  <w:r w:rsidRPr="00A63412">
                    <w:t>Including granting of credit in accordance with Article 18(4) of Directive (EU) 2015/2366:</w:t>
                  </w:r>
                </w:p>
                <w:p w14:paraId="257E8A66" w14:textId="6DF32575" w:rsidR="00FA1673" w:rsidRPr="00A63412" w:rsidRDefault="00FA1673" w:rsidP="00FA1673">
                  <w:r w:rsidRPr="00A63412">
                    <w:rPr>
                      <w:rFonts w:ascii="Segoe UI Symbol" w:hAnsi="Segoe UI Symbol" w:cs="Segoe UI Symbol"/>
                    </w:rPr>
                    <w:t>☐</w:t>
                  </w:r>
                  <w:r w:rsidRPr="00A63412">
                    <w:t xml:space="preserve"> yes </w:t>
                  </w:r>
                  <w:r w:rsidRPr="00A63412">
                    <w:rPr>
                      <w:rFonts w:ascii="Segoe UI Symbol" w:hAnsi="Segoe UI Symbol" w:cs="Segoe UI Symbol"/>
                    </w:rPr>
                    <w:t>☐</w:t>
                  </w:r>
                  <w:r w:rsidRPr="00A63412">
                    <w:t xml:space="preserve"> no</w:t>
                  </w:r>
                </w:p>
              </w:tc>
            </w:tr>
            <w:tr w:rsidR="00FA1673" w:rsidRPr="00A63412" w14:paraId="36DDDD8C"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0B8F901" w14:textId="77777777" w:rsidR="00FA1673" w:rsidRPr="00A63412" w:rsidRDefault="00FA1673" w:rsidP="00FA1673">
                  <w:r w:rsidRPr="00A63412">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335828C" w14:textId="77777777" w:rsidR="00FA1673" w:rsidRPr="00A63412" w:rsidRDefault="00FA1673" w:rsidP="00FA1673">
                  <w:r w:rsidRPr="00A63412">
                    <w:rPr>
                      <w:rFonts w:ascii="Segoe UI Symbol" w:hAnsi="Segoe UI Symbol" w:cs="Segoe UI Symbol"/>
                    </w:rPr>
                    <w:t>☐</w:t>
                  </w:r>
                  <w:r w:rsidRPr="00A63412">
                    <w:t xml:space="preserve"> Money remittance</w:t>
                  </w:r>
                </w:p>
              </w:tc>
            </w:tr>
            <w:tr w:rsidR="00FA1673" w:rsidRPr="00A63412" w14:paraId="756D5060"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8890F89" w14:textId="77777777" w:rsidR="00FA1673" w:rsidRPr="00A63412" w:rsidRDefault="00FA1673" w:rsidP="00FA1673">
                  <w:r w:rsidRPr="00A63412">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D25FD25" w14:textId="77777777" w:rsidR="00FA1673" w:rsidRPr="00A63412" w:rsidRDefault="00FA1673" w:rsidP="00FA1673">
                  <w:r w:rsidRPr="00A63412">
                    <w:rPr>
                      <w:rFonts w:ascii="Segoe UI Symbol" w:hAnsi="Segoe UI Symbol" w:cs="Segoe UI Symbol"/>
                    </w:rPr>
                    <w:t>☐</w:t>
                  </w:r>
                  <w:r w:rsidRPr="00A63412">
                    <w:t xml:space="preserve"> Payment initiation services</w:t>
                  </w:r>
                </w:p>
              </w:tc>
            </w:tr>
            <w:tr w:rsidR="00FA1673" w:rsidRPr="00A63412" w14:paraId="482E8880" w14:textId="77777777" w:rsidTr="00B3366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DB16E34" w14:textId="77777777" w:rsidR="00FA1673" w:rsidRPr="00A63412" w:rsidRDefault="00FA1673" w:rsidP="00FA1673">
                  <w:r w:rsidRPr="00A63412">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ADDC07F" w14:textId="77777777" w:rsidR="00FA1673" w:rsidRPr="00A63412" w:rsidRDefault="00FA1673" w:rsidP="00FA1673">
                  <w:r w:rsidRPr="00A63412">
                    <w:rPr>
                      <w:rFonts w:ascii="Segoe UI Symbol" w:hAnsi="Segoe UI Symbol" w:cs="Segoe UI Symbol"/>
                    </w:rPr>
                    <w:t>☐</w:t>
                  </w:r>
                  <w:r w:rsidRPr="00A63412">
                    <w:t xml:space="preserve"> Account information services</w:t>
                  </w:r>
                </w:p>
              </w:tc>
            </w:tr>
          </w:tbl>
          <w:p w14:paraId="3C377177" w14:textId="77777777" w:rsidR="00FA1673" w:rsidRPr="00A63412" w:rsidRDefault="00FA1673" w:rsidP="00FA1673"/>
        </w:tc>
      </w:tr>
      <w:tr w:rsidR="00FA1673" w:rsidRPr="00A63412" w14:paraId="034EC526" w14:textId="77777777" w:rsidTr="00B3366A">
        <w:trPr>
          <w:trHeight w:val="1526"/>
        </w:trPr>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555308C" w14:textId="754A943D" w:rsidR="00FA1673" w:rsidRPr="00A63412" w:rsidRDefault="00FA1673" w:rsidP="00FA1673">
            <w:r>
              <w:lastRenderedPageBreak/>
              <w:t>17</w:t>
            </w:r>
            <w:r w:rsidRPr="00A63412">
              <w:t>)</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0341858" w14:textId="0F200C79" w:rsidR="00FA1673" w:rsidRPr="00FA1673" w:rsidRDefault="00FA1673" w:rsidP="00FA1673">
            <w:pPr>
              <w:jc w:val="both"/>
            </w:pPr>
            <w:r w:rsidRPr="00FA1673">
              <w:t>E-money services to be provided (applicable only to e-money institutions)</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B75C0C8" w14:textId="09762ABB" w:rsidR="009D4D98" w:rsidRDefault="00FA1673" w:rsidP="005C564A">
            <w:pPr>
              <w:jc w:val="both"/>
            </w:pPr>
            <w:r w:rsidRPr="00A63412">
              <w:rPr>
                <w:rFonts w:ascii="Segoe UI Symbol" w:hAnsi="Segoe UI Symbol" w:cs="Segoe UI Symbol"/>
              </w:rPr>
              <w:t>☐</w:t>
            </w:r>
            <w:r w:rsidRPr="00A63412">
              <w:t> </w:t>
            </w:r>
            <w:r w:rsidR="004B4848">
              <w:t xml:space="preserve">   </w:t>
            </w:r>
            <w:r w:rsidRPr="00FA1673">
              <w:t xml:space="preserve">Issuing of electronic money </w:t>
            </w:r>
          </w:p>
          <w:p w14:paraId="5996A542" w14:textId="1674D756" w:rsidR="00FA1673" w:rsidRPr="00FA1673" w:rsidRDefault="00FA1673" w:rsidP="005C564A">
            <w:pPr>
              <w:jc w:val="both"/>
            </w:pPr>
            <w:r w:rsidRPr="00FA1673">
              <w:t xml:space="preserve"> </w:t>
            </w:r>
            <w:r w:rsidRPr="00A63412">
              <w:rPr>
                <w:rFonts w:ascii="Segoe UI Symbol" w:hAnsi="Segoe UI Symbol" w:cs="Segoe UI Symbol"/>
              </w:rPr>
              <w:t>☐</w:t>
            </w:r>
            <w:r w:rsidRPr="00A63412">
              <w:t xml:space="preserve"> </w:t>
            </w:r>
            <w:r>
              <w:t xml:space="preserve"> </w:t>
            </w:r>
            <w:r w:rsidR="005C564A">
              <w:t xml:space="preserve">Distribution and/or </w:t>
            </w:r>
            <w:r w:rsidRPr="00FA1673">
              <w:t>Redemption of electronic money</w:t>
            </w:r>
          </w:p>
        </w:tc>
      </w:tr>
      <w:tr w:rsidR="00FA1673" w:rsidRPr="00A63412" w14:paraId="6279AF83" w14:textId="77777777" w:rsidTr="00B3366A">
        <w:trPr>
          <w:trHeight w:val="1526"/>
        </w:trPr>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38C6EEB9" w14:textId="43DB8EA2" w:rsidR="00FA1673" w:rsidRPr="00A63412" w:rsidRDefault="00FA1673" w:rsidP="00FA1673">
            <w:r>
              <w:t>18)</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DCA1CE2" w14:textId="77777777" w:rsidR="00FA1673" w:rsidRDefault="00FA1673" w:rsidP="00FA1673">
            <w:pPr>
              <w:jc w:val="both"/>
            </w:pPr>
            <w:r w:rsidRPr="00FA1673">
              <w:t xml:space="preserve">In case of outsourcing of operational functions of payment/e-money services: </w:t>
            </w:r>
          </w:p>
          <w:p w14:paraId="1989DC66" w14:textId="1C864D7F" w:rsidR="00FA1673" w:rsidRDefault="00FA1673" w:rsidP="00FA1673">
            <w:pPr>
              <w:jc w:val="both"/>
            </w:pPr>
            <w:r w:rsidRPr="00FA1673">
              <w:t>a.</w:t>
            </w:r>
            <w:r>
              <w:t xml:space="preserve"> </w:t>
            </w:r>
            <w:r w:rsidRPr="00FA1673">
              <w:t xml:space="preserve">Name and address of the entity to which operational functions are to be outsourced </w:t>
            </w:r>
          </w:p>
          <w:p w14:paraId="135AC6B8" w14:textId="77777777" w:rsidR="00FA1673" w:rsidRDefault="00FA1673" w:rsidP="00FA1673">
            <w:pPr>
              <w:jc w:val="both"/>
            </w:pPr>
            <w:r w:rsidRPr="00FA1673">
              <w:t xml:space="preserve">b. Contact details (email and telephone number) of a contact person within the entity to which operational functions are to be outsourced </w:t>
            </w:r>
          </w:p>
          <w:p w14:paraId="42C108E5" w14:textId="58D8E1C9" w:rsidR="00FA1673" w:rsidRPr="00FA1673" w:rsidRDefault="00FA1673" w:rsidP="00FA1673">
            <w:pPr>
              <w:jc w:val="both"/>
            </w:pPr>
            <w:r w:rsidRPr="00FA1673">
              <w:t>c. Type and exhaustive description of the operational functions outsourced</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27F234B" w14:textId="77777777" w:rsidR="00FA1673" w:rsidRPr="00A63412" w:rsidRDefault="00FA1673" w:rsidP="00FA1673"/>
        </w:tc>
      </w:tr>
    </w:tbl>
    <w:p w14:paraId="5CB506F0" w14:textId="77777777" w:rsidR="00294864" w:rsidRDefault="00294864" w:rsidP="0029486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294864" w:rsidRPr="007173DC" w14:paraId="7F64DF11" w14:textId="77777777" w:rsidTr="00B3366A">
        <w:trPr>
          <w:trHeight w:val="699"/>
        </w:trPr>
        <w:tc>
          <w:tcPr>
            <w:tcW w:w="9498" w:type="dxa"/>
            <w:shd w:val="clear" w:color="auto" w:fill="DBE5F1" w:themeFill="accent1" w:themeFillTint="33"/>
          </w:tcPr>
          <w:p w14:paraId="30992D20" w14:textId="77777777" w:rsidR="00294864" w:rsidRPr="006D3365" w:rsidRDefault="00294864" w:rsidP="00B3366A">
            <w:pPr>
              <w:spacing w:before="240" w:after="120"/>
              <w:jc w:val="center"/>
              <w:rPr>
                <w:b/>
                <w:lang w:val="en-GB"/>
              </w:rPr>
            </w:pPr>
            <w:r w:rsidRPr="006D3365">
              <w:rPr>
                <w:rFonts w:ascii="Calibri" w:eastAsia="MS PGothic" w:hAnsi="Calibri" w:cs="Times New Roman"/>
                <w:b/>
                <w:color w:val="1F497D" w:themeColor="text2"/>
                <w:sz w:val="28"/>
                <w:lang w:val="en-GB"/>
              </w:rPr>
              <w:lastRenderedPageBreak/>
              <w:t>Declaration</w:t>
            </w:r>
          </w:p>
        </w:tc>
      </w:tr>
    </w:tbl>
    <w:p w14:paraId="5BCE8317" w14:textId="77777777" w:rsidR="00294864" w:rsidRPr="007173DC" w:rsidRDefault="00294864" w:rsidP="00294864">
      <w:pPr>
        <w:rPr>
          <w:b/>
          <w:lang w:val="en-GB"/>
        </w:rPr>
      </w:pPr>
    </w:p>
    <w:p w14:paraId="1C87E332" w14:textId="7C0F725E" w:rsidR="00294864" w:rsidRPr="00A071DF" w:rsidRDefault="00294864" w:rsidP="00294864">
      <w:pPr>
        <w:spacing w:after="0" w:line="360" w:lineRule="auto"/>
        <w:jc w:val="both"/>
        <w:rPr>
          <w:lang w:val="en-GB"/>
        </w:rPr>
      </w:pPr>
      <w:r w:rsidRPr="007D44DE">
        <w:rPr>
          <w:b/>
          <w:iCs/>
          <w:color w:val="000000" w:themeColor="text1"/>
          <w:lang w:val="en-GB"/>
        </w:rPr>
        <w:t>[Insert full legal name of applicant]</w:t>
      </w:r>
      <w:r w:rsidRPr="007D44DE">
        <w:rPr>
          <w:iCs/>
          <w:color w:val="000000" w:themeColor="text1"/>
          <w:lang w:val="en-GB"/>
        </w:rPr>
        <w:t xml:space="preserve"> </w:t>
      </w:r>
      <w:r w:rsidRPr="007D44DE">
        <w:rPr>
          <w:color w:val="000000" w:themeColor="text1"/>
          <w:lang w:val="en-GB"/>
        </w:rPr>
        <w:t xml:space="preserve">applies for the </w:t>
      </w:r>
      <w:r w:rsidR="00FA1673">
        <w:rPr>
          <w:color w:val="000000" w:themeColor="text1"/>
          <w:lang w:val="en-GB"/>
        </w:rPr>
        <w:t xml:space="preserve">provision of services in </w:t>
      </w:r>
      <w:r w:rsidRPr="007D44DE">
        <w:rPr>
          <w:lang w:val="en-GB"/>
        </w:rPr>
        <w:t>[</w:t>
      </w:r>
      <w:r w:rsidRPr="007D44DE">
        <w:rPr>
          <w:b/>
          <w:lang w:val="en-GB"/>
        </w:rPr>
        <w:t xml:space="preserve">insert full </w:t>
      </w:r>
      <w:r w:rsidR="00FA1673">
        <w:rPr>
          <w:b/>
          <w:lang w:val="en-GB"/>
        </w:rPr>
        <w:t>name of proposed Member State</w:t>
      </w:r>
      <w:r w:rsidR="005C564A">
        <w:rPr>
          <w:b/>
          <w:lang w:val="en-GB"/>
        </w:rPr>
        <w:t>(s)]</w:t>
      </w:r>
      <w:r w:rsidRPr="007D44DE">
        <w:rPr>
          <w:lang w:val="en-GB"/>
        </w:rPr>
        <w:t xml:space="preserve"> under </w:t>
      </w:r>
      <w:r w:rsidRPr="00A071DF">
        <w:rPr>
          <w:lang w:val="en-GB"/>
        </w:rPr>
        <w:t>Regulation 37 of the European Union (Payment Services) Regulations 2018</w:t>
      </w:r>
      <w:r w:rsidR="006F4CBF">
        <w:rPr>
          <w:lang w:val="en-GB"/>
        </w:rPr>
        <w:t xml:space="preserve"> </w:t>
      </w:r>
      <w:r w:rsidR="006F4CBF" w:rsidRPr="006F4CBF">
        <w:rPr>
          <w:lang w:val="en-GB"/>
        </w:rPr>
        <w:t>or under Regulation 26 of the European Communities (Electronic Money) Regulations 2011 (as amended)</w:t>
      </w:r>
      <w:r w:rsidRPr="00A071DF">
        <w:rPr>
          <w:lang w:val="en-GB"/>
        </w:rPr>
        <w:t>, on the basis of information supplied with this application and any additional information supplied to the Central Bank in the course of the application process.</w:t>
      </w:r>
    </w:p>
    <w:p w14:paraId="2423C6D7" w14:textId="77777777" w:rsidR="00294864" w:rsidRPr="00A071DF" w:rsidRDefault="00294864" w:rsidP="00294864">
      <w:pPr>
        <w:spacing w:after="0" w:line="360" w:lineRule="auto"/>
        <w:jc w:val="both"/>
        <w:rPr>
          <w:lang w:val="en-GB"/>
        </w:rPr>
      </w:pPr>
    </w:p>
    <w:p w14:paraId="0B8FD923" w14:textId="77777777" w:rsidR="00294864" w:rsidRPr="00A071DF" w:rsidRDefault="00294864" w:rsidP="00294864">
      <w:pPr>
        <w:spacing w:after="0" w:line="360" w:lineRule="auto"/>
        <w:jc w:val="both"/>
        <w:rPr>
          <w:lang w:val="en-GB"/>
        </w:rPr>
      </w:pPr>
      <w:r w:rsidRPr="00A071DF">
        <w:rPr>
          <w:lang w:val="en-GB"/>
        </w:rPr>
        <w:t>I/We acknowledge that the Central Bank may disclose information in the performance of its statutory functions or otherwise as may be specifically authorised by law.</w:t>
      </w:r>
    </w:p>
    <w:p w14:paraId="2889BB94" w14:textId="77777777" w:rsidR="00294864" w:rsidRPr="00A071DF" w:rsidRDefault="00294864" w:rsidP="00294864">
      <w:pPr>
        <w:spacing w:after="0" w:line="360" w:lineRule="auto"/>
        <w:jc w:val="both"/>
        <w:rPr>
          <w:lang w:val="en-GB"/>
        </w:rPr>
      </w:pPr>
    </w:p>
    <w:p w14:paraId="46EDE885" w14:textId="0E22208E" w:rsidR="00294864" w:rsidRPr="00CB1AD4" w:rsidRDefault="00294864" w:rsidP="00294864">
      <w:pPr>
        <w:spacing w:after="0" w:line="360" w:lineRule="auto"/>
        <w:jc w:val="both"/>
        <w:rPr>
          <w:bCs/>
          <w:color w:val="000000"/>
        </w:rPr>
      </w:pPr>
      <w:r w:rsidRPr="00A071DF">
        <w:rPr>
          <w:bCs/>
          <w:color w:val="000000"/>
        </w:rPr>
        <w:t xml:space="preserve">I/We acknowledge that the applicant’s anti-money laundering </w:t>
      </w:r>
      <w:r w:rsidR="00B4258D" w:rsidRPr="00A071DF">
        <w:rPr>
          <w:bCs/>
          <w:color w:val="000000"/>
        </w:rPr>
        <w:t xml:space="preserve">and countering the finance of terrorism (AML/CFT) </w:t>
      </w:r>
      <w:r w:rsidRPr="00A071DF">
        <w:rPr>
          <w:bCs/>
          <w:color w:val="000000"/>
        </w:rPr>
        <w:t xml:space="preserve">controls have been formulated to comply in full with the </w:t>
      </w:r>
      <w:r w:rsidR="00B4258D" w:rsidRPr="00A071DF">
        <w:rPr>
          <w:bCs/>
          <w:color w:val="000000"/>
        </w:rPr>
        <w:t>relevant Irish and EU legislation</w:t>
      </w:r>
      <w:r w:rsidR="00B4258D">
        <w:rPr>
          <w:bCs/>
          <w:color w:val="000000"/>
        </w:rPr>
        <w:t xml:space="preserve"> </w:t>
      </w:r>
      <w:r w:rsidRPr="002E31F7">
        <w:rPr>
          <w:rFonts w:cs="Arial"/>
        </w:rPr>
        <w:t>a</w:t>
      </w:r>
      <w:r w:rsidRPr="002E31F7">
        <w:rPr>
          <w:bCs/>
          <w:color w:val="000000"/>
        </w:rPr>
        <w:t>nd that we shall review and amend these controls in due course and on an on</w:t>
      </w:r>
      <w:r>
        <w:rPr>
          <w:bCs/>
          <w:color w:val="000000"/>
        </w:rPr>
        <w:t>-</w:t>
      </w:r>
      <w:r w:rsidRPr="002E31F7">
        <w:rPr>
          <w:bCs/>
          <w:color w:val="000000"/>
        </w:rPr>
        <w:t>going basis to ensure they comply with</w:t>
      </w:r>
      <w:r>
        <w:rPr>
          <w:bCs/>
          <w:color w:val="000000"/>
        </w:rPr>
        <w:t xml:space="preserve"> all relevant legislation and applicable codes of practice.</w:t>
      </w:r>
    </w:p>
    <w:p w14:paraId="2FFE024C" w14:textId="77777777" w:rsidR="00294864" w:rsidRDefault="00294864" w:rsidP="00294864">
      <w:pPr>
        <w:spacing w:after="0" w:line="360" w:lineRule="auto"/>
        <w:jc w:val="both"/>
        <w:rPr>
          <w:bCs/>
          <w:lang w:val="en-GB"/>
        </w:rPr>
      </w:pPr>
    </w:p>
    <w:p w14:paraId="3EAAD821" w14:textId="77777777" w:rsidR="00294864" w:rsidRDefault="00294864" w:rsidP="00294864">
      <w:pPr>
        <w:spacing w:after="0" w:line="360" w:lineRule="auto"/>
        <w:jc w:val="both"/>
        <w:rPr>
          <w:bCs/>
          <w:lang w:val="en-GB"/>
        </w:rPr>
      </w:pPr>
      <w:r>
        <w:rPr>
          <w:bCs/>
          <w:lang w:val="en-GB"/>
        </w:rPr>
        <w:t>I/</w:t>
      </w:r>
      <w:r w:rsidRPr="006D3365">
        <w:rPr>
          <w:bCs/>
          <w:lang w:val="en-GB"/>
        </w:rPr>
        <w:t xml:space="preserve">We warrant that </w:t>
      </w:r>
      <w:r>
        <w:rPr>
          <w:bCs/>
          <w:lang w:val="en-GB"/>
        </w:rPr>
        <w:t>I/</w:t>
      </w:r>
      <w:r w:rsidRPr="006D3365">
        <w:rPr>
          <w:bCs/>
          <w:lang w:val="en-GB"/>
        </w:rPr>
        <w:t xml:space="preserve">we have truthfully and fully answered the relevant questions in this </w:t>
      </w:r>
      <w:r>
        <w:rPr>
          <w:bCs/>
          <w:lang w:val="en-GB"/>
        </w:rPr>
        <w:t>Notification</w:t>
      </w:r>
      <w:r w:rsidRPr="006D3365">
        <w:rPr>
          <w:bCs/>
          <w:lang w:val="en-GB"/>
        </w:rPr>
        <w:t xml:space="preserve"> </w:t>
      </w:r>
      <w:r>
        <w:rPr>
          <w:bCs/>
          <w:lang w:val="en-GB"/>
        </w:rPr>
        <w:t>F</w:t>
      </w:r>
      <w:r w:rsidRPr="006D3365">
        <w:rPr>
          <w:bCs/>
          <w:lang w:val="en-GB"/>
        </w:rPr>
        <w:t>orm and disclosed any other information which might reasonably be considered relevant for the purpose of the application.</w:t>
      </w:r>
    </w:p>
    <w:p w14:paraId="3B323E82" w14:textId="77777777" w:rsidR="00294864" w:rsidRPr="006D3365" w:rsidRDefault="00294864" w:rsidP="00294864">
      <w:pPr>
        <w:spacing w:after="0" w:line="360" w:lineRule="auto"/>
        <w:jc w:val="both"/>
        <w:rPr>
          <w:bCs/>
          <w:lang w:val="en-GB"/>
        </w:rPr>
      </w:pPr>
    </w:p>
    <w:p w14:paraId="1194D6DF" w14:textId="05E3B0AF" w:rsidR="00294864" w:rsidRDefault="00294864" w:rsidP="00294864">
      <w:pPr>
        <w:spacing w:after="0" w:line="360" w:lineRule="auto"/>
        <w:jc w:val="both"/>
        <w:rPr>
          <w:bCs/>
          <w:lang w:val="en-GB"/>
        </w:rPr>
      </w:pPr>
      <w:r>
        <w:rPr>
          <w:bCs/>
          <w:lang w:val="en-GB"/>
        </w:rPr>
        <w:t>I/</w:t>
      </w:r>
      <w:r w:rsidRPr="006D3365">
        <w:rPr>
          <w:bCs/>
          <w:lang w:val="en-GB"/>
        </w:rPr>
        <w:t xml:space="preserve">We warrant that </w:t>
      </w:r>
      <w:r w:rsidR="001F6EFF">
        <w:rPr>
          <w:bCs/>
          <w:lang w:val="en-GB"/>
        </w:rPr>
        <w:t>I/</w:t>
      </w:r>
      <w:r w:rsidRPr="006D3365">
        <w:rPr>
          <w:bCs/>
          <w:lang w:val="en-GB"/>
        </w:rPr>
        <w:t xml:space="preserve">we will promptly notify the Central Bank of any changes in the information we have provided and supply any other relevant information which may come to light in the period during which the application is being considered and, </w:t>
      </w:r>
      <w:r w:rsidR="005C564A">
        <w:rPr>
          <w:bCs/>
          <w:lang w:val="en-GB"/>
        </w:rPr>
        <w:t xml:space="preserve">where </w:t>
      </w:r>
      <w:r w:rsidRPr="006D3365">
        <w:rPr>
          <w:bCs/>
          <w:lang w:val="en-GB"/>
        </w:rPr>
        <w:t>the application is accepted, thereafter.</w:t>
      </w:r>
    </w:p>
    <w:p w14:paraId="1603F418" w14:textId="77777777" w:rsidR="00294864" w:rsidRPr="006D3365" w:rsidRDefault="00294864" w:rsidP="00294864">
      <w:pPr>
        <w:spacing w:after="0" w:line="360" w:lineRule="auto"/>
        <w:jc w:val="both"/>
        <w:rPr>
          <w:bCs/>
          <w:lang w:val="en-GB"/>
        </w:rPr>
      </w:pPr>
    </w:p>
    <w:p w14:paraId="30B7F058" w14:textId="2B707215" w:rsidR="00294864" w:rsidRDefault="00294864" w:rsidP="00294864">
      <w:pPr>
        <w:spacing w:after="0" w:line="360" w:lineRule="auto"/>
        <w:jc w:val="both"/>
        <w:rPr>
          <w:b/>
          <w:bCs/>
          <w:lang w:val="en-GB"/>
        </w:rPr>
      </w:pPr>
      <w:r>
        <w:rPr>
          <w:bCs/>
          <w:lang w:val="en-GB"/>
        </w:rPr>
        <w:t>I/</w:t>
      </w:r>
      <w:r w:rsidRPr="006D3365">
        <w:rPr>
          <w:bCs/>
          <w:lang w:val="en-GB"/>
        </w:rPr>
        <w:t xml:space="preserve">We warrant that </w:t>
      </w:r>
      <w:r w:rsidR="001F6EFF">
        <w:rPr>
          <w:bCs/>
          <w:lang w:val="en-GB"/>
        </w:rPr>
        <w:t>I/</w:t>
      </w:r>
      <w:r w:rsidRPr="006D3365">
        <w:rPr>
          <w:bCs/>
          <w:lang w:val="en-GB"/>
        </w:rPr>
        <w:t xml:space="preserve">we </w:t>
      </w:r>
      <w:r w:rsidR="001F6EFF">
        <w:rPr>
          <w:bCs/>
          <w:lang w:val="en-GB"/>
        </w:rPr>
        <w:t>am/</w:t>
      </w:r>
      <w:r w:rsidRPr="006D3365">
        <w:rPr>
          <w:bCs/>
          <w:lang w:val="en-GB"/>
        </w:rPr>
        <w:t xml:space="preserve">are authorised to make this application for </w:t>
      </w:r>
      <w:r w:rsidR="005C564A">
        <w:rPr>
          <w:bCs/>
          <w:lang w:val="en-GB"/>
        </w:rPr>
        <w:t xml:space="preserve">the </w:t>
      </w:r>
      <w:r w:rsidR="00FF5265">
        <w:rPr>
          <w:bCs/>
          <w:lang w:val="en-GB"/>
        </w:rPr>
        <w:t>provision of services</w:t>
      </w:r>
      <w:r w:rsidR="005C564A">
        <w:rPr>
          <w:bCs/>
          <w:lang w:val="en-GB"/>
        </w:rPr>
        <w:t xml:space="preserve"> </w:t>
      </w:r>
      <w:r w:rsidRPr="006D3365">
        <w:rPr>
          <w:bCs/>
          <w:lang w:val="en-GB"/>
        </w:rPr>
        <w:t>on behalf</w:t>
      </w:r>
      <w:r>
        <w:rPr>
          <w:bCs/>
          <w:lang w:val="en-GB"/>
        </w:rPr>
        <w:t xml:space="preserve"> of</w:t>
      </w:r>
      <w:r w:rsidRPr="006D3365">
        <w:rPr>
          <w:bCs/>
          <w:lang w:val="en-GB"/>
        </w:rPr>
        <w:t xml:space="preserve"> </w:t>
      </w:r>
      <w:r w:rsidRPr="006D3365">
        <w:rPr>
          <w:b/>
          <w:bCs/>
          <w:lang w:val="en-GB"/>
        </w:rPr>
        <w:t>[</w:t>
      </w:r>
      <w:r w:rsidRPr="006D3365">
        <w:rPr>
          <w:b/>
          <w:bCs/>
          <w:i/>
          <w:lang w:val="en-GB"/>
        </w:rPr>
        <w:t xml:space="preserve">insert </w:t>
      </w:r>
      <w:r>
        <w:rPr>
          <w:b/>
          <w:bCs/>
          <w:i/>
          <w:lang w:val="en-GB"/>
        </w:rPr>
        <w:t xml:space="preserve">full legal </w:t>
      </w:r>
      <w:r w:rsidRPr="006D3365">
        <w:rPr>
          <w:b/>
          <w:bCs/>
          <w:i/>
          <w:lang w:val="en-GB"/>
        </w:rPr>
        <w:t>name of applicant</w:t>
      </w:r>
      <w:r w:rsidRPr="006D3365">
        <w:rPr>
          <w:b/>
          <w:bCs/>
          <w:lang w:val="en-GB"/>
        </w:rPr>
        <w:t>].</w:t>
      </w:r>
    </w:p>
    <w:p w14:paraId="1B8C3F94" w14:textId="77777777" w:rsidR="00294864" w:rsidRDefault="00294864" w:rsidP="00294864">
      <w:pPr>
        <w:spacing w:after="0" w:line="360" w:lineRule="auto"/>
        <w:jc w:val="both"/>
        <w:rPr>
          <w:b/>
          <w:bCs/>
          <w:lang w:val="en-GB"/>
        </w:rPr>
      </w:pPr>
    </w:p>
    <w:p w14:paraId="6E6FE1E9" w14:textId="77777777" w:rsidR="00294864" w:rsidRDefault="00294864" w:rsidP="00294864">
      <w:pPr>
        <w:spacing w:after="0" w:line="360" w:lineRule="auto"/>
        <w:jc w:val="both"/>
        <w:rPr>
          <w:b/>
          <w:bCs/>
          <w:lang w:val="en-GB"/>
        </w:rPr>
      </w:pPr>
    </w:p>
    <w:p w14:paraId="553A9CFB" w14:textId="77777777" w:rsidR="00294864" w:rsidRDefault="00294864" w:rsidP="00294864">
      <w:pPr>
        <w:spacing w:after="0" w:line="360" w:lineRule="auto"/>
        <w:jc w:val="both"/>
        <w:rPr>
          <w:b/>
          <w:bCs/>
          <w:lang w:val="en-GB"/>
        </w:rPr>
      </w:pPr>
    </w:p>
    <w:p w14:paraId="44A53468" w14:textId="77777777" w:rsidR="00294864" w:rsidRDefault="00294864" w:rsidP="00294864">
      <w:pPr>
        <w:spacing w:after="0" w:line="360" w:lineRule="auto"/>
        <w:jc w:val="both"/>
        <w:rPr>
          <w:b/>
          <w:bCs/>
          <w:lang w:val="en-GB"/>
        </w:rPr>
      </w:pPr>
    </w:p>
    <w:p w14:paraId="10D850DA" w14:textId="4E47AB78" w:rsidR="00294864" w:rsidRDefault="00294864" w:rsidP="00294864">
      <w:pPr>
        <w:spacing w:after="0" w:line="360" w:lineRule="auto"/>
        <w:jc w:val="both"/>
        <w:rPr>
          <w:b/>
          <w:bCs/>
          <w:lang w:val="en-GB"/>
        </w:rPr>
      </w:pPr>
    </w:p>
    <w:p w14:paraId="2E8A0A2A" w14:textId="77777777" w:rsidR="00B4258D" w:rsidRDefault="00B4258D" w:rsidP="00294864">
      <w:pPr>
        <w:spacing w:after="0" w:line="360" w:lineRule="auto"/>
        <w:jc w:val="both"/>
        <w:rPr>
          <w:b/>
          <w:bCs/>
          <w:lang w:val="en-GB"/>
        </w:rPr>
      </w:pPr>
    </w:p>
    <w:p w14:paraId="55A27138" w14:textId="77777777" w:rsidR="00294864" w:rsidRPr="006D3365" w:rsidRDefault="00294864" w:rsidP="00294864">
      <w:pPr>
        <w:spacing w:after="0" w:line="360" w:lineRule="auto"/>
        <w:jc w:val="both"/>
        <w:rPr>
          <w:b/>
          <w:bCs/>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294864" w:rsidRPr="007173DC" w14:paraId="115477AB" w14:textId="77777777" w:rsidTr="00B3366A">
        <w:trPr>
          <w:trHeight w:val="423"/>
        </w:trPr>
        <w:tc>
          <w:tcPr>
            <w:tcW w:w="2122" w:type="dxa"/>
            <w:shd w:val="clear" w:color="auto" w:fill="D9D9D9" w:themeFill="background1" w:themeFillShade="D9"/>
          </w:tcPr>
          <w:p w14:paraId="53DE49C2" w14:textId="77777777" w:rsidR="00294864" w:rsidRPr="006D3365" w:rsidRDefault="00294864" w:rsidP="00B3366A">
            <w:pPr>
              <w:jc w:val="both"/>
              <w:rPr>
                <w:b/>
                <w:lang w:val="en-GB"/>
              </w:rPr>
            </w:pPr>
            <w:r w:rsidRPr="006D3365">
              <w:rPr>
                <w:b/>
                <w:lang w:val="en-GB"/>
              </w:rPr>
              <w:lastRenderedPageBreak/>
              <w:t>For and on behalf of:</w:t>
            </w:r>
          </w:p>
        </w:tc>
        <w:tc>
          <w:tcPr>
            <w:tcW w:w="6478" w:type="dxa"/>
          </w:tcPr>
          <w:p w14:paraId="11C07E35" w14:textId="77777777" w:rsidR="00294864" w:rsidRDefault="00294864" w:rsidP="00B3366A">
            <w:pPr>
              <w:jc w:val="both"/>
              <w:rPr>
                <w:b/>
                <w:lang w:val="en-GB"/>
              </w:rPr>
            </w:pPr>
            <w:r>
              <w:rPr>
                <w:b/>
                <w:lang w:val="en-GB"/>
              </w:rPr>
              <w:t>[insert full legal name of applicant]</w:t>
            </w:r>
          </w:p>
          <w:p w14:paraId="20B66BDB" w14:textId="77777777" w:rsidR="00294864" w:rsidRPr="006D3365" w:rsidRDefault="00294864" w:rsidP="00B3366A">
            <w:pPr>
              <w:jc w:val="both"/>
              <w:rPr>
                <w:b/>
                <w:lang w:val="en-GB"/>
              </w:rPr>
            </w:pPr>
          </w:p>
        </w:tc>
      </w:tr>
      <w:tr w:rsidR="00294864" w:rsidRPr="007173DC" w14:paraId="1EE6FA5E" w14:textId="77777777" w:rsidTr="00B3366A">
        <w:trPr>
          <w:trHeight w:val="1971"/>
        </w:trPr>
        <w:tc>
          <w:tcPr>
            <w:tcW w:w="2122" w:type="dxa"/>
            <w:shd w:val="clear" w:color="auto" w:fill="D9D9D9" w:themeFill="background1" w:themeFillShade="D9"/>
          </w:tcPr>
          <w:p w14:paraId="707F9D0E" w14:textId="77777777" w:rsidR="00294864" w:rsidRPr="007173DC" w:rsidRDefault="00294864" w:rsidP="00B3366A">
            <w:pPr>
              <w:jc w:val="both"/>
              <w:rPr>
                <w:b/>
                <w:lang w:val="en-GB"/>
              </w:rPr>
            </w:pPr>
            <w:r w:rsidRPr="007173DC">
              <w:rPr>
                <w:b/>
                <w:lang w:val="en-GB"/>
              </w:rPr>
              <w:t>Name (Printed):</w:t>
            </w:r>
          </w:p>
          <w:p w14:paraId="6AB91C4B" w14:textId="77777777" w:rsidR="00294864" w:rsidRPr="006D3365" w:rsidRDefault="00294864" w:rsidP="00B3366A">
            <w:pPr>
              <w:jc w:val="both"/>
              <w:rPr>
                <w:b/>
                <w:lang w:val="en-GB"/>
              </w:rPr>
            </w:pPr>
            <w:r w:rsidRPr="006D3365">
              <w:rPr>
                <w:b/>
                <w:lang w:val="en-GB"/>
              </w:rPr>
              <w:t>Title:</w:t>
            </w:r>
          </w:p>
          <w:p w14:paraId="5A7F4CF9" w14:textId="77777777" w:rsidR="00294864" w:rsidRPr="006D3365" w:rsidRDefault="00294864" w:rsidP="00B3366A">
            <w:pPr>
              <w:jc w:val="both"/>
              <w:rPr>
                <w:b/>
                <w:lang w:val="en-GB"/>
              </w:rPr>
            </w:pPr>
          </w:p>
          <w:p w14:paraId="60B8E397" w14:textId="77777777" w:rsidR="00294864" w:rsidRPr="006D3365" w:rsidRDefault="00294864" w:rsidP="00B3366A">
            <w:pPr>
              <w:jc w:val="both"/>
              <w:rPr>
                <w:b/>
                <w:lang w:val="en-GB"/>
              </w:rPr>
            </w:pPr>
            <w:r w:rsidRPr="006D3365">
              <w:rPr>
                <w:b/>
                <w:lang w:val="en-GB"/>
              </w:rPr>
              <w:t>Signature:</w:t>
            </w:r>
          </w:p>
          <w:p w14:paraId="300010B7" w14:textId="77777777" w:rsidR="00294864" w:rsidRPr="006D3365" w:rsidRDefault="00294864" w:rsidP="00B3366A">
            <w:pPr>
              <w:jc w:val="both"/>
              <w:rPr>
                <w:b/>
                <w:lang w:val="en-GB"/>
              </w:rPr>
            </w:pPr>
            <w:r w:rsidRPr="006D3365">
              <w:rPr>
                <w:b/>
                <w:lang w:val="en-GB"/>
              </w:rPr>
              <w:t>Date:</w:t>
            </w:r>
          </w:p>
        </w:tc>
        <w:tc>
          <w:tcPr>
            <w:tcW w:w="6478" w:type="dxa"/>
          </w:tcPr>
          <w:p w14:paraId="0D8E15CC" w14:textId="77777777" w:rsidR="00294864" w:rsidRPr="006D3365" w:rsidRDefault="00294864" w:rsidP="00B3366A">
            <w:pPr>
              <w:jc w:val="both"/>
              <w:rPr>
                <w:b/>
                <w:lang w:val="en-GB"/>
              </w:rPr>
            </w:pPr>
          </w:p>
        </w:tc>
      </w:tr>
      <w:tr w:rsidR="00294864" w:rsidRPr="007173DC" w14:paraId="23C35364" w14:textId="77777777" w:rsidTr="009D4D98">
        <w:trPr>
          <w:trHeight w:val="3065"/>
        </w:trPr>
        <w:tc>
          <w:tcPr>
            <w:tcW w:w="2122" w:type="dxa"/>
            <w:shd w:val="clear" w:color="auto" w:fill="D9D9D9" w:themeFill="background1" w:themeFillShade="D9"/>
          </w:tcPr>
          <w:p w14:paraId="1E1FB806" w14:textId="77777777" w:rsidR="00294864" w:rsidRPr="007173DC" w:rsidRDefault="00294864" w:rsidP="00B3366A">
            <w:pPr>
              <w:jc w:val="both"/>
              <w:rPr>
                <w:b/>
                <w:lang w:val="en-GB"/>
              </w:rPr>
            </w:pPr>
            <w:r w:rsidRPr="007173DC">
              <w:rPr>
                <w:b/>
                <w:lang w:val="en-GB"/>
              </w:rPr>
              <w:t>Name (Printed):</w:t>
            </w:r>
          </w:p>
          <w:p w14:paraId="41E389C8" w14:textId="77777777" w:rsidR="00294864" w:rsidRPr="006D3365" w:rsidRDefault="00294864" w:rsidP="00B3366A">
            <w:pPr>
              <w:jc w:val="both"/>
              <w:rPr>
                <w:b/>
                <w:lang w:val="en-GB"/>
              </w:rPr>
            </w:pPr>
            <w:r w:rsidRPr="006D3365">
              <w:rPr>
                <w:b/>
                <w:lang w:val="en-GB"/>
              </w:rPr>
              <w:t>Title:</w:t>
            </w:r>
          </w:p>
          <w:p w14:paraId="5129A20F" w14:textId="77777777" w:rsidR="00294864" w:rsidRPr="006D3365" w:rsidRDefault="00294864" w:rsidP="00B3366A">
            <w:pPr>
              <w:jc w:val="both"/>
              <w:rPr>
                <w:b/>
                <w:lang w:val="en-GB"/>
              </w:rPr>
            </w:pPr>
          </w:p>
          <w:p w14:paraId="453B0293" w14:textId="77777777" w:rsidR="00294864" w:rsidRPr="006D3365" w:rsidRDefault="00294864" w:rsidP="00B3366A">
            <w:pPr>
              <w:jc w:val="both"/>
              <w:rPr>
                <w:b/>
                <w:lang w:val="en-GB"/>
              </w:rPr>
            </w:pPr>
            <w:r w:rsidRPr="006D3365">
              <w:rPr>
                <w:b/>
                <w:lang w:val="en-GB"/>
              </w:rPr>
              <w:t>Signature:</w:t>
            </w:r>
          </w:p>
          <w:p w14:paraId="03DE952D" w14:textId="77777777" w:rsidR="00294864" w:rsidRPr="006D3365" w:rsidRDefault="00294864" w:rsidP="00B3366A">
            <w:pPr>
              <w:jc w:val="both"/>
              <w:rPr>
                <w:b/>
                <w:lang w:val="en-GB"/>
              </w:rPr>
            </w:pPr>
            <w:r w:rsidRPr="006D3365">
              <w:rPr>
                <w:b/>
                <w:lang w:val="en-GB"/>
              </w:rPr>
              <w:t>Date:</w:t>
            </w:r>
          </w:p>
          <w:p w14:paraId="0D0D95AD" w14:textId="77777777" w:rsidR="00294864" w:rsidRPr="006D3365" w:rsidRDefault="00294864" w:rsidP="00B3366A">
            <w:pPr>
              <w:jc w:val="both"/>
              <w:rPr>
                <w:b/>
                <w:lang w:val="en-GB"/>
              </w:rPr>
            </w:pPr>
          </w:p>
        </w:tc>
        <w:tc>
          <w:tcPr>
            <w:tcW w:w="6478" w:type="dxa"/>
          </w:tcPr>
          <w:p w14:paraId="5D33B569" w14:textId="77777777" w:rsidR="00294864" w:rsidRPr="006D3365" w:rsidRDefault="00294864" w:rsidP="00B3366A">
            <w:pPr>
              <w:jc w:val="both"/>
              <w:rPr>
                <w:b/>
                <w:lang w:val="en-GB"/>
              </w:rPr>
            </w:pPr>
          </w:p>
        </w:tc>
      </w:tr>
      <w:tr w:rsidR="00294864" w:rsidRPr="007173DC" w14:paraId="463C09FB" w14:textId="77777777" w:rsidTr="00B3366A">
        <w:trPr>
          <w:trHeight w:val="509"/>
        </w:trPr>
        <w:tc>
          <w:tcPr>
            <w:tcW w:w="8600" w:type="dxa"/>
            <w:gridSpan w:val="2"/>
          </w:tcPr>
          <w:p w14:paraId="1762D96E" w14:textId="77777777" w:rsidR="00294864" w:rsidRPr="001F6EFF" w:rsidRDefault="00294864" w:rsidP="00B3366A">
            <w:pPr>
              <w:jc w:val="both"/>
              <w:rPr>
                <w:b/>
                <w:lang w:val="en-GB"/>
              </w:rPr>
            </w:pPr>
            <w:r w:rsidRPr="009D4D98">
              <w:rPr>
                <w:b/>
                <w:bCs/>
                <w:i/>
                <w:iCs/>
                <w:lang w:val="en-GB"/>
              </w:rPr>
              <w:t>(Please print name of the applicant. At least two directors, including the Chief Executive/Managing Director must sign the Declaration above.  Original signatures are required.)</w:t>
            </w:r>
          </w:p>
        </w:tc>
      </w:tr>
    </w:tbl>
    <w:p w14:paraId="0857C4CB" w14:textId="77777777" w:rsidR="00294864" w:rsidRPr="007173DC" w:rsidRDefault="00294864" w:rsidP="00294864">
      <w:pPr>
        <w:spacing w:before="240" w:after="120"/>
        <w:jc w:val="both"/>
        <w:rPr>
          <w:rFonts w:eastAsia="MS PGothic"/>
          <w:lang w:val="en-GB"/>
        </w:rPr>
      </w:pPr>
    </w:p>
    <w:p w14:paraId="2A2554B9" w14:textId="726A15D4" w:rsidR="00294864" w:rsidRPr="00B67815" w:rsidRDefault="00294864" w:rsidP="00294864">
      <w:pPr>
        <w:jc w:val="both"/>
        <w:rPr>
          <w:rFonts w:cstheme="minorHAnsi"/>
          <w:b/>
          <w:lang w:val="en-GB"/>
        </w:rPr>
      </w:pPr>
      <w:r w:rsidRPr="00FF5265">
        <w:rPr>
          <w:b/>
          <w:iCs/>
          <w:lang w:val="en-GB"/>
        </w:rPr>
        <w:t xml:space="preserve">Provisions in this document should not be deleted nor amended in any manner. </w:t>
      </w:r>
      <w:r w:rsidRPr="00B67815">
        <w:rPr>
          <w:rFonts w:cstheme="minorHAnsi"/>
          <w:b/>
          <w:lang w:val="en-GB"/>
        </w:rPr>
        <w:t xml:space="preserve">Applicants should note that it is an offence under the </w:t>
      </w:r>
      <w:r w:rsidRPr="00FF5265">
        <w:rPr>
          <w:rFonts w:eastAsia="Times New Roman" w:cs="Arial"/>
          <w:b/>
          <w:bCs/>
          <w:color w:val="000000"/>
          <w:lang w:eastAsia="en-IE"/>
        </w:rPr>
        <w:t>European Union (Payment Services) Regulations 2018</w:t>
      </w:r>
      <w:r w:rsidRPr="00B67815">
        <w:rPr>
          <w:rFonts w:cstheme="minorHAnsi"/>
          <w:b/>
          <w:lang w:val="en-GB"/>
        </w:rPr>
        <w:t xml:space="preserve"> and the European Communities (Electronic Money) Regulations 2011 (as amended) to provide false or misleading information in relation to: (i) obtaining an authorisation to operate as respectively a payment institution or </w:t>
      </w:r>
      <w:r w:rsidR="005C564A" w:rsidRPr="00B67815">
        <w:rPr>
          <w:rFonts w:cstheme="minorHAnsi"/>
          <w:b/>
          <w:lang w:val="en-GB"/>
        </w:rPr>
        <w:t xml:space="preserve">an </w:t>
      </w:r>
      <w:r w:rsidRPr="00B67815">
        <w:rPr>
          <w:rFonts w:cstheme="minorHAnsi"/>
          <w:b/>
          <w:lang w:val="en-GB"/>
        </w:rPr>
        <w:t>e-money institution, or (ii) an approval, waiver or permission from the Central Bank concerning the operation of respectively a payment institution or an e</w:t>
      </w:r>
      <w:r w:rsidR="005C564A" w:rsidRPr="00B67815">
        <w:rPr>
          <w:rFonts w:cstheme="minorHAnsi"/>
          <w:b/>
          <w:lang w:val="en-GB"/>
        </w:rPr>
        <w:t>-</w:t>
      </w:r>
      <w:r w:rsidRPr="00B67815">
        <w:rPr>
          <w:rFonts w:cstheme="minorHAnsi"/>
          <w:b/>
          <w:lang w:val="en-GB"/>
        </w:rPr>
        <w:t>money institution.</w:t>
      </w:r>
    </w:p>
    <w:p w14:paraId="7D0FB494" w14:textId="750BD1DB" w:rsidR="00CD7ECA" w:rsidRDefault="00294864">
      <w:pPr>
        <w:rPr>
          <w:rFonts w:eastAsia="MS PGothic"/>
          <w:lang w:val="en-GB"/>
        </w:rPr>
      </w:pPr>
      <w:r>
        <w:rPr>
          <w:rFonts w:cstheme="minorHAnsi"/>
          <w:b/>
          <w:lang w:val="en-GB"/>
        </w:rPr>
        <w:br w:type="page"/>
      </w:r>
    </w:p>
    <w:p w14:paraId="4335328E" w14:textId="7A7C13DF" w:rsidR="003046A7" w:rsidRDefault="003046A7" w:rsidP="003046A7">
      <w:pPr>
        <w:jc w:val="both"/>
        <w:rPr>
          <w:sz w:val="12"/>
          <w:lang w:val="en-GB"/>
        </w:rPr>
      </w:pPr>
      <w:r w:rsidRPr="007F089A">
        <w:rPr>
          <w:b/>
          <w:noProof/>
          <w:lang w:eastAsia="en-IE"/>
        </w:rPr>
        <w:lastRenderedPageBreak/>
        <mc:AlternateContent>
          <mc:Choice Requires="wps">
            <w:drawing>
              <wp:anchor distT="0" distB="0" distL="114300" distR="114300" simplePos="0" relativeHeight="251662336" behindDoc="0" locked="0" layoutInCell="1" allowOverlap="1" wp14:anchorId="274B8092" wp14:editId="5D231398">
                <wp:simplePos x="0" y="0"/>
                <wp:positionH relativeFrom="column">
                  <wp:posOffset>-1140823</wp:posOffset>
                </wp:positionH>
                <wp:positionV relativeFrom="paragraph">
                  <wp:posOffset>-962206</wp:posOffset>
                </wp:positionV>
                <wp:extent cx="11583670" cy="11785600"/>
                <wp:effectExtent l="0" t="0" r="17780" b="25400"/>
                <wp:wrapNone/>
                <wp:docPr id="2" name="Rectangle 2"/>
                <wp:cNvGraphicFramePr/>
                <a:graphic xmlns:a="http://schemas.openxmlformats.org/drawingml/2006/main">
                  <a:graphicData uri="http://schemas.microsoft.com/office/word/2010/wordprocessingShape">
                    <wps:wsp>
                      <wps:cNvSpPr/>
                      <wps:spPr>
                        <a:xfrm>
                          <a:off x="0" y="0"/>
                          <a:ext cx="11583670" cy="11785600"/>
                        </a:xfrm>
                        <a:prstGeom prst="rect">
                          <a:avLst/>
                        </a:prstGeom>
                        <a:solidFill>
                          <a:srgbClr val="4BACC6"/>
                        </a:solidFill>
                        <a:ln w="25400" cap="flat" cmpd="sng" algn="ctr">
                          <a:solidFill>
                            <a:srgbClr val="4BACC6">
                              <a:shade val="50000"/>
                            </a:srgbClr>
                          </a:solidFill>
                          <a:prstDash val="solid"/>
                        </a:ln>
                        <a:effectLst/>
                      </wps:spPr>
                      <wps:txbx>
                        <w:txbxContent>
                          <w:p w14:paraId="34717714" w14:textId="77777777" w:rsidR="00CD7605" w:rsidRDefault="00CD7605" w:rsidP="003046A7">
                            <w:pPr>
                              <w:rPr>
                                <w:b/>
                                <w:lang w:val="en-GB"/>
                              </w:rPr>
                            </w:pPr>
                          </w:p>
                          <w:p w14:paraId="7FF1F6CE" w14:textId="77777777" w:rsidR="00CD7605" w:rsidRDefault="00CD7605" w:rsidP="003046A7">
                            <w:pPr>
                              <w:rPr>
                                <w:b/>
                                <w:lang w:val="en-GB"/>
                              </w:rPr>
                            </w:pPr>
                          </w:p>
                          <w:p w14:paraId="0096340D" w14:textId="77777777" w:rsidR="00CD7605" w:rsidRDefault="00CD7605" w:rsidP="003046A7">
                            <w:pPr>
                              <w:rPr>
                                <w:b/>
                                <w:lang w:val="en-GB"/>
                              </w:rPr>
                            </w:pPr>
                          </w:p>
                          <w:p w14:paraId="1D5789E7" w14:textId="58F9025B" w:rsidR="00CD7605" w:rsidRPr="00CB40E8" w:rsidRDefault="00CD7605" w:rsidP="003046A7">
                            <w:pPr>
                              <w:ind w:left="720" w:firstLine="720"/>
                              <w:rPr>
                                <w:b/>
                                <w:color w:val="FFFFFF" w:themeColor="background1"/>
                                <w:lang w:val="en-GB"/>
                              </w:rPr>
                            </w:pPr>
                            <w:r w:rsidRPr="00CB40E8">
                              <w:rPr>
                                <w:b/>
                                <w:color w:val="FFFFFF" w:themeColor="background1"/>
                                <w:lang w:val="en-GB"/>
                              </w:rPr>
                              <w:t>T +353 1 224</w:t>
                            </w:r>
                            <w:r>
                              <w:rPr>
                                <w:b/>
                                <w:color w:val="FFFFFF" w:themeColor="background1"/>
                                <w:lang w:val="en-GB"/>
                              </w:rPr>
                              <w:t xml:space="preserve"> 4591</w:t>
                            </w:r>
                            <w:r w:rsidRPr="00CB40E8">
                              <w:rPr>
                                <w:b/>
                                <w:color w:val="FFFFFF" w:themeColor="background1"/>
                                <w:lang w:val="en-GB"/>
                              </w:rPr>
                              <w:t xml:space="preserve">     </w:t>
                            </w:r>
                            <w:r>
                              <w:rPr>
                                <w:b/>
                                <w:color w:val="FFFFFF" w:themeColor="background1"/>
                                <w:lang w:val="en-GB"/>
                              </w:rPr>
                              <w:tab/>
                            </w:r>
                            <w:r w:rsidRPr="00CB40E8">
                              <w:rPr>
                                <w:b/>
                                <w:color w:val="FFFFFF" w:themeColor="background1"/>
                                <w:lang w:val="en-GB"/>
                              </w:rPr>
                              <w:t xml:space="preserve">     www.centralbank.ie         </w:t>
                            </w:r>
                            <w:r w:rsidRPr="00CB40E8">
                              <w:rPr>
                                <w:b/>
                                <w:color w:val="FFFFFF" w:themeColor="background1"/>
                                <w:lang w:val="en-GB"/>
                              </w:rPr>
                              <w:tab/>
                            </w:r>
                            <w:r>
                              <w:rPr>
                                <w:b/>
                                <w:color w:val="FFFFFF" w:themeColor="background1"/>
                                <w:lang w:val="en-GB"/>
                              </w:rPr>
                              <w:t>payment</w:t>
                            </w:r>
                            <w:r w:rsidR="00C47187">
                              <w:rPr>
                                <w:b/>
                                <w:color w:val="FFFFFF" w:themeColor="background1"/>
                                <w:lang w:val="en-GB"/>
                              </w:rPr>
                              <w:t>s</w:t>
                            </w:r>
                            <w:r>
                              <w:rPr>
                                <w:b/>
                                <w:color w:val="FFFFFF" w:themeColor="background1"/>
                                <w:lang w:val="en-GB"/>
                              </w:rPr>
                              <w:t>paspporting</w:t>
                            </w:r>
                            <w:r w:rsidRPr="00CB40E8">
                              <w:rPr>
                                <w:b/>
                                <w:color w:val="FFFFFF" w:themeColor="background1"/>
                                <w:lang w:val="en-GB"/>
                              </w:rPr>
                              <w:t xml:space="preserve">@centralbank.ie     </w:t>
                            </w:r>
                          </w:p>
                          <w:p w14:paraId="425218B8" w14:textId="77777777" w:rsidR="00CD7605" w:rsidRDefault="00CD7605" w:rsidP="003046A7">
                            <w:pPr>
                              <w:jc w:val="center"/>
                            </w:pPr>
                          </w:p>
                          <w:p w14:paraId="628B19DB" w14:textId="77777777" w:rsidR="00CD7605" w:rsidRDefault="00CD7605" w:rsidP="003046A7">
                            <w:pPr>
                              <w:jc w:val="center"/>
                            </w:pPr>
                          </w:p>
                          <w:p w14:paraId="0D6BC1F9" w14:textId="77777777" w:rsidR="00CD7605" w:rsidRDefault="00CD7605" w:rsidP="003046A7">
                            <w:pPr>
                              <w:jc w:val="center"/>
                            </w:pPr>
                          </w:p>
                          <w:p w14:paraId="79FD3802" w14:textId="77777777" w:rsidR="00CD7605" w:rsidRDefault="00CD7605" w:rsidP="003046A7">
                            <w:pPr>
                              <w:jc w:val="center"/>
                            </w:pPr>
                          </w:p>
                          <w:p w14:paraId="025A9AAB" w14:textId="77777777" w:rsidR="00CD7605" w:rsidRDefault="00CD7605" w:rsidP="003046A7">
                            <w:pPr>
                              <w:jc w:val="center"/>
                            </w:pPr>
                          </w:p>
                          <w:p w14:paraId="68EC4200" w14:textId="77777777" w:rsidR="00CD7605" w:rsidRDefault="00CD7605" w:rsidP="003046A7">
                            <w:pPr>
                              <w:jc w:val="center"/>
                            </w:pPr>
                          </w:p>
                          <w:p w14:paraId="4AACD677" w14:textId="77777777" w:rsidR="00CD7605" w:rsidRDefault="00CD7605" w:rsidP="003046A7">
                            <w:pPr>
                              <w:jc w:val="center"/>
                            </w:pPr>
                          </w:p>
                          <w:p w14:paraId="63AC6341" w14:textId="77777777" w:rsidR="00CD7605" w:rsidRDefault="00CD7605" w:rsidP="003046A7">
                            <w:pPr>
                              <w:jc w:val="center"/>
                            </w:pPr>
                          </w:p>
                          <w:p w14:paraId="67688E27" w14:textId="77777777" w:rsidR="00CD7605" w:rsidRDefault="00CD7605" w:rsidP="003046A7">
                            <w:pPr>
                              <w:jc w:val="center"/>
                            </w:pPr>
                          </w:p>
                          <w:p w14:paraId="31224A55" w14:textId="77777777" w:rsidR="00CD7605" w:rsidRDefault="00CD7605" w:rsidP="003046A7">
                            <w:pPr>
                              <w:jc w:val="center"/>
                            </w:pPr>
                          </w:p>
                          <w:p w14:paraId="0B8A6265" w14:textId="77777777" w:rsidR="00CD7605" w:rsidRDefault="00CD7605" w:rsidP="003046A7">
                            <w:pPr>
                              <w:jc w:val="center"/>
                            </w:pPr>
                          </w:p>
                          <w:p w14:paraId="56ED630E" w14:textId="77777777" w:rsidR="00CD7605" w:rsidRDefault="00CD7605" w:rsidP="003046A7">
                            <w:pPr>
                              <w:jc w:val="center"/>
                            </w:pPr>
                          </w:p>
                          <w:p w14:paraId="6BFDE9EC" w14:textId="77777777" w:rsidR="00CD7605" w:rsidRDefault="00CD7605" w:rsidP="003046A7">
                            <w:pPr>
                              <w:jc w:val="center"/>
                            </w:pPr>
                          </w:p>
                          <w:p w14:paraId="0703FAC6" w14:textId="77777777" w:rsidR="00CD7605" w:rsidRDefault="00CD7605" w:rsidP="003046A7">
                            <w:pPr>
                              <w:jc w:val="center"/>
                            </w:pPr>
                          </w:p>
                          <w:p w14:paraId="3EB8311B" w14:textId="77777777" w:rsidR="00CD7605" w:rsidRDefault="00CD7605" w:rsidP="003046A7">
                            <w:pPr>
                              <w:jc w:val="center"/>
                            </w:pPr>
                          </w:p>
                          <w:p w14:paraId="3B40B4F9" w14:textId="77777777" w:rsidR="00CD7605" w:rsidRDefault="00CD7605" w:rsidP="003046A7">
                            <w:pPr>
                              <w:jc w:val="center"/>
                            </w:pPr>
                          </w:p>
                          <w:p w14:paraId="3C6B77F8" w14:textId="77777777" w:rsidR="00CD7605" w:rsidRDefault="00CD7605" w:rsidP="003046A7">
                            <w:pPr>
                              <w:jc w:val="center"/>
                            </w:pPr>
                          </w:p>
                          <w:p w14:paraId="01E631D3" w14:textId="77777777" w:rsidR="00CD7605" w:rsidRDefault="00CD7605" w:rsidP="003046A7">
                            <w:pPr>
                              <w:jc w:val="center"/>
                            </w:pPr>
                          </w:p>
                          <w:p w14:paraId="77121F20" w14:textId="77777777" w:rsidR="00CD7605" w:rsidRDefault="00CD7605" w:rsidP="003046A7">
                            <w:pPr>
                              <w:jc w:val="center"/>
                            </w:pPr>
                          </w:p>
                          <w:p w14:paraId="0D4106AA" w14:textId="77777777" w:rsidR="00CD7605" w:rsidRDefault="00CD7605" w:rsidP="003046A7">
                            <w:pPr>
                              <w:jc w:val="center"/>
                            </w:pPr>
                          </w:p>
                          <w:p w14:paraId="12A971DD" w14:textId="77777777" w:rsidR="00CD7605" w:rsidRDefault="00CD7605" w:rsidP="003046A7">
                            <w:pPr>
                              <w:jc w:val="center"/>
                            </w:pPr>
                          </w:p>
                          <w:p w14:paraId="0981F76A" w14:textId="77777777" w:rsidR="00CD7605" w:rsidRDefault="00CD7605" w:rsidP="003046A7">
                            <w:pPr>
                              <w:jc w:val="center"/>
                            </w:pPr>
                          </w:p>
                          <w:p w14:paraId="59FD65F6" w14:textId="77777777" w:rsidR="00CD7605" w:rsidRDefault="00CD7605" w:rsidP="003046A7">
                            <w:pPr>
                              <w:jc w:val="center"/>
                            </w:pPr>
                          </w:p>
                          <w:p w14:paraId="693D8101" w14:textId="77777777" w:rsidR="00CD7605" w:rsidRDefault="00CD7605" w:rsidP="003046A7">
                            <w:pPr>
                              <w:jc w:val="center"/>
                            </w:pPr>
                          </w:p>
                          <w:p w14:paraId="778B001E" w14:textId="77777777" w:rsidR="00CD7605" w:rsidRDefault="00CD7605" w:rsidP="003046A7">
                            <w:pPr>
                              <w:jc w:val="center"/>
                            </w:pPr>
                          </w:p>
                          <w:p w14:paraId="2A90694C" w14:textId="77777777" w:rsidR="00CD7605" w:rsidRDefault="00CD7605" w:rsidP="003046A7">
                            <w:pPr>
                              <w:jc w:val="center"/>
                            </w:pPr>
                          </w:p>
                          <w:p w14:paraId="01245FC1" w14:textId="77777777" w:rsidR="00CD7605" w:rsidRDefault="00CD7605" w:rsidP="003046A7">
                            <w:pPr>
                              <w:jc w:val="center"/>
                            </w:pPr>
                          </w:p>
                          <w:p w14:paraId="6B7A2C1A" w14:textId="77777777" w:rsidR="00CD7605" w:rsidRDefault="00CD7605" w:rsidP="003046A7">
                            <w:pPr>
                              <w:jc w:val="center"/>
                            </w:pPr>
                          </w:p>
                          <w:p w14:paraId="57C241E4" w14:textId="77777777" w:rsidR="00CD7605" w:rsidRDefault="00CD7605" w:rsidP="003046A7">
                            <w:pPr>
                              <w:jc w:val="center"/>
                            </w:pPr>
                          </w:p>
                          <w:p w14:paraId="52669F58" w14:textId="77777777" w:rsidR="00CD7605" w:rsidRDefault="00CD7605" w:rsidP="003046A7">
                            <w:pPr>
                              <w:jc w:val="center"/>
                            </w:pPr>
                          </w:p>
                          <w:p w14:paraId="45FBD2CD" w14:textId="77777777" w:rsidR="00CD7605" w:rsidRDefault="00CD7605" w:rsidP="003046A7">
                            <w:pPr>
                              <w:jc w:val="center"/>
                            </w:pPr>
                          </w:p>
                          <w:p w14:paraId="68D2E886" w14:textId="77777777" w:rsidR="00CD7605" w:rsidRDefault="00CD7605" w:rsidP="003046A7">
                            <w:pPr>
                              <w:jc w:val="center"/>
                            </w:pPr>
                          </w:p>
                          <w:p w14:paraId="7E2F45A7" w14:textId="77777777" w:rsidR="00CD7605" w:rsidRDefault="00CD7605" w:rsidP="003046A7">
                            <w:pPr>
                              <w:jc w:val="center"/>
                            </w:pPr>
                          </w:p>
                          <w:p w14:paraId="769003DD" w14:textId="77777777" w:rsidR="00CD7605" w:rsidRDefault="00CD7605" w:rsidP="003046A7">
                            <w:pPr>
                              <w:jc w:val="center"/>
                            </w:pPr>
                          </w:p>
                          <w:p w14:paraId="0DF11A38" w14:textId="77777777" w:rsidR="00CD7605" w:rsidRDefault="00CD7605" w:rsidP="003046A7">
                            <w:pPr>
                              <w:jc w:val="center"/>
                            </w:pPr>
                          </w:p>
                          <w:p w14:paraId="75877D3B" w14:textId="77777777" w:rsidR="00CD7605" w:rsidRDefault="00CD7605" w:rsidP="003046A7">
                            <w:pPr>
                              <w:jc w:val="center"/>
                            </w:pPr>
                          </w:p>
                          <w:p w14:paraId="69DC24AF" w14:textId="77777777" w:rsidR="00CD7605" w:rsidRDefault="00CD7605" w:rsidP="003046A7">
                            <w:pPr>
                              <w:jc w:val="center"/>
                            </w:pPr>
                          </w:p>
                          <w:p w14:paraId="3D784F47" w14:textId="77777777" w:rsidR="00CD7605" w:rsidRDefault="00CD7605" w:rsidP="003046A7">
                            <w:pPr>
                              <w:jc w:val="center"/>
                            </w:pPr>
                            <w:r>
                              <w:rPr>
                                <w:noProof/>
                                <w:lang w:eastAsia="en-IE"/>
                              </w:rPr>
                              <w:drawing>
                                <wp:inline distT="0" distB="0" distL="0" distR="0" wp14:anchorId="72AECEEE" wp14:editId="37457C8B">
                                  <wp:extent cx="2378075" cy="549910"/>
                                  <wp:effectExtent l="0" t="0" r="3175" b="2540"/>
                                  <wp:docPr id="7" name="Picture 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a:srcRect/>
                                          <a:stretch>
                                            <a:fillRect/>
                                          </a:stretch>
                                        </pic:blipFill>
                                        <pic:spPr bwMode="auto">
                                          <a:xfrm>
                                            <a:off x="0" y="0"/>
                                            <a:ext cx="2378075" cy="5499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B8092" id="Rectangle 2" o:spid="_x0000_s1026" style="position:absolute;left:0;text-align:left;margin-left:-89.85pt;margin-top:-75.75pt;width:912.1pt;height:9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" fillcolor="#4bacc6" strokecolor="#357d91" strokeweight="2pt">
                <v:textbox>
                  <w:txbxContent>
                    <w:p w14:paraId="34717714" w14:textId="77777777" w:rsidR="00CD7605" w:rsidRDefault="00CD7605" w:rsidP="003046A7">
                      <w:pPr>
                        <w:rPr>
                          <w:b/>
                          <w:lang w:val="en-GB"/>
                        </w:rPr>
                      </w:pPr>
                    </w:p>
                    <w:p w14:paraId="7FF1F6CE" w14:textId="77777777" w:rsidR="00CD7605" w:rsidRDefault="00CD7605" w:rsidP="003046A7">
                      <w:pPr>
                        <w:rPr>
                          <w:b/>
                          <w:lang w:val="en-GB"/>
                        </w:rPr>
                      </w:pPr>
                    </w:p>
                    <w:p w14:paraId="0096340D" w14:textId="77777777" w:rsidR="00CD7605" w:rsidRDefault="00CD7605" w:rsidP="003046A7">
                      <w:pPr>
                        <w:rPr>
                          <w:b/>
                          <w:lang w:val="en-GB"/>
                        </w:rPr>
                      </w:pPr>
                    </w:p>
                    <w:p w14:paraId="1D5789E7" w14:textId="58F9025B" w:rsidR="00CD7605" w:rsidRPr="00CB40E8" w:rsidRDefault="00CD7605" w:rsidP="003046A7">
                      <w:pPr>
                        <w:ind w:left="720" w:firstLine="720"/>
                        <w:rPr>
                          <w:b/>
                          <w:color w:val="FFFFFF" w:themeColor="background1"/>
                          <w:lang w:val="en-GB"/>
                        </w:rPr>
                      </w:pPr>
                      <w:r w:rsidRPr="00CB40E8">
                        <w:rPr>
                          <w:b/>
                          <w:color w:val="FFFFFF" w:themeColor="background1"/>
                          <w:lang w:val="en-GB"/>
                        </w:rPr>
                        <w:t>T +353 1 224</w:t>
                      </w:r>
                      <w:r>
                        <w:rPr>
                          <w:b/>
                          <w:color w:val="FFFFFF" w:themeColor="background1"/>
                          <w:lang w:val="en-GB"/>
                        </w:rPr>
                        <w:t xml:space="preserve"> 4591</w:t>
                      </w:r>
                      <w:r w:rsidRPr="00CB40E8">
                        <w:rPr>
                          <w:b/>
                          <w:color w:val="FFFFFF" w:themeColor="background1"/>
                          <w:lang w:val="en-GB"/>
                        </w:rPr>
                        <w:t xml:space="preserve">     </w:t>
                      </w:r>
                      <w:r>
                        <w:rPr>
                          <w:b/>
                          <w:color w:val="FFFFFF" w:themeColor="background1"/>
                          <w:lang w:val="en-GB"/>
                        </w:rPr>
                        <w:tab/>
                      </w:r>
                      <w:r w:rsidRPr="00CB40E8">
                        <w:rPr>
                          <w:b/>
                          <w:color w:val="FFFFFF" w:themeColor="background1"/>
                          <w:lang w:val="en-GB"/>
                        </w:rPr>
                        <w:t xml:space="preserve">     www.centralbank.ie         </w:t>
                      </w:r>
                      <w:r w:rsidRPr="00CB40E8">
                        <w:rPr>
                          <w:b/>
                          <w:color w:val="FFFFFF" w:themeColor="background1"/>
                          <w:lang w:val="en-GB"/>
                        </w:rPr>
                        <w:tab/>
                      </w:r>
                      <w:r>
                        <w:rPr>
                          <w:b/>
                          <w:color w:val="FFFFFF" w:themeColor="background1"/>
                          <w:lang w:val="en-GB"/>
                        </w:rPr>
                        <w:t>payment</w:t>
                      </w:r>
                      <w:r w:rsidR="00C47187">
                        <w:rPr>
                          <w:b/>
                          <w:color w:val="FFFFFF" w:themeColor="background1"/>
                          <w:lang w:val="en-GB"/>
                        </w:rPr>
                        <w:t>s</w:t>
                      </w:r>
                      <w:r>
                        <w:rPr>
                          <w:b/>
                          <w:color w:val="FFFFFF" w:themeColor="background1"/>
                          <w:lang w:val="en-GB"/>
                        </w:rPr>
                        <w:t>paspporting</w:t>
                      </w:r>
                      <w:r w:rsidRPr="00CB40E8">
                        <w:rPr>
                          <w:b/>
                          <w:color w:val="FFFFFF" w:themeColor="background1"/>
                          <w:lang w:val="en-GB"/>
                        </w:rPr>
                        <w:t xml:space="preserve">@centralbank.ie     </w:t>
                      </w:r>
                    </w:p>
                    <w:p w14:paraId="425218B8" w14:textId="77777777" w:rsidR="00CD7605" w:rsidRDefault="00CD7605" w:rsidP="003046A7">
                      <w:pPr>
                        <w:jc w:val="center"/>
                      </w:pPr>
                    </w:p>
                    <w:p w14:paraId="628B19DB" w14:textId="77777777" w:rsidR="00CD7605" w:rsidRDefault="00CD7605" w:rsidP="003046A7">
                      <w:pPr>
                        <w:jc w:val="center"/>
                      </w:pPr>
                    </w:p>
                    <w:p w14:paraId="0D6BC1F9" w14:textId="77777777" w:rsidR="00CD7605" w:rsidRDefault="00CD7605" w:rsidP="003046A7">
                      <w:pPr>
                        <w:jc w:val="center"/>
                      </w:pPr>
                    </w:p>
                    <w:p w14:paraId="79FD3802" w14:textId="77777777" w:rsidR="00CD7605" w:rsidRDefault="00CD7605" w:rsidP="003046A7">
                      <w:pPr>
                        <w:jc w:val="center"/>
                      </w:pPr>
                    </w:p>
                    <w:p w14:paraId="025A9AAB" w14:textId="77777777" w:rsidR="00CD7605" w:rsidRDefault="00CD7605" w:rsidP="003046A7">
                      <w:pPr>
                        <w:jc w:val="center"/>
                      </w:pPr>
                    </w:p>
                    <w:p w14:paraId="68EC4200" w14:textId="77777777" w:rsidR="00CD7605" w:rsidRDefault="00CD7605" w:rsidP="003046A7">
                      <w:pPr>
                        <w:jc w:val="center"/>
                      </w:pPr>
                    </w:p>
                    <w:p w14:paraId="4AACD677" w14:textId="77777777" w:rsidR="00CD7605" w:rsidRDefault="00CD7605" w:rsidP="003046A7">
                      <w:pPr>
                        <w:jc w:val="center"/>
                      </w:pPr>
                    </w:p>
                    <w:p w14:paraId="63AC6341" w14:textId="77777777" w:rsidR="00CD7605" w:rsidRDefault="00CD7605" w:rsidP="003046A7">
                      <w:pPr>
                        <w:jc w:val="center"/>
                      </w:pPr>
                    </w:p>
                    <w:p w14:paraId="67688E27" w14:textId="77777777" w:rsidR="00CD7605" w:rsidRDefault="00CD7605" w:rsidP="003046A7">
                      <w:pPr>
                        <w:jc w:val="center"/>
                      </w:pPr>
                    </w:p>
                    <w:p w14:paraId="31224A55" w14:textId="77777777" w:rsidR="00CD7605" w:rsidRDefault="00CD7605" w:rsidP="003046A7">
                      <w:pPr>
                        <w:jc w:val="center"/>
                      </w:pPr>
                    </w:p>
                    <w:p w14:paraId="0B8A6265" w14:textId="77777777" w:rsidR="00CD7605" w:rsidRDefault="00CD7605" w:rsidP="003046A7">
                      <w:pPr>
                        <w:jc w:val="center"/>
                      </w:pPr>
                    </w:p>
                    <w:p w14:paraId="56ED630E" w14:textId="77777777" w:rsidR="00CD7605" w:rsidRDefault="00CD7605" w:rsidP="003046A7">
                      <w:pPr>
                        <w:jc w:val="center"/>
                      </w:pPr>
                    </w:p>
                    <w:p w14:paraId="6BFDE9EC" w14:textId="77777777" w:rsidR="00CD7605" w:rsidRDefault="00CD7605" w:rsidP="003046A7">
                      <w:pPr>
                        <w:jc w:val="center"/>
                      </w:pPr>
                    </w:p>
                    <w:p w14:paraId="0703FAC6" w14:textId="77777777" w:rsidR="00CD7605" w:rsidRDefault="00CD7605" w:rsidP="003046A7">
                      <w:pPr>
                        <w:jc w:val="center"/>
                      </w:pPr>
                    </w:p>
                    <w:p w14:paraId="3EB8311B" w14:textId="77777777" w:rsidR="00CD7605" w:rsidRDefault="00CD7605" w:rsidP="003046A7">
                      <w:pPr>
                        <w:jc w:val="center"/>
                      </w:pPr>
                    </w:p>
                    <w:p w14:paraId="3B40B4F9" w14:textId="77777777" w:rsidR="00CD7605" w:rsidRDefault="00CD7605" w:rsidP="003046A7">
                      <w:pPr>
                        <w:jc w:val="center"/>
                      </w:pPr>
                    </w:p>
                    <w:p w14:paraId="3C6B77F8" w14:textId="77777777" w:rsidR="00CD7605" w:rsidRDefault="00CD7605" w:rsidP="003046A7">
                      <w:pPr>
                        <w:jc w:val="center"/>
                      </w:pPr>
                    </w:p>
                    <w:p w14:paraId="01E631D3" w14:textId="77777777" w:rsidR="00CD7605" w:rsidRDefault="00CD7605" w:rsidP="003046A7">
                      <w:pPr>
                        <w:jc w:val="center"/>
                      </w:pPr>
                    </w:p>
                    <w:p w14:paraId="77121F20" w14:textId="77777777" w:rsidR="00CD7605" w:rsidRDefault="00CD7605" w:rsidP="003046A7">
                      <w:pPr>
                        <w:jc w:val="center"/>
                      </w:pPr>
                    </w:p>
                    <w:p w14:paraId="0D4106AA" w14:textId="77777777" w:rsidR="00CD7605" w:rsidRDefault="00CD7605" w:rsidP="003046A7">
                      <w:pPr>
                        <w:jc w:val="center"/>
                      </w:pPr>
                    </w:p>
                    <w:p w14:paraId="12A971DD" w14:textId="77777777" w:rsidR="00CD7605" w:rsidRDefault="00CD7605" w:rsidP="003046A7">
                      <w:pPr>
                        <w:jc w:val="center"/>
                      </w:pPr>
                    </w:p>
                    <w:p w14:paraId="0981F76A" w14:textId="77777777" w:rsidR="00CD7605" w:rsidRDefault="00CD7605" w:rsidP="003046A7">
                      <w:pPr>
                        <w:jc w:val="center"/>
                      </w:pPr>
                    </w:p>
                    <w:p w14:paraId="59FD65F6" w14:textId="77777777" w:rsidR="00CD7605" w:rsidRDefault="00CD7605" w:rsidP="003046A7">
                      <w:pPr>
                        <w:jc w:val="center"/>
                      </w:pPr>
                    </w:p>
                    <w:p w14:paraId="693D8101" w14:textId="77777777" w:rsidR="00CD7605" w:rsidRDefault="00CD7605" w:rsidP="003046A7">
                      <w:pPr>
                        <w:jc w:val="center"/>
                      </w:pPr>
                    </w:p>
                    <w:p w14:paraId="778B001E" w14:textId="77777777" w:rsidR="00CD7605" w:rsidRDefault="00CD7605" w:rsidP="003046A7">
                      <w:pPr>
                        <w:jc w:val="center"/>
                      </w:pPr>
                    </w:p>
                    <w:p w14:paraId="2A90694C" w14:textId="77777777" w:rsidR="00CD7605" w:rsidRDefault="00CD7605" w:rsidP="003046A7">
                      <w:pPr>
                        <w:jc w:val="center"/>
                      </w:pPr>
                    </w:p>
                    <w:p w14:paraId="01245FC1" w14:textId="77777777" w:rsidR="00CD7605" w:rsidRDefault="00CD7605" w:rsidP="003046A7">
                      <w:pPr>
                        <w:jc w:val="center"/>
                      </w:pPr>
                    </w:p>
                    <w:p w14:paraId="6B7A2C1A" w14:textId="77777777" w:rsidR="00CD7605" w:rsidRDefault="00CD7605" w:rsidP="003046A7">
                      <w:pPr>
                        <w:jc w:val="center"/>
                      </w:pPr>
                    </w:p>
                    <w:p w14:paraId="57C241E4" w14:textId="77777777" w:rsidR="00CD7605" w:rsidRDefault="00CD7605" w:rsidP="003046A7">
                      <w:pPr>
                        <w:jc w:val="center"/>
                      </w:pPr>
                    </w:p>
                    <w:p w14:paraId="52669F58" w14:textId="77777777" w:rsidR="00CD7605" w:rsidRDefault="00CD7605" w:rsidP="003046A7">
                      <w:pPr>
                        <w:jc w:val="center"/>
                      </w:pPr>
                    </w:p>
                    <w:p w14:paraId="45FBD2CD" w14:textId="77777777" w:rsidR="00CD7605" w:rsidRDefault="00CD7605" w:rsidP="003046A7">
                      <w:pPr>
                        <w:jc w:val="center"/>
                      </w:pPr>
                    </w:p>
                    <w:p w14:paraId="68D2E886" w14:textId="77777777" w:rsidR="00CD7605" w:rsidRDefault="00CD7605" w:rsidP="003046A7">
                      <w:pPr>
                        <w:jc w:val="center"/>
                      </w:pPr>
                    </w:p>
                    <w:p w14:paraId="7E2F45A7" w14:textId="77777777" w:rsidR="00CD7605" w:rsidRDefault="00CD7605" w:rsidP="003046A7">
                      <w:pPr>
                        <w:jc w:val="center"/>
                      </w:pPr>
                    </w:p>
                    <w:p w14:paraId="769003DD" w14:textId="77777777" w:rsidR="00CD7605" w:rsidRDefault="00CD7605" w:rsidP="003046A7">
                      <w:pPr>
                        <w:jc w:val="center"/>
                      </w:pPr>
                    </w:p>
                    <w:p w14:paraId="0DF11A38" w14:textId="77777777" w:rsidR="00CD7605" w:rsidRDefault="00CD7605" w:rsidP="003046A7">
                      <w:pPr>
                        <w:jc w:val="center"/>
                      </w:pPr>
                    </w:p>
                    <w:p w14:paraId="75877D3B" w14:textId="77777777" w:rsidR="00CD7605" w:rsidRDefault="00CD7605" w:rsidP="003046A7">
                      <w:pPr>
                        <w:jc w:val="center"/>
                      </w:pPr>
                    </w:p>
                    <w:p w14:paraId="69DC24AF" w14:textId="77777777" w:rsidR="00CD7605" w:rsidRDefault="00CD7605" w:rsidP="003046A7">
                      <w:pPr>
                        <w:jc w:val="center"/>
                      </w:pPr>
                    </w:p>
                    <w:p w14:paraId="3D784F47" w14:textId="77777777" w:rsidR="00CD7605" w:rsidRDefault="00CD7605" w:rsidP="003046A7">
                      <w:pPr>
                        <w:jc w:val="center"/>
                      </w:pPr>
                      <w:r>
                        <w:rPr>
                          <w:noProof/>
                          <w:lang w:eastAsia="en-IE"/>
                        </w:rPr>
                        <w:drawing>
                          <wp:inline distT="0" distB="0" distL="0" distR="0" wp14:anchorId="72AECEEE" wp14:editId="37457C8B">
                            <wp:extent cx="2378075" cy="549910"/>
                            <wp:effectExtent l="0" t="0" r="3175" b="2540"/>
                            <wp:docPr id="7" name="Picture 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a:srcRect/>
                                    <a:stretch>
                                      <a:fillRect/>
                                    </a:stretch>
                                  </pic:blipFill>
                                  <pic:spPr bwMode="auto">
                                    <a:xfrm>
                                      <a:off x="0" y="0"/>
                                      <a:ext cx="2378075" cy="549910"/>
                                    </a:xfrm>
                                    <a:prstGeom prst="rect">
                                      <a:avLst/>
                                    </a:prstGeom>
                                    <a:noFill/>
                                  </pic:spPr>
                                </pic:pic>
                              </a:graphicData>
                            </a:graphic>
                          </wp:inline>
                        </w:drawing>
                      </w:r>
                    </w:p>
                  </w:txbxContent>
                </v:textbox>
              </v:rect>
            </w:pict>
          </mc:Fallback>
        </mc:AlternateContent>
      </w:r>
    </w:p>
    <w:p w14:paraId="6AE143B4" w14:textId="77777777" w:rsidR="003046A7" w:rsidRDefault="003046A7" w:rsidP="003046A7">
      <w:pPr>
        <w:jc w:val="both"/>
        <w:rPr>
          <w:sz w:val="12"/>
          <w:lang w:val="en-GB"/>
        </w:rPr>
      </w:pPr>
    </w:p>
    <w:p w14:paraId="5EEF5397" w14:textId="1FCD747B" w:rsidR="003046A7" w:rsidRDefault="003046A7" w:rsidP="003046A7">
      <w:pPr>
        <w:jc w:val="both"/>
        <w:rPr>
          <w:sz w:val="12"/>
          <w:lang w:val="en-GB"/>
        </w:rPr>
      </w:pP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p>
    <w:p w14:paraId="1E66A3CB" w14:textId="5C852227" w:rsidR="003046A7" w:rsidRPr="00A03041" w:rsidRDefault="003046A7" w:rsidP="003046A7">
      <w:pPr>
        <w:rPr>
          <w:rFonts w:cstheme="minorHAnsi"/>
          <w:b/>
          <w:sz w:val="20"/>
          <w:szCs w:val="20"/>
        </w:rPr>
      </w:pPr>
    </w:p>
    <w:p w14:paraId="62A677B7" w14:textId="77777777" w:rsidR="003046A7" w:rsidRPr="00E8145E" w:rsidRDefault="003046A7" w:rsidP="003046A7">
      <w:pPr>
        <w:jc w:val="both"/>
        <w:rPr>
          <w:sz w:val="12"/>
          <w:lang w:val="en-GB"/>
        </w:rPr>
      </w:pPr>
    </w:p>
    <w:p w14:paraId="4CC5CF9A" w14:textId="72308852" w:rsidR="006C0652" w:rsidRPr="00AD3CFD" w:rsidRDefault="006C0652" w:rsidP="005F44B0">
      <w:pPr>
        <w:jc w:val="both"/>
        <w:rPr>
          <w:rFonts w:eastAsia="MS PGothic"/>
          <w:lang w:val="en-GB"/>
        </w:rPr>
      </w:pPr>
    </w:p>
    <w:sectPr w:rsidR="006C0652" w:rsidRPr="00AD3CF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0EE9E" w14:textId="77777777" w:rsidR="00C146B6" w:rsidRDefault="00C146B6" w:rsidP="00CC2FBE">
      <w:pPr>
        <w:spacing w:after="0" w:line="240" w:lineRule="auto"/>
      </w:pPr>
      <w:r>
        <w:separator/>
      </w:r>
    </w:p>
  </w:endnote>
  <w:endnote w:type="continuationSeparator" w:id="0">
    <w:p w14:paraId="2F59C804" w14:textId="77777777" w:rsidR="00C146B6" w:rsidRDefault="00C146B6" w:rsidP="00CC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0F6B" w14:textId="77777777" w:rsidR="00151AFE" w:rsidRDefault="00151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5B14" w14:textId="77777777" w:rsidR="00151AFE" w:rsidRDefault="00151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2685" w14:textId="77777777" w:rsidR="00151AFE" w:rsidRDefault="0015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EB40E" w14:textId="77777777" w:rsidR="00C146B6" w:rsidRDefault="00C146B6" w:rsidP="00CC2FBE">
      <w:pPr>
        <w:spacing w:after="0" w:line="240" w:lineRule="auto"/>
      </w:pPr>
      <w:r>
        <w:separator/>
      </w:r>
    </w:p>
  </w:footnote>
  <w:footnote w:type="continuationSeparator" w:id="0">
    <w:p w14:paraId="425BC59A" w14:textId="77777777" w:rsidR="00C146B6" w:rsidRDefault="00C146B6" w:rsidP="00CC2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BB4A" w14:textId="07CEE1F5" w:rsidR="00AE2EC5" w:rsidRDefault="00151AFE" w:rsidP="00151AFE">
    <w:pPr>
      <w:pStyle w:val="Header"/>
    </w:pPr>
    <w:fldSimple w:instr=" DOCPROPERTY bjHeaderEvenPageDocProperty \* MERGEFORMAT " w:fldLock="1">
      <w:r w:rsidRPr="00151AFE">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3C53" w14:textId="0B1599C6" w:rsidR="00CD7605" w:rsidRDefault="00151AFE" w:rsidP="00151AFE">
    <w:pPr>
      <w:pStyle w:val="Header"/>
    </w:pPr>
    <w:fldSimple w:instr=" DOCPROPERTY bjHeaderBothDocProperty \* MERGEFORMAT " w:fldLock="1">
      <w:r w:rsidRPr="00151AFE">
        <w:rPr>
          <w:rFonts w:ascii="Times New Roman" w:hAnsi="Times New Roman" w:cs="Times New Roman"/>
          <w:color w:val="000000"/>
          <w:sz w:val="24"/>
        </w:rPr>
        <w:t xml:space="preserve"> </w:t>
      </w:r>
    </w:fldSimple>
  </w:p>
  <w:p w14:paraId="7D89FF5B" w14:textId="7F5F367A" w:rsidR="00CD7605" w:rsidRDefault="00CD7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960D" w14:textId="510FE0A6" w:rsidR="00AE2EC5" w:rsidRDefault="00151AFE" w:rsidP="00151AFE">
    <w:pPr>
      <w:pStyle w:val="Header"/>
    </w:pPr>
    <w:fldSimple w:instr=" DOCPROPERTY bjHeaderFirstPageDocProperty \* MERGEFORMAT " w:fldLock="1">
      <w:r w:rsidRPr="00151AFE">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C17"/>
    <w:multiLevelType w:val="hybridMultilevel"/>
    <w:tmpl w:val="94F2A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BF1601"/>
    <w:multiLevelType w:val="hybridMultilevel"/>
    <w:tmpl w:val="881C41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AD27A3"/>
    <w:multiLevelType w:val="hybridMultilevel"/>
    <w:tmpl w:val="C442A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1366F5"/>
    <w:multiLevelType w:val="hybridMultilevel"/>
    <w:tmpl w:val="515452DA"/>
    <w:lvl w:ilvl="0" w:tplc="04C0A09C">
      <w:start w:val="1"/>
      <w:numFmt w:val="decimal"/>
      <w:lvlText w:val="%1."/>
      <w:lvlJc w:val="left"/>
      <w:pPr>
        <w:tabs>
          <w:tab w:val="num" w:pos="720"/>
        </w:tabs>
        <w:ind w:left="720" w:hanging="360"/>
      </w:pPr>
    </w:lvl>
    <w:lvl w:ilvl="1" w:tplc="296ED806">
      <w:numFmt w:val="none"/>
      <w:lvlText w:val=""/>
      <w:lvlJc w:val="left"/>
      <w:pPr>
        <w:tabs>
          <w:tab w:val="num" w:pos="360"/>
        </w:tabs>
      </w:pPr>
    </w:lvl>
    <w:lvl w:ilvl="2" w:tplc="DA047602">
      <w:numFmt w:val="none"/>
      <w:lvlText w:val=""/>
      <w:lvlJc w:val="left"/>
      <w:pPr>
        <w:tabs>
          <w:tab w:val="num" w:pos="360"/>
        </w:tabs>
      </w:pPr>
    </w:lvl>
    <w:lvl w:ilvl="3" w:tplc="AE404B1A">
      <w:numFmt w:val="none"/>
      <w:lvlText w:val=""/>
      <w:lvlJc w:val="left"/>
      <w:pPr>
        <w:tabs>
          <w:tab w:val="num" w:pos="360"/>
        </w:tabs>
      </w:pPr>
    </w:lvl>
    <w:lvl w:ilvl="4" w:tplc="8B4673CA">
      <w:numFmt w:val="none"/>
      <w:lvlText w:val=""/>
      <w:lvlJc w:val="left"/>
      <w:pPr>
        <w:tabs>
          <w:tab w:val="num" w:pos="360"/>
        </w:tabs>
      </w:pPr>
    </w:lvl>
    <w:lvl w:ilvl="5" w:tplc="97CAA954">
      <w:numFmt w:val="none"/>
      <w:lvlText w:val=""/>
      <w:lvlJc w:val="left"/>
      <w:pPr>
        <w:tabs>
          <w:tab w:val="num" w:pos="360"/>
        </w:tabs>
      </w:pPr>
    </w:lvl>
    <w:lvl w:ilvl="6" w:tplc="99AAA05E">
      <w:numFmt w:val="none"/>
      <w:lvlText w:val=""/>
      <w:lvlJc w:val="left"/>
      <w:pPr>
        <w:tabs>
          <w:tab w:val="num" w:pos="360"/>
        </w:tabs>
      </w:pPr>
    </w:lvl>
    <w:lvl w:ilvl="7" w:tplc="CC0A1E70">
      <w:numFmt w:val="none"/>
      <w:lvlText w:val=""/>
      <w:lvlJc w:val="left"/>
      <w:pPr>
        <w:tabs>
          <w:tab w:val="num" w:pos="360"/>
        </w:tabs>
      </w:pPr>
    </w:lvl>
    <w:lvl w:ilvl="8" w:tplc="1B2A7250">
      <w:numFmt w:val="none"/>
      <w:lvlText w:val=""/>
      <w:lvlJc w:val="left"/>
      <w:pPr>
        <w:tabs>
          <w:tab w:val="num" w:pos="360"/>
        </w:tabs>
      </w:pPr>
    </w:lvl>
  </w:abstractNum>
  <w:abstractNum w:abstractNumId="4" w15:restartNumberingAfterBreak="0">
    <w:nsid w:val="1EA5539B"/>
    <w:multiLevelType w:val="hybridMultilevel"/>
    <w:tmpl w:val="4016DA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79C221F"/>
    <w:multiLevelType w:val="hybridMultilevel"/>
    <w:tmpl w:val="5BFC28D4"/>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187C8A"/>
    <w:multiLevelType w:val="hybridMultilevel"/>
    <w:tmpl w:val="BEB01A84"/>
    <w:lvl w:ilvl="0" w:tplc="8056FB64">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92449B2"/>
    <w:multiLevelType w:val="hybridMultilevel"/>
    <w:tmpl w:val="99AA80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6972EA"/>
    <w:multiLevelType w:val="hybridMultilevel"/>
    <w:tmpl w:val="881C41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7754D1"/>
    <w:multiLevelType w:val="hybridMultilevel"/>
    <w:tmpl w:val="2E22543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1D1745"/>
    <w:multiLevelType w:val="hybridMultilevel"/>
    <w:tmpl w:val="BE8EE45E"/>
    <w:lvl w:ilvl="0" w:tplc="91CEEDA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BE"/>
    <w:rsid w:val="00004761"/>
    <w:rsid w:val="0001734B"/>
    <w:rsid w:val="00021B0D"/>
    <w:rsid w:val="00023534"/>
    <w:rsid w:val="0005007C"/>
    <w:rsid w:val="00080AE2"/>
    <w:rsid w:val="00081D33"/>
    <w:rsid w:val="000A03C5"/>
    <w:rsid w:val="000D79F8"/>
    <w:rsid w:val="001056DC"/>
    <w:rsid w:val="00130727"/>
    <w:rsid w:val="001307AB"/>
    <w:rsid w:val="00140638"/>
    <w:rsid w:val="00140F7F"/>
    <w:rsid w:val="00151AFE"/>
    <w:rsid w:val="001561BA"/>
    <w:rsid w:val="0018270D"/>
    <w:rsid w:val="00190AC7"/>
    <w:rsid w:val="001C32AF"/>
    <w:rsid w:val="001F6EFF"/>
    <w:rsid w:val="00204C35"/>
    <w:rsid w:val="00225540"/>
    <w:rsid w:val="00225E70"/>
    <w:rsid w:val="0024534F"/>
    <w:rsid w:val="00254639"/>
    <w:rsid w:val="00256659"/>
    <w:rsid w:val="00257115"/>
    <w:rsid w:val="0027195B"/>
    <w:rsid w:val="00294864"/>
    <w:rsid w:val="002B0991"/>
    <w:rsid w:val="002B6A2E"/>
    <w:rsid w:val="002E31F7"/>
    <w:rsid w:val="002F751F"/>
    <w:rsid w:val="00303265"/>
    <w:rsid w:val="00303B28"/>
    <w:rsid w:val="003046A7"/>
    <w:rsid w:val="00355A49"/>
    <w:rsid w:val="00362C73"/>
    <w:rsid w:val="00375BDC"/>
    <w:rsid w:val="003B73D1"/>
    <w:rsid w:val="0040442D"/>
    <w:rsid w:val="00413C83"/>
    <w:rsid w:val="00426AAF"/>
    <w:rsid w:val="00444E5B"/>
    <w:rsid w:val="00475FC8"/>
    <w:rsid w:val="004B01D9"/>
    <w:rsid w:val="004B4848"/>
    <w:rsid w:val="00502427"/>
    <w:rsid w:val="00555EAE"/>
    <w:rsid w:val="0058188E"/>
    <w:rsid w:val="00585AFD"/>
    <w:rsid w:val="005C09A0"/>
    <w:rsid w:val="005C2A30"/>
    <w:rsid w:val="005C564A"/>
    <w:rsid w:val="005D7972"/>
    <w:rsid w:val="005F44B0"/>
    <w:rsid w:val="00607208"/>
    <w:rsid w:val="00645A5B"/>
    <w:rsid w:val="00656C29"/>
    <w:rsid w:val="00693C6F"/>
    <w:rsid w:val="006B5C7A"/>
    <w:rsid w:val="006C0652"/>
    <w:rsid w:val="006C39C5"/>
    <w:rsid w:val="006E0613"/>
    <w:rsid w:val="006E7F88"/>
    <w:rsid w:val="006F0D89"/>
    <w:rsid w:val="006F4CBF"/>
    <w:rsid w:val="00702E31"/>
    <w:rsid w:val="00703F76"/>
    <w:rsid w:val="007043B0"/>
    <w:rsid w:val="0073232C"/>
    <w:rsid w:val="0077530F"/>
    <w:rsid w:val="007814B5"/>
    <w:rsid w:val="007A538D"/>
    <w:rsid w:val="007B1139"/>
    <w:rsid w:val="007D02C1"/>
    <w:rsid w:val="007D44DE"/>
    <w:rsid w:val="007E2775"/>
    <w:rsid w:val="007E54FF"/>
    <w:rsid w:val="007F6C1D"/>
    <w:rsid w:val="0083407F"/>
    <w:rsid w:val="00847F63"/>
    <w:rsid w:val="00884620"/>
    <w:rsid w:val="008926B9"/>
    <w:rsid w:val="008972E3"/>
    <w:rsid w:val="008A1F1C"/>
    <w:rsid w:val="008A42EE"/>
    <w:rsid w:val="008B7739"/>
    <w:rsid w:val="008F285B"/>
    <w:rsid w:val="008F60D0"/>
    <w:rsid w:val="00970E2E"/>
    <w:rsid w:val="00982684"/>
    <w:rsid w:val="009B1151"/>
    <w:rsid w:val="009C48D0"/>
    <w:rsid w:val="009D4D98"/>
    <w:rsid w:val="009F529C"/>
    <w:rsid w:val="00A071DF"/>
    <w:rsid w:val="00A466F3"/>
    <w:rsid w:val="00A61286"/>
    <w:rsid w:val="00A7451A"/>
    <w:rsid w:val="00AA31D3"/>
    <w:rsid w:val="00AA5A18"/>
    <w:rsid w:val="00AE2EC5"/>
    <w:rsid w:val="00AF39EE"/>
    <w:rsid w:val="00B17CE1"/>
    <w:rsid w:val="00B2596E"/>
    <w:rsid w:val="00B26CC9"/>
    <w:rsid w:val="00B32EFA"/>
    <w:rsid w:val="00B3366A"/>
    <w:rsid w:val="00B4054E"/>
    <w:rsid w:val="00B4258D"/>
    <w:rsid w:val="00B67815"/>
    <w:rsid w:val="00BB6AA1"/>
    <w:rsid w:val="00BC2425"/>
    <w:rsid w:val="00BF100B"/>
    <w:rsid w:val="00C10742"/>
    <w:rsid w:val="00C146B6"/>
    <w:rsid w:val="00C41609"/>
    <w:rsid w:val="00C47187"/>
    <w:rsid w:val="00C6319F"/>
    <w:rsid w:val="00CB1AD4"/>
    <w:rsid w:val="00CC2FBE"/>
    <w:rsid w:val="00CD7605"/>
    <w:rsid w:val="00CD7ECA"/>
    <w:rsid w:val="00CE11FF"/>
    <w:rsid w:val="00CF25FF"/>
    <w:rsid w:val="00CF6B0B"/>
    <w:rsid w:val="00D3153D"/>
    <w:rsid w:val="00D340BC"/>
    <w:rsid w:val="00D802F4"/>
    <w:rsid w:val="00D8750E"/>
    <w:rsid w:val="00DB0531"/>
    <w:rsid w:val="00E15F40"/>
    <w:rsid w:val="00E22952"/>
    <w:rsid w:val="00E5773F"/>
    <w:rsid w:val="00E837E0"/>
    <w:rsid w:val="00EA5C38"/>
    <w:rsid w:val="00ED5D0B"/>
    <w:rsid w:val="00F13DF2"/>
    <w:rsid w:val="00F53878"/>
    <w:rsid w:val="00F56699"/>
    <w:rsid w:val="00F76C74"/>
    <w:rsid w:val="00FA1673"/>
    <w:rsid w:val="00FA3BC3"/>
    <w:rsid w:val="00FE7B0F"/>
    <w:rsid w:val="00FF52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DE174"/>
  <w15:chartTrackingRefBased/>
  <w15:docId w15:val="{5A68D597-7432-4DC2-A622-4977BC05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BE"/>
  </w:style>
  <w:style w:type="paragraph" w:styleId="Heading3">
    <w:name w:val="heading 3"/>
    <w:basedOn w:val="Normal"/>
    <w:next w:val="Normal"/>
    <w:link w:val="Heading3Char"/>
    <w:qFormat/>
    <w:rsid w:val="00702E31"/>
    <w:pPr>
      <w:keepNext/>
      <w:spacing w:after="0" w:line="240" w:lineRule="auto"/>
      <w:ind w:left="-108"/>
      <w:jc w:val="both"/>
      <w:outlineLvl w:val="2"/>
    </w:pPr>
    <w:rPr>
      <w:rFonts w:ascii="Verdana" w:eastAsia="Times New Roman" w:hAnsi="Verdana" w:cs="Times New Roman"/>
      <w:b/>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BE"/>
  </w:style>
  <w:style w:type="paragraph" w:styleId="Footer">
    <w:name w:val="footer"/>
    <w:basedOn w:val="Normal"/>
    <w:link w:val="FooterChar"/>
    <w:uiPriority w:val="99"/>
    <w:unhideWhenUsed/>
    <w:rsid w:val="00CC2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BE"/>
  </w:style>
  <w:style w:type="character" w:styleId="CommentReference">
    <w:name w:val="annotation reference"/>
    <w:basedOn w:val="DefaultParagraphFont"/>
    <w:uiPriority w:val="99"/>
    <w:semiHidden/>
    <w:unhideWhenUsed/>
    <w:rsid w:val="00A61286"/>
    <w:rPr>
      <w:sz w:val="16"/>
      <w:szCs w:val="16"/>
    </w:rPr>
  </w:style>
  <w:style w:type="paragraph" w:styleId="CommentText">
    <w:name w:val="annotation text"/>
    <w:basedOn w:val="Normal"/>
    <w:link w:val="CommentTextChar"/>
    <w:uiPriority w:val="99"/>
    <w:semiHidden/>
    <w:unhideWhenUsed/>
    <w:rsid w:val="00A61286"/>
    <w:pPr>
      <w:spacing w:line="240" w:lineRule="auto"/>
    </w:pPr>
    <w:rPr>
      <w:sz w:val="20"/>
      <w:szCs w:val="20"/>
    </w:rPr>
  </w:style>
  <w:style w:type="character" w:customStyle="1" w:styleId="CommentTextChar">
    <w:name w:val="Comment Text Char"/>
    <w:basedOn w:val="DefaultParagraphFont"/>
    <w:link w:val="CommentText"/>
    <w:uiPriority w:val="99"/>
    <w:semiHidden/>
    <w:rsid w:val="00A61286"/>
    <w:rPr>
      <w:sz w:val="20"/>
      <w:szCs w:val="20"/>
    </w:rPr>
  </w:style>
  <w:style w:type="paragraph" w:styleId="CommentSubject">
    <w:name w:val="annotation subject"/>
    <w:basedOn w:val="CommentText"/>
    <w:next w:val="CommentText"/>
    <w:link w:val="CommentSubjectChar"/>
    <w:uiPriority w:val="99"/>
    <w:semiHidden/>
    <w:unhideWhenUsed/>
    <w:rsid w:val="00A61286"/>
    <w:rPr>
      <w:b/>
      <w:bCs/>
    </w:rPr>
  </w:style>
  <w:style w:type="character" w:customStyle="1" w:styleId="CommentSubjectChar">
    <w:name w:val="Comment Subject Char"/>
    <w:basedOn w:val="CommentTextChar"/>
    <w:link w:val="CommentSubject"/>
    <w:uiPriority w:val="99"/>
    <w:semiHidden/>
    <w:rsid w:val="00A61286"/>
    <w:rPr>
      <w:b/>
      <w:bCs/>
      <w:sz w:val="20"/>
      <w:szCs w:val="20"/>
    </w:rPr>
  </w:style>
  <w:style w:type="paragraph" w:styleId="BalloonText">
    <w:name w:val="Balloon Text"/>
    <w:basedOn w:val="Normal"/>
    <w:link w:val="BalloonTextChar"/>
    <w:uiPriority w:val="99"/>
    <w:semiHidden/>
    <w:unhideWhenUsed/>
    <w:rsid w:val="00A61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86"/>
    <w:rPr>
      <w:rFonts w:ascii="Segoe UI" w:hAnsi="Segoe UI" w:cs="Segoe UI"/>
      <w:sz w:val="18"/>
      <w:szCs w:val="18"/>
    </w:rPr>
  </w:style>
  <w:style w:type="character" w:customStyle="1" w:styleId="Heading3Char">
    <w:name w:val="Heading 3 Char"/>
    <w:basedOn w:val="DefaultParagraphFont"/>
    <w:link w:val="Heading3"/>
    <w:rsid w:val="00702E31"/>
    <w:rPr>
      <w:rFonts w:ascii="Verdana" w:eastAsia="Times New Roman" w:hAnsi="Verdana" w:cs="Times New Roman"/>
      <w:b/>
      <w:sz w:val="18"/>
      <w:szCs w:val="24"/>
      <w:lang w:val="en-GB"/>
    </w:rPr>
  </w:style>
  <w:style w:type="character" w:styleId="Hyperlink">
    <w:name w:val="Hyperlink"/>
    <w:basedOn w:val="DefaultParagraphFont"/>
    <w:uiPriority w:val="99"/>
    <w:rsid w:val="00140638"/>
    <w:rPr>
      <w:color w:val="0000FF" w:themeColor="hyperlink"/>
      <w:u w:val="single"/>
    </w:rPr>
  </w:style>
  <w:style w:type="paragraph" w:styleId="ListParagraph">
    <w:name w:val="List Paragraph"/>
    <w:basedOn w:val="Normal"/>
    <w:uiPriority w:val="34"/>
    <w:qFormat/>
    <w:rsid w:val="00140638"/>
    <w:pPr>
      <w:spacing w:after="0" w:line="240" w:lineRule="auto"/>
      <w:ind w:left="720"/>
    </w:pPr>
    <w:rPr>
      <w:rFonts w:ascii="Calibri" w:eastAsia="Calibri" w:hAnsi="Calibri" w:cs="Times New Roman"/>
      <w:lang w:val="en-GB"/>
    </w:rPr>
  </w:style>
  <w:style w:type="paragraph" w:customStyle="1" w:styleId="Default">
    <w:name w:val="Default"/>
    <w:basedOn w:val="Normal"/>
    <w:rsid w:val="00140638"/>
    <w:pPr>
      <w:autoSpaceDE w:val="0"/>
      <w:autoSpaceDN w:val="0"/>
      <w:spacing w:after="0" w:line="240" w:lineRule="auto"/>
    </w:pPr>
    <w:rPr>
      <w:rFonts w:ascii="Calibri" w:hAnsi="Calibri" w:cs="Times New Roman"/>
      <w:color w:val="000000"/>
      <w:sz w:val="24"/>
      <w:szCs w:val="24"/>
      <w:lang w:eastAsia="en-IE"/>
    </w:rPr>
  </w:style>
  <w:style w:type="character" w:styleId="FollowedHyperlink">
    <w:name w:val="FollowedHyperlink"/>
    <w:basedOn w:val="DefaultParagraphFont"/>
    <w:uiPriority w:val="99"/>
    <w:semiHidden/>
    <w:unhideWhenUsed/>
    <w:rsid w:val="007E2775"/>
    <w:rPr>
      <w:color w:val="800080" w:themeColor="followedHyperlink"/>
      <w:u w:val="single"/>
    </w:rPr>
  </w:style>
  <w:style w:type="paragraph" w:styleId="Revision">
    <w:name w:val="Revision"/>
    <w:hidden/>
    <w:uiPriority w:val="99"/>
    <w:semiHidden/>
    <w:rsid w:val="0073232C"/>
    <w:pPr>
      <w:spacing w:after="0" w:line="240" w:lineRule="auto"/>
    </w:pPr>
  </w:style>
  <w:style w:type="paragraph" w:styleId="EndnoteText">
    <w:name w:val="endnote text"/>
    <w:basedOn w:val="Normal"/>
    <w:link w:val="EndnoteTextChar"/>
    <w:uiPriority w:val="99"/>
    <w:semiHidden/>
    <w:unhideWhenUsed/>
    <w:rsid w:val="00BC2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425"/>
    <w:rPr>
      <w:sz w:val="20"/>
      <w:szCs w:val="20"/>
    </w:rPr>
  </w:style>
  <w:style w:type="character" w:styleId="EndnoteReference">
    <w:name w:val="endnote reference"/>
    <w:basedOn w:val="DefaultParagraphFont"/>
    <w:uiPriority w:val="99"/>
    <w:semiHidden/>
    <w:unhideWhenUsed/>
    <w:rsid w:val="00BC2425"/>
    <w:rPr>
      <w:vertAlign w:val="superscript"/>
    </w:rPr>
  </w:style>
  <w:style w:type="paragraph" w:styleId="FootnoteText">
    <w:name w:val="footnote text"/>
    <w:basedOn w:val="Normal"/>
    <w:link w:val="FootnoteTextChar"/>
    <w:uiPriority w:val="99"/>
    <w:unhideWhenUsed/>
    <w:qFormat/>
    <w:rsid w:val="00BC2425"/>
    <w:pPr>
      <w:spacing w:after="0" w:line="240" w:lineRule="auto"/>
    </w:pPr>
    <w:rPr>
      <w:sz w:val="20"/>
      <w:szCs w:val="20"/>
    </w:rPr>
  </w:style>
  <w:style w:type="character" w:customStyle="1" w:styleId="FootnoteTextChar">
    <w:name w:val="Footnote Text Char"/>
    <w:basedOn w:val="DefaultParagraphFont"/>
    <w:link w:val="FootnoteText"/>
    <w:uiPriority w:val="99"/>
    <w:rsid w:val="00BC2425"/>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unhideWhenUsed/>
    <w:qFormat/>
    <w:rsid w:val="00BC2425"/>
    <w:rPr>
      <w:vertAlign w:val="superscript"/>
    </w:rPr>
  </w:style>
  <w:style w:type="paragraph" w:customStyle="1" w:styleId="CM1">
    <w:name w:val="CM1"/>
    <w:basedOn w:val="Default"/>
    <w:next w:val="Default"/>
    <w:uiPriority w:val="99"/>
    <w:rsid w:val="006C39C5"/>
    <w:pPr>
      <w:adjustRightInd w:val="0"/>
    </w:pPr>
    <w:rPr>
      <w:rFonts w:ascii="EUAlbertina" w:hAnsi="EUAlbertina" w:cstheme="minorBidi"/>
      <w:color w:val="auto"/>
      <w:lang w:eastAsia="en-US"/>
    </w:rPr>
  </w:style>
  <w:style w:type="paragraph" w:customStyle="1" w:styleId="CM3">
    <w:name w:val="CM3"/>
    <w:basedOn w:val="Default"/>
    <w:next w:val="Default"/>
    <w:uiPriority w:val="99"/>
    <w:rsid w:val="006C39C5"/>
    <w:pPr>
      <w:adjustRightInd w:val="0"/>
    </w:pPr>
    <w:rPr>
      <w:rFonts w:ascii="EUAlbertina" w:hAnsi="EUAlbertina" w:cstheme="minorBidi"/>
      <w:color w:val="auto"/>
      <w:lang w:eastAsia="en-US"/>
    </w:rPr>
  </w:style>
  <w:style w:type="table" w:styleId="PlainTable1">
    <w:name w:val="Plain Table 1"/>
    <w:basedOn w:val="TableNormal"/>
    <w:uiPriority w:val="41"/>
    <w:rsid w:val="003046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0175">
      <w:bodyDiv w:val="1"/>
      <w:marLeft w:val="0"/>
      <w:marRight w:val="0"/>
      <w:marTop w:val="0"/>
      <w:marBottom w:val="0"/>
      <w:divBdr>
        <w:top w:val="none" w:sz="0" w:space="0" w:color="auto"/>
        <w:left w:val="none" w:sz="0" w:space="0" w:color="auto"/>
        <w:bottom w:val="none" w:sz="0" w:space="0" w:color="auto"/>
        <w:right w:val="none" w:sz="0" w:space="0" w:color="auto"/>
      </w:divBdr>
    </w:div>
    <w:div w:id="655038462">
      <w:bodyDiv w:val="1"/>
      <w:marLeft w:val="0"/>
      <w:marRight w:val="0"/>
      <w:marTop w:val="0"/>
      <w:marBottom w:val="0"/>
      <w:divBdr>
        <w:top w:val="none" w:sz="0" w:space="0" w:color="auto"/>
        <w:left w:val="none" w:sz="0" w:space="0" w:color="auto"/>
        <w:bottom w:val="none" w:sz="0" w:space="0" w:color="auto"/>
        <w:right w:val="none" w:sz="0" w:space="0" w:color="auto"/>
      </w:divBdr>
    </w:div>
    <w:div w:id="1027298323">
      <w:bodyDiv w:val="1"/>
      <w:marLeft w:val="0"/>
      <w:marRight w:val="0"/>
      <w:marTop w:val="0"/>
      <w:marBottom w:val="0"/>
      <w:divBdr>
        <w:top w:val="none" w:sz="0" w:space="0" w:color="auto"/>
        <w:left w:val="none" w:sz="0" w:space="0" w:color="auto"/>
        <w:bottom w:val="none" w:sz="0" w:space="0" w:color="auto"/>
        <w:right w:val="none" w:sz="0" w:space="0" w:color="auto"/>
      </w:divBdr>
    </w:div>
    <w:div w:id="20714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TXT/PDF/?uri=CELEX:32015L2366&amp;from=EN"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finance.gov.ie/wp-content/uploads/2018/01/18012-S.I.-No.-6-of-2018-European-Union-Payment-Services-Regulations-2018.pdf" TargetMode="External"/><Relationship Id="rId17" Type="http://schemas.openxmlformats.org/officeDocument/2006/relationships/hyperlink" Target="http://www.centralbank.ie/fns/privacy-state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taprotection@centralbank.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PDF/?uri=CELEX:32017R2055&amp;qid=1512722363061&amp;from=e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paymentspassporting@centralbank.ie" TargetMode="External"/><Relationship Id="rId23" Type="http://schemas.openxmlformats.org/officeDocument/2006/relationships/footer" Target="footer2.xml"/><Relationship Id="rId10" Type="http://schemas.openxmlformats.org/officeDocument/2006/relationships/hyperlink" Target="http://eur-lex.europa.eu/legal-content/EN/TXT/PDF/?uri=CELEX:32017R2055&amp;qid=1512722363061&amp;from=en" TargetMode="External"/><Relationship Id="rId19"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eur-lex.europa.eu/legal-content/EN/TXT/PDF/?uri=CELEX:32017R2055&amp;qid=1512722363061&amp;from=e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FF00-FDBE-43C0-8AA3-4754DA2D9E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FE982F-92F5-4529-B876-D90865F9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2029</Words>
  <Characters>11186</Characters>
  <Application>Microsoft Office Word</Application>
  <DocSecurity>0</DocSecurity>
  <Lines>186</Lines>
  <Paragraphs>100</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Wayne</dc:creator>
  <cp:keywords>Public</cp:keywords>
  <dc:description/>
  <cp:lastModifiedBy>McGuinness, Lucia</cp:lastModifiedBy>
  <cp:revision>2</cp:revision>
  <dcterms:created xsi:type="dcterms:W3CDTF">2021-05-18T15:26:00Z</dcterms:created>
  <dcterms:modified xsi:type="dcterms:W3CDTF">2021-05-18T15:26:00Z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ed5aeba4-194c-4c20-8b07-4a795d293257</vt:lpwstr>
  </property>
  <property fmtid="{D5CDD505-2E9C-101B-9397-08002B2CF9AE}" pid="3" name="bjSaver">
    <vt:lpwstr>NP95F145AxkWzCs8udMI+wjg9kY7+vl3</vt:lpwstr>
  </property>
  <property fmtid="{D5CDD505-2E9C-101B-9397-08002B2CF9AE}" pid="4" name="_AdHocReviewCycleID">
    <vt:i4>440095531</vt:i4>
  </property>
  <property fmtid="{D5CDD505-2E9C-101B-9397-08002B2CF9AE}" pid="5" name="_NewReviewCycle">
    <vt:lpwstr/>
  </property>
  <property fmtid="{D5CDD505-2E9C-101B-9397-08002B2CF9AE}" pid="6" name="_EmailSubject">
    <vt:lpwstr>Updates to Payments Passporting website</vt:lpwstr>
  </property>
  <property fmtid="{D5CDD505-2E9C-101B-9397-08002B2CF9AE}" pid="7" name="_AuthorEmail">
    <vt:lpwstr>avishek.singh@centralbank.ie</vt:lpwstr>
  </property>
  <property fmtid="{D5CDD505-2E9C-101B-9397-08002B2CF9AE}" pid="8" name="_AuthorEmailDisplayName">
    <vt:lpwstr>Singh, Avishek</vt:lpwstr>
  </property>
  <property fmtid="{D5CDD505-2E9C-101B-9397-08002B2CF9AE}" pid="9" name="_PreviousAdHocReviewCycleID">
    <vt:i4>730245439</vt:i4>
  </property>
  <property fmtid="{D5CDD505-2E9C-101B-9397-08002B2CF9AE}" pid="10" name="bjDocumentSecurityLabel">
    <vt:lpwstr>Public</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uid="33ed6465-8d2f-4fab-bbbc-787e2c148707" value="" /&gt;&lt;element uid="28c775dd-3fa7-40f2-8368-0e7fa48abc25" value="" /&gt;&lt;/sisl&gt;</vt:lpwstr>
  </property>
  <property fmtid="{D5CDD505-2E9C-101B-9397-08002B2CF9AE}" pid="13" name="bjHeaderBothDocProperty">
    <vt:lpwstr> </vt:lpwstr>
  </property>
  <property fmtid="{D5CDD505-2E9C-101B-9397-08002B2CF9AE}" pid="14" name="bjHeaderFirstPageDocProperty">
    <vt:lpwstr> </vt:lpwstr>
  </property>
  <property fmtid="{D5CDD505-2E9C-101B-9397-08002B2CF9AE}" pid="15" name="bjHeaderEvenPageDocProperty">
    <vt:lpwstr> </vt:lpwstr>
  </property>
  <property fmtid="{D5CDD505-2E9C-101B-9397-08002B2CF9AE}" pid="16" name="_ReviewingToolsShownOnce">
    <vt:lpwstr/>
  </property>
</Properties>
</file>