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5B78" w14:textId="77777777" w:rsidR="008972E3" w:rsidRDefault="008972E3" w:rsidP="008972E3">
      <w:pPr>
        <w:spacing w:before="240"/>
        <w:ind w:left="720" w:firstLine="720"/>
        <w:jc w:val="center"/>
        <w:rPr>
          <w:b/>
        </w:rPr>
      </w:pPr>
      <w:bookmarkStart w:id="0" w:name="_GoBack"/>
      <w:bookmarkEnd w:id="0"/>
      <w:r>
        <w:rPr>
          <w:noProof/>
          <w:lang w:eastAsia="en-IE"/>
        </w:rPr>
        <w:drawing>
          <wp:anchor distT="0" distB="0" distL="114300" distR="114300" simplePos="0" relativeHeight="251659264" behindDoc="1" locked="0" layoutInCell="1" allowOverlap="1" wp14:anchorId="7D09D3BB" wp14:editId="7A079FE5">
            <wp:simplePos x="0" y="0"/>
            <wp:positionH relativeFrom="page">
              <wp:posOffset>180975</wp:posOffset>
            </wp:positionH>
            <wp:positionV relativeFrom="paragraph">
              <wp:posOffset>-685800</wp:posOffset>
            </wp:positionV>
            <wp:extent cx="7264400" cy="9980999"/>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1310" cy="999049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Pr>
          <w:b/>
        </w:rPr>
        <w:tab/>
      </w:r>
      <w:r>
        <w:rPr>
          <w:b/>
        </w:rPr>
        <w:tab/>
      </w:r>
    </w:p>
    <w:p w14:paraId="1817FA2E" w14:textId="77777777" w:rsidR="008972E3" w:rsidRDefault="008972E3" w:rsidP="008972E3">
      <w:pPr>
        <w:spacing w:before="240"/>
        <w:ind w:left="720" w:firstLine="720"/>
        <w:jc w:val="center"/>
        <w:rPr>
          <w:b/>
        </w:rPr>
      </w:pPr>
    </w:p>
    <w:p w14:paraId="7DF8173D" w14:textId="77777777" w:rsidR="008972E3" w:rsidRDefault="008972E3" w:rsidP="008972E3">
      <w:pPr>
        <w:spacing w:before="240"/>
        <w:ind w:left="720" w:firstLine="720"/>
        <w:jc w:val="center"/>
        <w:rPr>
          <w:b/>
        </w:rPr>
      </w:pPr>
    </w:p>
    <w:p w14:paraId="76C41333" w14:textId="7B90776E" w:rsidR="008972E3" w:rsidRDefault="0024534F" w:rsidP="0024534F">
      <w:pPr>
        <w:tabs>
          <w:tab w:val="left" w:pos="2580"/>
        </w:tabs>
        <w:spacing w:before="240"/>
        <w:ind w:left="720" w:firstLine="720"/>
        <w:rPr>
          <w:b/>
        </w:rPr>
      </w:pPr>
      <w:r>
        <w:rPr>
          <w:b/>
        </w:rPr>
        <w:tab/>
      </w:r>
    </w:p>
    <w:p w14:paraId="2FAFC57B" w14:textId="77777777" w:rsidR="008972E3" w:rsidRDefault="008972E3" w:rsidP="008972E3">
      <w:pPr>
        <w:spacing w:before="240"/>
        <w:ind w:left="720" w:firstLine="720"/>
        <w:jc w:val="center"/>
        <w:rPr>
          <w:b/>
        </w:rPr>
      </w:pPr>
    </w:p>
    <w:p w14:paraId="46D806EF" w14:textId="7A74BB45" w:rsidR="008972E3" w:rsidRDefault="0024534F" w:rsidP="0024534F">
      <w:pPr>
        <w:tabs>
          <w:tab w:val="left" w:pos="6855"/>
        </w:tabs>
        <w:spacing w:before="240"/>
        <w:ind w:left="720" w:firstLine="720"/>
        <w:rPr>
          <w:b/>
        </w:rPr>
      </w:pPr>
      <w:r>
        <w:rPr>
          <w:b/>
        </w:rPr>
        <w:tab/>
      </w:r>
    </w:p>
    <w:p w14:paraId="4C3196E2" w14:textId="77777777" w:rsidR="008972E3" w:rsidRDefault="008972E3" w:rsidP="008972E3">
      <w:pPr>
        <w:spacing w:before="240"/>
        <w:ind w:left="720" w:firstLine="720"/>
        <w:jc w:val="center"/>
        <w:rPr>
          <w:b/>
        </w:rPr>
      </w:pPr>
    </w:p>
    <w:p w14:paraId="4644AA97" w14:textId="77777777" w:rsidR="008972E3" w:rsidRDefault="008972E3" w:rsidP="008972E3">
      <w:pPr>
        <w:spacing w:before="240"/>
        <w:ind w:left="720" w:firstLine="720"/>
        <w:jc w:val="center"/>
        <w:rPr>
          <w:b/>
        </w:rPr>
      </w:pPr>
    </w:p>
    <w:p w14:paraId="6D02BC4F" w14:textId="77777777" w:rsidR="008972E3" w:rsidRDefault="008972E3" w:rsidP="008972E3">
      <w:pPr>
        <w:spacing w:before="240"/>
        <w:ind w:left="720" w:firstLine="720"/>
        <w:jc w:val="center"/>
        <w:rPr>
          <w:b/>
        </w:rPr>
      </w:pPr>
    </w:p>
    <w:p w14:paraId="39924D62" w14:textId="6F2FE40D" w:rsidR="0024534F" w:rsidRPr="00693C6F" w:rsidRDefault="006C39C5" w:rsidP="0083485E">
      <w:pPr>
        <w:autoSpaceDE w:val="0"/>
        <w:autoSpaceDN w:val="0"/>
        <w:adjustRightInd w:val="0"/>
        <w:spacing w:after="0" w:line="240" w:lineRule="auto"/>
        <w:rPr>
          <w:b/>
          <w:color w:val="92CDDC" w:themeColor="accent5" w:themeTint="99"/>
          <w:sz w:val="40"/>
          <w:szCs w:val="40"/>
        </w:rPr>
      </w:pPr>
      <w:r>
        <w:rPr>
          <w:b/>
          <w:color w:val="92CDDC" w:themeColor="accent5" w:themeTint="99"/>
          <w:sz w:val="40"/>
          <w:szCs w:val="40"/>
        </w:rPr>
        <w:t xml:space="preserve">Notification </w:t>
      </w:r>
      <w:r w:rsidR="005D5481">
        <w:rPr>
          <w:b/>
          <w:color w:val="92CDDC" w:themeColor="accent5" w:themeTint="99"/>
          <w:sz w:val="40"/>
          <w:szCs w:val="40"/>
        </w:rPr>
        <w:t>Form</w:t>
      </w:r>
      <w:r w:rsidR="0024534F" w:rsidRPr="00693C6F">
        <w:rPr>
          <w:b/>
          <w:color w:val="92CDDC" w:themeColor="accent5" w:themeTint="99"/>
          <w:sz w:val="40"/>
          <w:szCs w:val="40"/>
        </w:rPr>
        <w:t xml:space="preserve"> for Payment Institutions </w:t>
      </w:r>
      <w:r w:rsidR="0083485E" w:rsidRPr="00693C6F">
        <w:rPr>
          <w:b/>
          <w:color w:val="92CDDC" w:themeColor="accent5" w:themeTint="99"/>
          <w:sz w:val="40"/>
          <w:szCs w:val="40"/>
        </w:rPr>
        <w:t xml:space="preserve">and E-Money Institutions </w:t>
      </w:r>
      <w:r w:rsidR="0083485E">
        <w:rPr>
          <w:b/>
          <w:color w:val="92CDDC" w:themeColor="accent5" w:themeTint="99"/>
          <w:sz w:val="40"/>
          <w:szCs w:val="40"/>
        </w:rPr>
        <w:t xml:space="preserve">who intend to provide payment services through an agent in the State </w:t>
      </w:r>
      <w:r w:rsidR="0024534F" w:rsidRPr="00693C6F">
        <w:rPr>
          <w:b/>
          <w:color w:val="92CDDC" w:themeColor="accent5" w:themeTint="99"/>
          <w:sz w:val="40"/>
          <w:szCs w:val="40"/>
        </w:rPr>
        <w:t xml:space="preserve"> </w:t>
      </w:r>
    </w:p>
    <w:p w14:paraId="0430537A" w14:textId="6F33D0B4" w:rsidR="008972E3" w:rsidRPr="00693C6F" w:rsidRDefault="0024534F" w:rsidP="0024534F">
      <w:pPr>
        <w:spacing w:before="240"/>
        <w:rPr>
          <w:b/>
          <w:color w:val="92CDDC" w:themeColor="accent5" w:themeTint="99"/>
          <w:sz w:val="28"/>
          <w:szCs w:val="28"/>
        </w:rPr>
      </w:pPr>
      <w:r w:rsidRPr="00693C6F">
        <w:rPr>
          <w:b/>
          <w:color w:val="FFFFFF" w:themeColor="background1"/>
          <w:sz w:val="28"/>
          <w:szCs w:val="28"/>
        </w:rPr>
        <w:t>U</w:t>
      </w:r>
      <w:r w:rsidR="00C41609" w:rsidRPr="00693C6F">
        <w:rPr>
          <w:b/>
          <w:color w:val="FFFFFF" w:themeColor="background1"/>
          <w:sz w:val="28"/>
          <w:szCs w:val="28"/>
        </w:rPr>
        <w:t xml:space="preserve">nder </w:t>
      </w:r>
      <w:r w:rsidR="00A071DF">
        <w:rPr>
          <w:b/>
          <w:color w:val="FFFFFF" w:themeColor="background1"/>
          <w:sz w:val="28"/>
          <w:szCs w:val="28"/>
        </w:rPr>
        <w:t>Regulation 3</w:t>
      </w:r>
      <w:r w:rsidR="0083485E">
        <w:rPr>
          <w:b/>
          <w:color w:val="FFFFFF" w:themeColor="background1"/>
          <w:sz w:val="28"/>
          <w:szCs w:val="28"/>
        </w:rPr>
        <w:t xml:space="preserve">0 </w:t>
      </w:r>
      <w:r w:rsidR="00426AAF">
        <w:rPr>
          <w:b/>
          <w:color w:val="FFFFFF" w:themeColor="background1"/>
          <w:sz w:val="28"/>
          <w:szCs w:val="28"/>
        </w:rPr>
        <w:t xml:space="preserve">of the European Union (Payment Services) Regulations 2018 </w:t>
      </w:r>
      <w:r w:rsidR="00012956">
        <w:rPr>
          <w:b/>
          <w:color w:val="FFFFFF" w:themeColor="background1"/>
          <w:sz w:val="28"/>
          <w:szCs w:val="28"/>
        </w:rPr>
        <w:t xml:space="preserve">or under Regulation 21 </w:t>
      </w:r>
      <w:r w:rsidR="00012956" w:rsidRPr="00012956">
        <w:rPr>
          <w:b/>
          <w:color w:val="FFFFFF" w:themeColor="background1"/>
          <w:sz w:val="28"/>
          <w:szCs w:val="28"/>
        </w:rPr>
        <w:t>of the European Communities (Electronic Money) Regulations 2011 (as amended)</w:t>
      </w:r>
    </w:p>
    <w:p w14:paraId="4E5AD015" w14:textId="60499112" w:rsidR="0024534F" w:rsidRPr="0018270D" w:rsidRDefault="0024534F" w:rsidP="0024534F">
      <w:pPr>
        <w:spacing w:before="240"/>
        <w:rPr>
          <w:b/>
          <w:color w:val="FFFFFF" w:themeColor="background1"/>
          <w:sz w:val="36"/>
          <w:szCs w:val="36"/>
        </w:rPr>
      </w:pPr>
      <w:r w:rsidRPr="00693C6F">
        <w:rPr>
          <w:b/>
          <w:color w:val="FFFFFF" w:themeColor="background1"/>
          <w:sz w:val="28"/>
          <w:szCs w:val="28"/>
        </w:rPr>
        <w:t>January 201</w:t>
      </w:r>
      <w:r w:rsidR="00BB0662">
        <w:rPr>
          <w:b/>
          <w:color w:val="FFFFFF" w:themeColor="background1"/>
          <w:sz w:val="28"/>
          <w:szCs w:val="28"/>
        </w:rPr>
        <w:t>9</w:t>
      </w:r>
    </w:p>
    <w:p w14:paraId="44F0A287" w14:textId="762301ED" w:rsidR="00254639" w:rsidRDefault="00254639">
      <w:pPr>
        <w:rPr>
          <w:b/>
        </w:rPr>
      </w:pPr>
      <w:r>
        <w:rPr>
          <w:b/>
        </w:rPr>
        <w:br w:type="page"/>
      </w:r>
    </w:p>
    <w:p w14:paraId="27EFBCE0" w14:textId="77777777" w:rsidR="00294864" w:rsidRPr="00BB2DB6" w:rsidRDefault="00294864" w:rsidP="00294864">
      <w:pPr>
        <w:jc w:val="center"/>
      </w:pPr>
      <w:r>
        <w:rPr>
          <w:rFonts w:cstheme="minorHAnsi"/>
          <w:b/>
          <w:color w:val="1F497D" w:themeColor="text2"/>
          <w:sz w:val="28"/>
          <w:szCs w:val="28"/>
        </w:rPr>
        <w:lastRenderedPageBreak/>
        <w:t xml:space="preserve">IMPORTANT INFORMATION TO BE READ </w:t>
      </w:r>
      <w:r>
        <w:rPr>
          <w:rFonts w:cstheme="minorHAnsi"/>
          <w:b/>
          <w:color w:val="1F497D" w:themeColor="text2"/>
          <w:sz w:val="28"/>
          <w:szCs w:val="28"/>
          <w:u w:val="single"/>
        </w:rPr>
        <w:t>B</w:t>
      </w:r>
      <w:r w:rsidRPr="00165BF3">
        <w:rPr>
          <w:rFonts w:cstheme="minorHAnsi"/>
          <w:b/>
          <w:color w:val="1F497D" w:themeColor="text2"/>
          <w:sz w:val="28"/>
          <w:szCs w:val="28"/>
          <w:u w:val="single"/>
        </w:rPr>
        <w:t>EFORE</w:t>
      </w:r>
      <w:r>
        <w:rPr>
          <w:rFonts w:cstheme="minorHAnsi"/>
          <w:b/>
          <w:color w:val="1F497D" w:themeColor="text2"/>
          <w:sz w:val="28"/>
          <w:szCs w:val="28"/>
        </w:rPr>
        <w:t xml:space="preserve"> COMPLETING THIS NOTIFICATION FORM</w:t>
      </w:r>
    </w:p>
    <w:p w14:paraId="332DAE00" w14:textId="77777777" w:rsidR="00294864" w:rsidRPr="00A03041" w:rsidRDefault="00294864" w:rsidP="00294864">
      <w:pPr>
        <w:spacing w:after="0"/>
        <w:jc w:val="both"/>
        <w:rPr>
          <w:rFonts w:cstheme="minorHAnsi"/>
          <w:sz w:val="20"/>
          <w:szCs w:val="20"/>
          <w:lang w:val="en-US"/>
        </w:rPr>
      </w:pPr>
    </w:p>
    <w:p w14:paraId="7A78FA8E" w14:textId="77777777" w:rsidR="00294864" w:rsidRPr="00165BF3" w:rsidRDefault="00294864" w:rsidP="00294864">
      <w:pPr>
        <w:pBdr>
          <w:top w:val="single" w:sz="4" w:space="1" w:color="auto"/>
          <w:left w:val="single" w:sz="4" w:space="4" w:color="auto"/>
          <w:bottom w:val="single" w:sz="4" w:space="1" w:color="auto"/>
          <w:right w:val="single" w:sz="4" w:space="4" w:color="auto"/>
        </w:pBdr>
        <w:spacing w:after="0"/>
        <w:rPr>
          <w:rFonts w:cstheme="minorHAnsi"/>
          <w:b/>
          <w:bCs/>
          <w:color w:val="1F497D" w:themeColor="text2"/>
        </w:rPr>
      </w:pPr>
      <w:r w:rsidRPr="00165BF3">
        <w:rPr>
          <w:rFonts w:cstheme="minorHAnsi"/>
          <w:b/>
          <w:bCs/>
          <w:color w:val="1F497D" w:themeColor="text2"/>
        </w:rPr>
        <w:t>Terms used in this Notification Form:</w:t>
      </w:r>
    </w:p>
    <w:p w14:paraId="73163BB7" w14:textId="77777777" w:rsidR="00F9031B" w:rsidRDefault="00F9031B" w:rsidP="00294864">
      <w:pPr>
        <w:pBdr>
          <w:top w:val="single" w:sz="4" w:space="1" w:color="auto"/>
          <w:left w:val="single" w:sz="4" w:space="4" w:color="auto"/>
          <w:bottom w:val="single" w:sz="4" w:space="1" w:color="auto"/>
          <w:right w:val="single" w:sz="4" w:space="4" w:color="auto"/>
        </w:pBdr>
        <w:spacing w:after="0"/>
        <w:jc w:val="both"/>
        <w:rPr>
          <w:rFonts w:cstheme="minorHAnsi"/>
          <w:b/>
          <w:bCs/>
          <w:color w:val="000000"/>
        </w:rPr>
      </w:pPr>
    </w:p>
    <w:p w14:paraId="71AA00EB" w14:textId="77777777" w:rsidR="0023260A" w:rsidRDefault="0023260A" w:rsidP="0023260A">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b/>
          <w:color w:val="404040" w:themeColor="text1" w:themeTint="BF"/>
          <w:lang w:val="en-GB"/>
        </w:rPr>
      </w:pPr>
      <w:r w:rsidRPr="00693C6F">
        <w:rPr>
          <w:rFonts w:eastAsia="Times New Roman" w:cs="Arial"/>
          <w:b/>
          <w:color w:val="000000" w:themeColor="text1"/>
          <w:lang w:val="en" w:eastAsia="en-IE"/>
        </w:rPr>
        <w:t>Applicant</w:t>
      </w:r>
      <w:r>
        <w:rPr>
          <w:rFonts w:eastAsia="Times New Roman" w:cs="Arial"/>
          <w:color w:val="000000" w:themeColor="text1"/>
          <w:lang w:val="en" w:eastAsia="en-IE"/>
        </w:rPr>
        <w:t xml:space="preserve"> – the firm submitting this Notification Form to the Central Bank advising that it is seeking to appoint an agent, to provide services on its behalf, in the State i.e. its home Member State</w:t>
      </w:r>
    </w:p>
    <w:p w14:paraId="42BFC4C8" w14:textId="77777777" w:rsidR="00F20B69" w:rsidRDefault="00F20B69" w:rsidP="00F20B69">
      <w:pPr>
        <w:pBdr>
          <w:top w:val="single" w:sz="4" w:space="1" w:color="auto"/>
          <w:left w:val="single" w:sz="4" w:space="4" w:color="auto"/>
          <w:bottom w:val="single" w:sz="4" w:space="1" w:color="auto"/>
          <w:right w:val="single" w:sz="4" w:space="4" w:color="auto"/>
        </w:pBdr>
        <w:spacing w:after="0"/>
        <w:jc w:val="both"/>
        <w:rPr>
          <w:rFonts w:cstheme="minorHAnsi"/>
          <w:b/>
          <w:bCs/>
          <w:color w:val="000000"/>
        </w:rPr>
      </w:pPr>
    </w:p>
    <w:p w14:paraId="3955B268" w14:textId="27AA13A1" w:rsidR="00F20B69" w:rsidRDefault="00F20B69" w:rsidP="00F20B69">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165BF3">
        <w:rPr>
          <w:rFonts w:cstheme="minorHAnsi"/>
          <w:b/>
          <w:bCs/>
          <w:color w:val="000000"/>
        </w:rPr>
        <w:t>Central Bank</w:t>
      </w:r>
      <w:r w:rsidRPr="00165BF3">
        <w:rPr>
          <w:rFonts w:cstheme="minorHAnsi"/>
          <w:bCs/>
          <w:color w:val="000000"/>
        </w:rPr>
        <w:t xml:space="preserve"> – Central Bank of Ireland</w:t>
      </w:r>
    </w:p>
    <w:p w14:paraId="6017C484" w14:textId="77777777" w:rsidR="0023260A" w:rsidRDefault="0023260A" w:rsidP="00294864">
      <w:pPr>
        <w:pBdr>
          <w:top w:val="single" w:sz="4" w:space="1" w:color="auto"/>
          <w:left w:val="single" w:sz="4" w:space="4" w:color="auto"/>
          <w:bottom w:val="single" w:sz="4" w:space="1" w:color="auto"/>
          <w:right w:val="single" w:sz="4" w:space="4" w:color="auto"/>
        </w:pBdr>
        <w:spacing w:after="0"/>
        <w:jc w:val="both"/>
        <w:rPr>
          <w:rFonts w:cstheme="minorHAnsi"/>
          <w:b/>
          <w:bCs/>
          <w:color w:val="000000"/>
        </w:rPr>
      </w:pPr>
    </w:p>
    <w:p w14:paraId="058E7475" w14:textId="12D77400" w:rsidR="0023260A" w:rsidRPr="00961046" w:rsidRDefault="0023260A" w:rsidP="0023260A">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000000" w:themeColor="text1"/>
          <w:lang w:val="en-GB"/>
        </w:rPr>
      </w:pPr>
      <w:r w:rsidRPr="00693C6F">
        <w:rPr>
          <w:rFonts w:ascii="Calibri" w:eastAsia="MS PGothic" w:hAnsi="Calibri" w:cs="Times New Roman"/>
          <w:b/>
          <w:color w:val="404040" w:themeColor="text1" w:themeTint="BF"/>
          <w:lang w:val="en-GB"/>
        </w:rPr>
        <w:t>EBA</w:t>
      </w:r>
      <w:r>
        <w:rPr>
          <w:rFonts w:ascii="Calibri" w:eastAsia="MS PGothic" w:hAnsi="Calibri" w:cs="Times New Roman"/>
          <w:b/>
          <w:color w:val="404040" w:themeColor="text1" w:themeTint="BF"/>
          <w:lang w:val="en-GB"/>
        </w:rPr>
        <w:t xml:space="preserve"> - </w:t>
      </w:r>
      <w:r w:rsidRPr="00961046">
        <w:rPr>
          <w:rFonts w:ascii="Calibri" w:eastAsia="MS PGothic" w:hAnsi="Calibri" w:cs="Times New Roman"/>
          <w:color w:val="000000" w:themeColor="text1"/>
          <w:lang w:val="en-GB"/>
        </w:rPr>
        <w:t>European Banking Authority</w:t>
      </w:r>
    </w:p>
    <w:p w14:paraId="45166EBE" w14:textId="77777777" w:rsidR="0023260A" w:rsidRPr="00961046" w:rsidRDefault="0023260A" w:rsidP="0023260A">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000000" w:themeColor="text1"/>
          <w:lang w:val="en-GB"/>
        </w:rPr>
      </w:pPr>
    </w:p>
    <w:p w14:paraId="08A33862" w14:textId="77777777" w:rsidR="0023260A" w:rsidRPr="00707798" w:rsidRDefault="0023260A" w:rsidP="0023260A">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404040" w:themeColor="text1" w:themeTint="BF"/>
          <w:lang w:val="en-GB"/>
        </w:rPr>
      </w:pPr>
      <w:r>
        <w:rPr>
          <w:rFonts w:ascii="Calibri" w:eastAsia="MS PGothic" w:hAnsi="Calibri" w:cs="Times New Roman"/>
          <w:b/>
          <w:color w:val="404040" w:themeColor="text1" w:themeTint="BF"/>
          <w:lang w:val="en-GB"/>
        </w:rPr>
        <w:t xml:space="preserve">EBA Guidelines </w:t>
      </w:r>
      <w:r>
        <w:rPr>
          <w:rFonts w:ascii="Calibri" w:eastAsia="MS PGothic" w:hAnsi="Calibri" w:cs="Times New Roman"/>
          <w:color w:val="404040" w:themeColor="text1" w:themeTint="BF"/>
          <w:lang w:val="en-GB"/>
        </w:rPr>
        <w:t xml:space="preserve">- </w:t>
      </w:r>
      <w:r w:rsidRPr="008477D3">
        <w:t xml:space="preserve">EBA Guidelines under </w:t>
      </w:r>
      <w:r>
        <w:t xml:space="preserve">Directive (EU) 2015/2366 </w:t>
      </w:r>
      <w:r w:rsidRPr="008477D3">
        <w:t>on the information to be provided for the authorisation of payment institutions and e-money institutions</w:t>
      </w:r>
    </w:p>
    <w:p w14:paraId="2EE42A77" w14:textId="77777777" w:rsidR="0023260A" w:rsidRDefault="0023260A" w:rsidP="0023260A">
      <w:pPr>
        <w:pBdr>
          <w:top w:val="single" w:sz="4" w:space="1" w:color="auto"/>
          <w:left w:val="single" w:sz="4" w:space="4" w:color="auto"/>
          <w:bottom w:val="single" w:sz="4" w:space="1" w:color="auto"/>
          <w:right w:val="single" w:sz="4" w:space="4" w:color="auto"/>
        </w:pBdr>
        <w:spacing w:after="0"/>
        <w:jc w:val="both"/>
        <w:rPr>
          <w:rFonts w:cstheme="minorHAnsi"/>
          <w:b/>
          <w:bCs/>
          <w:color w:val="000000"/>
        </w:rPr>
      </w:pPr>
    </w:p>
    <w:p w14:paraId="6E464527" w14:textId="3884A6C1" w:rsidR="0023260A" w:rsidRDefault="0023260A" w:rsidP="0023260A">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p>
    <w:p w14:paraId="1364B45E" w14:textId="78B6B468" w:rsidR="00294864" w:rsidRDefault="00294864" w:rsidP="00294864">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404040" w:themeColor="text1" w:themeTint="BF"/>
          <w:lang w:val="en-GB"/>
        </w:rPr>
      </w:pPr>
      <w:r w:rsidRPr="00693C6F">
        <w:rPr>
          <w:rFonts w:ascii="Calibri" w:eastAsia="MS PGothic" w:hAnsi="Calibri" w:cs="Times New Roman"/>
          <w:b/>
          <w:color w:val="404040" w:themeColor="text1" w:themeTint="BF"/>
          <w:lang w:val="en-GB"/>
        </w:rPr>
        <w:t>IQ</w:t>
      </w:r>
      <w:r>
        <w:rPr>
          <w:rFonts w:ascii="Calibri" w:eastAsia="MS PGothic" w:hAnsi="Calibri" w:cs="Times New Roman"/>
          <w:color w:val="404040" w:themeColor="text1" w:themeTint="BF"/>
          <w:lang w:val="en-GB"/>
        </w:rPr>
        <w:t xml:space="preserve"> - Individual Questionnaire</w:t>
      </w:r>
    </w:p>
    <w:p w14:paraId="58F60BD2" w14:textId="77777777" w:rsidR="00294864" w:rsidRPr="00165BF3" w:rsidRDefault="00294864" w:rsidP="00294864">
      <w:pPr>
        <w:spacing w:after="0"/>
        <w:jc w:val="both"/>
        <w:rPr>
          <w:rFonts w:cstheme="minorHAnsi"/>
          <w:bCs/>
          <w:color w:val="000000"/>
        </w:rPr>
      </w:pPr>
    </w:p>
    <w:p w14:paraId="72305971" w14:textId="77777777" w:rsidR="00294864" w:rsidRPr="00C41609" w:rsidRDefault="00294864" w:rsidP="00294864">
      <w:pPr>
        <w:rPr>
          <w:rFonts w:ascii="Calibri" w:hAnsi="Calibri"/>
          <w:b/>
          <w:u w:val="single"/>
        </w:rPr>
      </w:pPr>
      <w:r>
        <w:rPr>
          <w:rFonts w:ascii="Calibri" w:hAnsi="Calibri"/>
          <w:b/>
          <w:u w:val="single"/>
        </w:rPr>
        <w:t>BACKGROUND INFORMATION</w:t>
      </w:r>
    </w:p>
    <w:p w14:paraId="43E4424E" w14:textId="3B5FAC9D" w:rsidR="00294864" w:rsidRPr="00693C6F" w:rsidRDefault="00294864" w:rsidP="00294864">
      <w:pPr>
        <w:pStyle w:val="CM1"/>
        <w:spacing w:line="360" w:lineRule="auto"/>
        <w:jc w:val="both"/>
        <w:rPr>
          <w:rFonts w:asciiTheme="minorHAnsi" w:hAnsiTheme="minorHAnsi"/>
          <w:sz w:val="22"/>
          <w:szCs w:val="22"/>
        </w:rPr>
      </w:pPr>
      <w:r w:rsidRPr="00693C6F">
        <w:rPr>
          <w:rFonts w:asciiTheme="minorHAnsi" w:hAnsiTheme="minorHAnsi"/>
          <w:sz w:val="22"/>
          <w:szCs w:val="22"/>
        </w:rPr>
        <w:t>This Notifi</w:t>
      </w:r>
      <w:r w:rsidR="00B7103A">
        <w:rPr>
          <w:rFonts w:asciiTheme="minorHAnsi" w:hAnsiTheme="minorHAnsi"/>
          <w:sz w:val="22"/>
          <w:szCs w:val="22"/>
        </w:rPr>
        <w:t>cation Form applies to payment i</w:t>
      </w:r>
      <w:r w:rsidRPr="00693C6F">
        <w:rPr>
          <w:rFonts w:asciiTheme="minorHAnsi" w:hAnsiTheme="minorHAnsi"/>
          <w:sz w:val="22"/>
          <w:szCs w:val="22"/>
        </w:rPr>
        <w:t xml:space="preserve">nstitutions and </w:t>
      </w:r>
      <w:r w:rsidR="00B7103A">
        <w:rPr>
          <w:rFonts w:asciiTheme="minorHAnsi" w:hAnsiTheme="minorHAnsi"/>
          <w:sz w:val="22"/>
          <w:szCs w:val="22"/>
        </w:rPr>
        <w:t>e</w:t>
      </w:r>
      <w:r w:rsidR="005D5481">
        <w:rPr>
          <w:rFonts w:asciiTheme="minorHAnsi" w:hAnsiTheme="minorHAnsi"/>
          <w:sz w:val="22"/>
          <w:szCs w:val="22"/>
        </w:rPr>
        <w:t>-</w:t>
      </w:r>
      <w:r w:rsidR="00B7103A">
        <w:rPr>
          <w:rFonts w:asciiTheme="minorHAnsi" w:hAnsiTheme="minorHAnsi"/>
          <w:sz w:val="22"/>
          <w:szCs w:val="22"/>
        </w:rPr>
        <w:t>m</w:t>
      </w:r>
      <w:r w:rsidRPr="00693C6F">
        <w:rPr>
          <w:rFonts w:asciiTheme="minorHAnsi" w:hAnsiTheme="minorHAnsi"/>
          <w:sz w:val="22"/>
          <w:szCs w:val="22"/>
        </w:rPr>
        <w:t>oney Institutions wishing</w:t>
      </w:r>
      <w:r w:rsidRPr="00693C6F">
        <w:rPr>
          <w:rFonts w:asciiTheme="minorHAnsi" w:hAnsiTheme="minorHAnsi" w:cs="EUAlbertina"/>
          <w:color w:val="000000"/>
          <w:sz w:val="22"/>
          <w:szCs w:val="22"/>
        </w:rPr>
        <w:t xml:space="preserve"> to provide payment services in </w:t>
      </w:r>
      <w:r w:rsidR="000B5DE7">
        <w:rPr>
          <w:rFonts w:asciiTheme="minorHAnsi" w:hAnsiTheme="minorHAnsi" w:cs="EUAlbertina"/>
          <w:color w:val="000000"/>
          <w:sz w:val="22"/>
          <w:szCs w:val="22"/>
        </w:rPr>
        <w:t xml:space="preserve">the State (i.e., </w:t>
      </w:r>
      <w:r w:rsidR="0083485E">
        <w:rPr>
          <w:rFonts w:asciiTheme="minorHAnsi" w:hAnsiTheme="minorHAnsi" w:cs="EUAlbertina"/>
          <w:color w:val="000000"/>
          <w:sz w:val="22"/>
          <w:szCs w:val="22"/>
        </w:rPr>
        <w:t xml:space="preserve">its </w:t>
      </w:r>
      <w:r w:rsidRPr="00693C6F">
        <w:rPr>
          <w:rFonts w:asciiTheme="minorHAnsi" w:hAnsiTheme="minorHAnsi" w:cs="EUAlbertina"/>
          <w:color w:val="000000"/>
          <w:sz w:val="22"/>
          <w:szCs w:val="22"/>
        </w:rPr>
        <w:t>home Member State</w:t>
      </w:r>
      <w:r w:rsidR="000B5DE7">
        <w:rPr>
          <w:rFonts w:asciiTheme="minorHAnsi" w:hAnsiTheme="minorHAnsi" w:cs="EUAlbertina"/>
          <w:color w:val="000000"/>
          <w:sz w:val="22"/>
          <w:szCs w:val="22"/>
        </w:rPr>
        <w:t>)</w:t>
      </w:r>
      <w:r w:rsidRPr="00693C6F">
        <w:rPr>
          <w:rFonts w:asciiTheme="minorHAnsi" w:hAnsiTheme="minorHAnsi" w:cs="EUAlbertina"/>
          <w:color w:val="000000"/>
          <w:sz w:val="22"/>
          <w:szCs w:val="22"/>
        </w:rPr>
        <w:t xml:space="preserve">, </w:t>
      </w:r>
      <w:r w:rsidRPr="00693C6F">
        <w:rPr>
          <w:rFonts w:asciiTheme="minorHAnsi" w:hAnsiTheme="minorHAnsi"/>
          <w:sz w:val="22"/>
          <w:szCs w:val="22"/>
        </w:rPr>
        <w:t>using agents.</w:t>
      </w:r>
    </w:p>
    <w:p w14:paraId="26D086B9" w14:textId="77777777" w:rsidR="00294864" w:rsidRPr="00693C6F" w:rsidRDefault="00294864" w:rsidP="00294864">
      <w:pPr>
        <w:pStyle w:val="CM1"/>
        <w:spacing w:line="360" w:lineRule="auto"/>
        <w:jc w:val="both"/>
        <w:rPr>
          <w:rFonts w:asciiTheme="minorHAnsi" w:hAnsiTheme="minorHAnsi"/>
          <w:sz w:val="22"/>
          <w:szCs w:val="22"/>
        </w:rPr>
      </w:pPr>
    </w:p>
    <w:p w14:paraId="0001CA56" w14:textId="5948D931" w:rsidR="00F20B69" w:rsidRDefault="00294864" w:rsidP="00294864">
      <w:pPr>
        <w:spacing w:after="0" w:line="360" w:lineRule="auto"/>
        <w:jc w:val="both"/>
        <w:rPr>
          <w:rFonts w:eastAsia="Times New Roman" w:cs="Arial"/>
          <w:color w:val="000000" w:themeColor="text1"/>
          <w:lang w:val="en" w:eastAsia="en-IE"/>
        </w:rPr>
      </w:pPr>
      <w:r>
        <w:t xml:space="preserve">Regulation </w:t>
      </w:r>
      <w:r w:rsidRPr="00A071DF">
        <w:t>3</w:t>
      </w:r>
      <w:r w:rsidR="0083485E">
        <w:t>0</w:t>
      </w:r>
      <w:r w:rsidRPr="00A071DF">
        <w:t xml:space="preserve"> of the</w:t>
      </w:r>
      <w:r>
        <w:t xml:space="preserve"> European Union (Payment Services) Regulations 2018</w:t>
      </w:r>
      <w:r w:rsidR="00012956">
        <w:t xml:space="preserve"> and Regulation 21</w:t>
      </w:r>
      <w:r w:rsidR="00012956" w:rsidRPr="00012956">
        <w:t xml:space="preserve"> of the European Communities (Electronic Money) Regulations 2011 (as amended)</w:t>
      </w:r>
      <w:r>
        <w:t xml:space="preserve"> </w:t>
      </w:r>
      <w:r w:rsidRPr="00693C6F">
        <w:rPr>
          <w:rFonts w:eastAsia="Times New Roman" w:cs="Arial"/>
          <w:color w:val="000000" w:themeColor="text1"/>
          <w:lang w:val="en" w:eastAsia="en-IE"/>
        </w:rPr>
        <w:t>set out the pr</w:t>
      </w:r>
      <w:r w:rsidR="00012956">
        <w:rPr>
          <w:rFonts w:eastAsia="Times New Roman" w:cs="Arial"/>
          <w:color w:val="000000" w:themeColor="text1"/>
          <w:lang w:val="en" w:eastAsia="en-IE"/>
        </w:rPr>
        <w:t xml:space="preserve">ocedure </w:t>
      </w:r>
      <w:r w:rsidR="00012956" w:rsidRPr="00012956">
        <w:rPr>
          <w:rFonts w:eastAsia="Times New Roman" w:cs="Arial"/>
          <w:color w:val="000000" w:themeColor="text1"/>
          <w:lang w:val="en" w:eastAsia="en-IE"/>
        </w:rPr>
        <w:t>for</w:t>
      </w:r>
      <w:r w:rsidR="00012956">
        <w:rPr>
          <w:rFonts w:eastAsia="Times New Roman" w:cs="Arial"/>
          <w:color w:val="000000" w:themeColor="text1"/>
          <w:lang w:val="en" w:eastAsia="en-IE"/>
        </w:rPr>
        <w:t xml:space="preserve"> </w:t>
      </w:r>
      <w:r w:rsidR="00B04E3A">
        <w:rPr>
          <w:rFonts w:eastAsia="Times New Roman" w:cs="Arial"/>
          <w:color w:val="000000" w:themeColor="text1"/>
          <w:lang w:val="en" w:eastAsia="en-IE"/>
        </w:rPr>
        <w:t>a</w:t>
      </w:r>
      <w:r w:rsidR="00F20B69">
        <w:rPr>
          <w:rFonts w:eastAsia="Times New Roman" w:cs="Arial"/>
          <w:color w:val="000000" w:themeColor="text1"/>
          <w:lang w:val="en" w:eastAsia="en-IE"/>
        </w:rPr>
        <w:t xml:space="preserve">n application by a </w:t>
      </w:r>
      <w:r w:rsidR="00E97085">
        <w:rPr>
          <w:rFonts w:eastAsia="Times New Roman" w:cs="Arial"/>
          <w:color w:val="000000" w:themeColor="text1"/>
          <w:lang w:val="en" w:eastAsia="en-IE"/>
        </w:rPr>
        <w:t xml:space="preserve">firm </w:t>
      </w:r>
      <w:r w:rsidR="00B7103A">
        <w:rPr>
          <w:rFonts w:eastAsia="Times New Roman" w:cs="Arial"/>
          <w:color w:val="000000" w:themeColor="text1"/>
          <w:lang w:val="en" w:eastAsia="en-IE"/>
        </w:rPr>
        <w:t>that wish</w:t>
      </w:r>
      <w:r w:rsidR="00F20B69">
        <w:rPr>
          <w:rFonts w:eastAsia="Times New Roman" w:cs="Arial"/>
          <w:color w:val="000000" w:themeColor="text1"/>
          <w:lang w:val="en" w:eastAsia="en-IE"/>
        </w:rPr>
        <w:t>es</w:t>
      </w:r>
      <w:r w:rsidR="00E97085">
        <w:rPr>
          <w:rFonts w:eastAsia="Times New Roman" w:cs="Arial"/>
          <w:color w:val="000000" w:themeColor="text1"/>
          <w:lang w:val="en" w:eastAsia="en-IE"/>
        </w:rPr>
        <w:t xml:space="preserve"> to provide services through an agent </w:t>
      </w:r>
      <w:r w:rsidR="00CD673C">
        <w:rPr>
          <w:rFonts w:eastAsia="Times New Roman" w:cs="Arial"/>
          <w:color w:val="000000" w:themeColor="text1"/>
          <w:lang w:val="en" w:eastAsia="en-IE"/>
        </w:rPr>
        <w:t>in the State</w:t>
      </w:r>
      <w:r w:rsidRPr="00693C6F">
        <w:rPr>
          <w:rFonts w:eastAsia="Times New Roman" w:cs="Arial"/>
          <w:color w:val="000000" w:themeColor="text1"/>
          <w:lang w:val="en" w:eastAsia="en-IE"/>
        </w:rPr>
        <w:t>.  </w:t>
      </w:r>
    </w:p>
    <w:p w14:paraId="48A083C2" w14:textId="77777777" w:rsidR="00F20B69" w:rsidRDefault="00F20B69" w:rsidP="00294864">
      <w:pPr>
        <w:spacing w:after="0" w:line="360" w:lineRule="auto"/>
        <w:jc w:val="both"/>
        <w:rPr>
          <w:rFonts w:eastAsia="Times New Roman" w:cs="Arial"/>
          <w:color w:val="000000" w:themeColor="text1"/>
          <w:lang w:val="en" w:eastAsia="en-IE"/>
        </w:rPr>
      </w:pPr>
    </w:p>
    <w:p w14:paraId="28CD3FA0" w14:textId="5791110F" w:rsidR="00294864" w:rsidRPr="00C03A64" w:rsidRDefault="00294864" w:rsidP="00294864">
      <w:pPr>
        <w:spacing w:after="0" w:line="360" w:lineRule="auto"/>
        <w:jc w:val="both"/>
        <w:rPr>
          <w:rFonts w:eastAsia="Times New Roman" w:cs="Arial"/>
          <w:b/>
          <w:color w:val="000000" w:themeColor="text1"/>
          <w:lang w:val="en" w:eastAsia="en-IE"/>
        </w:rPr>
      </w:pPr>
      <w:r w:rsidRPr="00C03A64">
        <w:rPr>
          <w:rFonts w:eastAsia="Times New Roman" w:cs="Arial"/>
          <w:b/>
          <w:color w:val="000000" w:themeColor="text1"/>
          <w:lang w:val="en" w:eastAsia="en-IE"/>
        </w:rPr>
        <w:t xml:space="preserve">This Notification Form is to be used by </w:t>
      </w:r>
      <w:r w:rsidR="00B04E3A" w:rsidRPr="00C03A64">
        <w:rPr>
          <w:rFonts w:eastAsia="Times New Roman" w:cs="Arial"/>
          <w:b/>
          <w:color w:val="000000" w:themeColor="text1"/>
          <w:lang w:val="en" w:eastAsia="en-IE"/>
        </w:rPr>
        <w:t>a</w:t>
      </w:r>
      <w:r w:rsidR="00F20B69">
        <w:rPr>
          <w:rFonts w:eastAsia="Times New Roman" w:cs="Arial"/>
          <w:b/>
          <w:color w:val="000000" w:themeColor="text1"/>
          <w:lang w:val="en" w:eastAsia="en-IE"/>
        </w:rPr>
        <w:t>n applicant</w:t>
      </w:r>
      <w:r w:rsidRPr="00C03A64">
        <w:rPr>
          <w:rFonts w:eastAsia="Times New Roman" w:cs="Arial"/>
          <w:b/>
          <w:color w:val="000000" w:themeColor="text1"/>
          <w:lang w:val="en" w:eastAsia="en-IE"/>
        </w:rPr>
        <w:t xml:space="preserve"> wishing to appoint an agent, to provide services on its behalf, in </w:t>
      </w:r>
      <w:r w:rsidR="000B5DE7" w:rsidRPr="00C03A64">
        <w:rPr>
          <w:rFonts w:eastAsia="Times New Roman" w:cs="Arial"/>
          <w:b/>
          <w:color w:val="000000" w:themeColor="text1"/>
          <w:lang w:val="en" w:eastAsia="en-IE"/>
        </w:rPr>
        <w:t xml:space="preserve">the State (i.e., </w:t>
      </w:r>
      <w:r w:rsidR="0083485E" w:rsidRPr="00C03A64">
        <w:rPr>
          <w:rFonts w:eastAsia="Times New Roman" w:cs="Arial"/>
          <w:b/>
          <w:color w:val="000000" w:themeColor="text1"/>
          <w:lang w:val="en" w:eastAsia="en-IE"/>
        </w:rPr>
        <w:t>its hom</w:t>
      </w:r>
      <w:r w:rsidRPr="00C03A64">
        <w:rPr>
          <w:rFonts w:eastAsia="Times New Roman" w:cs="Arial"/>
          <w:b/>
          <w:color w:val="000000" w:themeColor="text1"/>
          <w:lang w:val="en" w:eastAsia="en-IE"/>
        </w:rPr>
        <w:t>e Member State</w:t>
      </w:r>
      <w:r w:rsidR="000B5DE7" w:rsidRPr="00C03A64">
        <w:rPr>
          <w:rFonts w:eastAsia="Times New Roman" w:cs="Arial"/>
          <w:b/>
          <w:color w:val="000000" w:themeColor="text1"/>
          <w:lang w:val="en" w:eastAsia="en-IE"/>
        </w:rPr>
        <w:t>)</w:t>
      </w:r>
      <w:r w:rsidR="00B04E3A" w:rsidRPr="00C03A64">
        <w:rPr>
          <w:rFonts w:eastAsia="Times New Roman" w:cs="Arial"/>
          <w:b/>
          <w:color w:val="000000" w:themeColor="text1"/>
          <w:lang w:val="en" w:eastAsia="en-IE"/>
        </w:rPr>
        <w:t>, i.e. the applicant</w:t>
      </w:r>
      <w:r w:rsidRPr="00C03A64">
        <w:rPr>
          <w:rFonts w:eastAsia="Times New Roman" w:cs="Arial"/>
          <w:b/>
          <w:color w:val="000000" w:themeColor="text1"/>
          <w:lang w:val="en" w:eastAsia="en-IE"/>
        </w:rPr>
        <w:t>.</w:t>
      </w:r>
    </w:p>
    <w:p w14:paraId="650E9D7D" w14:textId="77777777" w:rsidR="00294864" w:rsidRPr="00693C6F" w:rsidRDefault="00294864" w:rsidP="00294864">
      <w:pPr>
        <w:spacing w:after="0" w:line="360" w:lineRule="auto"/>
        <w:jc w:val="both"/>
        <w:rPr>
          <w:rFonts w:eastAsia="Times New Roman" w:cs="Arial"/>
          <w:color w:val="000000" w:themeColor="text1"/>
          <w:lang w:val="en" w:eastAsia="en-IE"/>
        </w:rPr>
      </w:pPr>
    </w:p>
    <w:p w14:paraId="7A87B86C" w14:textId="633A8758" w:rsidR="005D5481" w:rsidRPr="00693C6F" w:rsidRDefault="00B7103A" w:rsidP="005D5481">
      <w:pPr>
        <w:spacing w:after="0" w:line="360" w:lineRule="auto"/>
        <w:jc w:val="both"/>
      </w:pPr>
      <w:r>
        <w:t>Payment institutions and e</w:t>
      </w:r>
      <w:r w:rsidR="005D5481">
        <w:t>-</w:t>
      </w:r>
      <w:r>
        <w:t>money i</w:t>
      </w:r>
      <w:r w:rsidR="00294864" w:rsidRPr="00693C6F">
        <w:t xml:space="preserve">nstitutions must </w:t>
      </w:r>
      <w:r w:rsidR="00B04E3A">
        <w:t xml:space="preserve">satisfy themselves </w:t>
      </w:r>
      <w:r w:rsidR="00294864" w:rsidRPr="00693C6F">
        <w:t>that the appropriate c</w:t>
      </w:r>
      <w:r w:rsidR="00294864" w:rsidRPr="00693C6F">
        <w:rPr>
          <w:rFonts w:eastAsia="Times New Roman" w:cs="Arial"/>
          <w:bCs/>
          <w:color w:val="000000"/>
          <w:lang w:eastAsia="en-IE"/>
        </w:rPr>
        <w:t xml:space="preserve">riteria is considered to ensure that directors and persons responsible for the management of agents to be used in the provision of payment services are fit and proper and that the appropriate level of compliance is demonstrated with all of the requirements of </w:t>
      </w:r>
      <w:hyperlink r:id="rId10" w:history="1">
        <w:r w:rsidR="00E97085" w:rsidRPr="00B7103A">
          <w:rPr>
            <w:rStyle w:val="Hyperlink"/>
            <w:rFonts w:eastAsia="Times New Roman" w:cs="Arial"/>
            <w:bCs/>
            <w:lang w:eastAsia="en-IE"/>
          </w:rPr>
          <w:t>Guideline 16 of the EBA Guidelines</w:t>
        </w:r>
      </w:hyperlink>
      <w:r w:rsidR="00294864" w:rsidRPr="00693C6F">
        <w:rPr>
          <w:rFonts w:eastAsia="Times New Roman" w:cs="Arial"/>
          <w:bCs/>
          <w:color w:val="000000"/>
          <w:lang w:eastAsia="en-IE"/>
        </w:rPr>
        <w:t xml:space="preserve"> </w:t>
      </w:r>
      <w:r w:rsidR="00294864">
        <w:rPr>
          <w:rFonts w:eastAsia="Times New Roman" w:cs="Arial"/>
          <w:bCs/>
          <w:color w:val="000000"/>
          <w:lang w:eastAsia="en-IE"/>
        </w:rPr>
        <w:t xml:space="preserve">on </w:t>
      </w:r>
      <w:r w:rsidR="005D5481">
        <w:rPr>
          <w:rFonts w:eastAsia="Times New Roman" w:cs="Arial"/>
          <w:bCs/>
          <w:color w:val="000000"/>
          <w:lang w:eastAsia="en-IE"/>
        </w:rPr>
        <w:t xml:space="preserve">the </w:t>
      </w:r>
      <w:r w:rsidR="00F20B69">
        <w:rPr>
          <w:rFonts w:eastAsia="Times New Roman" w:cs="Arial"/>
          <w:bCs/>
          <w:color w:val="000000"/>
          <w:lang w:eastAsia="en-IE"/>
        </w:rPr>
        <w:t>‘</w:t>
      </w:r>
      <w:r w:rsidR="00294864" w:rsidRPr="00693C6F">
        <w:rPr>
          <w:rFonts w:ascii="Calibri" w:eastAsia="MS PGothic" w:hAnsi="Calibri" w:cs="Times New Roman"/>
          <w:color w:val="404040" w:themeColor="text1" w:themeTint="BF"/>
          <w:lang w:val="en-GB"/>
        </w:rPr>
        <w:t>Identity and Suitability Assessment of Directors and Persons Responsible for the Management of the Payment Institution</w:t>
      </w:r>
      <w:r w:rsidR="00B04E3A">
        <w:rPr>
          <w:rFonts w:ascii="Calibri" w:eastAsia="MS PGothic" w:hAnsi="Calibri" w:cs="Times New Roman"/>
          <w:color w:val="404040" w:themeColor="text1" w:themeTint="BF"/>
          <w:lang w:val="en-GB"/>
        </w:rPr>
        <w:t xml:space="preserve"> or E-Money Institution</w:t>
      </w:r>
      <w:r w:rsidR="00F20B69">
        <w:rPr>
          <w:rFonts w:ascii="Calibri" w:eastAsia="MS PGothic" w:hAnsi="Calibri" w:cs="Times New Roman"/>
          <w:color w:val="404040" w:themeColor="text1" w:themeTint="BF"/>
          <w:lang w:val="en-GB"/>
        </w:rPr>
        <w:t>’</w:t>
      </w:r>
      <w:r w:rsidR="00294864" w:rsidRPr="00693C6F">
        <w:rPr>
          <w:rFonts w:ascii="Calibri" w:eastAsia="MS PGothic" w:hAnsi="Calibri" w:cs="Times New Roman"/>
          <w:color w:val="404040" w:themeColor="text1" w:themeTint="BF"/>
          <w:lang w:val="en-GB"/>
        </w:rPr>
        <w:t>.</w:t>
      </w:r>
      <w:r w:rsidR="009F28E7">
        <w:rPr>
          <w:rFonts w:ascii="Calibri" w:eastAsia="MS PGothic" w:hAnsi="Calibri" w:cs="Times New Roman"/>
          <w:color w:val="404040" w:themeColor="text1" w:themeTint="BF"/>
          <w:lang w:val="en-GB"/>
        </w:rPr>
        <w:t xml:space="preserve"> </w:t>
      </w:r>
      <w:r w:rsidR="00294864" w:rsidRPr="00693C6F">
        <w:rPr>
          <w:rFonts w:ascii="Calibri" w:eastAsia="MS PGothic" w:hAnsi="Calibri" w:cs="Times New Roman"/>
          <w:color w:val="404040" w:themeColor="text1" w:themeTint="BF"/>
          <w:lang w:val="en-GB"/>
        </w:rPr>
        <w:t xml:space="preserve"> </w:t>
      </w:r>
      <w:r w:rsidR="009F28E7" w:rsidRPr="009F28E7">
        <w:rPr>
          <w:rFonts w:ascii="Calibri" w:eastAsia="MS PGothic" w:hAnsi="Calibri" w:cs="Times New Roman"/>
          <w:color w:val="404040" w:themeColor="text1" w:themeTint="BF"/>
          <w:lang w:val="en-GB"/>
        </w:rPr>
        <w:t xml:space="preserve">The Central Bank requires that an IQ should be completed by the agent and assessed by the applicant, in order that the applicant can consider and satisfy itself as to the fitness and probity of the agent. </w:t>
      </w:r>
      <w:r w:rsidRPr="00962205">
        <w:rPr>
          <w:rFonts w:ascii="Calibri" w:eastAsia="MS PGothic" w:hAnsi="Calibri" w:cs="Times New Roman"/>
          <w:color w:val="000000" w:themeColor="text1"/>
          <w:lang w:val="en-GB"/>
        </w:rPr>
        <w:t xml:space="preserve">The Central Bank expects </w:t>
      </w:r>
      <w:r>
        <w:rPr>
          <w:rFonts w:ascii="Calibri" w:eastAsia="MS PGothic" w:hAnsi="Calibri" w:cs="Times New Roman"/>
          <w:color w:val="000000" w:themeColor="text1"/>
          <w:lang w:val="en-GB"/>
        </w:rPr>
        <w:t xml:space="preserve">that the information required in the IQ, from a proposed agent and assessed by the </w:t>
      </w:r>
      <w:r>
        <w:rPr>
          <w:rFonts w:ascii="Calibri" w:eastAsia="MS PGothic" w:hAnsi="Calibri" w:cs="Times New Roman"/>
          <w:color w:val="000000" w:themeColor="text1"/>
          <w:lang w:val="en-GB"/>
        </w:rPr>
        <w:lastRenderedPageBreak/>
        <w:t xml:space="preserve">applicant be the same as the information that is required </w:t>
      </w:r>
      <w:r w:rsidRPr="003E3682">
        <w:rPr>
          <w:rFonts w:ascii="Calibri" w:eastAsia="MS PGothic" w:hAnsi="Calibri" w:cs="Times New Roman"/>
          <w:color w:val="000000" w:themeColor="text1"/>
          <w:lang w:val="en-GB"/>
        </w:rPr>
        <w:t xml:space="preserve">by payment institutions and e-money institutions, </w:t>
      </w:r>
      <w:r w:rsidRPr="00693C6F">
        <w:rPr>
          <w:rFonts w:ascii="Calibri" w:eastAsia="Arial" w:hAnsi="Calibri" w:cs="Times New Roman"/>
          <w:lang w:val="en-GB"/>
        </w:rPr>
        <w:t xml:space="preserve">in respect of </w:t>
      </w:r>
      <w:r>
        <w:rPr>
          <w:rFonts w:ascii="Calibri" w:eastAsia="Arial" w:hAnsi="Calibri" w:cs="Times New Roman"/>
          <w:lang w:val="en-GB"/>
        </w:rPr>
        <w:t xml:space="preserve">proposed </w:t>
      </w:r>
      <w:r w:rsidRPr="00693C6F">
        <w:rPr>
          <w:rFonts w:cs="Calibri"/>
          <w:color w:val="000000"/>
        </w:rPr>
        <w:t>Pre-Approval Controlled Function</w:t>
      </w:r>
      <w:r w:rsidRPr="00693C6F">
        <w:rPr>
          <w:rStyle w:val="FootnoteReference"/>
          <w:rFonts w:cs="Calibri"/>
          <w:color w:val="000000"/>
        </w:rPr>
        <w:footnoteReference w:id="1"/>
      </w:r>
      <w:r>
        <w:rPr>
          <w:rFonts w:cs="Calibri"/>
          <w:color w:val="000000"/>
        </w:rPr>
        <w:t xml:space="preserve"> role holders, </w:t>
      </w:r>
      <w:r w:rsidRPr="002506AA">
        <w:rPr>
          <w:rFonts w:ascii="Calibri" w:eastAsia="MS PGothic" w:hAnsi="Calibri" w:cs="Times New Roman"/>
          <w:color w:val="000000" w:themeColor="text1"/>
          <w:lang w:val="en-GB"/>
        </w:rPr>
        <w:t xml:space="preserve">on </w:t>
      </w:r>
      <w:r w:rsidRPr="00693C6F">
        <w:rPr>
          <w:rFonts w:ascii="Calibri" w:eastAsia="Arial" w:hAnsi="Calibri" w:cs="Times New Roman"/>
          <w:lang w:val="en-GB"/>
        </w:rPr>
        <w:t xml:space="preserve">the Central Bank’s Online Reporting System.  </w:t>
      </w:r>
      <w:r w:rsidRPr="00693C6F">
        <w:rPr>
          <w:rFonts w:eastAsia="Times New Roman" w:cs="Arial"/>
          <w:bCs/>
          <w:color w:val="000000"/>
          <w:lang w:eastAsia="en-IE"/>
        </w:rPr>
        <w:t>Evidence of the criteria considered to ensure that directors and persons responsible for the management of the agent to be used in the provision of payment services are fit and proper persons should be available on request</w:t>
      </w:r>
      <w:r w:rsidR="0023260A">
        <w:rPr>
          <w:rFonts w:eastAsia="Times New Roman" w:cs="Arial"/>
          <w:bCs/>
          <w:color w:val="000000"/>
          <w:lang w:eastAsia="en-IE"/>
        </w:rPr>
        <w:t>.</w:t>
      </w:r>
      <w:r w:rsidRPr="00693C6F">
        <w:rPr>
          <w:rFonts w:eastAsia="Times New Roman" w:cs="Arial"/>
          <w:b/>
          <w:bCs/>
          <w:color w:val="000000"/>
          <w:lang w:eastAsia="en-IE"/>
        </w:rPr>
        <w:t xml:space="preserve"> </w:t>
      </w:r>
    </w:p>
    <w:p w14:paraId="1C8FBA23" w14:textId="77777777" w:rsidR="0023260A" w:rsidRDefault="0023260A" w:rsidP="00294864">
      <w:pPr>
        <w:spacing w:after="0" w:line="360" w:lineRule="auto"/>
        <w:jc w:val="both"/>
        <w:rPr>
          <w:rFonts w:cstheme="minorHAnsi"/>
          <w:b/>
          <w:u w:val="single"/>
          <w:lang w:val="en-GB"/>
        </w:rPr>
      </w:pPr>
    </w:p>
    <w:p w14:paraId="13B3293F" w14:textId="023DEBE7" w:rsidR="00294864" w:rsidRPr="00140638" w:rsidRDefault="00294864" w:rsidP="00294864">
      <w:pPr>
        <w:spacing w:after="0" w:line="360" w:lineRule="auto"/>
        <w:jc w:val="both"/>
        <w:rPr>
          <w:rFonts w:eastAsia="Times New Roman" w:cstheme="minorHAnsi"/>
          <w:b/>
          <w:u w:val="single"/>
          <w:lang w:val="en-GB"/>
        </w:rPr>
      </w:pPr>
      <w:r w:rsidRPr="00140638">
        <w:rPr>
          <w:rFonts w:cstheme="minorHAnsi"/>
          <w:b/>
          <w:u w:val="single"/>
          <w:lang w:val="en-GB"/>
        </w:rPr>
        <w:t>NOTES ON COMPLETION</w:t>
      </w:r>
    </w:p>
    <w:p w14:paraId="5B421BF1" w14:textId="478C8F7F" w:rsidR="00294864" w:rsidRPr="00D9222B" w:rsidRDefault="00294864" w:rsidP="00444E5B">
      <w:pPr>
        <w:pStyle w:val="ListParagraph"/>
        <w:numPr>
          <w:ilvl w:val="0"/>
          <w:numId w:val="3"/>
        </w:numPr>
        <w:spacing w:line="360" w:lineRule="auto"/>
        <w:ind w:left="0" w:firstLine="0"/>
        <w:jc w:val="both"/>
        <w:rPr>
          <w:rFonts w:cstheme="minorHAnsi"/>
          <w:b/>
          <w:smallCaps/>
        </w:rPr>
      </w:pPr>
      <w:r w:rsidRPr="00D9222B">
        <w:rPr>
          <w:rFonts w:cstheme="minorHAnsi"/>
          <w:b/>
          <w:smallCaps/>
        </w:rPr>
        <w:t>Please do not complete this</w:t>
      </w:r>
      <w:r>
        <w:rPr>
          <w:rFonts w:cstheme="minorHAnsi"/>
          <w:b/>
          <w:smallCaps/>
        </w:rPr>
        <w:t xml:space="preserve"> notification form </w:t>
      </w:r>
      <w:r w:rsidRPr="00D9222B">
        <w:rPr>
          <w:rFonts w:cstheme="minorHAnsi"/>
          <w:b/>
          <w:smallCaps/>
        </w:rPr>
        <w:t xml:space="preserve">until you have read and are familiar with: </w:t>
      </w:r>
    </w:p>
    <w:p w14:paraId="5F3124C7" w14:textId="63DC2B49" w:rsidR="00294864" w:rsidRPr="00A071DF" w:rsidRDefault="00615A6B" w:rsidP="00444E5B">
      <w:pPr>
        <w:pStyle w:val="ListParagraph"/>
        <w:numPr>
          <w:ilvl w:val="0"/>
          <w:numId w:val="7"/>
        </w:numPr>
        <w:spacing w:line="360" w:lineRule="auto"/>
        <w:jc w:val="both"/>
      </w:pPr>
      <w:hyperlink r:id="rId11" w:history="1">
        <w:r w:rsidR="00294864" w:rsidRPr="00A071DF">
          <w:rPr>
            <w:rStyle w:val="Hyperlink"/>
            <w:rFonts w:asciiTheme="minorHAnsi" w:hAnsiTheme="minorHAnsi" w:cstheme="minorHAnsi"/>
          </w:rPr>
          <w:t xml:space="preserve">The </w:t>
        </w:r>
        <w:r w:rsidR="00294864" w:rsidRPr="00A071DF">
          <w:rPr>
            <w:rStyle w:val="Hyperlink"/>
          </w:rPr>
          <w:t>European Union (Payment Services) Regulations 2018</w:t>
        </w:r>
      </w:hyperlink>
      <w:r w:rsidR="00294864" w:rsidRPr="00A071DF">
        <w:t>, including Regulation 3</w:t>
      </w:r>
      <w:r w:rsidR="00012956">
        <w:t>0</w:t>
      </w:r>
      <w:r w:rsidR="00294864" w:rsidRPr="00A071DF">
        <w:t xml:space="preserve"> thereof;</w:t>
      </w:r>
      <w:r w:rsidR="0083485E">
        <w:t xml:space="preserve"> </w:t>
      </w:r>
    </w:p>
    <w:p w14:paraId="2D3BD31B" w14:textId="7976CA4C" w:rsidR="00012956" w:rsidRPr="0023260A" w:rsidRDefault="00012956" w:rsidP="003F3926">
      <w:pPr>
        <w:pStyle w:val="ListParagraph"/>
        <w:numPr>
          <w:ilvl w:val="0"/>
          <w:numId w:val="7"/>
        </w:numPr>
        <w:spacing w:line="360" w:lineRule="auto"/>
        <w:jc w:val="both"/>
        <w:rPr>
          <w:rFonts w:asciiTheme="minorHAnsi" w:hAnsiTheme="minorHAnsi" w:cstheme="minorHAnsi"/>
        </w:rPr>
      </w:pPr>
      <w:r w:rsidRPr="0023260A">
        <w:rPr>
          <w:rFonts w:asciiTheme="minorHAnsi" w:hAnsiTheme="minorHAnsi" w:cstheme="minorHAnsi"/>
        </w:rPr>
        <w:t>The European Communities (Electronic Money) Regulations 2011 (as amended), including Regulation 21 thereof;</w:t>
      </w:r>
      <w:r w:rsidR="0023260A" w:rsidRPr="0023260A">
        <w:rPr>
          <w:rFonts w:asciiTheme="minorHAnsi" w:hAnsiTheme="minorHAnsi" w:cstheme="minorHAnsi"/>
        </w:rPr>
        <w:t xml:space="preserve"> </w:t>
      </w:r>
      <w:r w:rsidR="00947F7E" w:rsidRPr="0023260A">
        <w:rPr>
          <w:rFonts w:asciiTheme="minorHAnsi" w:hAnsiTheme="minorHAnsi" w:cstheme="minorHAnsi"/>
        </w:rPr>
        <w:t>and</w:t>
      </w:r>
    </w:p>
    <w:p w14:paraId="30F30223" w14:textId="43CDF42D" w:rsidR="00294864" w:rsidRDefault="00615A6B" w:rsidP="00444E5B">
      <w:pPr>
        <w:pStyle w:val="ListParagraph"/>
        <w:numPr>
          <w:ilvl w:val="0"/>
          <w:numId w:val="7"/>
        </w:numPr>
        <w:spacing w:line="360" w:lineRule="auto"/>
        <w:jc w:val="both"/>
        <w:rPr>
          <w:rFonts w:asciiTheme="minorHAnsi" w:hAnsiTheme="minorHAnsi" w:cstheme="minorHAnsi"/>
        </w:rPr>
      </w:pPr>
      <w:hyperlink r:id="rId12" w:history="1">
        <w:r w:rsidR="00294864" w:rsidRPr="00A071DF">
          <w:rPr>
            <w:rStyle w:val="Hyperlink"/>
            <w:rFonts w:asciiTheme="minorHAnsi" w:hAnsiTheme="minorHAnsi" w:cstheme="minorHAnsi"/>
          </w:rPr>
          <w:t>Directive (EU) 2015/2366 of the European Parliament and of the Council of 25 November 2015</w:t>
        </w:r>
      </w:hyperlink>
      <w:r w:rsidR="00294864" w:rsidRPr="00140638">
        <w:rPr>
          <w:rFonts w:asciiTheme="minorHAnsi" w:hAnsiTheme="minorHAnsi" w:cstheme="minorHAnsi"/>
        </w:rPr>
        <w:t xml:space="preserve"> on </w:t>
      </w:r>
      <w:r w:rsidR="0055478F">
        <w:rPr>
          <w:rFonts w:asciiTheme="minorHAnsi" w:hAnsiTheme="minorHAnsi" w:cstheme="minorHAnsi"/>
        </w:rPr>
        <w:t>P</w:t>
      </w:r>
      <w:r w:rsidR="00294864" w:rsidRPr="00140638">
        <w:rPr>
          <w:rFonts w:asciiTheme="minorHAnsi" w:hAnsiTheme="minorHAnsi" w:cstheme="minorHAnsi"/>
        </w:rPr>
        <w:t xml:space="preserve">ayment </w:t>
      </w:r>
      <w:r w:rsidR="0055478F">
        <w:rPr>
          <w:rFonts w:asciiTheme="minorHAnsi" w:hAnsiTheme="minorHAnsi" w:cstheme="minorHAnsi"/>
        </w:rPr>
        <w:t>S</w:t>
      </w:r>
      <w:r w:rsidR="00294864" w:rsidRPr="00140638">
        <w:rPr>
          <w:rFonts w:asciiTheme="minorHAnsi" w:hAnsiTheme="minorHAnsi" w:cstheme="minorHAnsi"/>
        </w:rPr>
        <w:t xml:space="preserve">ervices in the </w:t>
      </w:r>
      <w:r w:rsidR="0055478F">
        <w:rPr>
          <w:rFonts w:asciiTheme="minorHAnsi" w:hAnsiTheme="minorHAnsi" w:cstheme="minorHAnsi"/>
        </w:rPr>
        <w:t>I</w:t>
      </w:r>
      <w:r w:rsidR="00294864" w:rsidRPr="00140638">
        <w:rPr>
          <w:rFonts w:asciiTheme="minorHAnsi" w:hAnsiTheme="minorHAnsi" w:cstheme="minorHAnsi"/>
        </w:rPr>
        <w:t xml:space="preserve">nternal </w:t>
      </w:r>
      <w:r w:rsidR="0055478F">
        <w:rPr>
          <w:rFonts w:asciiTheme="minorHAnsi" w:hAnsiTheme="minorHAnsi" w:cstheme="minorHAnsi"/>
        </w:rPr>
        <w:t>M</w:t>
      </w:r>
      <w:r w:rsidR="00294864" w:rsidRPr="00140638">
        <w:rPr>
          <w:rFonts w:asciiTheme="minorHAnsi" w:hAnsiTheme="minorHAnsi" w:cstheme="minorHAnsi"/>
        </w:rPr>
        <w:t>arket</w:t>
      </w:r>
      <w:r w:rsidR="005D5481">
        <w:rPr>
          <w:rFonts w:asciiTheme="minorHAnsi" w:hAnsiTheme="minorHAnsi" w:cstheme="minorHAnsi"/>
        </w:rPr>
        <w:t>.</w:t>
      </w:r>
      <w:r w:rsidR="00294864" w:rsidRPr="00140638">
        <w:rPr>
          <w:rFonts w:asciiTheme="minorHAnsi" w:hAnsiTheme="minorHAnsi" w:cstheme="minorHAnsi"/>
        </w:rPr>
        <w:t xml:space="preserve"> </w:t>
      </w:r>
    </w:p>
    <w:p w14:paraId="70349401" w14:textId="77777777" w:rsidR="00294864" w:rsidRPr="00140638" w:rsidRDefault="00294864" w:rsidP="00444E5B">
      <w:pPr>
        <w:spacing w:after="0" w:line="360" w:lineRule="auto"/>
        <w:jc w:val="both"/>
        <w:rPr>
          <w:color w:val="000000"/>
        </w:rPr>
      </w:pPr>
    </w:p>
    <w:p w14:paraId="2C1ECDCB" w14:textId="0EC6C14D" w:rsidR="00294864" w:rsidRPr="00140638" w:rsidRDefault="00294864" w:rsidP="00444E5B">
      <w:pPr>
        <w:numPr>
          <w:ilvl w:val="0"/>
          <w:numId w:val="3"/>
        </w:numPr>
        <w:spacing w:after="0" w:line="360" w:lineRule="auto"/>
        <w:ind w:left="357" w:hanging="357"/>
        <w:jc w:val="both"/>
      </w:pPr>
      <w:r w:rsidRPr="00C03A64">
        <w:rPr>
          <w:b/>
        </w:rPr>
        <w:t xml:space="preserve">This Notification Form must be completed by the applicant in </w:t>
      </w:r>
      <w:r w:rsidRPr="00C03A64">
        <w:rPr>
          <w:b/>
          <w:bCs/>
        </w:rPr>
        <w:t>typed format and</w:t>
      </w:r>
      <w:r w:rsidRPr="00C03A64">
        <w:rPr>
          <w:b/>
        </w:rPr>
        <w:t xml:space="preserve"> submitted </w:t>
      </w:r>
      <w:r w:rsidRPr="00F20B69">
        <w:rPr>
          <w:b/>
        </w:rPr>
        <w:t>by email</w:t>
      </w:r>
      <w:r w:rsidRPr="00C03A64">
        <w:rPr>
          <w:b/>
        </w:rPr>
        <w:t xml:space="preserve"> to the Central Bank </w:t>
      </w:r>
      <w:r w:rsidRPr="00C03A64">
        <w:rPr>
          <w:b/>
          <w:u w:val="single"/>
        </w:rPr>
        <w:t xml:space="preserve">at least </w:t>
      </w:r>
      <w:r w:rsidR="0083485E" w:rsidRPr="00C03A64">
        <w:rPr>
          <w:b/>
          <w:u w:val="single"/>
        </w:rPr>
        <w:t>2</w:t>
      </w:r>
      <w:r w:rsidRPr="00C03A64">
        <w:rPr>
          <w:b/>
          <w:u w:val="single"/>
        </w:rPr>
        <w:t xml:space="preserve"> months</w:t>
      </w:r>
      <w:r w:rsidRPr="00C03A64">
        <w:rPr>
          <w:b/>
        </w:rPr>
        <w:t xml:space="preserve"> in advance of any proposed appointment of an agent</w:t>
      </w:r>
      <w:r w:rsidRPr="00F20B69">
        <w:rPr>
          <w:b/>
          <w:bCs/>
        </w:rPr>
        <w:t>.</w:t>
      </w:r>
      <w:r>
        <w:rPr>
          <w:b/>
          <w:bCs/>
        </w:rPr>
        <w:t xml:space="preserve"> Application documentation should be submitted by email to </w:t>
      </w:r>
      <w:hyperlink r:id="rId13" w:history="1">
        <w:r w:rsidR="00865D18" w:rsidRPr="00865D18">
          <w:rPr>
            <w:rStyle w:val="Hyperlink"/>
          </w:rPr>
          <w:t>paymentservicessupervision@centralbank.ie</w:t>
        </w:r>
      </w:hyperlink>
      <w:r>
        <w:rPr>
          <w:b/>
          <w:bCs/>
        </w:rPr>
        <w:t>.  The use of unsecured email is not recommended for sensitive or confidential material.</w:t>
      </w:r>
    </w:p>
    <w:p w14:paraId="34C9C016" w14:textId="77777777" w:rsidR="00294864" w:rsidRPr="00140638" w:rsidRDefault="00294864" w:rsidP="00444E5B">
      <w:pPr>
        <w:spacing w:after="0" w:line="360" w:lineRule="auto"/>
        <w:ind w:left="357" w:hanging="357"/>
        <w:jc w:val="both"/>
      </w:pPr>
    </w:p>
    <w:p w14:paraId="3ADACF94" w14:textId="2EFEDF4C" w:rsidR="00294864" w:rsidRPr="0023260A" w:rsidRDefault="00294864" w:rsidP="0023260A">
      <w:pPr>
        <w:pStyle w:val="ListParagraph"/>
        <w:numPr>
          <w:ilvl w:val="0"/>
          <w:numId w:val="3"/>
        </w:numPr>
        <w:spacing w:line="360" w:lineRule="auto"/>
        <w:ind w:left="360"/>
        <w:jc w:val="both"/>
        <w:rPr>
          <w:u w:val="single"/>
        </w:rPr>
      </w:pPr>
      <w:r>
        <w:t xml:space="preserve">The applicant </w:t>
      </w:r>
      <w:r w:rsidRPr="00140638">
        <w:t xml:space="preserve">must </w:t>
      </w:r>
      <w:r>
        <w:t xml:space="preserve">answer all questions asked and provide all information or documentation requested </w:t>
      </w:r>
      <w:r w:rsidRPr="00140638">
        <w:t xml:space="preserve">before the application can be considered.  </w:t>
      </w:r>
      <w:r>
        <w:t xml:space="preserve">In the event that </w:t>
      </w:r>
      <w:r w:rsidRPr="00140638">
        <w:t xml:space="preserve">a question does not apply, please write </w:t>
      </w:r>
      <w:r>
        <w:t>‘</w:t>
      </w:r>
      <w:r w:rsidRPr="0023260A">
        <w:rPr>
          <w:b/>
        </w:rPr>
        <w:t>not applicable’</w:t>
      </w:r>
      <w:r w:rsidRPr="00140638">
        <w:t xml:space="preserve"> or </w:t>
      </w:r>
      <w:r>
        <w:t>‘</w:t>
      </w:r>
      <w:r w:rsidRPr="0023260A">
        <w:rPr>
          <w:b/>
        </w:rPr>
        <w:t>none’</w:t>
      </w:r>
      <w:r w:rsidRPr="00140638">
        <w:t xml:space="preserve"> as appropriate</w:t>
      </w:r>
      <w:r>
        <w:t xml:space="preserve"> and provide an explanation as to why this is considered to be the case</w:t>
      </w:r>
      <w:r w:rsidRPr="00140638">
        <w:t xml:space="preserve">.  </w:t>
      </w:r>
      <w:r w:rsidRPr="0023260A">
        <w:rPr>
          <w:u w:val="single"/>
        </w:rPr>
        <w:t>Do not leave any blank spaces.</w:t>
      </w:r>
      <w:r w:rsidRPr="00140638">
        <w:t xml:space="preserve"> </w:t>
      </w:r>
      <w:r w:rsidRPr="0023260A">
        <w:rPr>
          <w:b/>
          <w:bCs/>
        </w:rPr>
        <w:t>Incomplete applications will be returned to the applicant who will be advised that the application does not contain sufficient material to be pro</w:t>
      </w:r>
      <w:r w:rsidR="0055478F" w:rsidRPr="0023260A">
        <w:rPr>
          <w:b/>
          <w:bCs/>
        </w:rPr>
        <w:t>gressed to the assessment phase of the application pro</w:t>
      </w:r>
      <w:r w:rsidRPr="0023260A">
        <w:rPr>
          <w:b/>
          <w:bCs/>
        </w:rPr>
        <w:t>cess.</w:t>
      </w:r>
      <w:r w:rsidRPr="00140638">
        <w:t xml:space="preserve"> </w:t>
      </w:r>
    </w:p>
    <w:p w14:paraId="775A3475" w14:textId="77777777" w:rsidR="00294864" w:rsidRPr="00140638" w:rsidRDefault="00294864" w:rsidP="0023260A">
      <w:pPr>
        <w:spacing w:after="0" w:line="360" w:lineRule="auto"/>
        <w:jc w:val="both"/>
        <w:rPr>
          <w:u w:val="single"/>
        </w:rPr>
      </w:pPr>
    </w:p>
    <w:p w14:paraId="6D8BB6B1" w14:textId="081DC9DB" w:rsidR="005D5481" w:rsidRDefault="00294864" w:rsidP="0023260A">
      <w:pPr>
        <w:pStyle w:val="ListParagraph"/>
        <w:numPr>
          <w:ilvl w:val="0"/>
          <w:numId w:val="3"/>
        </w:numPr>
        <w:spacing w:line="360" w:lineRule="auto"/>
        <w:ind w:left="360"/>
        <w:jc w:val="both"/>
      </w:pPr>
      <w:r w:rsidRPr="00140638">
        <w:t xml:space="preserve">Where </w:t>
      </w:r>
      <w:r>
        <w:t xml:space="preserve">an </w:t>
      </w:r>
      <w:r w:rsidRPr="00140638">
        <w:t>applicant</w:t>
      </w:r>
      <w:r>
        <w:t xml:space="preserve"> i</w:t>
      </w:r>
      <w:r w:rsidRPr="00140638">
        <w:t xml:space="preserve">s required to </w:t>
      </w:r>
      <w:r w:rsidR="007E54FF">
        <w:t xml:space="preserve">provide </w:t>
      </w:r>
      <w:r w:rsidRPr="00140638">
        <w:t>‘confirm</w:t>
      </w:r>
      <w:r w:rsidR="007E54FF">
        <w:t>ation</w:t>
      </w:r>
      <w:r w:rsidRPr="00140638">
        <w:t>’, a tick (‘</w:t>
      </w:r>
      <w:r w:rsidRPr="00140638">
        <w:sym w:font="Wingdings" w:char="F0FC"/>
      </w:r>
      <w:r w:rsidRPr="00140638">
        <w:t>’) placed in the relevant box will be taken as a confirmation.</w:t>
      </w:r>
      <w:r w:rsidR="0083485E" w:rsidRPr="0083485E">
        <w:t xml:space="preserve"> </w:t>
      </w:r>
    </w:p>
    <w:p w14:paraId="0F9BF2C4" w14:textId="77777777" w:rsidR="00FE3687" w:rsidRDefault="00FE3687" w:rsidP="0023260A">
      <w:pPr>
        <w:pStyle w:val="ListParagraph"/>
        <w:ind w:left="360"/>
      </w:pPr>
    </w:p>
    <w:p w14:paraId="6CBCF5EF" w14:textId="77777777" w:rsidR="00FE3687" w:rsidRPr="00140638" w:rsidRDefault="00FE3687" w:rsidP="0023260A">
      <w:pPr>
        <w:pStyle w:val="ListParagraph"/>
        <w:numPr>
          <w:ilvl w:val="0"/>
          <w:numId w:val="3"/>
        </w:numPr>
        <w:spacing w:line="360" w:lineRule="auto"/>
        <w:ind w:left="360"/>
        <w:jc w:val="both"/>
      </w:pPr>
      <w:r w:rsidRPr="00140638">
        <w:t xml:space="preserve">If insufficient space has been provided for a reply or if the answer is requested on a separate sheet, please provide that information on a separate sheet and refer to it in the space provided for the answer.  Please ensure that any sheets are clearly marked with the name of the </w:t>
      </w:r>
      <w:r>
        <w:t xml:space="preserve">applicant </w:t>
      </w:r>
      <w:r w:rsidRPr="00140638">
        <w:t>and referenced to the appropriate question.</w:t>
      </w:r>
    </w:p>
    <w:p w14:paraId="23EC98D1" w14:textId="77777777" w:rsidR="005D5481" w:rsidRDefault="005D5481" w:rsidP="0023260A">
      <w:pPr>
        <w:pStyle w:val="ListParagraph"/>
        <w:ind w:left="360"/>
      </w:pPr>
    </w:p>
    <w:p w14:paraId="5A9B6895" w14:textId="43EFF9E8" w:rsidR="00294864" w:rsidRPr="0083485E" w:rsidRDefault="0083485E" w:rsidP="0023260A">
      <w:pPr>
        <w:pStyle w:val="ListParagraph"/>
        <w:numPr>
          <w:ilvl w:val="0"/>
          <w:numId w:val="3"/>
        </w:numPr>
        <w:spacing w:line="360" w:lineRule="auto"/>
        <w:ind w:left="360"/>
        <w:jc w:val="both"/>
      </w:pPr>
      <w:r w:rsidRPr="00140638">
        <w:t xml:space="preserve">Any questions that have a </w:t>
      </w:r>
      <w:r>
        <w:t>‘</w:t>
      </w:r>
      <w:r w:rsidRPr="0023260A">
        <w:rPr>
          <w:b/>
          <w:bCs/>
        </w:rPr>
        <w:t>YES’</w:t>
      </w:r>
      <w:r w:rsidRPr="00140638">
        <w:t xml:space="preserve"> and a </w:t>
      </w:r>
      <w:r>
        <w:t>‘</w:t>
      </w:r>
      <w:r w:rsidRPr="0023260A">
        <w:rPr>
          <w:b/>
          <w:bCs/>
        </w:rPr>
        <w:t>NO’</w:t>
      </w:r>
      <w:r w:rsidRPr="00140638">
        <w:t xml:space="preserve"> box should be completed </w:t>
      </w:r>
      <w:r w:rsidR="005D5481">
        <w:t xml:space="preserve">by the applicant </w:t>
      </w:r>
      <w:r w:rsidRPr="00140638">
        <w:t>accordingly.</w:t>
      </w:r>
    </w:p>
    <w:p w14:paraId="1708148B" w14:textId="77777777" w:rsidR="00294864" w:rsidRPr="00140638" w:rsidRDefault="00294864" w:rsidP="0023260A">
      <w:pPr>
        <w:spacing w:after="0" w:line="360" w:lineRule="auto"/>
        <w:jc w:val="both"/>
      </w:pPr>
    </w:p>
    <w:p w14:paraId="00DBF2E9" w14:textId="40ACB2FC" w:rsidR="00294864" w:rsidRDefault="00294864" w:rsidP="0023260A">
      <w:pPr>
        <w:pStyle w:val="ListParagraph"/>
        <w:numPr>
          <w:ilvl w:val="0"/>
          <w:numId w:val="3"/>
        </w:numPr>
        <w:spacing w:line="360" w:lineRule="auto"/>
        <w:ind w:left="360"/>
        <w:jc w:val="both"/>
      </w:pPr>
      <w:r w:rsidRPr="00140638">
        <w:t xml:space="preserve">Further information or clarification may be requested </w:t>
      </w:r>
      <w:r>
        <w:t xml:space="preserve">from the applicant </w:t>
      </w:r>
      <w:r w:rsidRPr="00140638">
        <w:t>(having regard to the replies furnished</w:t>
      </w:r>
      <w:r>
        <w:t xml:space="preserve"> with its application</w:t>
      </w:r>
      <w:r w:rsidRPr="00140638">
        <w:t xml:space="preserve">) for the purpose of considering and </w:t>
      </w:r>
      <w:r>
        <w:t xml:space="preserve">assessing </w:t>
      </w:r>
      <w:r w:rsidRPr="00140638">
        <w:t>an application.</w:t>
      </w:r>
      <w:r w:rsidR="000F0D03">
        <w:t xml:space="preserve"> </w:t>
      </w:r>
    </w:p>
    <w:p w14:paraId="1389A141" w14:textId="77777777" w:rsidR="000F0D03" w:rsidRDefault="000F0D03" w:rsidP="00C03A64">
      <w:pPr>
        <w:pStyle w:val="ListParagraph"/>
      </w:pPr>
    </w:p>
    <w:p w14:paraId="3C5B3EEB" w14:textId="52731167" w:rsidR="000F0D03" w:rsidRDefault="000F0D03" w:rsidP="000F0D03">
      <w:pPr>
        <w:pStyle w:val="ListParagraph"/>
        <w:numPr>
          <w:ilvl w:val="0"/>
          <w:numId w:val="3"/>
        </w:numPr>
        <w:spacing w:line="360" w:lineRule="auto"/>
        <w:ind w:left="360"/>
        <w:jc w:val="both"/>
      </w:pPr>
      <w:r w:rsidRPr="001E0C56">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sidRPr="00A52A10">
          <w:rPr>
            <w:color w:val="0070C0"/>
            <w:u w:val="single"/>
          </w:rPr>
          <w:t>dataprotection@centralbank.ie</w:t>
        </w:r>
      </w:hyperlink>
      <w:r w:rsidRPr="001E0C56">
        <w:t xml:space="preserve">. A copy of the Central Bank’s Data Protection Notice is available at </w:t>
      </w:r>
      <w:hyperlink r:id="rId15" w:history="1">
        <w:r w:rsidRPr="00A52A10">
          <w:rPr>
            <w:color w:val="0070C0"/>
            <w:u w:val="single"/>
          </w:rPr>
          <w:t>www.centralbank.ie/fns/privacy-statement</w:t>
        </w:r>
      </w:hyperlink>
      <w:r w:rsidRPr="001E0C56">
        <w:t>.</w:t>
      </w:r>
    </w:p>
    <w:p w14:paraId="11731B60" w14:textId="75E3C28A" w:rsidR="005421E6" w:rsidRDefault="005421E6" w:rsidP="00C03A64"/>
    <w:p w14:paraId="3DAB14B4" w14:textId="67461EDF" w:rsidR="006B54B2" w:rsidRDefault="006B54B2" w:rsidP="00C03A64"/>
    <w:p w14:paraId="081B36EB" w14:textId="17168A0C" w:rsidR="006B54B2" w:rsidRDefault="006B54B2" w:rsidP="00C03A64"/>
    <w:p w14:paraId="56BABC6F" w14:textId="54DBD281" w:rsidR="006B54B2" w:rsidRDefault="006B54B2" w:rsidP="00C03A64"/>
    <w:p w14:paraId="10277316" w14:textId="5476CCC3" w:rsidR="006B54B2" w:rsidRDefault="006B54B2" w:rsidP="00C03A64"/>
    <w:p w14:paraId="6C9A3066" w14:textId="723FB7E8" w:rsidR="006B54B2" w:rsidRDefault="006B54B2" w:rsidP="00C03A64"/>
    <w:p w14:paraId="117F2D0E" w14:textId="56F0299B" w:rsidR="006B54B2" w:rsidRDefault="006B54B2" w:rsidP="00C03A64"/>
    <w:p w14:paraId="56791000" w14:textId="7D67B107" w:rsidR="006B54B2" w:rsidRDefault="006B54B2" w:rsidP="00C03A64"/>
    <w:p w14:paraId="0DFF625E" w14:textId="196D5757" w:rsidR="006B54B2" w:rsidRDefault="006B54B2" w:rsidP="00C03A64"/>
    <w:p w14:paraId="12BC5802" w14:textId="5E890F6E" w:rsidR="006B54B2" w:rsidRDefault="006B54B2" w:rsidP="00C03A64"/>
    <w:p w14:paraId="4B21CC79" w14:textId="6AAE0BCE" w:rsidR="006B54B2" w:rsidRDefault="006B54B2" w:rsidP="00C03A64"/>
    <w:p w14:paraId="3207D379" w14:textId="7148A989" w:rsidR="006B54B2" w:rsidRDefault="006B54B2" w:rsidP="00C03A64"/>
    <w:p w14:paraId="0B9CF225" w14:textId="1F023535" w:rsidR="006B54B2" w:rsidRDefault="006B54B2" w:rsidP="00C03A64"/>
    <w:p w14:paraId="32BFFBD6" w14:textId="0A2D0275" w:rsidR="006B54B2" w:rsidRDefault="006B54B2" w:rsidP="00C03A64"/>
    <w:p w14:paraId="7BC40171" w14:textId="29783C12" w:rsidR="006B54B2" w:rsidRDefault="006B54B2" w:rsidP="00C03A64"/>
    <w:p w14:paraId="04A5474C" w14:textId="53ACF065" w:rsidR="006B54B2" w:rsidRDefault="006B54B2" w:rsidP="00C03A64"/>
    <w:p w14:paraId="2C8F3EF7" w14:textId="77777777" w:rsidR="006B54B2" w:rsidRDefault="006B54B2" w:rsidP="00C03A64"/>
    <w:p w14:paraId="5F89090E" w14:textId="02E08713" w:rsidR="00D473F7" w:rsidRDefault="0023260A" w:rsidP="00D473F7">
      <w:pPr>
        <w:jc w:val="center"/>
      </w:pPr>
      <w:r>
        <w:rPr>
          <w:b/>
          <w:sz w:val="24"/>
          <w:szCs w:val="24"/>
        </w:rPr>
        <w:t>T</w:t>
      </w:r>
      <w:r w:rsidR="00D473F7" w:rsidRPr="00D9222B">
        <w:rPr>
          <w:b/>
          <w:sz w:val="24"/>
          <w:szCs w:val="24"/>
        </w:rPr>
        <w:t xml:space="preserve">ABLE </w:t>
      </w:r>
      <w:r w:rsidR="00D473F7">
        <w:rPr>
          <w:b/>
          <w:sz w:val="24"/>
          <w:szCs w:val="24"/>
        </w:rPr>
        <w:t>1</w:t>
      </w:r>
    </w:p>
    <w:tbl>
      <w:tblPr>
        <w:tblW w:w="5979"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7"/>
        <w:gridCol w:w="6096"/>
        <w:gridCol w:w="4111"/>
      </w:tblGrid>
      <w:tr w:rsidR="00294864" w:rsidRPr="00A63412" w14:paraId="2F04527F"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70016886" w14:textId="6089E402" w:rsidR="00294864" w:rsidRPr="00A63412" w:rsidRDefault="00294864" w:rsidP="001A566A"/>
        </w:tc>
        <w:tc>
          <w:tcPr>
            <w:tcW w:w="282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0113CD9A" w14:textId="77777777" w:rsidR="00294864" w:rsidRPr="00D9222B" w:rsidRDefault="00294864" w:rsidP="001A566A">
            <w:pPr>
              <w:rPr>
                <w:b/>
              </w:rPr>
            </w:pPr>
            <w:r w:rsidRPr="00D9222B">
              <w:rPr>
                <w:b/>
              </w:rPr>
              <w:t>Information to be provided by Applicant</w:t>
            </w:r>
          </w:p>
        </w:tc>
        <w:tc>
          <w:tcPr>
            <w:tcW w:w="190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6FC3363A" w14:textId="77777777" w:rsidR="00294864" w:rsidRPr="00D9222B" w:rsidRDefault="00294864" w:rsidP="001A566A">
            <w:pPr>
              <w:rPr>
                <w:b/>
              </w:rPr>
            </w:pPr>
            <w:r w:rsidRPr="00D9222B">
              <w:rPr>
                <w:b/>
              </w:rPr>
              <w:t>Response Provided by Applicant</w:t>
            </w:r>
          </w:p>
        </w:tc>
      </w:tr>
      <w:tr w:rsidR="00FF099B" w:rsidRPr="00A63412" w14:paraId="195EC032"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F85BA06" w14:textId="68C5AE7F" w:rsidR="00FF099B" w:rsidRPr="00693199" w:rsidRDefault="00FF099B" w:rsidP="001A566A">
            <w:r>
              <w:t>A)</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83E64E6" w14:textId="5E0B4AA6" w:rsidR="00FF099B" w:rsidRDefault="00FF099B" w:rsidP="00D473F7">
            <w:pPr>
              <w:jc w:val="both"/>
              <w:rPr>
                <w:rFonts w:cs="TimesTen-Roman"/>
              </w:rPr>
            </w:pPr>
            <w:r>
              <w:rPr>
                <w:rFonts w:cs="TimesTen-Roman"/>
              </w:rPr>
              <w:t>Name of payment institution/e-money institution</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CB1BAFA" w14:textId="77777777" w:rsidR="00FF099B" w:rsidRPr="00A63412" w:rsidRDefault="00FF099B" w:rsidP="001A566A"/>
        </w:tc>
      </w:tr>
      <w:tr w:rsidR="00FF099B" w:rsidRPr="00A63412" w14:paraId="4F2CC438"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813C68D" w14:textId="0BDF067E" w:rsidR="00FF099B" w:rsidRPr="00693199" w:rsidRDefault="00FF099B" w:rsidP="001A566A">
            <w:r>
              <w:t>B)</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9B50A1B" w14:textId="0B4C8633" w:rsidR="00FF099B" w:rsidRDefault="00FF099B" w:rsidP="00D473F7">
            <w:pPr>
              <w:jc w:val="both"/>
              <w:rPr>
                <w:rFonts w:cs="TimesTen-Roman"/>
              </w:rPr>
            </w:pPr>
            <w:r w:rsidRPr="00FF099B">
              <w:rPr>
                <w:rFonts w:cs="TimesTen-Roman"/>
              </w:rPr>
              <w:t>Central Bank of Ireland</w:t>
            </w:r>
            <w:r>
              <w:rPr>
                <w:rFonts w:cs="TimesTen-Roman"/>
              </w:rPr>
              <w:t xml:space="preserve"> reference No.</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1518374" w14:textId="77777777" w:rsidR="00FF099B" w:rsidRPr="00A63412" w:rsidRDefault="00FF099B" w:rsidP="001A566A"/>
        </w:tc>
      </w:tr>
      <w:tr w:rsidR="00FF099B" w:rsidRPr="00A63412" w14:paraId="62DDBA8B"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1F16E1A4" w14:textId="12084D16" w:rsidR="00FF099B" w:rsidRPr="00693199" w:rsidRDefault="00FF099B" w:rsidP="001A566A">
            <w:r>
              <w:t>C)</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BDB12AA" w14:textId="3CB8F638" w:rsidR="00FF099B" w:rsidRDefault="00F844B1" w:rsidP="00D473F7">
            <w:pPr>
              <w:jc w:val="both"/>
              <w:rPr>
                <w:rFonts w:cs="TimesTen-Roman"/>
              </w:rPr>
            </w:pPr>
            <w:r>
              <w:rPr>
                <w:rFonts w:cs="TimesTen-Roman"/>
              </w:rPr>
              <w:t xml:space="preserve">Date of Receipt by the </w:t>
            </w:r>
            <w:r w:rsidRPr="00F844B1">
              <w:rPr>
                <w:rFonts w:cs="TimesTen-Roman"/>
              </w:rPr>
              <w:t>Central Bank of Ireland</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E67E58A" w14:textId="77777777" w:rsidR="00FF099B" w:rsidRPr="00A63412" w:rsidRDefault="00FF099B" w:rsidP="001A566A"/>
        </w:tc>
      </w:tr>
      <w:tr w:rsidR="00F844B1" w:rsidRPr="00A63412" w14:paraId="69A77077"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A1765C5" w14:textId="26391CFF" w:rsidR="00F844B1" w:rsidRPr="00693199" w:rsidRDefault="00F844B1" w:rsidP="001A566A">
            <w:r>
              <w:t>D)</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EA82382" w14:textId="06F2A446" w:rsidR="00F844B1" w:rsidRDefault="00F844B1" w:rsidP="00D473F7">
            <w:pPr>
              <w:jc w:val="both"/>
              <w:rPr>
                <w:rFonts w:cs="TimesTen-Roman"/>
              </w:rPr>
            </w:pPr>
            <w:r>
              <w:rPr>
                <w:rFonts w:cs="TimesTen-Roman"/>
              </w:rPr>
              <w:t>Type of application</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B9E4D95" w14:textId="77777777" w:rsidR="00F844B1" w:rsidRPr="00C03A64" w:rsidRDefault="00F844B1" w:rsidP="00F844B1">
            <w:pPr>
              <w:spacing w:after="0" w:line="240" w:lineRule="auto"/>
              <w:rPr>
                <w:rFonts w:cstheme="minorHAnsi"/>
              </w:rPr>
            </w:pPr>
            <w:r w:rsidRPr="00C03A64">
              <w:rPr>
                <w:rFonts w:ascii="Segoe UI Symbol" w:hAnsi="Segoe UI Symbol" w:cs="Segoe UI Symbol"/>
              </w:rPr>
              <w:t>☐</w:t>
            </w:r>
            <w:r w:rsidRPr="00C03A64">
              <w:rPr>
                <w:rFonts w:cstheme="minorHAnsi"/>
              </w:rPr>
              <w:t xml:space="preserve"> First application</w:t>
            </w:r>
          </w:p>
          <w:p w14:paraId="5312F8BD" w14:textId="77777777" w:rsidR="00F844B1" w:rsidRPr="00C03A64" w:rsidRDefault="00F844B1" w:rsidP="00F844B1">
            <w:pPr>
              <w:spacing w:after="0" w:line="240" w:lineRule="auto"/>
              <w:rPr>
                <w:rFonts w:cstheme="minorHAnsi"/>
              </w:rPr>
            </w:pPr>
            <w:r w:rsidRPr="00C03A64">
              <w:rPr>
                <w:rFonts w:ascii="Segoe UI Symbol" w:hAnsi="Segoe UI Symbol" w:cs="Segoe UI Symbol"/>
              </w:rPr>
              <w:t>☐</w:t>
            </w:r>
            <w:r w:rsidRPr="00C03A64">
              <w:rPr>
                <w:rFonts w:cstheme="minorHAnsi"/>
              </w:rPr>
              <w:t xml:space="preserve"> Change to previous application</w:t>
            </w:r>
          </w:p>
          <w:p w14:paraId="19DD3990" w14:textId="77777777" w:rsidR="00F844B1" w:rsidRPr="00C03A64" w:rsidRDefault="00F844B1" w:rsidP="00F844B1">
            <w:pPr>
              <w:spacing w:after="0" w:line="240" w:lineRule="auto"/>
              <w:rPr>
                <w:rFonts w:cstheme="minorHAnsi"/>
              </w:rPr>
            </w:pPr>
            <w:r w:rsidRPr="00C03A64">
              <w:rPr>
                <w:rFonts w:ascii="Segoe UI Symbol" w:hAnsi="Segoe UI Symbol" w:cs="Segoe UI Symbol"/>
              </w:rPr>
              <w:t>☐</w:t>
            </w:r>
            <w:r w:rsidRPr="00C03A64">
              <w:rPr>
                <w:rFonts w:cstheme="minorHAnsi"/>
              </w:rPr>
              <w:t xml:space="preserve"> Additional agents</w:t>
            </w:r>
          </w:p>
          <w:p w14:paraId="436736A0" w14:textId="56F6070D" w:rsidR="00F844B1" w:rsidRPr="00A63412" w:rsidRDefault="00F844B1" w:rsidP="00F844B1">
            <w:r w:rsidRPr="00C03A64">
              <w:rPr>
                <w:rFonts w:ascii="Segoe UI Symbol" w:hAnsi="Segoe UI Symbol" w:cs="Segoe UI Symbol"/>
              </w:rPr>
              <w:t>☐</w:t>
            </w:r>
            <w:r w:rsidRPr="00C03A64">
              <w:rPr>
                <w:rFonts w:cstheme="minorHAnsi"/>
              </w:rPr>
              <w:t xml:space="preserve"> Agent deactivation</w:t>
            </w:r>
          </w:p>
        </w:tc>
      </w:tr>
      <w:tr w:rsidR="00F844B1" w:rsidRPr="00A63412" w14:paraId="66057F03"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DFA29C5" w14:textId="52720E5B" w:rsidR="00F844B1" w:rsidRPr="00693199" w:rsidRDefault="00F844B1" w:rsidP="001A566A">
            <w:r>
              <w:t>E)</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1212070" w14:textId="53AF1F17" w:rsidR="00F844B1" w:rsidRDefault="00F844B1" w:rsidP="00D473F7">
            <w:pPr>
              <w:jc w:val="both"/>
              <w:rPr>
                <w:rFonts w:cs="TimesTen-Roman"/>
              </w:rPr>
            </w:pPr>
            <w:r>
              <w:rPr>
                <w:rFonts w:cs="TimesTen-Roman"/>
              </w:rPr>
              <w:t xml:space="preserve">Contact person within the payment institution/e-money institution  </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EE65987" w14:textId="77777777" w:rsidR="00F844B1" w:rsidRPr="00A63412" w:rsidRDefault="00F844B1" w:rsidP="001A566A"/>
        </w:tc>
      </w:tr>
      <w:tr w:rsidR="00F844B1" w:rsidRPr="00A63412" w14:paraId="2EDBC795"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3D35D0C" w14:textId="324A547C" w:rsidR="00F844B1" w:rsidRPr="00693199" w:rsidRDefault="00F844B1" w:rsidP="001A566A">
            <w:r>
              <w:t>F)</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EA5835A" w14:textId="7E55A6EF" w:rsidR="00F844B1" w:rsidRDefault="00F844B1" w:rsidP="00D473F7">
            <w:pPr>
              <w:jc w:val="both"/>
              <w:rPr>
                <w:rFonts w:cs="TimesTen-Roman"/>
              </w:rPr>
            </w:pPr>
            <w:r>
              <w:rPr>
                <w:rFonts w:cs="TimesTen-Roman"/>
              </w:rPr>
              <w:t xml:space="preserve">Email address of the above contact person </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EAD0669" w14:textId="77777777" w:rsidR="00F844B1" w:rsidRPr="00A63412" w:rsidRDefault="00F844B1" w:rsidP="001A566A"/>
        </w:tc>
      </w:tr>
      <w:tr w:rsidR="00F844B1" w:rsidRPr="00A63412" w14:paraId="6F1D8C3B"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D062951" w14:textId="5A113E9A" w:rsidR="00F844B1" w:rsidRPr="00693199" w:rsidRDefault="00F844B1" w:rsidP="001A566A">
            <w:r>
              <w:t>G)</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06C01D0" w14:textId="22D1E50D" w:rsidR="00F844B1" w:rsidRDefault="00F844B1" w:rsidP="00D473F7">
            <w:pPr>
              <w:jc w:val="both"/>
              <w:rPr>
                <w:rFonts w:cs="TimesTen-Roman"/>
              </w:rPr>
            </w:pPr>
            <w:r>
              <w:rPr>
                <w:rFonts w:cs="TimesTen-Roman"/>
              </w:rPr>
              <w:t>Telephone number of the above contact person</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A8E45ED" w14:textId="77777777" w:rsidR="00F844B1" w:rsidRPr="00A63412" w:rsidRDefault="00F844B1" w:rsidP="001A566A"/>
        </w:tc>
      </w:tr>
      <w:tr w:rsidR="00294864" w:rsidRPr="00A63412" w14:paraId="736A9D03"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3DDA814" w14:textId="7F52D03C" w:rsidR="00294864" w:rsidRPr="00693199" w:rsidRDefault="009512FC" w:rsidP="001A566A">
            <w:r>
              <w:t>H</w:t>
            </w:r>
            <w:r w:rsidR="00294864" w:rsidRPr="00693199">
              <w:t>)</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985EE37" w14:textId="36F21C08" w:rsidR="00294864" w:rsidRPr="00D473F7" w:rsidRDefault="00D473F7" w:rsidP="00D473F7">
            <w:pPr>
              <w:jc w:val="both"/>
            </w:pPr>
            <w:r>
              <w:rPr>
                <w:rFonts w:cs="TimesTen-Roman"/>
              </w:rPr>
              <w:t>N</w:t>
            </w:r>
            <w:r w:rsidRPr="00D473F7">
              <w:rPr>
                <w:rFonts w:cs="TimesTen-Roman"/>
              </w:rPr>
              <w:t xml:space="preserve">ame </w:t>
            </w:r>
            <w:r w:rsidR="00F844B1">
              <w:rPr>
                <w:rFonts w:cs="TimesTen-Roman"/>
              </w:rPr>
              <w:t xml:space="preserve"> </w:t>
            </w:r>
            <w:r w:rsidRPr="00D473F7">
              <w:rPr>
                <w:rFonts w:cs="TimesTen-Roman"/>
              </w:rPr>
              <w:t>and address of the agent</w:t>
            </w:r>
            <w:r w:rsidR="00F844B1">
              <w:rPr>
                <w:rFonts w:cs="TimesTen-Roman"/>
              </w:rPr>
              <w:t xml:space="preserve"> </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210A3DA" w14:textId="77777777" w:rsidR="00294864" w:rsidRPr="00A63412" w:rsidRDefault="00294864" w:rsidP="001A566A">
            <w:r w:rsidRPr="00A63412">
              <w:t> </w:t>
            </w:r>
          </w:p>
        </w:tc>
      </w:tr>
      <w:tr w:rsidR="00195FD0" w:rsidRPr="00A63412" w14:paraId="41691A71"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CD4E97F" w14:textId="77777777" w:rsidR="00195FD0" w:rsidRDefault="00195FD0" w:rsidP="001A566A"/>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AEC8487" w14:textId="77777777" w:rsidR="00195FD0" w:rsidRPr="00A63412" w:rsidRDefault="00195FD0" w:rsidP="00195FD0">
            <w:pPr>
              <w:spacing w:after="0" w:line="240" w:lineRule="auto"/>
            </w:pPr>
            <w:r w:rsidRPr="00A63412">
              <w:t>Agent details:</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52"/>
              <w:gridCol w:w="5523"/>
            </w:tblGrid>
            <w:tr w:rsidR="00195FD0" w:rsidRPr="00A63412" w14:paraId="356A5217"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EA51791" w14:textId="77777777" w:rsidR="00195FD0" w:rsidRPr="00A63412" w:rsidRDefault="00195FD0" w:rsidP="00195FD0">
                  <w:pPr>
                    <w:spacing w:after="0" w:line="240" w:lineRule="auto"/>
                  </w:pPr>
                  <w:r w:rsidRPr="00A63412">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E85FE6D" w14:textId="77777777" w:rsidR="00195FD0" w:rsidRPr="00A63412" w:rsidRDefault="00195FD0" w:rsidP="00195FD0">
                  <w:pPr>
                    <w:spacing w:after="0" w:line="240" w:lineRule="auto"/>
                  </w:pPr>
                  <w:r w:rsidRPr="00C03A64">
                    <w:rPr>
                      <w:b/>
                    </w:rPr>
                    <w:t>If legal person</w:t>
                  </w:r>
                  <w:r w:rsidRPr="00A63412">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91"/>
                    <w:gridCol w:w="4711"/>
                  </w:tblGrid>
                  <w:tr w:rsidR="00195FD0" w:rsidRPr="00A63412" w14:paraId="68925FF7"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57E72E3" w14:textId="77777777" w:rsidR="00195FD0" w:rsidRPr="00A63412" w:rsidRDefault="00195FD0" w:rsidP="00195FD0">
                        <w:pPr>
                          <w:spacing w:after="0" w:line="240" w:lineRule="auto"/>
                        </w:pPr>
                        <w:r w:rsidRPr="00A63412">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F0A5FC1" w14:textId="77777777" w:rsidR="00195FD0" w:rsidRDefault="00195FD0" w:rsidP="00195FD0">
                        <w:pPr>
                          <w:spacing w:after="0" w:line="240" w:lineRule="auto"/>
                        </w:pPr>
                        <w:r w:rsidRPr="00A63412">
                          <w:t>Name</w:t>
                        </w:r>
                      </w:p>
                      <w:p w14:paraId="7C086187" w14:textId="77777777" w:rsidR="00195FD0" w:rsidRPr="00A63412" w:rsidRDefault="00195FD0" w:rsidP="00195FD0">
                        <w:pPr>
                          <w:spacing w:after="0" w:line="240" w:lineRule="auto"/>
                        </w:pPr>
                      </w:p>
                    </w:tc>
                  </w:tr>
                  <w:tr w:rsidR="00195FD0" w:rsidRPr="00A63412" w14:paraId="1D658FDB" w14:textId="77777777" w:rsidTr="00661226">
                    <w:trPr>
                      <w:trHeight w:val="302"/>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2788489" w14:textId="77777777" w:rsidR="00195FD0" w:rsidRPr="00A63412" w:rsidRDefault="00195FD0" w:rsidP="00195FD0">
                        <w:pPr>
                          <w:spacing w:after="0" w:line="240" w:lineRule="auto"/>
                        </w:pPr>
                        <w:r w:rsidRPr="00A63412">
                          <w:t>ii.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48154A2" w14:textId="77777777" w:rsidR="00195FD0" w:rsidRDefault="00195FD0" w:rsidP="00195FD0">
                        <w:pPr>
                          <w:spacing w:after="0" w:line="240" w:lineRule="auto"/>
                        </w:pPr>
                        <w:r w:rsidRPr="00A63412">
                          <w:t>Registered address(es)</w:t>
                        </w:r>
                      </w:p>
                      <w:p w14:paraId="2098B507" w14:textId="77777777" w:rsidR="00195FD0" w:rsidRPr="00A63412" w:rsidRDefault="00195FD0" w:rsidP="00195FD0">
                        <w:pPr>
                          <w:spacing w:after="0" w:line="240" w:lineRule="auto"/>
                        </w:pPr>
                      </w:p>
                    </w:tc>
                  </w:tr>
                  <w:tr w:rsidR="00195FD0" w:rsidRPr="00A63412" w14:paraId="4DC82C09"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B6129B4" w14:textId="568BBD76" w:rsidR="00195FD0" w:rsidRPr="00A63412" w:rsidRDefault="0023260A" w:rsidP="00195FD0">
                        <w:pPr>
                          <w:spacing w:after="0" w:line="240" w:lineRule="auto"/>
                        </w:pPr>
                        <w:r>
                          <w:t>iii</w:t>
                        </w:r>
                        <w:r w:rsidR="00195FD0" w:rsidRPr="00A63412">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989C8CB" w14:textId="77777777" w:rsidR="00195FD0" w:rsidRDefault="00195FD0" w:rsidP="00195FD0">
                        <w:pPr>
                          <w:spacing w:after="0" w:line="240" w:lineRule="auto"/>
                        </w:pPr>
                        <w:r w:rsidRPr="00A63412">
                          <w:t>Telephone number</w:t>
                        </w:r>
                      </w:p>
                      <w:p w14:paraId="05E8C487" w14:textId="77777777" w:rsidR="00195FD0" w:rsidRPr="00A63412" w:rsidRDefault="00195FD0" w:rsidP="00195FD0">
                        <w:pPr>
                          <w:spacing w:after="0" w:line="240" w:lineRule="auto"/>
                        </w:pPr>
                      </w:p>
                    </w:tc>
                  </w:tr>
                  <w:tr w:rsidR="00195FD0" w:rsidRPr="00A63412" w14:paraId="7B86D824"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34E2991" w14:textId="22C8EF39" w:rsidR="00195FD0" w:rsidRPr="00A63412" w:rsidRDefault="0023260A" w:rsidP="0023260A">
                        <w:pPr>
                          <w:spacing w:after="0" w:line="240" w:lineRule="auto"/>
                        </w:pPr>
                        <w:r>
                          <w:t>i</w:t>
                        </w:r>
                        <w:r w:rsidR="00195FD0" w:rsidRPr="00A63412">
                          <w:t>v.</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89D606A" w14:textId="77777777" w:rsidR="00195FD0" w:rsidRDefault="00195FD0" w:rsidP="00195FD0">
                        <w:pPr>
                          <w:spacing w:after="0" w:line="240" w:lineRule="auto"/>
                        </w:pPr>
                        <w:r w:rsidRPr="00A63412">
                          <w:t>Email</w:t>
                        </w:r>
                      </w:p>
                      <w:p w14:paraId="088899F4" w14:textId="77777777" w:rsidR="00195FD0" w:rsidRPr="00A63412" w:rsidRDefault="00195FD0" w:rsidP="00195FD0">
                        <w:pPr>
                          <w:spacing w:after="0" w:line="240" w:lineRule="auto"/>
                        </w:pPr>
                      </w:p>
                    </w:tc>
                  </w:tr>
                </w:tbl>
                <w:p w14:paraId="55A4FC27" w14:textId="77777777" w:rsidR="00195FD0" w:rsidRPr="00A63412" w:rsidRDefault="00195FD0" w:rsidP="00195FD0">
                  <w:pPr>
                    <w:spacing w:after="0" w:line="240" w:lineRule="auto"/>
                  </w:pPr>
                </w:p>
              </w:tc>
            </w:tr>
            <w:tr w:rsidR="00195FD0" w:rsidRPr="00A63412" w14:paraId="019D9D07"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B74DE64" w14:textId="77777777" w:rsidR="00195FD0" w:rsidRPr="00A63412" w:rsidRDefault="00195FD0" w:rsidP="00195FD0">
                  <w:r w:rsidRPr="00A63412">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D8474E7" w14:textId="77777777" w:rsidR="00195FD0" w:rsidRPr="00A63412" w:rsidRDefault="00195FD0" w:rsidP="00195FD0">
                  <w:r w:rsidRPr="00C03A64">
                    <w:rPr>
                      <w:b/>
                    </w:rPr>
                    <w:t>If natural person</w:t>
                  </w:r>
                  <w:r w:rsidRPr="00A63412">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19"/>
                    <w:gridCol w:w="4883"/>
                  </w:tblGrid>
                  <w:tr w:rsidR="00195FD0" w:rsidRPr="00A63412" w14:paraId="364BDCC6"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D857BD7" w14:textId="77777777" w:rsidR="00195FD0" w:rsidRPr="00A63412" w:rsidRDefault="00195FD0" w:rsidP="00195FD0">
                        <w:r w:rsidRPr="00A63412">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4ECAA3D" w14:textId="77777777" w:rsidR="00195FD0" w:rsidRPr="00A63412" w:rsidRDefault="00195FD0" w:rsidP="00195FD0">
                        <w:r w:rsidRPr="00A63412">
                          <w:t>Name, date and place of birth</w:t>
                        </w:r>
                      </w:p>
                    </w:tc>
                  </w:tr>
                  <w:tr w:rsidR="00195FD0" w:rsidRPr="00A63412" w14:paraId="3466B35B"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7616017" w14:textId="77777777" w:rsidR="00195FD0" w:rsidRPr="00A63412" w:rsidRDefault="00195FD0" w:rsidP="00195FD0">
                        <w:r w:rsidRPr="00A63412">
                          <w:t>ii.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DB002C3" w14:textId="77777777" w:rsidR="00195FD0" w:rsidRPr="00A63412" w:rsidRDefault="00195FD0" w:rsidP="00195FD0">
                        <w:r w:rsidRPr="00A63412">
                          <w:t>Registered business address(es)</w:t>
                        </w:r>
                      </w:p>
                    </w:tc>
                  </w:tr>
                  <w:tr w:rsidR="00195FD0" w:rsidRPr="00A63412" w14:paraId="79D659AB"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0FF1008" w14:textId="1DDFC827" w:rsidR="00195FD0" w:rsidRPr="00A63412" w:rsidRDefault="00195FD0" w:rsidP="00C03A64">
                        <w:pPr>
                          <w:ind w:right="-68"/>
                        </w:pPr>
                        <w:r w:rsidRPr="00A63412">
                          <w:t>i</w:t>
                        </w:r>
                        <w:r w:rsidR="0023260A">
                          <w:t>ii</w:t>
                        </w:r>
                        <w:r w:rsidRPr="00A63412">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D2AB108" w14:textId="06AB7E45" w:rsidR="00195FD0" w:rsidRPr="00A63412" w:rsidRDefault="00195FD0" w:rsidP="0023260A">
                        <w:r w:rsidRPr="00A63412">
                          <w:t>Telephone number</w:t>
                        </w:r>
                        <w:r w:rsidR="00397FCA">
                          <w:t xml:space="preserve"> </w:t>
                        </w:r>
                        <w:r w:rsidR="0023260A">
                          <w:t>i</w:t>
                        </w:r>
                        <w:r>
                          <w:t>v. Email</w:t>
                        </w:r>
                      </w:p>
                    </w:tc>
                  </w:tr>
                </w:tbl>
                <w:p w14:paraId="2F3AE630" w14:textId="77777777" w:rsidR="00195FD0" w:rsidRPr="00A63412" w:rsidRDefault="00195FD0" w:rsidP="00195FD0"/>
              </w:tc>
            </w:tr>
          </w:tbl>
          <w:p w14:paraId="5F0E63D5" w14:textId="77777777" w:rsidR="00195FD0" w:rsidRDefault="00195FD0" w:rsidP="00D473F7">
            <w:pPr>
              <w:jc w:val="both"/>
              <w:rPr>
                <w:rFonts w:cs="TimesTen-Roman"/>
              </w:rPr>
            </w:pP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618D325" w14:textId="77777777" w:rsidR="00195FD0" w:rsidRPr="00A63412" w:rsidRDefault="00195FD0" w:rsidP="001A566A"/>
        </w:tc>
      </w:tr>
      <w:tr w:rsidR="00195FD0" w:rsidRPr="00A63412" w14:paraId="0CDE7512"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0E3EEF0" w14:textId="0B260397" w:rsidR="00195FD0" w:rsidRDefault="003500A7" w:rsidP="00195FD0">
            <w:r>
              <w:t>I)</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35270E9" w14:textId="62E6222D" w:rsidR="00195FD0" w:rsidRDefault="00195FD0" w:rsidP="00195FD0">
            <w:pPr>
              <w:autoSpaceDE w:val="0"/>
              <w:autoSpaceDN w:val="0"/>
              <w:adjustRightInd w:val="0"/>
              <w:spacing w:after="0" w:line="240" w:lineRule="auto"/>
              <w:jc w:val="both"/>
              <w:rPr>
                <w:rFonts w:cs="TimesTen-Roman"/>
              </w:rPr>
            </w:pPr>
            <w:r w:rsidRPr="00A63412">
              <w:t>Payment services to be provided by the agent</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73"/>
              <w:gridCol w:w="3717"/>
            </w:tblGrid>
            <w:tr w:rsidR="00195FD0" w:rsidRPr="00A63412" w14:paraId="697AF71E"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1BA04FF" w14:textId="77777777" w:rsidR="00195FD0" w:rsidRPr="00A63412" w:rsidRDefault="00195FD0" w:rsidP="00195FD0">
                  <w:r w:rsidRPr="00A63412">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85E6CA6" w14:textId="77777777" w:rsidR="00195FD0" w:rsidRPr="00A63412" w:rsidRDefault="00195FD0" w:rsidP="00195FD0">
                  <w:r w:rsidRPr="00A63412">
                    <w:rPr>
                      <w:rFonts w:ascii="Segoe UI Symbol" w:hAnsi="Segoe UI Symbol" w:cs="Segoe UI Symbol"/>
                    </w:rPr>
                    <w:t>☐</w:t>
                  </w:r>
                  <w:r w:rsidRPr="00A63412">
                    <w:t xml:space="preserve"> Services enabling cash to be placed on a payment account as well as all the operations required for operating a payment account</w:t>
                  </w:r>
                </w:p>
              </w:tc>
            </w:tr>
            <w:tr w:rsidR="00195FD0" w:rsidRPr="00A63412" w14:paraId="3D4004F6"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D67196F" w14:textId="77777777" w:rsidR="00195FD0" w:rsidRPr="00A63412" w:rsidRDefault="00195FD0" w:rsidP="00195FD0">
                  <w:r w:rsidRPr="00A63412">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7478180" w14:textId="77777777" w:rsidR="00195FD0" w:rsidRPr="00A63412" w:rsidRDefault="00195FD0" w:rsidP="00195FD0">
                  <w:r w:rsidRPr="00A63412">
                    <w:rPr>
                      <w:rFonts w:ascii="Segoe UI Symbol" w:hAnsi="Segoe UI Symbol" w:cs="Segoe UI Symbol"/>
                    </w:rPr>
                    <w:t>☐</w:t>
                  </w:r>
                  <w:r w:rsidRPr="00A63412">
                    <w:t xml:space="preserve"> Services enabling cash withdrawals from a payment account as well as all the operations required for operating a payment account</w:t>
                  </w:r>
                </w:p>
              </w:tc>
            </w:tr>
            <w:tr w:rsidR="00195FD0" w:rsidRPr="00A63412" w14:paraId="3B5991BE"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C0B15B3" w14:textId="77777777" w:rsidR="00195FD0" w:rsidRPr="00A63412" w:rsidRDefault="00195FD0" w:rsidP="00195FD0">
                  <w:r w:rsidRPr="00A63412">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04C670B" w14:textId="77777777" w:rsidR="00195FD0" w:rsidRPr="00A63412" w:rsidRDefault="00195FD0" w:rsidP="00195FD0">
                  <w:r w:rsidRPr="00A63412">
                    <w:t>Execution of payment transactions, including transfers of funds on a payment account with the user's payment provider or with another payment service provider:</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88"/>
                    <w:gridCol w:w="3308"/>
                  </w:tblGrid>
                  <w:tr w:rsidR="00195FD0" w:rsidRPr="00A63412" w14:paraId="4EA37524"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E19E3DD" w14:textId="77777777" w:rsidR="00195FD0" w:rsidRPr="00A63412" w:rsidRDefault="00195FD0" w:rsidP="00195FD0">
                        <w:r w:rsidRPr="00A63412">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2479171" w14:textId="77777777" w:rsidR="00195FD0" w:rsidRPr="00A63412" w:rsidRDefault="00195FD0" w:rsidP="00195FD0">
                        <w:r w:rsidRPr="00A63412">
                          <w:t xml:space="preserve">execution of direct debits, including one-off direct debits </w:t>
                        </w:r>
                        <w:r w:rsidRPr="00A63412">
                          <w:rPr>
                            <w:rFonts w:ascii="Segoe UI Symbol" w:hAnsi="Segoe UI Symbol" w:cs="Segoe UI Symbol"/>
                          </w:rPr>
                          <w:t>☐</w:t>
                        </w:r>
                      </w:p>
                    </w:tc>
                  </w:tr>
                  <w:tr w:rsidR="00195FD0" w:rsidRPr="00A63412" w14:paraId="4D69871A"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FD1BECA" w14:textId="77777777" w:rsidR="00195FD0" w:rsidRPr="00A63412" w:rsidRDefault="00195FD0" w:rsidP="00195FD0">
                        <w:r w:rsidRPr="00A63412">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C914DFB" w14:textId="77777777" w:rsidR="00195FD0" w:rsidRPr="00A63412" w:rsidRDefault="00195FD0" w:rsidP="00195FD0">
                        <w:r w:rsidRPr="00A63412">
                          <w:t xml:space="preserve">execution of payment transactions through a payment card or a similar device </w:t>
                        </w:r>
                        <w:r w:rsidRPr="00A63412">
                          <w:rPr>
                            <w:rFonts w:ascii="Segoe UI Symbol" w:hAnsi="Segoe UI Symbol" w:cs="Segoe UI Symbol"/>
                          </w:rPr>
                          <w:t>☐</w:t>
                        </w:r>
                      </w:p>
                    </w:tc>
                  </w:tr>
                  <w:tr w:rsidR="00195FD0" w:rsidRPr="00A63412" w14:paraId="4D839A2B"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470C004" w14:textId="77777777" w:rsidR="00195FD0" w:rsidRPr="00A63412" w:rsidRDefault="00195FD0" w:rsidP="00195FD0">
                        <w:r w:rsidRPr="00A63412">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48355E8" w14:textId="77777777" w:rsidR="00195FD0" w:rsidRPr="00A63412" w:rsidRDefault="00195FD0" w:rsidP="00195FD0">
                        <w:r w:rsidRPr="00A63412">
                          <w:t xml:space="preserve">execution of credit transfers, including standing orders </w:t>
                        </w:r>
                        <w:r w:rsidRPr="00A63412">
                          <w:rPr>
                            <w:rFonts w:ascii="Segoe UI Symbol" w:hAnsi="Segoe UI Symbol" w:cs="Segoe UI Symbol"/>
                          </w:rPr>
                          <w:t>☐</w:t>
                        </w:r>
                      </w:p>
                    </w:tc>
                  </w:tr>
                </w:tbl>
                <w:p w14:paraId="4CBE4B3F" w14:textId="77777777" w:rsidR="00195FD0" w:rsidRPr="00A63412" w:rsidRDefault="00195FD0" w:rsidP="00195FD0"/>
              </w:tc>
            </w:tr>
            <w:tr w:rsidR="00195FD0" w:rsidRPr="00A63412" w14:paraId="4F3301F5"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6390867" w14:textId="77777777" w:rsidR="00195FD0" w:rsidRPr="00A63412" w:rsidRDefault="00195FD0" w:rsidP="00195FD0">
                  <w:r w:rsidRPr="00A63412">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5044438" w14:textId="77777777" w:rsidR="00195FD0" w:rsidRPr="00A63412" w:rsidRDefault="00195FD0" w:rsidP="00195FD0">
                  <w:r w:rsidRPr="00A63412">
                    <w:t>Execution of payment transactions where the funds are covered by a credit line for a payment service user:</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88"/>
                    <w:gridCol w:w="3308"/>
                  </w:tblGrid>
                  <w:tr w:rsidR="00195FD0" w:rsidRPr="00A63412" w14:paraId="298F0531"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FB9C1EF" w14:textId="77777777" w:rsidR="00195FD0" w:rsidRPr="00A63412" w:rsidRDefault="00195FD0" w:rsidP="00195FD0">
                        <w:r w:rsidRPr="00A63412">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4519A08" w14:textId="77777777" w:rsidR="00195FD0" w:rsidRPr="00A63412" w:rsidRDefault="00195FD0" w:rsidP="00195FD0">
                        <w:r w:rsidRPr="00A63412">
                          <w:t xml:space="preserve">execution of direct debits, including one-off direct debits </w:t>
                        </w:r>
                        <w:r w:rsidRPr="00A63412">
                          <w:rPr>
                            <w:rFonts w:ascii="Segoe UI Symbol" w:hAnsi="Segoe UI Symbol" w:cs="Segoe UI Symbol"/>
                          </w:rPr>
                          <w:t>☐</w:t>
                        </w:r>
                      </w:p>
                    </w:tc>
                  </w:tr>
                  <w:tr w:rsidR="00195FD0" w:rsidRPr="00A63412" w14:paraId="640D5ED7"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EC6EBEF" w14:textId="77777777" w:rsidR="00195FD0" w:rsidRPr="00A63412" w:rsidRDefault="00195FD0" w:rsidP="00195FD0">
                        <w:r w:rsidRPr="00A63412">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056266F" w14:textId="77777777" w:rsidR="00195FD0" w:rsidRPr="00A63412" w:rsidRDefault="00195FD0" w:rsidP="00195FD0">
                        <w:r w:rsidRPr="00A63412">
                          <w:t xml:space="preserve">execution of payment transactions through a payment card or a similar device </w:t>
                        </w:r>
                        <w:r w:rsidRPr="00A63412">
                          <w:rPr>
                            <w:rFonts w:ascii="Segoe UI Symbol" w:hAnsi="Segoe UI Symbol" w:cs="Segoe UI Symbol"/>
                          </w:rPr>
                          <w:t>☐</w:t>
                        </w:r>
                      </w:p>
                    </w:tc>
                  </w:tr>
                  <w:tr w:rsidR="00195FD0" w:rsidRPr="00A63412" w14:paraId="5344F675"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FFC5B3C" w14:textId="77777777" w:rsidR="00195FD0" w:rsidRPr="00A63412" w:rsidRDefault="00195FD0" w:rsidP="00195FD0">
                        <w:r w:rsidRPr="00A63412">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F44F3AC" w14:textId="77777777" w:rsidR="00195FD0" w:rsidRPr="00A63412" w:rsidRDefault="00195FD0" w:rsidP="00195FD0">
                        <w:r w:rsidRPr="00A63412">
                          <w:t xml:space="preserve">execution of credit transfers, including standing orders </w:t>
                        </w:r>
                        <w:r w:rsidRPr="00A63412">
                          <w:rPr>
                            <w:rFonts w:ascii="Segoe UI Symbol" w:hAnsi="Segoe UI Symbol" w:cs="Segoe UI Symbol"/>
                          </w:rPr>
                          <w:t>☐</w:t>
                        </w:r>
                      </w:p>
                    </w:tc>
                  </w:tr>
                </w:tbl>
                <w:p w14:paraId="17AFD2B4" w14:textId="77777777" w:rsidR="00195FD0" w:rsidRPr="00A63412" w:rsidRDefault="00195FD0" w:rsidP="00195FD0">
                  <w:r w:rsidRPr="00A63412">
                    <w:t xml:space="preserve">Including granting of credit in accordance with Article 18(4) of Directive (EU) 2015/2366: </w:t>
                  </w:r>
                  <w:r w:rsidRPr="00A63412">
                    <w:rPr>
                      <w:rFonts w:ascii="Segoe UI Symbol" w:hAnsi="Segoe UI Symbol" w:cs="Segoe UI Symbol"/>
                    </w:rPr>
                    <w:t>☐</w:t>
                  </w:r>
                  <w:r w:rsidRPr="00A63412">
                    <w:t xml:space="preserve"> yes </w:t>
                  </w:r>
                  <w:r w:rsidRPr="00A63412">
                    <w:rPr>
                      <w:rFonts w:ascii="Segoe UI Symbol" w:hAnsi="Segoe UI Symbol" w:cs="Segoe UI Symbol"/>
                    </w:rPr>
                    <w:t>☐</w:t>
                  </w:r>
                  <w:r w:rsidRPr="00A63412">
                    <w:t xml:space="preserve"> no</w:t>
                  </w:r>
                </w:p>
              </w:tc>
            </w:tr>
            <w:tr w:rsidR="00195FD0" w:rsidRPr="00A63412" w14:paraId="0F218085"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2DEE12D" w14:textId="77777777" w:rsidR="00195FD0" w:rsidRPr="00A63412" w:rsidRDefault="00195FD0" w:rsidP="00195FD0">
                  <w:r w:rsidRPr="00A63412">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B717EFF" w14:textId="77777777" w:rsidR="00195FD0" w:rsidRPr="00A63412" w:rsidRDefault="00195FD0" w:rsidP="00195FD0">
                  <w:r w:rsidRPr="00A63412">
                    <w:rPr>
                      <w:rFonts w:ascii="Segoe UI Symbol" w:hAnsi="Segoe UI Symbol" w:cs="Segoe UI Symbol"/>
                    </w:rPr>
                    <w:t>☐</w:t>
                  </w:r>
                  <w:r w:rsidRPr="00A63412">
                    <w:t xml:space="preserve"> Issuing of payment instruments</w:t>
                  </w:r>
                </w:p>
                <w:p w14:paraId="7C21DC04" w14:textId="77777777" w:rsidR="00195FD0" w:rsidRPr="00A63412" w:rsidRDefault="00195FD0" w:rsidP="00195FD0">
                  <w:r w:rsidRPr="00A63412">
                    <w:rPr>
                      <w:rFonts w:ascii="Segoe UI Symbol" w:hAnsi="Segoe UI Symbol" w:cs="Segoe UI Symbol"/>
                    </w:rPr>
                    <w:t>☐</w:t>
                  </w:r>
                  <w:r w:rsidRPr="00A63412">
                    <w:t xml:space="preserve"> Acquiring of payment transactions</w:t>
                  </w:r>
                </w:p>
                <w:p w14:paraId="3A028E7F" w14:textId="77777777" w:rsidR="00195FD0" w:rsidRPr="00A63412" w:rsidRDefault="00195FD0" w:rsidP="00195FD0">
                  <w:r w:rsidRPr="00A63412">
                    <w:t xml:space="preserve">Including granting of credit in accordance with Article 18(4) of Directive (EU) 2015/2366: </w:t>
                  </w:r>
                  <w:r w:rsidRPr="00A63412">
                    <w:rPr>
                      <w:rFonts w:ascii="Segoe UI Symbol" w:hAnsi="Segoe UI Symbol" w:cs="Segoe UI Symbol"/>
                    </w:rPr>
                    <w:t>☐</w:t>
                  </w:r>
                  <w:r w:rsidRPr="00A63412">
                    <w:t xml:space="preserve"> yes </w:t>
                  </w:r>
                  <w:r w:rsidRPr="00A63412">
                    <w:rPr>
                      <w:rFonts w:ascii="Segoe UI Symbol" w:hAnsi="Segoe UI Symbol" w:cs="Segoe UI Symbol"/>
                    </w:rPr>
                    <w:t>☐</w:t>
                  </w:r>
                  <w:r w:rsidRPr="00A63412">
                    <w:t xml:space="preserve"> no</w:t>
                  </w:r>
                </w:p>
              </w:tc>
            </w:tr>
            <w:tr w:rsidR="00195FD0" w:rsidRPr="00A63412" w14:paraId="5A999A99"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34C34C1" w14:textId="77777777" w:rsidR="00195FD0" w:rsidRPr="00A63412" w:rsidRDefault="00195FD0" w:rsidP="00195FD0">
                  <w:r w:rsidRPr="00A63412">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D9079B2" w14:textId="77777777" w:rsidR="00195FD0" w:rsidRPr="00A63412" w:rsidRDefault="00195FD0" w:rsidP="00195FD0">
                  <w:r w:rsidRPr="00A63412">
                    <w:rPr>
                      <w:rFonts w:ascii="Segoe UI Symbol" w:hAnsi="Segoe UI Symbol" w:cs="Segoe UI Symbol"/>
                    </w:rPr>
                    <w:t>☐</w:t>
                  </w:r>
                  <w:r w:rsidRPr="00A63412">
                    <w:t xml:space="preserve"> Money remittance</w:t>
                  </w:r>
                </w:p>
              </w:tc>
            </w:tr>
            <w:tr w:rsidR="00195FD0" w:rsidRPr="00A63412" w14:paraId="103F450D"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1CCC004" w14:textId="77777777" w:rsidR="00195FD0" w:rsidRPr="00A63412" w:rsidRDefault="00195FD0" w:rsidP="00195FD0">
                  <w:r w:rsidRPr="00A63412">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6EF2A87" w14:textId="77777777" w:rsidR="00195FD0" w:rsidRPr="00A63412" w:rsidRDefault="00195FD0" w:rsidP="00195FD0">
                  <w:r w:rsidRPr="00A63412">
                    <w:rPr>
                      <w:rFonts w:ascii="Segoe UI Symbol" w:hAnsi="Segoe UI Symbol" w:cs="Segoe UI Symbol"/>
                    </w:rPr>
                    <w:t>☐</w:t>
                  </w:r>
                  <w:r w:rsidRPr="00A63412">
                    <w:t xml:space="preserve"> Payment initiation services</w:t>
                  </w:r>
                </w:p>
              </w:tc>
            </w:tr>
            <w:tr w:rsidR="00195FD0" w:rsidRPr="00A63412" w14:paraId="469DEDC1" w14:textId="77777777" w:rsidTr="0066122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648CC8D" w14:textId="77777777" w:rsidR="00195FD0" w:rsidRPr="00A63412" w:rsidRDefault="00195FD0" w:rsidP="00195FD0">
                  <w:r w:rsidRPr="00A63412">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1DC2C58" w14:textId="77777777" w:rsidR="00195FD0" w:rsidRPr="00A63412" w:rsidRDefault="00195FD0" w:rsidP="00195FD0">
                  <w:r w:rsidRPr="00A63412">
                    <w:rPr>
                      <w:rFonts w:ascii="Segoe UI Symbol" w:hAnsi="Segoe UI Symbol" w:cs="Segoe UI Symbol"/>
                    </w:rPr>
                    <w:t>☐</w:t>
                  </w:r>
                  <w:r w:rsidRPr="00A63412">
                    <w:t xml:space="preserve"> Account information services</w:t>
                  </w:r>
                </w:p>
              </w:tc>
            </w:tr>
          </w:tbl>
          <w:p w14:paraId="3CC28112" w14:textId="77777777" w:rsidR="00195FD0" w:rsidRPr="00A63412" w:rsidRDefault="00195FD0" w:rsidP="00195FD0"/>
        </w:tc>
      </w:tr>
      <w:tr w:rsidR="00195FD0" w:rsidRPr="00A63412" w14:paraId="71A32647"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C166C7B" w14:textId="4A8B9CDF" w:rsidR="00195FD0" w:rsidRPr="00A63412" w:rsidRDefault="003500A7" w:rsidP="00195FD0">
            <w:r>
              <w:t>J</w:t>
            </w:r>
            <w:r w:rsidR="00195FD0" w:rsidRPr="00A63412">
              <w:t>)</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34C9634" w14:textId="2FDF1189" w:rsidR="00195FD0" w:rsidRPr="00D473F7" w:rsidRDefault="00195FD0" w:rsidP="00E04C2E">
            <w:pPr>
              <w:autoSpaceDE w:val="0"/>
              <w:autoSpaceDN w:val="0"/>
              <w:adjustRightInd w:val="0"/>
              <w:spacing w:after="0" w:line="240" w:lineRule="auto"/>
              <w:jc w:val="both"/>
            </w:pPr>
            <w:r>
              <w:rPr>
                <w:rFonts w:cs="TimesTen-Roman"/>
              </w:rPr>
              <w:t>D</w:t>
            </w:r>
            <w:r w:rsidRPr="00D473F7">
              <w:rPr>
                <w:rFonts w:cs="TimesTen-Roman"/>
              </w:rPr>
              <w:t>escription of the internal control mechanisms that will be used by</w:t>
            </w:r>
            <w:r>
              <w:rPr>
                <w:rFonts w:cs="TimesTen-Roman"/>
              </w:rPr>
              <w:t xml:space="preserve"> </w:t>
            </w:r>
            <w:r w:rsidRPr="00D473F7">
              <w:rPr>
                <w:rFonts w:cs="TimesTen-Roman"/>
              </w:rPr>
              <w:t>the agent in order to comply with the obligations in relation to</w:t>
            </w:r>
            <w:r w:rsidR="00397FCA">
              <w:rPr>
                <w:rFonts w:cs="TimesTen-Roman"/>
              </w:rPr>
              <w:t xml:space="preserve"> the prevention of</w:t>
            </w:r>
            <w:r w:rsidRPr="00D473F7">
              <w:rPr>
                <w:rFonts w:cs="TimesTen-Roman"/>
              </w:rPr>
              <w:t xml:space="preserve"> money</w:t>
            </w:r>
            <w:r>
              <w:rPr>
                <w:rFonts w:cs="TimesTen-Roman"/>
              </w:rPr>
              <w:t xml:space="preserve"> </w:t>
            </w:r>
            <w:r w:rsidRPr="00D473F7">
              <w:rPr>
                <w:rFonts w:cs="TimesTen-Roman"/>
              </w:rPr>
              <w:t xml:space="preserve">laundering and terrorist financing under the </w:t>
            </w:r>
            <w:r w:rsidR="0023260A">
              <w:rPr>
                <w:rFonts w:cs="TimesTen-Roman"/>
              </w:rPr>
              <w:t>relevant Irish and EU legislation</w:t>
            </w:r>
            <w:r w:rsidR="00E04C2E">
              <w:rPr>
                <w:rFonts w:cs="TimesTen-Roman"/>
              </w:rPr>
              <w:t>.</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C2B3BD6" w14:textId="77777777" w:rsidR="00195FD0" w:rsidRPr="00A63412" w:rsidRDefault="00195FD0" w:rsidP="00195FD0">
            <w:r w:rsidRPr="00A63412">
              <w:t> </w:t>
            </w:r>
          </w:p>
        </w:tc>
      </w:tr>
      <w:tr w:rsidR="00195FD0" w:rsidRPr="00A63412" w14:paraId="22B7FDEF"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B007213" w14:textId="31021B3D" w:rsidR="00195FD0" w:rsidRPr="00A63412" w:rsidRDefault="003500A7" w:rsidP="00195FD0">
            <w:r>
              <w:t>K</w:t>
            </w:r>
            <w:r w:rsidR="00195FD0" w:rsidRPr="00A63412">
              <w:t>)</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B24F52D" w14:textId="72618A27" w:rsidR="00195FD0" w:rsidRPr="00D473F7" w:rsidRDefault="00195FD0" w:rsidP="00195FD0">
            <w:pPr>
              <w:autoSpaceDE w:val="0"/>
              <w:autoSpaceDN w:val="0"/>
              <w:adjustRightInd w:val="0"/>
              <w:spacing w:after="0" w:line="240" w:lineRule="auto"/>
              <w:jc w:val="both"/>
            </w:pPr>
            <w:r>
              <w:rPr>
                <w:rFonts w:cs="TimesTen-Roman"/>
              </w:rPr>
              <w:t>I</w:t>
            </w:r>
            <w:r w:rsidRPr="00D473F7">
              <w:rPr>
                <w:rFonts w:cs="TimesTen-Roman"/>
              </w:rPr>
              <w:t>dentity of directors and persons responsible for the management</w:t>
            </w:r>
            <w:r>
              <w:rPr>
                <w:rFonts w:cs="TimesTen-Roman"/>
              </w:rPr>
              <w:t xml:space="preserve"> </w:t>
            </w:r>
            <w:r w:rsidRPr="00D473F7">
              <w:rPr>
                <w:rFonts w:cs="TimesTen-Roman"/>
              </w:rPr>
              <w:t>of the agent to be used in the provision of payment services and, for</w:t>
            </w:r>
            <w:r>
              <w:rPr>
                <w:rFonts w:cs="TimesTen-Roman"/>
              </w:rPr>
              <w:t xml:space="preserve"> </w:t>
            </w:r>
            <w:r w:rsidRPr="00D473F7">
              <w:rPr>
                <w:rFonts w:cs="TimesTen-Roman"/>
              </w:rPr>
              <w:t>agents other than payment service providers, evidence that they are</w:t>
            </w:r>
            <w:r>
              <w:rPr>
                <w:rFonts w:cs="TimesTen-Roman"/>
              </w:rPr>
              <w:t xml:space="preserve"> </w:t>
            </w:r>
            <w:r w:rsidRPr="00D473F7">
              <w:rPr>
                <w:rFonts w:cs="TimesTen-Roman"/>
              </w:rPr>
              <w:t>fit and proper persons</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3DEBAFA" w14:textId="77777777" w:rsidR="00195FD0" w:rsidRPr="00A63412" w:rsidRDefault="00195FD0" w:rsidP="00195FD0">
            <w:r w:rsidRPr="00A63412">
              <w:t> </w:t>
            </w:r>
          </w:p>
        </w:tc>
      </w:tr>
      <w:tr w:rsidR="00195FD0" w:rsidRPr="00A63412" w14:paraId="2CE407A2" w14:textId="77777777" w:rsidTr="00F9031B">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5520967" w14:textId="1AC9B2D5" w:rsidR="00195FD0" w:rsidRPr="00A63412" w:rsidRDefault="003500A7" w:rsidP="00195FD0">
            <w:r>
              <w:t>L</w:t>
            </w:r>
            <w:r w:rsidR="00195FD0" w:rsidRPr="00A63412">
              <w:t>)</w:t>
            </w:r>
          </w:p>
        </w:tc>
        <w:tc>
          <w:tcPr>
            <w:tcW w:w="282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73FB2F8" w14:textId="59335311" w:rsidR="00195FD0" w:rsidRPr="00D473F7" w:rsidRDefault="00195FD0" w:rsidP="00195FD0">
            <w:pPr>
              <w:autoSpaceDE w:val="0"/>
              <w:autoSpaceDN w:val="0"/>
              <w:adjustRightInd w:val="0"/>
              <w:spacing w:after="0" w:line="240" w:lineRule="auto"/>
              <w:jc w:val="both"/>
            </w:pPr>
            <w:r>
              <w:rPr>
                <w:rFonts w:cs="TimesTen-Roman"/>
              </w:rPr>
              <w:t>W</w:t>
            </w:r>
            <w:r w:rsidRPr="00D473F7">
              <w:rPr>
                <w:rFonts w:cs="TimesTen-Roman"/>
              </w:rPr>
              <w:t>here applicable, the unique identification code or number of the</w:t>
            </w:r>
            <w:r>
              <w:rPr>
                <w:rFonts w:cs="TimesTen-Roman"/>
              </w:rPr>
              <w:t xml:space="preserve"> </w:t>
            </w:r>
            <w:r w:rsidRPr="00D473F7">
              <w:rPr>
                <w:rFonts w:cs="TimesTen-Roman"/>
              </w:rPr>
              <w:t>agent</w:t>
            </w:r>
          </w:p>
        </w:tc>
        <w:tc>
          <w:tcPr>
            <w:tcW w:w="1908"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9DC8B97" w14:textId="002C655B" w:rsidR="00195FD0" w:rsidRPr="00A63412" w:rsidRDefault="00195FD0" w:rsidP="00195FD0">
            <w:pPr>
              <w:spacing w:after="0" w:line="240" w:lineRule="auto"/>
            </w:pPr>
          </w:p>
        </w:tc>
      </w:tr>
    </w:tbl>
    <w:p w14:paraId="53693BE3" w14:textId="77777777" w:rsidR="00947F7E" w:rsidRDefault="00947F7E" w:rsidP="00294864">
      <w:pPr>
        <w:jc w:val="center"/>
        <w:rPr>
          <w:b/>
          <w:sz w:val="24"/>
          <w:szCs w:val="24"/>
        </w:rPr>
      </w:pPr>
    </w:p>
    <w:p w14:paraId="2E864682" w14:textId="4D3488DE" w:rsidR="00294864" w:rsidRPr="00D9222B" w:rsidRDefault="00294864" w:rsidP="00294864">
      <w:pPr>
        <w:jc w:val="center"/>
        <w:rPr>
          <w:b/>
          <w:sz w:val="24"/>
          <w:szCs w:val="24"/>
        </w:rPr>
      </w:pPr>
      <w:r w:rsidRPr="00D9222B">
        <w:rPr>
          <w:b/>
          <w:sz w:val="24"/>
          <w:szCs w:val="24"/>
        </w:rPr>
        <w:t xml:space="preserve">TABLE </w:t>
      </w:r>
      <w:r w:rsidR="00D473F7">
        <w:rPr>
          <w:b/>
          <w:sz w:val="24"/>
          <w:szCs w:val="24"/>
        </w:rPr>
        <w:t>2</w:t>
      </w:r>
    </w:p>
    <w:tbl>
      <w:tblPr>
        <w:tblW w:w="10774" w:type="dxa"/>
        <w:tblInd w:w="-714" w:type="dxa"/>
        <w:tblLook w:val="04A0" w:firstRow="1" w:lastRow="0" w:firstColumn="1" w:lastColumn="0" w:noHBand="0" w:noVBand="1"/>
      </w:tblPr>
      <w:tblGrid>
        <w:gridCol w:w="3727"/>
        <w:gridCol w:w="4981"/>
        <w:gridCol w:w="2066"/>
      </w:tblGrid>
      <w:tr w:rsidR="00294864" w:rsidRPr="00607208" w14:paraId="3460C480" w14:textId="77777777" w:rsidTr="00D473F7">
        <w:trPr>
          <w:trHeight w:val="699"/>
        </w:trPr>
        <w:tc>
          <w:tcPr>
            <w:tcW w:w="3727" w:type="dxa"/>
            <w:tcBorders>
              <w:top w:val="single" w:sz="4" w:space="0" w:color="auto"/>
              <w:left w:val="single" w:sz="4" w:space="0" w:color="auto"/>
              <w:bottom w:val="single" w:sz="4" w:space="0" w:color="auto"/>
              <w:right w:val="single" w:sz="4" w:space="0" w:color="auto"/>
            </w:tcBorders>
            <w:shd w:val="clear" w:color="000000" w:fill="F2F2F2"/>
          </w:tcPr>
          <w:p w14:paraId="704BC755" w14:textId="41774974" w:rsidR="00294864" w:rsidRPr="00D8750E" w:rsidRDefault="00294864" w:rsidP="00D473F7">
            <w:pPr>
              <w:spacing w:after="0" w:line="240" w:lineRule="auto"/>
              <w:rPr>
                <w:b/>
              </w:rPr>
            </w:pPr>
            <w:r w:rsidRPr="00D8750E">
              <w:rPr>
                <w:b/>
              </w:rPr>
              <w:t xml:space="preserve">Related to </w:t>
            </w:r>
            <w:r w:rsidR="00D473F7">
              <w:rPr>
                <w:b/>
              </w:rPr>
              <w:t>Question</w:t>
            </w:r>
            <w:r w:rsidR="00FE3687">
              <w:rPr>
                <w:b/>
              </w:rPr>
              <w:t>s</w:t>
            </w:r>
            <w:r w:rsidR="00D473F7">
              <w:rPr>
                <w:b/>
              </w:rPr>
              <w:t xml:space="preserve"> in Table 1</w:t>
            </w:r>
          </w:p>
        </w:tc>
        <w:tc>
          <w:tcPr>
            <w:tcW w:w="4981" w:type="dxa"/>
            <w:tcBorders>
              <w:top w:val="single" w:sz="4" w:space="0" w:color="auto"/>
              <w:left w:val="nil"/>
              <w:bottom w:val="single" w:sz="4" w:space="0" w:color="auto"/>
              <w:right w:val="single" w:sz="4" w:space="0" w:color="auto"/>
            </w:tcBorders>
            <w:shd w:val="clear" w:color="000000" w:fill="F2F2F2"/>
          </w:tcPr>
          <w:p w14:paraId="262B0D7A" w14:textId="78CDE864" w:rsidR="00294864" w:rsidRPr="00D8750E" w:rsidRDefault="00294864" w:rsidP="001A566A">
            <w:pPr>
              <w:spacing w:after="0" w:line="240" w:lineRule="auto"/>
              <w:rPr>
                <w:rFonts w:ascii="Calibri" w:eastAsia="Times New Roman" w:hAnsi="Calibri" w:cs="Arial"/>
                <w:b/>
                <w:bCs/>
                <w:color w:val="000000"/>
                <w:lang w:eastAsia="en-IE"/>
              </w:rPr>
            </w:pPr>
            <w:r w:rsidRPr="00D8750E">
              <w:rPr>
                <w:rFonts w:ascii="Calibri" w:eastAsia="Times New Roman" w:hAnsi="Calibri" w:cs="Arial"/>
                <w:b/>
                <w:bCs/>
                <w:color w:val="000000"/>
                <w:lang w:eastAsia="en-IE"/>
              </w:rPr>
              <w:t>Details</w:t>
            </w:r>
            <w:r w:rsidR="00ED018C">
              <w:rPr>
                <w:rFonts w:ascii="Calibri" w:eastAsia="Times New Roman" w:hAnsi="Calibri" w:cs="Arial"/>
                <w:b/>
                <w:bCs/>
                <w:color w:val="000000"/>
                <w:lang w:eastAsia="en-IE"/>
              </w:rPr>
              <w:t xml:space="preserve"> to be provided by Applicant</w:t>
            </w:r>
          </w:p>
        </w:tc>
        <w:tc>
          <w:tcPr>
            <w:tcW w:w="2066" w:type="dxa"/>
            <w:tcBorders>
              <w:top w:val="single" w:sz="4" w:space="0" w:color="auto"/>
              <w:left w:val="nil"/>
              <w:bottom w:val="single" w:sz="4" w:space="0" w:color="auto"/>
              <w:right w:val="single" w:sz="4" w:space="0" w:color="auto"/>
            </w:tcBorders>
            <w:shd w:val="clear" w:color="000000" w:fill="F2F2F2"/>
          </w:tcPr>
          <w:p w14:paraId="5CB0D610" w14:textId="26B8F01A" w:rsidR="00294864" w:rsidRDefault="00294864" w:rsidP="001A566A">
            <w:pPr>
              <w:spacing w:after="0" w:line="240" w:lineRule="auto"/>
              <w:rPr>
                <w:rFonts w:ascii="Calibri" w:eastAsia="Times New Roman" w:hAnsi="Calibri" w:cs="Arial"/>
                <w:b/>
                <w:bCs/>
                <w:color w:val="000000"/>
                <w:lang w:eastAsia="en-IE"/>
              </w:rPr>
            </w:pPr>
            <w:r w:rsidRPr="00D8750E">
              <w:rPr>
                <w:rFonts w:ascii="Calibri" w:eastAsia="Times New Roman" w:hAnsi="Calibri" w:cs="Arial"/>
                <w:b/>
                <w:bCs/>
                <w:color w:val="000000"/>
                <w:lang w:eastAsia="en-IE"/>
              </w:rPr>
              <w:t>Tick to confirm</w:t>
            </w:r>
            <w:r w:rsidR="00923B04">
              <w:rPr>
                <w:rFonts w:ascii="Calibri" w:eastAsia="Times New Roman" w:hAnsi="Calibri" w:cs="Arial"/>
                <w:b/>
                <w:bCs/>
                <w:color w:val="000000"/>
                <w:lang w:eastAsia="en-IE"/>
              </w:rPr>
              <w:t xml:space="preserve"> or insert details (where relevant) </w:t>
            </w:r>
          </w:p>
          <w:p w14:paraId="07110E5D" w14:textId="77777777" w:rsidR="00294864" w:rsidRPr="00D8750E" w:rsidRDefault="00294864" w:rsidP="001A566A">
            <w:pPr>
              <w:spacing w:after="0" w:line="240" w:lineRule="auto"/>
              <w:rPr>
                <w:rFonts w:ascii="Calibri" w:eastAsia="Times New Roman" w:hAnsi="Calibri" w:cs="Arial"/>
                <w:b/>
                <w:bCs/>
                <w:color w:val="000000"/>
                <w:lang w:eastAsia="en-IE"/>
              </w:rPr>
            </w:pPr>
          </w:p>
        </w:tc>
      </w:tr>
      <w:tr w:rsidR="00294864" w:rsidRPr="00607208" w14:paraId="41F6949E" w14:textId="77777777" w:rsidTr="00D473F7">
        <w:trPr>
          <w:trHeight w:val="1620"/>
        </w:trPr>
        <w:tc>
          <w:tcPr>
            <w:tcW w:w="3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F3D9C" w14:textId="1CFDD4A0" w:rsidR="00294864" w:rsidRPr="00607208" w:rsidRDefault="00294864" w:rsidP="0023260A">
            <w:pPr>
              <w:spacing w:after="0" w:line="240" w:lineRule="auto"/>
              <w:rPr>
                <w:rFonts w:ascii="Calibri" w:eastAsia="Times New Roman" w:hAnsi="Calibri" w:cs="Arial"/>
                <w:b/>
                <w:bCs/>
                <w:color w:val="000000"/>
                <w:lang w:eastAsia="en-IE"/>
              </w:rPr>
            </w:pPr>
            <w:r w:rsidRPr="00D8750E">
              <w:br w:type="page"/>
            </w:r>
            <w:bookmarkStart w:id="1" w:name="RANGE!A1:C19"/>
            <w:r w:rsidR="008A2C21">
              <w:rPr>
                <w:rFonts w:ascii="Calibri" w:eastAsia="Times New Roman" w:hAnsi="Calibri" w:cs="Arial"/>
                <w:b/>
                <w:bCs/>
                <w:color w:val="000000"/>
                <w:lang w:eastAsia="en-IE"/>
              </w:rPr>
              <w:t>(J</w:t>
            </w:r>
            <w:r w:rsidRPr="00607208">
              <w:rPr>
                <w:rFonts w:ascii="Calibri" w:eastAsia="Times New Roman" w:hAnsi="Calibri" w:cs="Arial"/>
                <w:b/>
                <w:bCs/>
                <w:color w:val="000000"/>
                <w:lang w:eastAsia="en-IE"/>
              </w:rPr>
              <w:t xml:space="preserve">) Description of the internal control mechanisms that will be used in order to comply with the obligations in relation to money laundering and terrorist financing under </w:t>
            </w:r>
            <w:bookmarkEnd w:id="1"/>
            <w:r w:rsidR="0023260A">
              <w:rPr>
                <w:rFonts w:ascii="Calibri" w:eastAsia="Times New Roman" w:hAnsi="Calibri" w:cs="Arial"/>
                <w:b/>
                <w:bCs/>
                <w:color w:val="000000"/>
                <w:lang w:eastAsia="en-IE"/>
              </w:rPr>
              <w:t>the relevant Irish and EU legislation</w:t>
            </w:r>
          </w:p>
        </w:tc>
        <w:tc>
          <w:tcPr>
            <w:tcW w:w="4981" w:type="dxa"/>
            <w:tcBorders>
              <w:top w:val="single" w:sz="4" w:space="0" w:color="auto"/>
              <w:left w:val="nil"/>
              <w:bottom w:val="single" w:sz="4" w:space="0" w:color="auto"/>
              <w:right w:val="single" w:sz="4" w:space="0" w:color="auto"/>
            </w:tcBorders>
            <w:shd w:val="clear" w:color="auto" w:fill="FFFFFF" w:themeFill="background1"/>
            <w:hideMark/>
          </w:tcPr>
          <w:p w14:paraId="03CB8515"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procedures are in place to review the agent(s) procedures vis-à-vis anti-money laundering and terrorist financing</w:t>
            </w:r>
          </w:p>
        </w:tc>
        <w:tc>
          <w:tcPr>
            <w:tcW w:w="2066" w:type="dxa"/>
            <w:tcBorders>
              <w:top w:val="single" w:sz="4" w:space="0" w:color="auto"/>
              <w:left w:val="nil"/>
              <w:bottom w:val="single" w:sz="4" w:space="0" w:color="auto"/>
              <w:right w:val="single" w:sz="4" w:space="0" w:color="auto"/>
            </w:tcBorders>
            <w:shd w:val="clear" w:color="auto" w:fill="FFFFFF" w:themeFill="background1"/>
          </w:tcPr>
          <w:p w14:paraId="31BD3066"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0F4FB825" w14:textId="77777777" w:rsidTr="00D473F7">
        <w:trPr>
          <w:trHeight w:val="1281"/>
        </w:trPr>
        <w:tc>
          <w:tcPr>
            <w:tcW w:w="372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BB049E4" w14:textId="6503AADA" w:rsidR="00294864" w:rsidRPr="00607208" w:rsidRDefault="00294864" w:rsidP="001A566A">
            <w:pPr>
              <w:spacing w:after="0" w:line="240" w:lineRule="auto"/>
              <w:rPr>
                <w:rFonts w:ascii="Calibri" w:eastAsia="Times New Roman" w:hAnsi="Calibri" w:cs="Arial"/>
                <w:b/>
                <w:bCs/>
                <w:color w:val="000000"/>
                <w:lang w:eastAsia="en-IE"/>
              </w:rPr>
            </w:pPr>
            <w:r w:rsidRPr="00607208">
              <w:rPr>
                <w:rFonts w:ascii="Calibri" w:eastAsia="Times New Roman" w:hAnsi="Calibri" w:cs="Arial"/>
                <w:b/>
                <w:bCs/>
                <w:color w:val="000000"/>
                <w:lang w:eastAsia="en-IE"/>
              </w:rPr>
              <w:t>Criteria considered to ensure that directors and persons responsible for the management of the agent to be used in the provision of payment services are fit and proper persons</w:t>
            </w:r>
          </w:p>
        </w:tc>
        <w:tc>
          <w:tcPr>
            <w:tcW w:w="4981" w:type="dxa"/>
            <w:tcBorders>
              <w:top w:val="nil"/>
              <w:left w:val="nil"/>
              <w:bottom w:val="single" w:sz="4" w:space="0" w:color="auto"/>
              <w:right w:val="single" w:sz="4" w:space="0" w:color="auto"/>
            </w:tcBorders>
            <w:shd w:val="clear" w:color="auto" w:fill="FFFFFF" w:themeFill="background1"/>
            <w:hideMark/>
          </w:tcPr>
          <w:p w14:paraId="250F7729"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 xml:space="preserve">Details of the ‘due diligence’ (to be) undertaken by the applicant to ensure that each director and person responsible for the management of the agent(s) are fit and proper persons </w:t>
            </w:r>
          </w:p>
        </w:tc>
        <w:tc>
          <w:tcPr>
            <w:tcW w:w="2066" w:type="dxa"/>
            <w:tcBorders>
              <w:top w:val="nil"/>
              <w:left w:val="nil"/>
              <w:bottom w:val="single" w:sz="4" w:space="0" w:color="auto"/>
              <w:right w:val="single" w:sz="4" w:space="0" w:color="auto"/>
            </w:tcBorders>
            <w:shd w:val="clear" w:color="auto" w:fill="FFFFFF" w:themeFill="background1"/>
          </w:tcPr>
          <w:p w14:paraId="5D5B36BC"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7304122D" w14:textId="77777777" w:rsidTr="00D473F7">
        <w:trPr>
          <w:trHeight w:val="990"/>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05821DC"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5017B429" w14:textId="2B1BFE8A" w:rsidR="00294864" w:rsidRPr="00607208" w:rsidRDefault="00294864" w:rsidP="00FE3687">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 xml:space="preserve">Confirmation that the </w:t>
            </w:r>
            <w:r>
              <w:rPr>
                <w:rFonts w:ascii="Calibri" w:eastAsia="Times New Roman" w:hAnsi="Calibri" w:cs="Arial"/>
                <w:bCs/>
                <w:color w:val="000000"/>
                <w:lang w:eastAsia="en-IE"/>
              </w:rPr>
              <w:t>IQ</w:t>
            </w:r>
            <w:r w:rsidRPr="00607208">
              <w:rPr>
                <w:rFonts w:ascii="Calibri" w:eastAsia="Times New Roman" w:hAnsi="Calibri" w:cs="Arial"/>
                <w:bCs/>
                <w:color w:val="000000"/>
                <w:lang w:eastAsia="en-IE"/>
              </w:rPr>
              <w:t xml:space="preserve"> </w:t>
            </w:r>
            <w:r>
              <w:rPr>
                <w:rFonts w:ascii="Calibri" w:eastAsia="Times New Roman" w:hAnsi="Calibri" w:cs="Arial"/>
                <w:bCs/>
                <w:color w:val="000000"/>
                <w:lang w:eastAsia="en-IE"/>
              </w:rPr>
              <w:t xml:space="preserve">is </w:t>
            </w:r>
            <w:r w:rsidRPr="00607208">
              <w:rPr>
                <w:rFonts w:ascii="Calibri" w:eastAsia="Times New Roman" w:hAnsi="Calibri" w:cs="Arial"/>
                <w:bCs/>
                <w:color w:val="000000"/>
                <w:lang w:eastAsia="en-IE"/>
              </w:rPr>
              <w:t>available upon request to the C</w:t>
            </w:r>
            <w:r>
              <w:rPr>
                <w:rFonts w:ascii="Calibri" w:eastAsia="Times New Roman" w:hAnsi="Calibri" w:cs="Arial"/>
                <w:bCs/>
                <w:color w:val="000000"/>
                <w:lang w:eastAsia="en-IE"/>
              </w:rPr>
              <w:t>entral Bank</w:t>
            </w:r>
          </w:p>
        </w:tc>
        <w:tc>
          <w:tcPr>
            <w:tcW w:w="2066" w:type="dxa"/>
            <w:tcBorders>
              <w:top w:val="nil"/>
              <w:left w:val="nil"/>
              <w:bottom w:val="single" w:sz="4" w:space="0" w:color="auto"/>
              <w:right w:val="single" w:sz="4" w:space="0" w:color="auto"/>
            </w:tcBorders>
            <w:shd w:val="clear" w:color="auto" w:fill="FFFFFF" w:themeFill="background1"/>
          </w:tcPr>
          <w:p w14:paraId="38676E6D"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5E980310" w14:textId="77777777" w:rsidTr="00D473F7">
        <w:trPr>
          <w:trHeight w:val="816"/>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3A4C98"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1D9953FD"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 xml:space="preserve">Confirmation that </w:t>
            </w:r>
            <w:r>
              <w:rPr>
                <w:rFonts w:ascii="Calibri" w:eastAsia="Times New Roman" w:hAnsi="Calibri" w:cs="Arial"/>
                <w:bCs/>
                <w:color w:val="000000"/>
                <w:lang w:eastAsia="en-IE"/>
              </w:rPr>
              <w:t xml:space="preserve">the </w:t>
            </w:r>
            <w:r w:rsidRPr="00607208">
              <w:rPr>
                <w:rFonts w:ascii="Calibri" w:eastAsia="Times New Roman" w:hAnsi="Calibri" w:cs="Arial"/>
                <w:bCs/>
                <w:color w:val="000000"/>
                <w:lang w:eastAsia="en-IE"/>
              </w:rPr>
              <w:t>IQ(s) has been collected and reviewed</w:t>
            </w:r>
          </w:p>
        </w:tc>
        <w:tc>
          <w:tcPr>
            <w:tcW w:w="2066" w:type="dxa"/>
            <w:tcBorders>
              <w:top w:val="nil"/>
              <w:left w:val="nil"/>
              <w:bottom w:val="single" w:sz="4" w:space="0" w:color="auto"/>
              <w:right w:val="single" w:sz="4" w:space="0" w:color="auto"/>
            </w:tcBorders>
            <w:shd w:val="clear" w:color="auto" w:fill="FFFFFF" w:themeFill="background1"/>
          </w:tcPr>
          <w:p w14:paraId="1E37D2A0"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256520F5" w14:textId="77777777" w:rsidTr="00D473F7">
        <w:trPr>
          <w:trHeight w:val="1419"/>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8BA6CD6"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72EDF00E"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the ‘due diligence’ has been undertaken by the applicant to ensure that each director and person responsible for the management of the agent(s) are fit and proper persons</w:t>
            </w:r>
          </w:p>
        </w:tc>
        <w:tc>
          <w:tcPr>
            <w:tcW w:w="2066" w:type="dxa"/>
            <w:tcBorders>
              <w:top w:val="nil"/>
              <w:left w:val="nil"/>
              <w:bottom w:val="single" w:sz="4" w:space="0" w:color="auto"/>
              <w:right w:val="single" w:sz="4" w:space="0" w:color="auto"/>
            </w:tcBorders>
            <w:shd w:val="clear" w:color="auto" w:fill="FFFFFF" w:themeFill="background1"/>
          </w:tcPr>
          <w:p w14:paraId="2D1F50A2"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75379AB6" w14:textId="77777777" w:rsidTr="00D473F7">
        <w:trPr>
          <w:trHeight w:val="1149"/>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3AE2322"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3A8697CF"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the applicant applied the C</w:t>
            </w:r>
            <w:r>
              <w:rPr>
                <w:rFonts w:ascii="Calibri" w:eastAsia="Times New Roman" w:hAnsi="Calibri" w:cs="Arial"/>
                <w:bCs/>
                <w:color w:val="000000"/>
                <w:lang w:eastAsia="en-IE"/>
              </w:rPr>
              <w:t xml:space="preserve">entral </w:t>
            </w:r>
            <w:r w:rsidRPr="00607208">
              <w:rPr>
                <w:rFonts w:ascii="Calibri" w:eastAsia="Times New Roman" w:hAnsi="Calibri" w:cs="Arial"/>
                <w:bCs/>
                <w:color w:val="000000"/>
                <w:lang w:eastAsia="en-IE"/>
              </w:rPr>
              <w:t>B</w:t>
            </w:r>
            <w:r>
              <w:rPr>
                <w:rFonts w:ascii="Calibri" w:eastAsia="Times New Roman" w:hAnsi="Calibri" w:cs="Arial"/>
                <w:bCs/>
                <w:color w:val="000000"/>
                <w:lang w:eastAsia="en-IE"/>
              </w:rPr>
              <w:t>ank</w:t>
            </w:r>
            <w:r w:rsidRPr="00607208">
              <w:rPr>
                <w:rFonts w:ascii="Calibri" w:eastAsia="Times New Roman" w:hAnsi="Calibri" w:cs="Arial"/>
                <w:bCs/>
                <w:color w:val="000000"/>
                <w:lang w:eastAsia="en-IE"/>
              </w:rPr>
              <w:t>'s fit and proper test to each director and person responsible for the management of the proposed agent(s)</w:t>
            </w:r>
          </w:p>
        </w:tc>
        <w:tc>
          <w:tcPr>
            <w:tcW w:w="2066" w:type="dxa"/>
            <w:tcBorders>
              <w:top w:val="nil"/>
              <w:left w:val="nil"/>
              <w:bottom w:val="single" w:sz="4" w:space="0" w:color="auto"/>
              <w:right w:val="single" w:sz="4" w:space="0" w:color="auto"/>
            </w:tcBorders>
            <w:shd w:val="clear" w:color="auto" w:fill="FFFFFF" w:themeFill="background1"/>
          </w:tcPr>
          <w:p w14:paraId="587AAC7A"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341B1A25" w14:textId="77777777" w:rsidTr="00D473F7">
        <w:trPr>
          <w:trHeight w:val="870"/>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1372283"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6B33F918"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no adverse information has arisen in relation to any such individual</w:t>
            </w:r>
          </w:p>
        </w:tc>
        <w:tc>
          <w:tcPr>
            <w:tcW w:w="2066" w:type="dxa"/>
            <w:tcBorders>
              <w:top w:val="nil"/>
              <w:left w:val="nil"/>
              <w:bottom w:val="single" w:sz="4" w:space="0" w:color="auto"/>
              <w:right w:val="single" w:sz="4" w:space="0" w:color="auto"/>
            </w:tcBorders>
            <w:shd w:val="clear" w:color="auto" w:fill="FFFFFF" w:themeFill="background1"/>
          </w:tcPr>
          <w:p w14:paraId="43E7F126"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4DAE2BE3" w14:textId="77777777" w:rsidTr="00D473F7">
        <w:trPr>
          <w:trHeight w:val="501"/>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C6C108"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79E7FD3C" w14:textId="77777777" w:rsidR="00294864"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all such individuals are fit and proper persons</w:t>
            </w:r>
          </w:p>
          <w:p w14:paraId="53EAE2E1" w14:textId="77777777" w:rsidR="00294864" w:rsidRPr="00607208" w:rsidRDefault="00294864" w:rsidP="001A566A">
            <w:pPr>
              <w:spacing w:after="0" w:line="240" w:lineRule="auto"/>
              <w:rPr>
                <w:rFonts w:ascii="Calibri" w:eastAsia="Times New Roman" w:hAnsi="Calibri" w:cs="Arial"/>
                <w:bCs/>
                <w:color w:val="000000"/>
                <w:lang w:eastAsia="en-IE"/>
              </w:rPr>
            </w:pPr>
          </w:p>
        </w:tc>
        <w:tc>
          <w:tcPr>
            <w:tcW w:w="2066" w:type="dxa"/>
            <w:tcBorders>
              <w:top w:val="nil"/>
              <w:left w:val="nil"/>
              <w:bottom w:val="single" w:sz="4" w:space="0" w:color="auto"/>
              <w:right w:val="single" w:sz="4" w:space="0" w:color="auto"/>
            </w:tcBorders>
            <w:shd w:val="clear" w:color="auto" w:fill="FFFFFF" w:themeFill="background1"/>
          </w:tcPr>
          <w:p w14:paraId="750EA3C8"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5196EF28" w14:textId="77777777" w:rsidTr="00D473F7">
        <w:trPr>
          <w:trHeight w:val="840"/>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DD68399"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19836026"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a written contract is in place between the applicant and proposed agent</w:t>
            </w:r>
          </w:p>
        </w:tc>
        <w:tc>
          <w:tcPr>
            <w:tcW w:w="2066" w:type="dxa"/>
            <w:tcBorders>
              <w:top w:val="nil"/>
              <w:left w:val="nil"/>
              <w:bottom w:val="single" w:sz="4" w:space="0" w:color="auto"/>
              <w:right w:val="single" w:sz="4" w:space="0" w:color="auto"/>
            </w:tcBorders>
            <w:shd w:val="clear" w:color="auto" w:fill="FFFFFF" w:themeFill="background1"/>
          </w:tcPr>
          <w:p w14:paraId="600C43EE"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13584459" w14:textId="77777777" w:rsidTr="00D473F7">
        <w:trPr>
          <w:trHeight w:val="729"/>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661A860"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0B85325C"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the contract(s) is available upon request to the C</w:t>
            </w:r>
            <w:r>
              <w:rPr>
                <w:rFonts w:ascii="Calibri" w:eastAsia="Times New Roman" w:hAnsi="Calibri" w:cs="Arial"/>
                <w:bCs/>
                <w:color w:val="000000"/>
                <w:lang w:eastAsia="en-IE"/>
              </w:rPr>
              <w:t xml:space="preserve">entral </w:t>
            </w:r>
            <w:r w:rsidRPr="00607208">
              <w:rPr>
                <w:rFonts w:ascii="Calibri" w:eastAsia="Times New Roman" w:hAnsi="Calibri" w:cs="Arial"/>
                <w:bCs/>
                <w:color w:val="000000"/>
                <w:lang w:eastAsia="en-IE"/>
              </w:rPr>
              <w:t>B</w:t>
            </w:r>
            <w:r>
              <w:rPr>
                <w:rFonts w:ascii="Calibri" w:eastAsia="Times New Roman" w:hAnsi="Calibri" w:cs="Arial"/>
                <w:bCs/>
                <w:color w:val="000000"/>
                <w:lang w:eastAsia="en-IE"/>
              </w:rPr>
              <w:t>ank</w:t>
            </w:r>
          </w:p>
        </w:tc>
        <w:tc>
          <w:tcPr>
            <w:tcW w:w="2066" w:type="dxa"/>
            <w:tcBorders>
              <w:top w:val="nil"/>
              <w:left w:val="nil"/>
              <w:bottom w:val="single" w:sz="4" w:space="0" w:color="auto"/>
              <w:right w:val="single" w:sz="4" w:space="0" w:color="auto"/>
            </w:tcBorders>
            <w:shd w:val="clear" w:color="auto" w:fill="FFFFFF" w:themeFill="background1"/>
          </w:tcPr>
          <w:p w14:paraId="0FE9B1D7"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4FE28846" w14:textId="77777777" w:rsidTr="00D473F7">
        <w:trPr>
          <w:trHeight w:val="1191"/>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42C97F"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6938EBB2"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 xml:space="preserve">Confirmation that the applicant will take full and unconditional responsibility for the acts and omissions of its appointed agents when those agents act on its behalf </w:t>
            </w:r>
          </w:p>
        </w:tc>
        <w:tc>
          <w:tcPr>
            <w:tcW w:w="2066" w:type="dxa"/>
            <w:tcBorders>
              <w:top w:val="nil"/>
              <w:left w:val="nil"/>
              <w:bottom w:val="single" w:sz="4" w:space="0" w:color="auto"/>
              <w:right w:val="single" w:sz="4" w:space="0" w:color="auto"/>
            </w:tcBorders>
            <w:shd w:val="clear" w:color="auto" w:fill="FFFFFF" w:themeFill="background1"/>
          </w:tcPr>
          <w:p w14:paraId="47B6EE58"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300A0064" w14:textId="77777777" w:rsidTr="00D473F7">
        <w:trPr>
          <w:trHeight w:val="1140"/>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092CB42"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5A8C770B"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Confirmation that procedures are in place to exercise control and effective oversight over the agent(s) (with no delegation of responsibility)</w:t>
            </w:r>
          </w:p>
        </w:tc>
        <w:tc>
          <w:tcPr>
            <w:tcW w:w="2066" w:type="dxa"/>
            <w:tcBorders>
              <w:top w:val="nil"/>
              <w:left w:val="nil"/>
              <w:bottom w:val="single" w:sz="4" w:space="0" w:color="auto"/>
              <w:right w:val="single" w:sz="4" w:space="0" w:color="auto"/>
            </w:tcBorders>
            <w:shd w:val="clear" w:color="auto" w:fill="FFFFFF" w:themeFill="background1"/>
          </w:tcPr>
          <w:p w14:paraId="59BFD98E"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084C3CC4" w14:textId="77777777" w:rsidTr="00D473F7">
        <w:trPr>
          <w:trHeight w:val="1170"/>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ABDD413"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2F7D84EA"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 xml:space="preserve">Confirmation that procedures are in place to retain written records of the applicant’s review of the agent(s) procedures and records </w:t>
            </w:r>
          </w:p>
        </w:tc>
        <w:tc>
          <w:tcPr>
            <w:tcW w:w="2066" w:type="dxa"/>
            <w:tcBorders>
              <w:top w:val="nil"/>
              <w:left w:val="nil"/>
              <w:bottom w:val="single" w:sz="4" w:space="0" w:color="auto"/>
              <w:right w:val="single" w:sz="4" w:space="0" w:color="auto"/>
            </w:tcBorders>
            <w:shd w:val="clear" w:color="auto" w:fill="FFFFFF" w:themeFill="background1"/>
          </w:tcPr>
          <w:p w14:paraId="7D60DEB2"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1368D9D5" w14:textId="77777777" w:rsidTr="00D473F7">
        <w:trPr>
          <w:trHeight w:val="1401"/>
        </w:trPr>
        <w:tc>
          <w:tcPr>
            <w:tcW w:w="372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FC3E678" w14:textId="0FA86363" w:rsidR="00294864" w:rsidRPr="00607208" w:rsidRDefault="00294864" w:rsidP="001A566A">
            <w:pPr>
              <w:spacing w:after="0" w:line="240" w:lineRule="auto"/>
              <w:rPr>
                <w:rFonts w:ascii="Calibri" w:eastAsia="Times New Roman" w:hAnsi="Calibri" w:cs="Arial"/>
                <w:b/>
                <w:bCs/>
                <w:color w:val="000000"/>
                <w:lang w:eastAsia="en-IE"/>
              </w:rPr>
            </w:pPr>
            <w:r w:rsidRPr="00607208">
              <w:rPr>
                <w:rFonts w:ascii="Calibri" w:eastAsia="Times New Roman" w:hAnsi="Calibri" w:cs="Arial"/>
                <w:b/>
                <w:bCs/>
                <w:color w:val="000000"/>
                <w:lang w:eastAsia="en-IE"/>
              </w:rPr>
              <w:t xml:space="preserve">Confirm that the applicant has read and understands the provisions contained in the European Communities (Payment Services) Regulations 2018  </w:t>
            </w:r>
            <w:r w:rsidR="00FE3687">
              <w:rPr>
                <w:rFonts w:ascii="Calibri" w:eastAsia="Times New Roman" w:hAnsi="Calibri" w:cs="Arial"/>
                <w:b/>
                <w:bCs/>
                <w:color w:val="000000"/>
                <w:lang w:eastAsia="en-IE"/>
              </w:rPr>
              <w:t xml:space="preserve">and/or the European Communities (Electronic Money) Regulations 2011 (as amended) </w:t>
            </w:r>
            <w:r w:rsidR="00ED018C">
              <w:rPr>
                <w:rFonts w:ascii="Calibri" w:eastAsia="Times New Roman" w:hAnsi="Calibri" w:cs="Arial"/>
                <w:b/>
                <w:bCs/>
                <w:color w:val="000000"/>
                <w:lang w:eastAsia="en-IE"/>
              </w:rPr>
              <w:t xml:space="preserve">(the Regulations) </w:t>
            </w:r>
            <w:r w:rsidRPr="00607208">
              <w:rPr>
                <w:rFonts w:ascii="Calibri" w:eastAsia="Times New Roman" w:hAnsi="Calibri" w:cs="Arial"/>
                <w:b/>
                <w:bCs/>
                <w:color w:val="000000"/>
                <w:lang w:eastAsia="en-IE"/>
              </w:rPr>
              <w:t>and is satisfied that the appointment of this agent will not materially impair:</w:t>
            </w:r>
          </w:p>
        </w:tc>
        <w:tc>
          <w:tcPr>
            <w:tcW w:w="4981" w:type="dxa"/>
            <w:tcBorders>
              <w:top w:val="nil"/>
              <w:left w:val="nil"/>
              <w:bottom w:val="single" w:sz="4" w:space="0" w:color="auto"/>
              <w:right w:val="single" w:sz="4" w:space="0" w:color="auto"/>
            </w:tcBorders>
            <w:shd w:val="clear" w:color="auto" w:fill="FFFFFF" w:themeFill="background1"/>
            <w:hideMark/>
          </w:tcPr>
          <w:p w14:paraId="496D7D6F"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 xml:space="preserve">The quality of the </w:t>
            </w:r>
            <w:r>
              <w:rPr>
                <w:rFonts w:ascii="Calibri" w:eastAsia="Times New Roman" w:hAnsi="Calibri" w:cs="Arial"/>
                <w:bCs/>
                <w:color w:val="000000"/>
                <w:lang w:eastAsia="en-IE"/>
              </w:rPr>
              <w:t>applicant</w:t>
            </w:r>
            <w:r w:rsidRPr="00607208">
              <w:rPr>
                <w:rFonts w:ascii="Calibri" w:eastAsia="Times New Roman" w:hAnsi="Calibri" w:cs="Arial"/>
                <w:bCs/>
                <w:color w:val="000000"/>
                <w:lang w:eastAsia="en-IE"/>
              </w:rPr>
              <w:t xml:space="preserve">’s internal controls and the ability of </w:t>
            </w:r>
            <w:r>
              <w:rPr>
                <w:rFonts w:ascii="Calibri" w:eastAsia="Times New Roman" w:hAnsi="Calibri" w:cs="Arial"/>
                <w:bCs/>
                <w:color w:val="000000"/>
                <w:lang w:eastAsia="en-IE"/>
              </w:rPr>
              <w:t xml:space="preserve">the </w:t>
            </w:r>
            <w:r w:rsidRPr="00607208">
              <w:rPr>
                <w:rFonts w:ascii="Calibri" w:eastAsia="Times New Roman" w:hAnsi="Calibri" w:cs="Arial"/>
                <w:bCs/>
                <w:color w:val="000000"/>
                <w:lang w:eastAsia="en-IE"/>
              </w:rPr>
              <w:t>C</w:t>
            </w:r>
            <w:r>
              <w:rPr>
                <w:rFonts w:ascii="Calibri" w:eastAsia="Times New Roman" w:hAnsi="Calibri" w:cs="Arial"/>
                <w:bCs/>
                <w:color w:val="000000"/>
                <w:lang w:eastAsia="en-IE"/>
              </w:rPr>
              <w:t xml:space="preserve">entral </w:t>
            </w:r>
            <w:r w:rsidRPr="00607208">
              <w:rPr>
                <w:rFonts w:ascii="Calibri" w:eastAsia="Times New Roman" w:hAnsi="Calibri" w:cs="Arial"/>
                <w:bCs/>
                <w:color w:val="000000"/>
                <w:lang w:eastAsia="en-IE"/>
              </w:rPr>
              <w:t>B</w:t>
            </w:r>
            <w:r>
              <w:rPr>
                <w:rFonts w:ascii="Calibri" w:eastAsia="Times New Roman" w:hAnsi="Calibri" w:cs="Arial"/>
                <w:bCs/>
                <w:color w:val="000000"/>
                <w:lang w:eastAsia="en-IE"/>
              </w:rPr>
              <w:t>ank</w:t>
            </w:r>
            <w:r w:rsidRPr="00607208">
              <w:rPr>
                <w:rFonts w:ascii="Calibri" w:eastAsia="Times New Roman" w:hAnsi="Calibri" w:cs="Arial"/>
                <w:bCs/>
                <w:color w:val="000000"/>
                <w:lang w:eastAsia="en-IE"/>
              </w:rPr>
              <w:t xml:space="preserve"> to monitor the </w:t>
            </w:r>
            <w:r>
              <w:rPr>
                <w:rFonts w:ascii="Calibri" w:eastAsia="Times New Roman" w:hAnsi="Calibri" w:cs="Arial"/>
                <w:bCs/>
                <w:color w:val="000000"/>
                <w:lang w:eastAsia="en-IE"/>
              </w:rPr>
              <w:t>applicant</w:t>
            </w:r>
            <w:r w:rsidRPr="00607208">
              <w:rPr>
                <w:rFonts w:ascii="Calibri" w:eastAsia="Times New Roman" w:hAnsi="Calibri" w:cs="Arial"/>
                <w:bCs/>
                <w:color w:val="000000"/>
                <w:lang w:eastAsia="en-IE"/>
              </w:rPr>
              <w:t>’s compliance with all obligations laid down in the Regulations</w:t>
            </w:r>
          </w:p>
        </w:tc>
        <w:tc>
          <w:tcPr>
            <w:tcW w:w="2066" w:type="dxa"/>
            <w:tcBorders>
              <w:top w:val="nil"/>
              <w:left w:val="nil"/>
              <w:bottom w:val="single" w:sz="4" w:space="0" w:color="auto"/>
              <w:right w:val="single" w:sz="4" w:space="0" w:color="auto"/>
            </w:tcBorders>
            <w:shd w:val="clear" w:color="auto" w:fill="FFFFFF" w:themeFill="background1"/>
          </w:tcPr>
          <w:p w14:paraId="0871DE46"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3AE3E97F" w14:textId="77777777" w:rsidTr="00D473F7">
        <w:trPr>
          <w:trHeight w:val="921"/>
        </w:trPr>
        <w:tc>
          <w:tcPr>
            <w:tcW w:w="37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8796EE9"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25A0B2C5"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The continuing compliance of the applicant with the requirements of its authorisation under the Regulations</w:t>
            </w:r>
          </w:p>
        </w:tc>
        <w:tc>
          <w:tcPr>
            <w:tcW w:w="2066" w:type="dxa"/>
            <w:tcBorders>
              <w:top w:val="nil"/>
              <w:left w:val="nil"/>
              <w:bottom w:val="single" w:sz="4" w:space="0" w:color="auto"/>
              <w:right w:val="single" w:sz="4" w:space="0" w:color="auto"/>
            </w:tcBorders>
            <w:shd w:val="clear" w:color="auto" w:fill="FFFFFF" w:themeFill="background1"/>
          </w:tcPr>
          <w:p w14:paraId="20F6E60B"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1D1CAE73" w14:textId="77777777" w:rsidTr="00D473F7">
        <w:trPr>
          <w:trHeight w:val="921"/>
        </w:trPr>
        <w:tc>
          <w:tcPr>
            <w:tcW w:w="3727"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4817B23" w14:textId="77777777" w:rsidR="00294864" w:rsidRPr="00607208" w:rsidRDefault="00294864" w:rsidP="001A566A">
            <w:pPr>
              <w:spacing w:after="0" w:line="240" w:lineRule="auto"/>
              <w:rPr>
                <w:rFonts w:ascii="Calibri" w:eastAsia="Times New Roman" w:hAnsi="Calibri" w:cs="Arial"/>
                <w:b/>
                <w:bCs/>
                <w:color w:val="000000"/>
                <w:lang w:eastAsia="en-IE"/>
              </w:rPr>
            </w:pPr>
          </w:p>
        </w:tc>
        <w:tc>
          <w:tcPr>
            <w:tcW w:w="4981" w:type="dxa"/>
            <w:tcBorders>
              <w:top w:val="nil"/>
              <w:left w:val="nil"/>
              <w:bottom w:val="single" w:sz="4" w:space="0" w:color="auto"/>
              <w:right w:val="single" w:sz="4" w:space="0" w:color="auto"/>
            </w:tcBorders>
            <w:shd w:val="clear" w:color="auto" w:fill="FFFFFF" w:themeFill="background1"/>
            <w:hideMark/>
          </w:tcPr>
          <w:p w14:paraId="065DCAEE"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 that the proposed agent(s) acting on the applicant’s behalf will inform payment users of this fact</w:t>
            </w:r>
          </w:p>
        </w:tc>
        <w:tc>
          <w:tcPr>
            <w:tcW w:w="2066" w:type="dxa"/>
            <w:tcBorders>
              <w:top w:val="nil"/>
              <w:left w:val="nil"/>
              <w:bottom w:val="single" w:sz="4" w:space="0" w:color="auto"/>
              <w:right w:val="single" w:sz="4" w:space="0" w:color="auto"/>
            </w:tcBorders>
            <w:shd w:val="clear" w:color="auto" w:fill="FFFFFF" w:themeFill="background1"/>
          </w:tcPr>
          <w:p w14:paraId="573EBE70" w14:textId="77777777" w:rsidR="00294864" w:rsidRPr="00607208" w:rsidRDefault="00294864" w:rsidP="001A566A">
            <w:pPr>
              <w:spacing w:after="0" w:line="240" w:lineRule="auto"/>
              <w:rPr>
                <w:rFonts w:ascii="Calibri" w:eastAsia="Times New Roman" w:hAnsi="Calibri" w:cs="Arial"/>
                <w:bCs/>
                <w:color w:val="000000"/>
                <w:lang w:eastAsia="en-IE"/>
              </w:rPr>
            </w:pPr>
          </w:p>
        </w:tc>
      </w:tr>
      <w:tr w:rsidR="00294864" w:rsidRPr="00607208" w14:paraId="748AAC0F" w14:textId="77777777" w:rsidTr="00D473F7">
        <w:trPr>
          <w:trHeight w:val="1779"/>
        </w:trPr>
        <w:tc>
          <w:tcPr>
            <w:tcW w:w="3727" w:type="dxa"/>
            <w:tcBorders>
              <w:top w:val="nil"/>
              <w:left w:val="single" w:sz="4" w:space="0" w:color="auto"/>
              <w:bottom w:val="single" w:sz="4" w:space="0" w:color="000000"/>
              <w:right w:val="single" w:sz="4" w:space="0" w:color="auto"/>
            </w:tcBorders>
            <w:shd w:val="clear" w:color="auto" w:fill="FFFFFF" w:themeFill="background1"/>
            <w:hideMark/>
          </w:tcPr>
          <w:p w14:paraId="705D2A7F" w14:textId="77777777" w:rsidR="00294864" w:rsidRPr="00607208" w:rsidRDefault="00294864" w:rsidP="001A566A">
            <w:pPr>
              <w:spacing w:after="0" w:line="240" w:lineRule="auto"/>
              <w:rPr>
                <w:rFonts w:ascii="Calibri" w:eastAsia="Times New Roman" w:hAnsi="Calibri" w:cs="Arial"/>
                <w:b/>
                <w:bCs/>
                <w:color w:val="000000"/>
                <w:lang w:eastAsia="en-IE"/>
              </w:rPr>
            </w:pPr>
            <w:r w:rsidRPr="00607208">
              <w:rPr>
                <w:rFonts w:ascii="Calibri" w:eastAsia="Times New Roman" w:hAnsi="Calibri" w:cs="Arial"/>
                <w:b/>
                <w:bCs/>
                <w:color w:val="000000"/>
                <w:lang w:eastAsia="en-IE"/>
              </w:rPr>
              <w:t>Changes</w:t>
            </w:r>
          </w:p>
        </w:tc>
        <w:tc>
          <w:tcPr>
            <w:tcW w:w="4981" w:type="dxa"/>
            <w:tcBorders>
              <w:top w:val="nil"/>
              <w:left w:val="nil"/>
              <w:bottom w:val="single" w:sz="4" w:space="0" w:color="auto"/>
              <w:right w:val="single" w:sz="4" w:space="0" w:color="auto"/>
            </w:tcBorders>
            <w:shd w:val="clear" w:color="auto" w:fill="FFFFFF" w:themeFill="background1"/>
            <w:hideMark/>
          </w:tcPr>
          <w:p w14:paraId="4134373C" w14:textId="77777777" w:rsidR="00294864" w:rsidRPr="00607208" w:rsidRDefault="00294864" w:rsidP="001A566A">
            <w:pPr>
              <w:spacing w:after="0" w:line="240" w:lineRule="auto"/>
              <w:rPr>
                <w:rFonts w:ascii="Calibri" w:eastAsia="Times New Roman" w:hAnsi="Calibri" w:cs="Arial"/>
                <w:bCs/>
                <w:color w:val="000000"/>
                <w:lang w:eastAsia="en-IE"/>
              </w:rPr>
            </w:pPr>
            <w:r w:rsidRPr="00607208">
              <w:rPr>
                <w:rFonts w:ascii="Calibri" w:eastAsia="Times New Roman" w:hAnsi="Calibri" w:cs="Arial"/>
                <w:bCs/>
                <w:color w:val="000000"/>
                <w:lang w:eastAsia="en-IE"/>
              </w:rPr>
              <w:t>In respect of all information contained in this a</w:t>
            </w:r>
            <w:r>
              <w:rPr>
                <w:rFonts w:ascii="Calibri" w:eastAsia="Times New Roman" w:hAnsi="Calibri" w:cs="Arial"/>
                <w:bCs/>
                <w:color w:val="000000"/>
                <w:lang w:eastAsia="en-IE"/>
              </w:rPr>
              <w:t>pplication</w:t>
            </w:r>
            <w:r w:rsidRPr="00607208">
              <w:rPr>
                <w:rFonts w:ascii="Calibri" w:eastAsia="Times New Roman" w:hAnsi="Calibri" w:cs="Arial"/>
                <w:bCs/>
                <w:color w:val="000000"/>
                <w:lang w:eastAsia="en-IE"/>
              </w:rPr>
              <w:t>, confirmation that there are no changes to information which has been previously notified to the C</w:t>
            </w:r>
            <w:r>
              <w:rPr>
                <w:rFonts w:ascii="Calibri" w:eastAsia="Times New Roman" w:hAnsi="Calibri" w:cs="Arial"/>
                <w:bCs/>
                <w:color w:val="000000"/>
                <w:lang w:eastAsia="en-IE"/>
              </w:rPr>
              <w:t xml:space="preserve">entral </w:t>
            </w:r>
            <w:r w:rsidRPr="00607208">
              <w:rPr>
                <w:rFonts w:ascii="Calibri" w:eastAsia="Times New Roman" w:hAnsi="Calibri" w:cs="Arial"/>
                <w:bCs/>
                <w:color w:val="000000"/>
                <w:lang w:eastAsia="en-IE"/>
              </w:rPr>
              <w:t>B</w:t>
            </w:r>
            <w:r>
              <w:rPr>
                <w:rFonts w:ascii="Calibri" w:eastAsia="Times New Roman" w:hAnsi="Calibri" w:cs="Arial"/>
                <w:bCs/>
                <w:color w:val="000000"/>
                <w:lang w:eastAsia="en-IE"/>
              </w:rPr>
              <w:t>ank</w:t>
            </w:r>
            <w:r w:rsidRPr="00607208">
              <w:rPr>
                <w:rFonts w:ascii="Calibri" w:eastAsia="Times New Roman" w:hAnsi="Calibri" w:cs="Arial"/>
                <w:bCs/>
                <w:color w:val="000000"/>
                <w:lang w:eastAsia="en-IE"/>
              </w:rPr>
              <w:t xml:space="preserve"> including no changes made to the procedures previously notified</w:t>
            </w:r>
          </w:p>
        </w:tc>
        <w:tc>
          <w:tcPr>
            <w:tcW w:w="2066" w:type="dxa"/>
            <w:tcBorders>
              <w:top w:val="nil"/>
              <w:left w:val="nil"/>
              <w:bottom w:val="single" w:sz="4" w:space="0" w:color="auto"/>
              <w:right w:val="single" w:sz="4" w:space="0" w:color="auto"/>
            </w:tcBorders>
            <w:shd w:val="clear" w:color="auto" w:fill="FFFFFF" w:themeFill="background1"/>
          </w:tcPr>
          <w:p w14:paraId="0B37BE42" w14:textId="77777777" w:rsidR="00294864" w:rsidRPr="00607208" w:rsidRDefault="00294864" w:rsidP="001A566A">
            <w:pPr>
              <w:spacing w:after="0" w:line="240" w:lineRule="auto"/>
              <w:rPr>
                <w:rFonts w:ascii="Calibri" w:eastAsia="Times New Roman" w:hAnsi="Calibri" w:cs="Arial"/>
                <w:bCs/>
                <w:color w:val="000000"/>
                <w:lang w:eastAsia="en-IE"/>
              </w:rPr>
            </w:pPr>
          </w:p>
        </w:tc>
      </w:tr>
    </w:tbl>
    <w:p w14:paraId="06F7C399" w14:textId="4276C98E" w:rsidR="00294864" w:rsidRDefault="00294864" w:rsidP="00294864"/>
    <w:p w14:paraId="621F1C02" w14:textId="5E82673F" w:rsidR="0023260A" w:rsidRDefault="0023260A" w:rsidP="00294864"/>
    <w:p w14:paraId="4BBFB2A7" w14:textId="1435978C" w:rsidR="0023260A" w:rsidRDefault="0023260A" w:rsidP="00294864"/>
    <w:p w14:paraId="0C90F87B" w14:textId="58BE6C0C" w:rsidR="00294864" w:rsidRDefault="00294864" w:rsidP="00294864"/>
    <w:p w14:paraId="1C43F60F" w14:textId="76434DED" w:rsidR="009512FC" w:rsidRDefault="009512FC" w:rsidP="00294864"/>
    <w:p w14:paraId="0F116AF2" w14:textId="2A40847B" w:rsidR="009512FC" w:rsidRDefault="009512FC" w:rsidP="00294864"/>
    <w:p w14:paraId="08272FDD" w14:textId="6263E835" w:rsidR="009512FC" w:rsidRDefault="009512FC" w:rsidP="00294864"/>
    <w:p w14:paraId="2DD01890" w14:textId="234B27F4" w:rsidR="009512FC" w:rsidRDefault="009512FC" w:rsidP="00294864"/>
    <w:p w14:paraId="154874BD" w14:textId="17B339E0" w:rsidR="009512FC" w:rsidRDefault="009512FC" w:rsidP="00294864"/>
    <w:p w14:paraId="51BFF73A" w14:textId="4C7C5665" w:rsidR="009512FC" w:rsidRDefault="009512FC" w:rsidP="00294864"/>
    <w:p w14:paraId="590B30DD" w14:textId="1D5E75C3" w:rsidR="009512FC" w:rsidRDefault="009512FC" w:rsidP="00294864"/>
    <w:p w14:paraId="4BD88DC2" w14:textId="4DC33619" w:rsidR="009512FC" w:rsidRDefault="009512FC" w:rsidP="00294864"/>
    <w:p w14:paraId="54FF4921" w14:textId="60A54DFA" w:rsidR="009512FC" w:rsidRDefault="009512FC" w:rsidP="00294864"/>
    <w:p w14:paraId="40AD6B9A" w14:textId="5805CF7B" w:rsidR="009512FC" w:rsidRDefault="009512FC" w:rsidP="00294864"/>
    <w:p w14:paraId="71F58808" w14:textId="2CC20F93" w:rsidR="009512FC" w:rsidRDefault="009512FC" w:rsidP="00294864"/>
    <w:p w14:paraId="2BDC488E" w14:textId="3CD8345F" w:rsidR="009512FC" w:rsidRDefault="009512FC" w:rsidP="00294864"/>
    <w:p w14:paraId="4D5DF09C" w14:textId="27E4712E" w:rsidR="009512FC" w:rsidRDefault="009512FC" w:rsidP="00294864"/>
    <w:p w14:paraId="01D6C9C1" w14:textId="2806B500" w:rsidR="009512FC" w:rsidRDefault="009512FC" w:rsidP="00294864"/>
    <w:p w14:paraId="245A8A36" w14:textId="4074EF7E" w:rsidR="009512FC" w:rsidRDefault="009512FC" w:rsidP="00294864"/>
    <w:p w14:paraId="61147F40" w14:textId="6A62A937" w:rsidR="009512FC" w:rsidRDefault="009512FC" w:rsidP="00294864"/>
    <w:p w14:paraId="6602A38E" w14:textId="0E49731A" w:rsidR="009512FC" w:rsidRDefault="009512FC" w:rsidP="00294864"/>
    <w:p w14:paraId="32D1713B" w14:textId="27F1B489" w:rsidR="009512FC" w:rsidRDefault="009512FC" w:rsidP="00294864"/>
    <w:p w14:paraId="7EA7A5E9" w14:textId="77777777" w:rsidR="009512FC" w:rsidRDefault="009512FC" w:rsidP="0029486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294864" w:rsidRPr="007173DC" w14:paraId="7F64DF11" w14:textId="77777777" w:rsidTr="001A566A">
        <w:trPr>
          <w:trHeight w:val="699"/>
        </w:trPr>
        <w:tc>
          <w:tcPr>
            <w:tcW w:w="9498" w:type="dxa"/>
            <w:shd w:val="clear" w:color="auto" w:fill="DBE5F1" w:themeFill="accent1" w:themeFillTint="33"/>
          </w:tcPr>
          <w:p w14:paraId="30992D20" w14:textId="77777777" w:rsidR="00294864" w:rsidRPr="006D3365" w:rsidRDefault="00294864" w:rsidP="001A566A">
            <w:pPr>
              <w:spacing w:before="240" w:after="120"/>
              <w:jc w:val="center"/>
              <w:rPr>
                <w:b/>
                <w:lang w:val="en-GB"/>
              </w:rPr>
            </w:pPr>
            <w:r w:rsidRPr="006D3365">
              <w:rPr>
                <w:rFonts w:ascii="Calibri" w:eastAsia="MS PGothic" w:hAnsi="Calibri" w:cs="Times New Roman"/>
                <w:b/>
                <w:color w:val="1F497D" w:themeColor="text2"/>
                <w:sz w:val="28"/>
                <w:lang w:val="en-GB"/>
              </w:rPr>
              <w:t>Declaration</w:t>
            </w:r>
          </w:p>
        </w:tc>
      </w:tr>
    </w:tbl>
    <w:p w14:paraId="5BCE8317" w14:textId="77777777" w:rsidR="00294864" w:rsidRPr="007173DC" w:rsidRDefault="00294864" w:rsidP="00294864">
      <w:pPr>
        <w:rPr>
          <w:b/>
          <w:lang w:val="en-GB"/>
        </w:rPr>
      </w:pPr>
    </w:p>
    <w:p w14:paraId="1C87E332" w14:textId="54618BE7" w:rsidR="00294864" w:rsidRPr="00A071DF" w:rsidRDefault="00294864" w:rsidP="00294864">
      <w:pPr>
        <w:spacing w:after="0" w:line="360" w:lineRule="auto"/>
        <w:jc w:val="both"/>
        <w:rPr>
          <w:lang w:val="en-GB"/>
        </w:rPr>
      </w:pPr>
      <w:r w:rsidRPr="007D44DE">
        <w:rPr>
          <w:b/>
          <w:iCs/>
          <w:color w:val="000000" w:themeColor="text1"/>
          <w:lang w:val="en-GB"/>
        </w:rPr>
        <w:t>[Insert full legal name of applicant]</w:t>
      </w:r>
      <w:r w:rsidRPr="007D44DE">
        <w:rPr>
          <w:iCs/>
          <w:color w:val="000000" w:themeColor="text1"/>
          <w:lang w:val="en-GB"/>
        </w:rPr>
        <w:t xml:space="preserve"> </w:t>
      </w:r>
      <w:r w:rsidRPr="007D44DE">
        <w:rPr>
          <w:color w:val="000000" w:themeColor="text1"/>
          <w:lang w:val="en-GB"/>
        </w:rPr>
        <w:t xml:space="preserve">applies for the </w:t>
      </w:r>
      <w:r w:rsidRPr="007D44DE">
        <w:rPr>
          <w:lang w:val="en-GB"/>
        </w:rPr>
        <w:t>registration of [</w:t>
      </w:r>
      <w:r w:rsidRPr="007D44DE">
        <w:rPr>
          <w:b/>
          <w:lang w:val="en-GB"/>
        </w:rPr>
        <w:t>insert full legal name of proposed agent</w:t>
      </w:r>
      <w:r>
        <w:rPr>
          <w:b/>
          <w:lang w:val="en-GB"/>
        </w:rPr>
        <w:t>(</w:t>
      </w:r>
      <w:r w:rsidRPr="007D44DE">
        <w:rPr>
          <w:b/>
          <w:lang w:val="en-GB"/>
        </w:rPr>
        <w:t>s</w:t>
      </w:r>
      <w:r>
        <w:rPr>
          <w:b/>
          <w:lang w:val="en-GB"/>
        </w:rPr>
        <w:t>)]</w:t>
      </w:r>
      <w:r w:rsidRPr="007D44DE">
        <w:rPr>
          <w:lang w:val="en-GB"/>
        </w:rPr>
        <w:t xml:space="preserve"> as an agent under </w:t>
      </w:r>
      <w:r w:rsidRPr="00A071DF">
        <w:rPr>
          <w:lang w:val="en-GB"/>
        </w:rPr>
        <w:t>Regulation 3</w:t>
      </w:r>
      <w:r w:rsidR="008D3B68">
        <w:rPr>
          <w:lang w:val="en-GB"/>
        </w:rPr>
        <w:t>0</w:t>
      </w:r>
      <w:r w:rsidRPr="00A071DF">
        <w:rPr>
          <w:lang w:val="en-GB"/>
        </w:rPr>
        <w:t xml:space="preserve"> of the European Union (Payment Services) Regulations 2018</w:t>
      </w:r>
      <w:r w:rsidR="00DA24E4">
        <w:rPr>
          <w:lang w:val="en-GB"/>
        </w:rPr>
        <w:t xml:space="preserve"> </w:t>
      </w:r>
      <w:r w:rsidR="00DA24E4" w:rsidRPr="00DA24E4">
        <w:rPr>
          <w:lang w:val="en-GB"/>
        </w:rPr>
        <w:t>or under Re</w:t>
      </w:r>
      <w:r w:rsidR="00DA24E4">
        <w:rPr>
          <w:lang w:val="en-GB"/>
        </w:rPr>
        <w:t>gulation 21</w:t>
      </w:r>
      <w:r w:rsidR="00DA24E4" w:rsidRPr="00DA24E4">
        <w:rPr>
          <w:lang w:val="en-GB"/>
        </w:rPr>
        <w:t xml:space="preserve"> of the European Communities (Electronic Money) Regulations 2011 (as amended)</w:t>
      </w:r>
      <w:r w:rsidRPr="00A071DF">
        <w:rPr>
          <w:lang w:val="en-GB"/>
        </w:rPr>
        <w:t>, on the basis of information supplied with this application and any additional information supplied to the Central Bank in the course of the application process.</w:t>
      </w:r>
    </w:p>
    <w:p w14:paraId="2423C6D7" w14:textId="77777777" w:rsidR="00294864" w:rsidRPr="00A071DF" w:rsidRDefault="00294864" w:rsidP="00294864">
      <w:pPr>
        <w:spacing w:after="0" w:line="360" w:lineRule="auto"/>
        <w:jc w:val="both"/>
        <w:rPr>
          <w:lang w:val="en-GB"/>
        </w:rPr>
      </w:pPr>
    </w:p>
    <w:p w14:paraId="0B8FD923" w14:textId="77777777" w:rsidR="00294864" w:rsidRPr="00A071DF" w:rsidRDefault="00294864" w:rsidP="00294864">
      <w:pPr>
        <w:spacing w:after="0" w:line="360" w:lineRule="auto"/>
        <w:jc w:val="both"/>
        <w:rPr>
          <w:lang w:val="en-GB"/>
        </w:rPr>
      </w:pPr>
      <w:r w:rsidRPr="00A071DF">
        <w:rPr>
          <w:lang w:val="en-GB"/>
        </w:rPr>
        <w:t>I/We acknowledge that the Central Bank may disclose information in the performance of its statutory functions or otherwise as may be specifically authorised by law.</w:t>
      </w:r>
    </w:p>
    <w:p w14:paraId="2889BB94" w14:textId="77777777" w:rsidR="00294864" w:rsidRPr="00A071DF" w:rsidRDefault="00294864" w:rsidP="00294864">
      <w:pPr>
        <w:spacing w:after="0" w:line="360" w:lineRule="auto"/>
        <w:jc w:val="both"/>
        <w:rPr>
          <w:lang w:val="en-GB"/>
        </w:rPr>
      </w:pPr>
    </w:p>
    <w:p w14:paraId="46EDE885" w14:textId="0E22208E" w:rsidR="00294864" w:rsidRPr="00CB1AD4" w:rsidRDefault="00294864" w:rsidP="00294864">
      <w:pPr>
        <w:spacing w:after="0" w:line="360" w:lineRule="auto"/>
        <w:jc w:val="both"/>
        <w:rPr>
          <w:bCs/>
          <w:color w:val="000000"/>
        </w:rPr>
      </w:pPr>
      <w:r w:rsidRPr="00A071DF">
        <w:rPr>
          <w:bCs/>
          <w:color w:val="000000"/>
        </w:rPr>
        <w:t xml:space="preserve">I/We acknowledge that the applicant’s anti-money laundering </w:t>
      </w:r>
      <w:r w:rsidR="00B4258D" w:rsidRPr="00A071DF">
        <w:rPr>
          <w:bCs/>
          <w:color w:val="000000"/>
        </w:rPr>
        <w:t xml:space="preserve">and countering the finance of terrorism (AML/CFT) </w:t>
      </w:r>
      <w:r w:rsidRPr="00A071DF">
        <w:rPr>
          <w:bCs/>
          <w:color w:val="000000"/>
        </w:rPr>
        <w:t xml:space="preserve">controls have been formulated to comply in full with the </w:t>
      </w:r>
      <w:r w:rsidR="00B4258D" w:rsidRPr="00A071DF">
        <w:rPr>
          <w:bCs/>
          <w:color w:val="000000"/>
        </w:rPr>
        <w:t>relevant Irish and EU legislation</w:t>
      </w:r>
      <w:r w:rsidR="00B4258D">
        <w:rPr>
          <w:bCs/>
          <w:color w:val="000000"/>
        </w:rPr>
        <w:t xml:space="preserve"> </w:t>
      </w:r>
      <w:r w:rsidRPr="002E31F7">
        <w:rPr>
          <w:rFonts w:cs="Arial"/>
        </w:rPr>
        <w:t>a</w:t>
      </w:r>
      <w:r w:rsidRPr="002E31F7">
        <w:rPr>
          <w:bCs/>
          <w:color w:val="000000"/>
        </w:rPr>
        <w:t xml:space="preserve">nd that </w:t>
      </w:r>
      <w:r w:rsidRPr="00FF099B">
        <w:rPr>
          <w:bCs/>
          <w:color w:val="000000"/>
        </w:rPr>
        <w:t>we shall review and amend these controls in due course and on an on-going basis to ensure they comply with all relevant legislation and applicable codes of practice.</w:t>
      </w:r>
    </w:p>
    <w:p w14:paraId="2FFE024C" w14:textId="77777777" w:rsidR="00294864" w:rsidRDefault="00294864" w:rsidP="00294864">
      <w:pPr>
        <w:spacing w:after="0" w:line="360" w:lineRule="auto"/>
        <w:jc w:val="both"/>
        <w:rPr>
          <w:bCs/>
          <w:lang w:val="en-GB"/>
        </w:rPr>
      </w:pPr>
    </w:p>
    <w:p w14:paraId="3EAAD821" w14:textId="77777777" w:rsidR="00294864" w:rsidRDefault="00294864" w:rsidP="00294864">
      <w:pPr>
        <w:spacing w:after="0" w:line="360" w:lineRule="auto"/>
        <w:jc w:val="both"/>
        <w:rPr>
          <w:bCs/>
          <w:lang w:val="en-GB"/>
        </w:rPr>
      </w:pPr>
      <w:r>
        <w:rPr>
          <w:bCs/>
          <w:lang w:val="en-GB"/>
        </w:rPr>
        <w:t>I/</w:t>
      </w:r>
      <w:r w:rsidRPr="006D3365">
        <w:rPr>
          <w:bCs/>
          <w:lang w:val="en-GB"/>
        </w:rPr>
        <w:t xml:space="preserve">We warrant that </w:t>
      </w:r>
      <w:r>
        <w:rPr>
          <w:bCs/>
          <w:lang w:val="en-GB"/>
        </w:rPr>
        <w:t>I/</w:t>
      </w:r>
      <w:r w:rsidRPr="006D3365">
        <w:rPr>
          <w:bCs/>
          <w:lang w:val="en-GB"/>
        </w:rPr>
        <w:t xml:space="preserve">we have truthfully and fully answered the relevant questions in this </w:t>
      </w:r>
      <w:r>
        <w:rPr>
          <w:bCs/>
          <w:lang w:val="en-GB"/>
        </w:rPr>
        <w:t>Notification</w:t>
      </w:r>
      <w:r w:rsidRPr="006D3365">
        <w:rPr>
          <w:bCs/>
          <w:lang w:val="en-GB"/>
        </w:rPr>
        <w:t xml:space="preserve"> </w:t>
      </w:r>
      <w:r>
        <w:rPr>
          <w:bCs/>
          <w:lang w:val="en-GB"/>
        </w:rPr>
        <w:t>F</w:t>
      </w:r>
      <w:r w:rsidRPr="006D3365">
        <w:rPr>
          <w:bCs/>
          <w:lang w:val="en-GB"/>
        </w:rPr>
        <w:t>orm and disclosed any other information which might reasonably be considered relevant for the purpose of the application.</w:t>
      </w:r>
    </w:p>
    <w:p w14:paraId="3B323E82" w14:textId="77777777" w:rsidR="00294864" w:rsidRPr="006D3365" w:rsidRDefault="00294864" w:rsidP="00294864">
      <w:pPr>
        <w:spacing w:after="0" w:line="360" w:lineRule="auto"/>
        <w:jc w:val="both"/>
        <w:rPr>
          <w:bCs/>
          <w:lang w:val="en-GB"/>
        </w:rPr>
      </w:pPr>
    </w:p>
    <w:p w14:paraId="1194D6DF" w14:textId="6E8AE05E" w:rsidR="00294864" w:rsidRDefault="00294864" w:rsidP="00294864">
      <w:pPr>
        <w:spacing w:after="0" w:line="360" w:lineRule="auto"/>
        <w:jc w:val="both"/>
        <w:rPr>
          <w:bCs/>
          <w:lang w:val="en-GB"/>
        </w:rPr>
      </w:pPr>
      <w:r>
        <w:rPr>
          <w:bCs/>
          <w:lang w:val="en-GB"/>
        </w:rPr>
        <w:t>I/</w:t>
      </w:r>
      <w:r w:rsidRPr="006D3365">
        <w:rPr>
          <w:bCs/>
          <w:lang w:val="en-GB"/>
        </w:rPr>
        <w:t xml:space="preserve">We warrant that </w:t>
      </w:r>
      <w:r w:rsidR="0055478F">
        <w:rPr>
          <w:bCs/>
          <w:lang w:val="en-GB"/>
        </w:rPr>
        <w:t>I/</w:t>
      </w:r>
      <w:r w:rsidRPr="006D3365">
        <w:rPr>
          <w:bCs/>
          <w:lang w:val="en-GB"/>
        </w:rPr>
        <w:t xml:space="preserve">we will promptly notify the Central Bank of any changes in the information we have provided and supply any other relevant information which may come to light in the period during which the application is being considered and, </w:t>
      </w:r>
      <w:r w:rsidR="00FE3687">
        <w:rPr>
          <w:bCs/>
          <w:lang w:val="en-GB"/>
        </w:rPr>
        <w:t xml:space="preserve">where </w:t>
      </w:r>
      <w:r w:rsidRPr="006D3365">
        <w:rPr>
          <w:bCs/>
          <w:lang w:val="en-GB"/>
        </w:rPr>
        <w:t>the application is accepted, thereafter.</w:t>
      </w:r>
    </w:p>
    <w:p w14:paraId="1603F418" w14:textId="77777777" w:rsidR="00294864" w:rsidRPr="006D3365" w:rsidRDefault="00294864" w:rsidP="00294864">
      <w:pPr>
        <w:spacing w:after="0" w:line="360" w:lineRule="auto"/>
        <w:jc w:val="both"/>
        <w:rPr>
          <w:bCs/>
          <w:lang w:val="en-GB"/>
        </w:rPr>
      </w:pPr>
    </w:p>
    <w:p w14:paraId="30B7F058" w14:textId="0DFD0744" w:rsidR="00294864" w:rsidRDefault="00294864" w:rsidP="00294864">
      <w:pPr>
        <w:spacing w:after="0" w:line="360" w:lineRule="auto"/>
        <w:jc w:val="both"/>
        <w:rPr>
          <w:b/>
          <w:bCs/>
          <w:lang w:val="en-GB"/>
        </w:rPr>
      </w:pPr>
      <w:r>
        <w:rPr>
          <w:bCs/>
          <w:lang w:val="en-GB"/>
        </w:rPr>
        <w:t>I/</w:t>
      </w:r>
      <w:r w:rsidRPr="006D3365">
        <w:rPr>
          <w:bCs/>
          <w:lang w:val="en-GB"/>
        </w:rPr>
        <w:t xml:space="preserve">We warrant that </w:t>
      </w:r>
      <w:r w:rsidR="0055478F">
        <w:rPr>
          <w:bCs/>
          <w:lang w:val="en-GB"/>
        </w:rPr>
        <w:t>I/</w:t>
      </w:r>
      <w:r w:rsidRPr="006D3365">
        <w:rPr>
          <w:bCs/>
          <w:lang w:val="en-GB"/>
        </w:rPr>
        <w:t xml:space="preserve">we </w:t>
      </w:r>
      <w:r w:rsidR="0055478F">
        <w:rPr>
          <w:bCs/>
          <w:lang w:val="en-GB"/>
        </w:rPr>
        <w:t>am/</w:t>
      </w:r>
      <w:r w:rsidRPr="006D3365">
        <w:rPr>
          <w:bCs/>
          <w:lang w:val="en-GB"/>
        </w:rPr>
        <w:t xml:space="preserve">are authorised to make this application for </w:t>
      </w:r>
      <w:r>
        <w:rPr>
          <w:bCs/>
          <w:lang w:val="en-GB"/>
        </w:rPr>
        <w:t xml:space="preserve">registration </w:t>
      </w:r>
      <w:r w:rsidRPr="006D3365">
        <w:rPr>
          <w:bCs/>
          <w:lang w:val="en-GB"/>
        </w:rPr>
        <w:t>on behalf</w:t>
      </w:r>
      <w:r>
        <w:rPr>
          <w:bCs/>
          <w:lang w:val="en-GB"/>
        </w:rPr>
        <w:t xml:space="preserve"> of</w:t>
      </w:r>
      <w:r w:rsidRPr="006D3365">
        <w:rPr>
          <w:bCs/>
          <w:lang w:val="en-GB"/>
        </w:rPr>
        <w:t xml:space="preserve"> </w:t>
      </w:r>
      <w:r w:rsidRPr="006D3365">
        <w:rPr>
          <w:b/>
          <w:bCs/>
          <w:lang w:val="en-GB"/>
        </w:rPr>
        <w:t>[</w:t>
      </w:r>
      <w:r w:rsidRPr="006D3365">
        <w:rPr>
          <w:b/>
          <w:bCs/>
          <w:i/>
          <w:lang w:val="en-GB"/>
        </w:rPr>
        <w:t xml:space="preserve">insert </w:t>
      </w:r>
      <w:r>
        <w:rPr>
          <w:b/>
          <w:bCs/>
          <w:i/>
          <w:lang w:val="en-GB"/>
        </w:rPr>
        <w:t xml:space="preserve">full legal </w:t>
      </w:r>
      <w:r w:rsidRPr="006D3365">
        <w:rPr>
          <w:b/>
          <w:bCs/>
          <w:i/>
          <w:lang w:val="en-GB"/>
        </w:rPr>
        <w:t>name of applicant</w:t>
      </w:r>
      <w:r w:rsidRPr="006D3365">
        <w:rPr>
          <w:b/>
          <w:bCs/>
          <w:lang w:val="en-GB"/>
        </w:rPr>
        <w:t>].</w:t>
      </w:r>
    </w:p>
    <w:p w14:paraId="1B8C3F94" w14:textId="77777777" w:rsidR="00294864" w:rsidRDefault="00294864" w:rsidP="00294864">
      <w:pPr>
        <w:spacing w:after="0" w:line="360" w:lineRule="auto"/>
        <w:jc w:val="both"/>
        <w:rPr>
          <w:b/>
          <w:bCs/>
          <w:lang w:val="en-GB"/>
        </w:rPr>
      </w:pPr>
    </w:p>
    <w:p w14:paraId="6E6FE1E9" w14:textId="77777777" w:rsidR="00294864" w:rsidRDefault="00294864" w:rsidP="00294864">
      <w:pPr>
        <w:spacing w:after="0" w:line="360" w:lineRule="auto"/>
        <w:jc w:val="both"/>
        <w:rPr>
          <w:b/>
          <w:bCs/>
          <w:lang w:val="en-GB"/>
        </w:rPr>
      </w:pPr>
    </w:p>
    <w:p w14:paraId="553A9CFB" w14:textId="759B4816" w:rsidR="00294864" w:rsidRDefault="00294864" w:rsidP="00294864">
      <w:pPr>
        <w:spacing w:after="0" w:line="360" w:lineRule="auto"/>
        <w:jc w:val="both"/>
        <w:rPr>
          <w:b/>
          <w:bCs/>
          <w:lang w:val="en-GB"/>
        </w:rPr>
      </w:pPr>
    </w:p>
    <w:p w14:paraId="61296090" w14:textId="77777777" w:rsidR="008D3B68" w:rsidRDefault="008D3B68" w:rsidP="00294864">
      <w:pPr>
        <w:spacing w:after="0" w:line="360" w:lineRule="auto"/>
        <w:jc w:val="both"/>
        <w:rPr>
          <w:b/>
          <w:bCs/>
          <w:lang w:val="en-GB"/>
        </w:rPr>
      </w:pPr>
    </w:p>
    <w:p w14:paraId="44A53468" w14:textId="77777777" w:rsidR="00294864" w:rsidRDefault="00294864" w:rsidP="00294864">
      <w:pPr>
        <w:spacing w:after="0" w:line="360" w:lineRule="auto"/>
        <w:jc w:val="both"/>
        <w:rPr>
          <w:b/>
          <w:bCs/>
          <w:lang w:val="en-GB"/>
        </w:rPr>
      </w:pPr>
    </w:p>
    <w:p w14:paraId="10D850DA" w14:textId="4E47AB78" w:rsidR="00294864" w:rsidRDefault="00294864" w:rsidP="00294864">
      <w:pPr>
        <w:spacing w:after="0" w:line="360" w:lineRule="auto"/>
        <w:jc w:val="both"/>
        <w:rPr>
          <w:b/>
          <w:bCs/>
          <w:lang w:val="en-GB"/>
        </w:rPr>
      </w:pPr>
    </w:p>
    <w:p w14:paraId="2E8A0A2A" w14:textId="77777777" w:rsidR="00B4258D" w:rsidRDefault="00B4258D" w:rsidP="00294864">
      <w:pPr>
        <w:spacing w:after="0" w:line="360" w:lineRule="auto"/>
        <w:jc w:val="both"/>
        <w:rPr>
          <w:b/>
          <w:bCs/>
          <w:lang w:val="en-GB"/>
        </w:rPr>
      </w:pPr>
    </w:p>
    <w:p w14:paraId="55A27138" w14:textId="77777777" w:rsidR="00294864" w:rsidRPr="006D3365" w:rsidRDefault="00294864" w:rsidP="00294864">
      <w:pPr>
        <w:spacing w:after="0" w:line="360" w:lineRule="auto"/>
        <w:jc w:val="both"/>
        <w:rPr>
          <w:b/>
          <w:bCs/>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294864" w:rsidRPr="007173DC" w14:paraId="115477AB" w14:textId="77777777" w:rsidTr="001A566A">
        <w:trPr>
          <w:trHeight w:val="423"/>
        </w:trPr>
        <w:tc>
          <w:tcPr>
            <w:tcW w:w="2122" w:type="dxa"/>
            <w:shd w:val="clear" w:color="auto" w:fill="D9D9D9" w:themeFill="background1" w:themeFillShade="D9"/>
          </w:tcPr>
          <w:p w14:paraId="53DE49C2" w14:textId="77777777" w:rsidR="00294864" w:rsidRPr="006D3365" w:rsidRDefault="00294864" w:rsidP="001A566A">
            <w:pPr>
              <w:jc w:val="both"/>
              <w:rPr>
                <w:b/>
                <w:lang w:val="en-GB"/>
              </w:rPr>
            </w:pPr>
            <w:r w:rsidRPr="006D3365">
              <w:rPr>
                <w:b/>
                <w:lang w:val="en-GB"/>
              </w:rPr>
              <w:t>For and on behalf of:</w:t>
            </w:r>
          </w:p>
        </w:tc>
        <w:tc>
          <w:tcPr>
            <w:tcW w:w="6478" w:type="dxa"/>
          </w:tcPr>
          <w:p w14:paraId="11C07E35" w14:textId="77777777" w:rsidR="00294864" w:rsidRDefault="00294864" w:rsidP="001A566A">
            <w:pPr>
              <w:jc w:val="both"/>
              <w:rPr>
                <w:b/>
                <w:lang w:val="en-GB"/>
              </w:rPr>
            </w:pPr>
            <w:r>
              <w:rPr>
                <w:b/>
                <w:lang w:val="en-GB"/>
              </w:rPr>
              <w:t>[insert full legal name of applicant]</w:t>
            </w:r>
          </w:p>
          <w:p w14:paraId="20B66BDB" w14:textId="77777777" w:rsidR="00294864" w:rsidRPr="006D3365" w:rsidRDefault="00294864" w:rsidP="001A566A">
            <w:pPr>
              <w:jc w:val="both"/>
              <w:rPr>
                <w:b/>
                <w:lang w:val="en-GB"/>
              </w:rPr>
            </w:pPr>
          </w:p>
        </w:tc>
      </w:tr>
      <w:tr w:rsidR="00294864" w:rsidRPr="007173DC" w14:paraId="1EE6FA5E" w14:textId="77777777" w:rsidTr="001A566A">
        <w:trPr>
          <w:trHeight w:val="1971"/>
        </w:trPr>
        <w:tc>
          <w:tcPr>
            <w:tcW w:w="2122" w:type="dxa"/>
            <w:shd w:val="clear" w:color="auto" w:fill="D9D9D9" w:themeFill="background1" w:themeFillShade="D9"/>
          </w:tcPr>
          <w:p w14:paraId="707F9D0E" w14:textId="77777777" w:rsidR="00294864" w:rsidRPr="007173DC" w:rsidRDefault="00294864" w:rsidP="001A566A">
            <w:pPr>
              <w:jc w:val="both"/>
              <w:rPr>
                <w:b/>
                <w:lang w:val="en-GB"/>
              </w:rPr>
            </w:pPr>
            <w:r w:rsidRPr="007173DC">
              <w:rPr>
                <w:b/>
                <w:lang w:val="en-GB"/>
              </w:rPr>
              <w:t>Name (Printed):</w:t>
            </w:r>
          </w:p>
          <w:p w14:paraId="6AB91C4B" w14:textId="77777777" w:rsidR="00294864" w:rsidRPr="006D3365" w:rsidRDefault="00294864" w:rsidP="001A566A">
            <w:pPr>
              <w:jc w:val="both"/>
              <w:rPr>
                <w:b/>
                <w:lang w:val="en-GB"/>
              </w:rPr>
            </w:pPr>
            <w:r w:rsidRPr="006D3365">
              <w:rPr>
                <w:b/>
                <w:lang w:val="en-GB"/>
              </w:rPr>
              <w:t>Title:</w:t>
            </w:r>
          </w:p>
          <w:p w14:paraId="5A7F4CF9" w14:textId="77777777" w:rsidR="00294864" w:rsidRPr="006D3365" w:rsidRDefault="00294864" w:rsidP="001A566A">
            <w:pPr>
              <w:jc w:val="both"/>
              <w:rPr>
                <w:b/>
                <w:lang w:val="en-GB"/>
              </w:rPr>
            </w:pPr>
          </w:p>
          <w:p w14:paraId="60B8E397" w14:textId="77777777" w:rsidR="00294864" w:rsidRPr="006D3365" w:rsidRDefault="00294864" w:rsidP="001A566A">
            <w:pPr>
              <w:jc w:val="both"/>
              <w:rPr>
                <w:b/>
                <w:lang w:val="en-GB"/>
              </w:rPr>
            </w:pPr>
            <w:r w:rsidRPr="006D3365">
              <w:rPr>
                <w:b/>
                <w:lang w:val="en-GB"/>
              </w:rPr>
              <w:t>Signature:</w:t>
            </w:r>
          </w:p>
          <w:p w14:paraId="300010B7" w14:textId="77777777" w:rsidR="00294864" w:rsidRPr="006D3365" w:rsidRDefault="00294864" w:rsidP="001A566A">
            <w:pPr>
              <w:jc w:val="both"/>
              <w:rPr>
                <w:b/>
                <w:lang w:val="en-GB"/>
              </w:rPr>
            </w:pPr>
            <w:r w:rsidRPr="006D3365">
              <w:rPr>
                <w:b/>
                <w:lang w:val="en-GB"/>
              </w:rPr>
              <w:t>Date:</w:t>
            </w:r>
          </w:p>
        </w:tc>
        <w:tc>
          <w:tcPr>
            <w:tcW w:w="6478" w:type="dxa"/>
          </w:tcPr>
          <w:p w14:paraId="0D8E15CC" w14:textId="77777777" w:rsidR="00294864" w:rsidRPr="006D3365" w:rsidRDefault="00294864" w:rsidP="001A566A">
            <w:pPr>
              <w:jc w:val="both"/>
              <w:rPr>
                <w:b/>
                <w:lang w:val="en-GB"/>
              </w:rPr>
            </w:pPr>
          </w:p>
        </w:tc>
      </w:tr>
      <w:tr w:rsidR="00294864" w:rsidRPr="007173DC" w14:paraId="23C35364" w14:textId="77777777" w:rsidTr="001A566A">
        <w:trPr>
          <w:trHeight w:val="416"/>
        </w:trPr>
        <w:tc>
          <w:tcPr>
            <w:tcW w:w="2122" w:type="dxa"/>
            <w:shd w:val="clear" w:color="auto" w:fill="D9D9D9" w:themeFill="background1" w:themeFillShade="D9"/>
          </w:tcPr>
          <w:p w14:paraId="1E1FB806" w14:textId="77777777" w:rsidR="00294864" w:rsidRPr="007173DC" w:rsidRDefault="00294864" w:rsidP="001A566A">
            <w:pPr>
              <w:jc w:val="both"/>
              <w:rPr>
                <w:b/>
                <w:lang w:val="en-GB"/>
              </w:rPr>
            </w:pPr>
            <w:r w:rsidRPr="007173DC">
              <w:rPr>
                <w:b/>
                <w:lang w:val="en-GB"/>
              </w:rPr>
              <w:t>Name (Printed):</w:t>
            </w:r>
          </w:p>
          <w:p w14:paraId="41E389C8" w14:textId="77777777" w:rsidR="00294864" w:rsidRPr="006D3365" w:rsidRDefault="00294864" w:rsidP="001A566A">
            <w:pPr>
              <w:jc w:val="both"/>
              <w:rPr>
                <w:b/>
                <w:lang w:val="en-GB"/>
              </w:rPr>
            </w:pPr>
            <w:r w:rsidRPr="006D3365">
              <w:rPr>
                <w:b/>
                <w:lang w:val="en-GB"/>
              </w:rPr>
              <w:t>Title:</w:t>
            </w:r>
          </w:p>
          <w:p w14:paraId="5129A20F" w14:textId="77777777" w:rsidR="00294864" w:rsidRPr="006D3365" w:rsidRDefault="00294864" w:rsidP="001A566A">
            <w:pPr>
              <w:jc w:val="both"/>
              <w:rPr>
                <w:b/>
                <w:lang w:val="en-GB"/>
              </w:rPr>
            </w:pPr>
          </w:p>
          <w:p w14:paraId="453B0293" w14:textId="77777777" w:rsidR="00294864" w:rsidRPr="006D3365" w:rsidRDefault="00294864" w:rsidP="001A566A">
            <w:pPr>
              <w:jc w:val="both"/>
              <w:rPr>
                <w:b/>
                <w:lang w:val="en-GB"/>
              </w:rPr>
            </w:pPr>
            <w:r w:rsidRPr="006D3365">
              <w:rPr>
                <w:b/>
                <w:lang w:val="en-GB"/>
              </w:rPr>
              <w:t>Signature:</w:t>
            </w:r>
          </w:p>
          <w:p w14:paraId="03DE952D" w14:textId="77777777" w:rsidR="00294864" w:rsidRPr="006D3365" w:rsidRDefault="00294864" w:rsidP="001A566A">
            <w:pPr>
              <w:jc w:val="both"/>
              <w:rPr>
                <w:b/>
                <w:lang w:val="en-GB"/>
              </w:rPr>
            </w:pPr>
            <w:r w:rsidRPr="006D3365">
              <w:rPr>
                <w:b/>
                <w:lang w:val="en-GB"/>
              </w:rPr>
              <w:t>Date:</w:t>
            </w:r>
          </w:p>
          <w:p w14:paraId="0D0D95AD" w14:textId="77777777" w:rsidR="00294864" w:rsidRPr="006D3365" w:rsidRDefault="00294864" w:rsidP="001A566A">
            <w:pPr>
              <w:jc w:val="both"/>
              <w:rPr>
                <w:b/>
                <w:lang w:val="en-GB"/>
              </w:rPr>
            </w:pPr>
          </w:p>
        </w:tc>
        <w:tc>
          <w:tcPr>
            <w:tcW w:w="6478" w:type="dxa"/>
          </w:tcPr>
          <w:p w14:paraId="5D33B569" w14:textId="77777777" w:rsidR="00294864" w:rsidRPr="006D3365" w:rsidRDefault="00294864" w:rsidP="001A566A">
            <w:pPr>
              <w:jc w:val="both"/>
              <w:rPr>
                <w:b/>
                <w:lang w:val="en-GB"/>
              </w:rPr>
            </w:pPr>
          </w:p>
        </w:tc>
      </w:tr>
      <w:tr w:rsidR="00294864" w:rsidRPr="007173DC" w14:paraId="463C09FB" w14:textId="77777777" w:rsidTr="001A566A">
        <w:trPr>
          <w:trHeight w:val="509"/>
        </w:trPr>
        <w:tc>
          <w:tcPr>
            <w:tcW w:w="8600" w:type="dxa"/>
            <w:gridSpan w:val="2"/>
          </w:tcPr>
          <w:p w14:paraId="1762D96E" w14:textId="77777777" w:rsidR="00294864" w:rsidRPr="0055478F" w:rsidRDefault="00294864" w:rsidP="001A566A">
            <w:pPr>
              <w:jc w:val="both"/>
              <w:rPr>
                <w:b/>
                <w:lang w:val="en-GB"/>
              </w:rPr>
            </w:pPr>
            <w:r w:rsidRPr="00F9031B">
              <w:rPr>
                <w:b/>
                <w:bCs/>
                <w:i/>
                <w:iCs/>
                <w:lang w:val="en-GB"/>
              </w:rPr>
              <w:t>(Please print name of the applicant. At least two directors, including the Chief Executive/Managing Director must sign the Declaration above.  Original signatures are required.)</w:t>
            </w:r>
          </w:p>
        </w:tc>
      </w:tr>
    </w:tbl>
    <w:p w14:paraId="0857C4CB" w14:textId="77777777" w:rsidR="00294864" w:rsidRPr="007173DC" w:rsidRDefault="00294864" w:rsidP="00294864">
      <w:pPr>
        <w:spacing w:before="240" w:after="120"/>
        <w:jc w:val="both"/>
        <w:rPr>
          <w:rFonts w:eastAsia="MS PGothic"/>
          <w:lang w:val="en-GB"/>
        </w:rPr>
      </w:pPr>
    </w:p>
    <w:p w14:paraId="2A2554B9" w14:textId="70AFB0A7" w:rsidR="00294864" w:rsidRPr="00ED018C" w:rsidRDefault="00294864" w:rsidP="00294864">
      <w:pPr>
        <w:jc w:val="both"/>
        <w:rPr>
          <w:rFonts w:cstheme="minorHAnsi"/>
          <w:b/>
          <w:lang w:val="en-GB"/>
        </w:rPr>
      </w:pPr>
      <w:r w:rsidRPr="00C03A64">
        <w:rPr>
          <w:b/>
          <w:iCs/>
          <w:lang w:val="en-GB"/>
        </w:rPr>
        <w:t xml:space="preserve">Provisions in this document should not be deleted nor amended in any manner. </w:t>
      </w:r>
      <w:r w:rsidRPr="00ED018C">
        <w:rPr>
          <w:rFonts w:cstheme="minorHAnsi"/>
          <w:b/>
          <w:lang w:val="en-GB"/>
        </w:rPr>
        <w:t xml:space="preserve">Applicants should note that it is an offence under the </w:t>
      </w:r>
      <w:r w:rsidRPr="00C03A64">
        <w:rPr>
          <w:rFonts w:eastAsia="Times New Roman" w:cs="Arial"/>
          <w:b/>
          <w:bCs/>
          <w:color w:val="000000"/>
          <w:lang w:eastAsia="en-IE"/>
        </w:rPr>
        <w:t>European Union (Payment Services) Regulations 2018</w:t>
      </w:r>
      <w:r w:rsidRPr="00ED018C">
        <w:rPr>
          <w:rFonts w:cstheme="minorHAnsi"/>
          <w:b/>
          <w:lang w:val="en-GB"/>
        </w:rPr>
        <w:t xml:space="preserve"> and the European Communities (Electronic Money) Regulations 2011 (as amended) to provide false or misleading information in relation to: (i) obtaining an authorisation to operate as respectively a payment institution or </w:t>
      </w:r>
      <w:r w:rsidR="00FE3687" w:rsidRPr="00ED018C">
        <w:rPr>
          <w:rFonts w:cstheme="minorHAnsi"/>
          <w:b/>
          <w:lang w:val="en-GB"/>
        </w:rPr>
        <w:t xml:space="preserve">an </w:t>
      </w:r>
      <w:r w:rsidRPr="00ED018C">
        <w:rPr>
          <w:rFonts w:cstheme="minorHAnsi"/>
          <w:b/>
          <w:lang w:val="en-GB"/>
        </w:rPr>
        <w:t>e-money institution, or (ii) an approval, waiver or permission from the Central Bank concerning the operation of respectively a payment institution or an e</w:t>
      </w:r>
      <w:r w:rsidR="00FE3687" w:rsidRPr="00ED018C">
        <w:rPr>
          <w:rFonts w:cstheme="minorHAnsi"/>
          <w:b/>
          <w:lang w:val="en-GB"/>
        </w:rPr>
        <w:t>-</w:t>
      </w:r>
      <w:r w:rsidRPr="00ED018C">
        <w:rPr>
          <w:rFonts w:cstheme="minorHAnsi"/>
          <w:b/>
          <w:lang w:val="en-GB"/>
        </w:rPr>
        <w:t>money institution.</w:t>
      </w:r>
    </w:p>
    <w:p w14:paraId="7D0FB494" w14:textId="750BD1DB" w:rsidR="00CD7ECA" w:rsidRDefault="00294864">
      <w:pPr>
        <w:rPr>
          <w:rFonts w:eastAsia="MS PGothic"/>
          <w:lang w:val="en-GB"/>
        </w:rPr>
      </w:pPr>
      <w:r>
        <w:rPr>
          <w:rFonts w:cstheme="minorHAnsi"/>
          <w:b/>
          <w:lang w:val="en-GB"/>
        </w:rPr>
        <w:br w:type="page"/>
      </w:r>
    </w:p>
    <w:p w14:paraId="4335328E" w14:textId="7A7C13DF" w:rsidR="003046A7" w:rsidRDefault="003046A7" w:rsidP="003046A7">
      <w:pPr>
        <w:jc w:val="both"/>
        <w:rPr>
          <w:sz w:val="12"/>
          <w:lang w:val="en-GB"/>
        </w:rPr>
      </w:pPr>
      <w:r w:rsidRPr="007F089A">
        <w:rPr>
          <w:b/>
          <w:noProof/>
          <w:lang w:eastAsia="en-IE"/>
        </w:rPr>
        <mc:AlternateContent>
          <mc:Choice Requires="wps">
            <w:drawing>
              <wp:anchor distT="0" distB="0" distL="114300" distR="114300" simplePos="0" relativeHeight="251662336" behindDoc="0" locked="0" layoutInCell="1" allowOverlap="1" wp14:anchorId="274B8092" wp14:editId="5D231398">
                <wp:simplePos x="0" y="0"/>
                <wp:positionH relativeFrom="column">
                  <wp:posOffset>-1140823</wp:posOffset>
                </wp:positionH>
                <wp:positionV relativeFrom="paragraph">
                  <wp:posOffset>-962206</wp:posOffset>
                </wp:positionV>
                <wp:extent cx="11583670" cy="11785600"/>
                <wp:effectExtent l="0" t="0" r="17780" b="25400"/>
                <wp:wrapNone/>
                <wp:docPr id="2" name="Rectangle 2"/>
                <wp:cNvGraphicFramePr/>
                <a:graphic xmlns:a="http://schemas.openxmlformats.org/drawingml/2006/main">
                  <a:graphicData uri="http://schemas.microsoft.com/office/word/2010/wordprocessingShape">
                    <wps:wsp>
                      <wps:cNvSpPr/>
                      <wps:spPr>
                        <a:xfrm>
                          <a:off x="0" y="0"/>
                          <a:ext cx="11583670" cy="11785600"/>
                        </a:xfrm>
                        <a:prstGeom prst="rect">
                          <a:avLst/>
                        </a:prstGeom>
                        <a:solidFill>
                          <a:srgbClr val="4BACC6"/>
                        </a:solidFill>
                        <a:ln w="25400" cap="flat" cmpd="sng" algn="ctr">
                          <a:solidFill>
                            <a:srgbClr val="4BACC6">
                              <a:shade val="50000"/>
                            </a:srgbClr>
                          </a:solidFill>
                          <a:prstDash val="solid"/>
                        </a:ln>
                        <a:effectLst/>
                      </wps:spPr>
                      <wps:txbx>
                        <w:txbxContent>
                          <w:p w14:paraId="34717714" w14:textId="77777777" w:rsidR="003046A7" w:rsidRDefault="003046A7" w:rsidP="003046A7">
                            <w:pPr>
                              <w:rPr>
                                <w:b/>
                                <w:lang w:val="en-GB"/>
                              </w:rPr>
                            </w:pPr>
                          </w:p>
                          <w:p w14:paraId="7FF1F6CE" w14:textId="77777777" w:rsidR="003046A7" w:rsidRDefault="003046A7" w:rsidP="003046A7">
                            <w:pPr>
                              <w:rPr>
                                <w:b/>
                                <w:lang w:val="en-GB"/>
                              </w:rPr>
                            </w:pPr>
                          </w:p>
                          <w:p w14:paraId="0096340D" w14:textId="77777777" w:rsidR="003046A7" w:rsidRDefault="003046A7" w:rsidP="003046A7">
                            <w:pPr>
                              <w:rPr>
                                <w:b/>
                                <w:lang w:val="en-GB"/>
                              </w:rPr>
                            </w:pPr>
                          </w:p>
                          <w:p w14:paraId="1D5789E7" w14:textId="199D8BCD" w:rsidR="003046A7" w:rsidRPr="00CB40E8" w:rsidRDefault="003046A7" w:rsidP="003046A7">
                            <w:pPr>
                              <w:ind w:left="720" w:firstLine="720"/>
                              <w:rPr>
                                <w:b/>
                                <w:color w:val="FFFFFF" w:themeColor="background1"/>
                                <w:lang w:val="en-GB"/>
                              </w:rPr>
                            </w:pPr>
                            <w:r w:rsidRPr="00CB40E8">
                              <w:rPr>
                                <w:b/>
                                <w:color w:val="FFFFFF" w:themeColor="background1"/>
                                <w:lang w:val="en-GB"/>
                              </w:rPr>
                              <w:t>T +353 1 224</w:t>
                            </w:r>
                            <w:r w:rsidR="00C03A64">
                              <w:rPr>
                                <w:b/>
                                <w:color w:val="FFFFFF" w:themeColor="background1"/>
                                <w:lang w:val="en-GB"/>
                              </w:rPr>
                              <w:t xml:space="preserve"> 4784</w:t>
                            </w:r>
                            <w:r w:rsidRPr="00CB40E8">
                              <w:rPr>
                                <w:b/>
                                <w:color w:val="FFFFFF" w:themeColor="background1"/>
                                <w:lang w:val="en-GB"/>
                              </w:rPr>
                              <w:t xml:space="preserve">     </w:t>
                            </w:r>
                            <w:r>
                              <w:rPr>
                                <w:b/>
                                <w:color w:val="FFFFFF" w:themeColor="background1"/>
                                <w:lang w:val="en-GB"/>
                              </w:rPr>
                              <w:tab/>
                            </w:r>
                            <w:r w:rsidRPr="00CB40E8">
                              <w:rPr>
                                <w:b/>
                                <w:color w:val="FFFFFF" w:themeColor="background1"/>
                                <w:lang w:val="en-GB"/>
                              </w:rPr>
                              <w:t xml:space="preserve">     www.centralbank.ie         </w:t>
                            </w:r>
                            <w:r w:rsidRPr="00CB40E8">
                              <w:rPr>
                                <w:b/>
                                <w:color w:val="FFFFFF" w:themeColor="background1"/>
                                <w:lang w:val="en-GB"/>
                              </w:rPr>
                              <w:tab/>
                            </w:r>
                            <w:r w:rsidR="0064335C">
                              <w:rPr>
                                <w:b/>
                                <w:color w:val="FFFFFF" w:themeColor="background1"/>
                                <w:lang w:val="en-GB"/>
                              </w:rPr>
                              <w:t>paymentservicessupervision</w:t>
                            </w:r>
                            <w:r w:rsidRPr="00CB40E8">
                              <w:rPr>
                                <w:b/>
                                <w:color w:val="FFFFFF" w:themeColor="background1"/>
                                <w:lang w:val="en-GB"/>
                              </w:rPr>
                              <w:t xml:space="preserve">@centralbank.ie     </w:t>
                            </w:r>
                          </w:p>
                          <w:p w14:paraId="425218B8" w14:textId="77777777" w:rsidR="003046A7" w:rsidRDefault="003046A7" w:rsidP="003046A7">
                            <w:pPr>
                              <w:jc w:val="center"/>
                            </w:pPr>
                          </w:p>
                          <w:p w14:paraId="628B19DB" w14:textId="77777777" w:rsidR="003046A7" w:rsidRDefault="003046A7" w:rsidP="003046A7">
                            <w:pPr>
                              <w:jc w:val="center"/>
                            </w:pPr>
                          </w:p>
                          <w:p w14:paraId="0D6BC1F9" w14:textId="77777777" w:rsidR="003046A7" w:rsidRDefault="003046A7" w:rsidP="003046A7">
                            <w:pPr>
                              <w:jc w:val="center"/>
                            </w:pPr>
                          </w:p>
                          <w:p w14:paraId="79FD3802" w14:textId="77777777" w:rsidR="003046A7" w:rsidRDefault="003046A7" w:rsidP="003046A7">
                            <w:pPr>
                              <w:jc w:val="center"/>
                            </w:pPr>
                          </w:p>
                          <w:p w14:paraId="025A9AAB" w14:textId="77777777" w:rsidR="003046A7" w:rsidRDefault="003046A7" w:rsidP="003046A7">
                            <w:pPr>
                              <w:jc w:val="center"/>
                            </w:pPr>
                          </w:p>
                          <w:p w14:paraId="68EC4200" w14:textId="77777777" w:rsidR="003046A7" w:rsidRDefault="003046A7" w:rsidP="003046A7">
                            <w:pPr>
                              <w:jc w:val="center"/>
                            </w:pPr>
                          </w:p>
                          <w:p w14:paraId="4AACD677" w14:textId="77777777" w:rsidR="003046A7" w:rsidRDefault="003046A7" w:rsidP="003046A7">
                            <w:pPr>
                              <w:jc w:val="center"/>
                            </w:pPr>
                          </w:p>
                          <w:p w14:paraId="63AC6341" w14:textId="77777777" w:rsidR="003046A7" w:rsidRDefault="003046A7" w:rsidP="003046A7">
                            <w:pPr>
                              <w:jc w:val="center"/>
                            </w:pPr>
                          </w:p>
                          <w:p w14:paraId="67688E27" w14:textId="77777777" w:rsidR="003046A7" w:rsidRDefault="003046A7" w:rsidP="003046A7">
                            <w:pPr>
                              <w:jc w:val="center"/>
                            </w:pPr>
                          </w:p>
                          <w:p w14:paraId="31224A55" w14:textId="77777777" w:rsidR="003046A7" w:rsidRDefault="003046A7" w:rsidP="003046A7">
                            <w:pPr>
                              <w:jc w:val="center"/>
                            </w:pPr>
                          </w:p>
                          <w:p w14:paraId="0B8A6265" w14:textId="77777777" w:rsidR="003046A7" w:rsidRDefault="003046A7" w:rsidP="003046A7">
                            <w:pPr>
                              <w:jc w:val="center"/>
                            </w:pPr>
                          </w:p>
                          <w:p w14:paraId="56ED630E" w14:textId="77777777" w:rsidR="003046A7" w:rsidRDefault="003046A7" w:rsidP="003046A7">
                            <w:pPr>
                              <w:jc w:val="center"/>
                            </w:pPr>
                          </w:p>
                          <w:p w14:paraId="6BFDE9EC" w14:textId="77777777" w:rsidR="003046A7" w:rsidRDefault="003046A7" w:rsidP="003046A7">
                            <w:pPr>
                              <w:jc w:val="center"/>
                            </w:pPr>
                          </w:p>
                          <w:p w14:paraId="0703FAC6" w14:textId="77777777" w:rsidR="003046A7" w:rsidRDefault="003046A7" w:rsidP="003046A7">
                            <w:pPr>
                              <w:jc w:val="center"/>
                            </w:pPr>
                          </w:p>
                          <w:p w14:paraId="3EB8311B" w14:textId="77777777" w:rsidR="003046A7" w:rsidRDefault="003046A7" w:rsidP="003046A7">
                            <w:pPr>
                              <w:jc w:val="center"/>
                            </w:pPr>
                          </w:p>
                          <w:p w14:paraId="3B40B4F9" w14:textId="77777777" w:rsidR="003046A7" w:rsidRDefault="003046A7" w:rsidP="003046A7">
                            <w:pPr>
                              <w:jc w:val="center"/>
                            </w:pPr>
                          </w:p>
                          <w:p w14:paraId="3C6B77F8" w14:textId="77777777" w:rsidR="003046A7" w:rsidRDefault="003046A7" w:rsidP="003046A7">
                            <w:pPr>
                              <w:jc w:val="center"/>
                            </w:pPr>
                          </w:p>
                          <w:p w14:paraId="01E631D3" w14:textId="77777777" w:rsidR="003046A7" w:rsidRDefault="003046A7" w:rsidP="003046A7">
                            <w:pPr>
                              <w:jc w:val="center"/>
                            </w:pPr>
                          </w:p>
                          <w:p w14:paraId="77121F20" w14:textId="77777777" w:rsidR="003046A7" w:rsidRDefault="003046A7" w:rsidP="003046A7">
                            <w:pPr>
                              <w:jc w:val="center"/>
                            </w:pPr>
                          </w:p>
                          <w:p w14:paraId="0D4106AA" w14:textId="77777777" w:rsidR="003046A7" w:rsidRDefault="003046A7" w:rsidP="003046A7">
                            <w:pPr>
                              <w:jc w:val="center"/>
                            </w:pPr>
                          </w:p>
                          <w:p w14:paraId="12A971DD" w14:textId="77777777" w:rsidR="003046A7" w:rsidRDefault="003046A7" w:rsidP="003046A7">
                            <w:pPr>
                              <w:jc w:val="center"/>
                            </w:pPr>
                          </w:p>
                          <w:p w14:paraId="0981F76A" w14:textId="77777777" w:rsidR="003046A7" w:rsidRDefault="003046A7" w:rsidP="003046A7">
                            <w:pPr>
                              <w:jc w:val="center"/>
                            </w:pPr>
                          </w:p>
                          <w:p w14:paraId="59FD65F6" w14:textId="77777777" w:rsidR="003046A7" w:rsidRDefault="003046A7" w:rsidP="003046A7">
                            <w:pPr>
                              <w:jc w:val="center"/>
                            </w:pPr>
                          </w:p>
                          <w:p w14:paraId="693D8101" w14:textId="77777777" w:rsidR="003046A7" w:rsidRDefault="003046A7" w:rsidP="003046A7">
                            <w:pPr>
                              <w:jc w:val="center"/>
                            </w:pPr>
                          </w:p>
                          <w:p w14:paraId="778B001E" w14:textId="77777777" w:rsidR="003046A7" w:rsidRDefault="003046A7" w:rsidP="003046A7">
                            <w:pPr>
                              <w:jc w:val="center"/>
                            </w:pPr>
                          </w:p>
                          <w:p w14:paraId="2A90694C" w14:textId="77777777" w:rsidR="003046A7" w:rsidRDefault="003046A7" w:rsidP="003046A7">
                            <w:pPr>
                              <w:jc w:val="center"/>
                            </w:pPr>
                          </w:p>
                          <w:p w14:paraId="01245FC1" w14:textId="77777777" w:rsidR="003046A7" w:rsidRDefault="003046A7" w:rsidP="003046A7">
                            <w:pPr>
                              <w:jc w:val="center"/>
                            </w:pPr>
                          </w:p>
                          <w:p w14:paraId="6B7A2C1A" w14:textId="77777777" w:rsidR="003046A7" w:rsidRDefault="003046A7" w:rsidP="003046A7">
                            <w:pPr>
                              <w:jc w:val="center"/>
                            </w:pPr>
                          </w:p>
                          <w:p w14:paraId="57C241E4" w14:textId="77777777" w:rsidR="003046A7" w:rsidRDefault="003046A7" w:rsidP="003046A7">
                            <w:pPr>
                              <w:jc w:val="center"/>
                            </w:pPr>
                          </w:p>
                          <w:p w14:paraId="52669F58" w14:textId="77777777" w:rsidR="003046A7" w:rsidRDefault="003046A7" w:rsidP="003046A7">
                            <w:pPr>
                              <w:jc w:val="center"/>
                            </w:pPr>
                          </w:p>
                          <w:p w14:paraId="45FBD2CD" w14:textId="77777777" w:rsidR="003046A7" w:rsidRDefault="003046A7" w:rsidP="003046A7">
                            <w:pPr>
                              <w:jc w:val="center"/>
                            </w:pPr>
                          </w:p>
                          <w:p w14:paraId="68D2E886" w14:textId="77777777" w:rsidR="003046A7" w:rsidRDefault="003046A7" w:rsidP="003046A7">
                            <w:pPr>
                              <w:jc w:val="center"/>
                            </w:pPr>
                          </w:p>
                          <w:p w14:paraId="7E2F45A7" w14:textId="77777777" w:rsidR="003046A7" w:rsidRDefault="003046A7" w:rsidP="003046A7">
                            <w:pPr>
                              <w:jc w:val="center"/>
                            </w:pPr>
                          </w:p>
                          <w:p w14:paraId="769003DD" w14:textId="77777777" w:rsidR="003046A7" w:rsidRDefault="003046A7" w:rsidP="003046A7">
                            <w:pPr>
                              <w:jc w:val="center"/>
                            </w:pPr>
                          </w:p>
                          <w:p w14:paraId="0DF11A38" w14:textId="77777777" w:rsidR="003046A7" w:rsidRDefault="003046A7" w:rsidP="003046A7">
                            <w:pPr>
                              <w:jc w:val="center"/>
                            </w:pPr>
                          </w:p>
                          <w:p w14:paraId="75877D3B" w14:textId="77777777" w:rsidR="003046A7" w:rsidRDefault="003046A7" w:rsidP="003046A7">
                            <w:pPr>
                              <w:jc w:val="center"/>
                            </w:pPr>
                          </w:p>
                          <w:p w14:paraId="69DC24AF" w14:textId="77777777" w:rsidR="003046A7" w:rsidRDefault="003046A7" w:rsidP="003046A7">
                            <w:pPr>
                              <w:jc w:val="center"/>
                            </w:pPr>
                          </w:p>
                          <w:p w14:paraId="3D784F47" w14:textId="77777777" w:rsidR="003046A7" w:rsidRDefault="003046A7" w:rsidP="003046A7">
                            <w:pPr>
                              <w:jc w:val="center"/>
                            </w:pPr>
                            <w:r>
                              <w:rPr>
                                <w:noProof/>
                                <w:lang w:eastAsia="en-IE"/>
                              </w:rPr>
                              <w:drawing>
                                <wp:inline distT="0" distB="0" distL="0" distR="0" wp14:anchorId="72AECEEE" wp14:editId="37457C8B">
                                  <wp:extent cx="2378075" cy="549910"/>
                                  <wp:effectExtent l="0" t="0" r="3175" b="2540"/>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rcRect/>
                                          <a:stretch>
                                            <a:fillRect/>
                                          </a:stretch>
                                        </pic:blipFill>
                                        <pic:spPr bwMode="auto">
                                          <a:xfrm>
                                            <a:off x="0" y="0"/>
                                            <a:ext cx="2378075" cy="5499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B8092" id="Rectangle 2" o:spid="_x0000_s1026" style="position:absolute;left:0;text-align:left;margin-left:-89.85pt;margin-top:-75.75pt;width:912.1pt;height:9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" fillcolor="#4bacc6" strokecolor="#357d91" strokeweight="2pt">
                <v:textbox>
                  <w:txbxContent>
                    <w:p w14:paraId="34717714" w14:textId="77777777" w:rsidR="003046A7" w:rsidRDefault="003046A7" w:rsidP="003046A7">
                      <w:pPr>
                        <w:rPr>
                          <w:b/>
                          <w:lang w:val="en-GB"/>
                        </w:rPr>
                      </w:pPr>
                    </w:p>
                    <w:p w14:paraId="7FF1F6CE" w14:textId="77777777" w:rsidR="003046A7" w:rsidRDefault="003046A7" w:rsidP="003046A7">
                      <w:pPr>
                        <w:rPr>
                          <w:b/>
                          <w:lang w:val="en-GB"/>
                        </w:rPr>
                      </w:pPr>
                    </w:p>
                    <w:p w14:paraId="0096340D" w14:textId="77777777" w:rsidR="003046A7" w:rsidRDefault="003046A7" w:rsidP="003046A7">
                      <w:pPr>
                        <w:rPr>
                          <w:b/>
                          <w:lang w:val="en-GB"/>
                        </w:rPr>
                      </w:pPr>
                    </w:p>
                    <w:p w14:paraId="1D5789E7" w14:textId="199D8BCD" w:rsidR="003046A7" w:rsidRPr="00CB40E8" w:rsidRDefault="003046A7" w:rsidP="003046A7">
                      <w:pPr>
                        <w:ind w:left="720" w:firstLine="720"/>
                        <w:rPr>
                          <w:b/>
                          <w:color w:val="FFFFFF" w:themeColor="background1"/>
                          <w:lang w:val="en-GB"/>
                        </w:rPr>
                      </w:pPr>
                      <w:r w:rsidRPr="00CB40E8">
                        <w:rPr>
                          <w:b/>
                          <w:color w:val="FFFFFF" w:themeColor="background1"/>
                          <w:lang w:val="en-GB"/>
                        </w:rPr>
                        <w:t>T +353 1 224</w:t>
                      </w:r>
                      <w:r w:rsidR="00C03A64">
                        <w:rPr>
                          <w:b/>
                          <w:color w:val="FFFFFF" w:themeColor="background1"/>
                          <w:lang w:val="en-GB"/>
                        </w:rPr>
                        <w:t xml:space="preserve"> 4784</w:t>
                      </w:r>
                      <w:r w:rsidRPr="00CB40E8">
                        <w:rPr>
                          <w:b/>
                          <w:color w:val="FFFFFF" w:themeColor="background1"/>
                          <w:lang w:val="en-GB"/>
                        </w:rPr>
                        <w:t xml:space="preserve">     </w:t>
                      </w:r>
                      <w:r>
                        <w:rPr>
                          <w:b/>
                          <w:color w:val="FFFFFF" w:themeColor="background1"/>
                          <w:lang w:val="en-GB"/>
                        </w:rPr>
                        <w:tab/>
                      </w:r>
                      <w:r w:rsidRPr="00CB40E8">
                        <w:rPr>
                          <w:b/>
                          <w:color w:val="FFFFFF" w:themeColor="background1"/>
                          <w:lang w:val="en-GB"/>
                        </w:rPr>
                        <w:t xml:space="preserve">     www.centralbank.ie         </w:t>
                      </w:r>
                      <w:r w:rsidRPr="00CB40E8">
                        <w:rPr>
                          <w:b/>
                          <w:color w:val="FFFFFF" w:themeColor="background1"/>
                          <w:lang w:val="en-GB"/>
                        </w:rPr>
                        <w:tab/>
                      </w:r>
                      <w:r w:rsidR="0064335C">
                        <w:rPr>
                          <w:b/>
                          <w:color w:val="FFFFFF" w:themeColor="background1"/>
                          <w:lang w:val="en-GB"/>
                        </w:rPr>
                        <w:t>paymentservicessupervision</w:t>
                      </w:r>
                      <w:r w:rsidRPr="00CB40E8">
                        <w:rPr>
                          <w:b/>
                          <w:color w:val="FFFFFF" w:themeColor="background1"/>
                          <w:lang w:val="en-GB"/>
                        </w:rPr>
                        <w:t xml:space="preserve">@centralbank.ie     </w:t>
                      </w:r>
                    </w:p>
                    <w:p w14:paraId="425218B8" w14:textId="77777777" w:rsidR="003046A7" w:rsidRDefault="003046A7" w:rsidP="003046A7">
                      <w:pPr>
                        <w:jc w:val="center"/>
                      </w:pPr>
                    </w:p>
                    <w:p w14:paraId="628B19DB" w14:textId="77777777" w:rsidR="003046A7" w:rsidRDefault="003046A7" w:rsidP="003046A7">
                      <w:pPr>
                        <w:jc w:val="center"/>
                      </w:pPr>
                    </w:p>
                    <w:p w14:paraId="0D6BC1F9" w14:textId="77777777" w:rsidR="003046A7" w:rsidRDefault="003046A7" w:rsidP="003046A7">
                      <w:pPr>
                        <w:jc w:val="center"/>
                      </w:pPr>
                    </w:p>
                    <w:p w14:paraId="79FD3802" w14:textId="77777777" w:rsidR="003046A7" w:rsidRDefault="003046A7" w:rsidP="003046A7">
                      <w:pPr>
                        <w:jc w:val="center"/>
                      </w:pPr>
                    </w:p>
                    <w:p w14:paraId="025A9AAB" w14:textId="77777777" w:rsidR="003046A7" w:rsidRDefault="003046A7" w:rsidP="003046A7">
                      <w:pPr>
                        <w:jc w:val="center"/>
                      </w:pPr>
                    </w:p>
                    <w:p w14:paraId="68EC4200" w14:textId="77777777" w:rsidR="003046A7" w:rsidRDefault="003046A7" w:rsidP="003046A7">
                      <w:pPr>
                        <w:jc w:val="center"/>
                      </w:pPr>
                    </w:p>
                    <w:p w14:paraId="4AACD677" w14:textId="77777777" w:rsidR="003046A7" w:rsidRDefault="003046A7" w:rsidP="003046A7">
                      <w:pPr>
                        <w:jc w:val="center"/>
                      </w:pPr>
                    </w:p>
                    <w:p w14:paraId="63AC6341" w14:textId="77777777" w:rsidR="003046A7" w:rsidRDefault="003046A7" w:rsidP="003046A7">
                      <w:pPr>
                        <w:jc w:val="center"/>
                      </w:pPr>
                    </w:p>
                    <w:p w14:paraId="67688E27" w14:textId="77777777" w:rsidR="003046A7" w:rsidRDefault="003046A7" w:rsidP="003046A7">
                      <w:pPr>
                        <w:jc w:val="center"/>
                      </w:pPr>
                    </w:p>
                    <w:p w14:paraId="31224A55" w14:textId="77777777" w:rsidR="003046A7" w:rsidRDefault="003046A7" w:rsidP="003046A7">
                      <w:pPr>
                        <w:jc w:val="center"/>
                      </w:pPr>
                    </w:p>
                    <w:p w14:paraId="0B8A6265" w14:textId="77777777" w:rsidR="003046A7" w:rsidRDefault="003046A7" w:rsidP="003046A7">
                      <w:pPr>
                        <w:jc w:val="center"/>
                      </w:pPr>
                    </w:p>
                    <w:p w14:paraId="56ED630E" w14:textId="77777777" w:rsidR="003046A7" w:rsidRDefault="003046A7" w:rsidP="003046A7">
                      <w:pPr>
                        <w:jc w:val="center"/>
                      </w:pPr>
                    </w:p>
                    <w:p w14:paraId="6BFDE9EC" w14:textId="77777777" w:rsidR="003046A7" w:rsidRDefault="003046A7" w:rsidP="003046A7">
                      <w:pPr>
                        <w:jc w:val="center"/>
                      </w:pPr>
                    </w:p>
                    <w:p w14:paraId="0703FAC6" w14:textId="77777777" w:rsidR="003046A7" w:rsidRDefault="003046A7" w:rsidP="003046A7">
                      <w:pPr>
                        <w:jc w:val="center"/>
                      </w:pPr>
                    </w:p>
                    <w:p w14:paraId="3EB8311B" w14:textId="77777777" w:rsidR="003046A7" w:rsidRDefault="003046A7" w:rsidP="003046A7">
                      <w:pPr>
                        <w:jc w:val="center"/>
                      </w:pPr>
                    </w:p>
                    <w:p w14:paraId="3B40B4F9" w14:textId="77777777" w:rsidR="003046A7" w:rsidRDefault="003046A7" w:rsidP="003046A7">
                      <w:pPr>
                        <w:jc w:val="center"/>
                      </w:pPr>
                    </w:p>
                    <w:p w14:paraId="3C6B77F8" w14:textId="77777777" w:rsidR="003046A7" w:rsidRDefault="003046A7" w:rsidP="003046A7">
                      <w:pPr>
                        <w:jc w:val="center"/>
                      </w:pPr>
                    </w:p>
                    <w:p w14:paraId="01E631D3" w14:textId="77777777" w:rsidR="003046A7" w:rsidRDefault="003046A7" w:rsidP="003046A7">
                      <w:pPr>
                        <w:jc w:val="center"/>
                      </w:pPr>
                    </w:p>
                    <w:p w14:paraId="77121F20" w14:textId="77777777" w:rsidR="003046A7" w:rsidRDefault="003046A7" w:rsidP="003046A7">
                      <w:pPr>
                        <w:jc w:val="center"/>
                      </w:pPr>
                    </w:p>
                    <w:p w14:paraId="0D4106AA" w14:textId="77777777" w:rsidR="003046A7" w:rsidRDefault="003046A7" w:rsidP="003046A7">
                      <w:pPr>
                        <w:jc w:val="center"/>
                      </w:pPr>
                    </w:p>
                    <w:p w14:paraId="12A971DD" w14:textId="77777777" w:rsidR="003046A7" w:rsidRDefault="003046A7" w:rsidP="003046A7">
                      <w:pPr>
                        <w:jc w:val="center"/>
                      </w:pPr>
                    </w:p>
                    <w:p w14:paraId="0981F76A" w14:textId="77777777" w:rsidR="003046A7" w:rsidRDefault="003046A7" w:rsidP="003046A7">
                      <w:pPr>
                        <w:jc w:val="center"/>
                      </w:pPr>
                    </w:p>
                    <w:p w14:paraId="59FD65F6" w14:textId="77777777" w:rsidR="003046A7" w:rsidRDefault="003046A7" w:rsidP="003046A7">
                      <w:pPr>
                        <w:jc w:val="center"/>
                      </w:pPr>
                    </w:p>
                    <w:p w14:paraId="693D8101" w14:textId="77777777" w:rsidR="003046A7" w:rsidRDefault="003046A7" w:rsidP="003046A7">
                      <w:pPr>
                        <w:jc w:val="center"/>
                      </w:pPr>
                    </w:p>
                    <w:p w14:paraId="778B001E" w14:textId="77777777" w:rsidR="003046A7" w:rsidRDefault="003046A7" w:rsidP="003046A7">
                      <w:pPr>
                        <w:jc w:val="center"/>
                      </w:pPr>
                    </w:p>
                    <w:p w14:paraId="2A90694C" w14:textId="77777777" w:rsidR="003046A7" w:rsidRDefault="003046A7" w:rsidP="003046A7">
                      <w:pPr>
                        <w:jc w:val="center"/>
                      </w:pPr>
                    </w:p>
                    <w:p w14:paraId="01245FC1" w14:textId="77777777" w:rsidR="003046A7" w:rsidRDefault="003046A7" w:rsidP="003046A7">
                      <w:pPr>
                        <w:jc w:val="center"/>
                      </w:pPr>
                    </w:p>
                    <w:p w14:paraId="6B7A2C1A" w14:textId="77777777" w:rsidR="003046A7" w:rsidRDefault="003046A7" w:rsidP="003046A7">
                      <w:pPr>
                        <w:jc w:val="center"/>
                      </w:pPr>
                    </w:p>
                    <w:p w14:paraId="57C241E4" w14:textId="77777777" w:rsidR="003046A7" w:rsidRDefault="003046A7" w:rsidP="003046A7">
                      <w:pPr>
                        <w:jc w:val="center"/>
                      </w:pPr>
                    </w:p>
                    <w:p w14:paraId="52669F58" w14:textId="77777777" w:rsidR="003046A7" w:rsidRDefault="003046A7" w:rsidP="003046A7">
                      <w:pPr>
                        <w:jc w:val="center"/>
                      </w:pPr>
                    </w:p>
                    <w:p w14:paraId="45FBD2CD" w14:textId="77777777" w:rsidR="003046A7" w:rsidRDefault="003046A7" w:rsidP="003046A7">
                      <w:pPr>
                        <w:jc w:val="center"/>
                      </w:pPr>
                    </w:p>
                    <w:p w14:paraId="68D2E886" w14:textId="77777777" w:rsidR="003046A7" w:rsidRDefault="003046A7" w:rsidP="003046A7">
                      <w:pPr>
                        <w:jc w:val="center"/>
                      </w:pPr>
                    </w:p>
                    <w:p w14:paraId="7E2F45A7" w14:textId="77777777" w:rsidR="003046A7" w:rsidRDefault="003046A7" w:rsidP="003046A7">
                      <w:pPr>
                        <w:jc w:val="center"/>
                      </w:pPr>
                    </w:p>
                    <w:p w14:paraId="769003DD" w14:textId="77777777" w:rsidR="003046A7" w:rsidRDefault="003046A7" w:rsidP="003046A7">
                      <w:pPr>
                        <w:jc w:val="center"/>
                      </w:pPr>
                    </w:p>
                    <w:p w14:paraId="0DF11A38" w14:textId="77777777" w:rsidR="003046A7" w:rsidRDefault="003046A7" w:rsidP="003046A7">
                      <w:pPr>
                        <w:jc w:val="center"/>
                      </w:pPr>
                    </w:p>
                    <w:p w14:paraId="75877D3B" w14:textId="77777777" w:rsidR="003046A7" w:rsidRDefault="003046A7" w:rsidP="003046A7">
                      <w:pPr>
                        <w:jc w:val="center"/>
                      </w:pPr>
                    </w:p>
                    <w:p w14:paraId="69DC24AF" w14:textId="77777777" w:rsidR="003046A7" w:rsidRDefault="003046A7" w:rsidP="003046A7">
                      <w:pPr>
                        <w:jc w:val="center"/>
                      </w:pPr>
                    </w:p>
                    <w:p w14:paraId="3D784F47" w14:textId="77777777" w:rsidR="003046A7" w:rsidRDefault="003046A7" w:rsidP="003046A7">
                      <w:pPr>
                        <w:jc w:val="center"/>
                      </w:pPr>
                      <w:r>
                        <w:rPr>
                          <w:noProof/>
                          <w:lang w:eastAsia="en-IE"/>
                        </w:rPr>
                        <w:drawing>
                          <wp:inline distT="0" distB="0" distL="0" distR="0" wp14:anchorId="72AECEEE" wp14:editId="37457C8B">
                            <wp:extent cx="2378075" cy="549910"/>
                            <wp:effectExtent l="0" t="0" r="3175" b="2540"/>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srcRect/>
                                    <a:stretch>
                                      <a:fillRect/>
                                    </a:stretch>
                                  </pic:blipFill>
                                  <pic:spPr bwMode="auto">
                                    <a:xfrm>
                                      <a:off x="0" y="0"/>
                                      <a:ext cx="2378075" cy="549910"/>
                                    </a:xfrm>
                                    <a:prstGeom prst="rect">
                                      <a:avLst/>
                                    </a:prstGeom>
                                    <a:noFill/>
                                  </pic:spPr>
                                </pic:pic>
                              </a:graphicData>
                            </a:graphic>
                          </wp:inline>
                        </w:drawing>
                      </w:r>
                    </w:p>
                  </w:txbxContent>
                </v:textbox>
              </v:rect>
            </w:pict>
          </mc:Fallback>
        </mc:AlternateContent>
      </w:r>
    </w:p>
    <w:p w14:paraId="6AE143B4" w14:textId="77777777" w:rsidR="003046A7" w:rsidRDefault="003046A7" w:rsidP="003046A7">
      <w:pPr>
        <w:jc w:val="both"/>
        <w:rPr>
          <w:sz w:val="12"/>
          <w:lang w:val="en-GB"/>
        </w:rPr>
      </w:pPr>
    </w:p>
    <w:p w14:paraId="5EEF5397" w14:textId="1FCD747B" w:rsidR="003046A7" w:rsidRDefault="003046A7" w:rsidP="003046A7">
      <w:pPr>
        <w:jc w:val="both"/>
        <w:rPr>
          <w:sz w:val="12"/>
          <w:lang w:val="en-GB"/>
        </w:rPr>
      </w:pP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p>
    <w:p w14:paraId="1E66A3CB" w14:textId="5C852227" w:rsidR="003046A7" w:rsidRPr="00A03041" w:rsidRDefault="003046A7" w:rsidP="003046A7">
      <w:pPr>
        <w:rPr>
          <w:rFonts w:cstheme="minorHAnsi"/>
          <w:b/>
          <w:sz w:val="20"/>
          <w:szCs w:val="20"/>
        </w:rPr>
      </w:pPr>
    </w:p>
    <w:p w14:paraId="62A677B7" w14:textId="77777777" w:rsidR="003046A7" w:rsidRPr="00E8145E" w:rsidRDefault="003046A7" w:rsidP="003046A7">
      <w:pPr>
        <w:jc w:val="both"/>
        <w:rPr>
          <w:sz w:val="12"/>
          <w:lang w:val="en-GB"/>
        </w:rPr>
      </w:pPr>
    </w:p>
    <w:p w14:paraId="4CC5CF9A" w14:textId="72308852" w:rsidR="006C0652" w:rsidRPr="00AD3CFD" w:rsidRDefault="006C0652" w:rsidP="005F44B0">
      <w:pPr>
        <w:jc w:val="both"/>
        <w:rPr>
          <w:rFonts w:eastAsia="MS PGothic"/>
          <w:lang w:val="en-GB"/>
        </w:rPr>
      </w:pPr>
    </w:p>
    <w:sectPr w:rsidR="006C0652" w:rsidRPr="00AD3CFD" w:rsidSect="0083485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37D5" w14:textId="77777777" w:rsidR="00626405" w:rsidRDefault="00626405" w:rsidP="00CC2FBE">
      <w:pPr>
        <w:spacing w:after="0" w:line="240" w:lineRule="auto"/>
      </w:pPr>
      <w:r>
        <w:separator/>
      </w:r>
    </w:p>
  </w:endnote>
  <w:endnote w:type="continuationSeparator" w:id="0">
    <w:p w14:paraId="64B9FD50" w14:textId="77777777" w:rsidR="00626405" w:rsidRDefault="00626405" w:rsidP="00CC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Ten-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83EE" w14:textId="77777777" w:rsidR="00615A6B" w:rsidRDefault="00615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46EF" w14:textId="77777777" w:rsidR="00615A6B" w:rsidRDefault="00615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2498" w14:textId="77777777" w:rsidR="00615A6B" w:rsidRDefault="0061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D122" w14:textId="77777777" w:rsidR="00626405" w:rsidRDefault="00626405" w:rsidP="00CC2FBE">
      <w:pPr>
        <w:spacing w:after="0" w:line="240" w:lineRule="auto"/>
      </w:pPr>
      <w:r>
        <w:separator/>
      </w:r>
    </w:p>
  </w:footnote>
  <w:footnote w:type="continuationSeparator" w:id="0">
    <w:p w14:paraId="7A64DB9A" w14:textId="77777777" w:rsidR="00626405" w:rsidRDefault="00626405" w:rsidP="00CC2FBE">
      <w:pPr>
        <w:spacing w:after="0" w:line="240" w:lineRule="auto"/>
      </w:pPr>
      <w:r>
        <w:continuationSeparator/>
      </w:r>
    </w:p>
  </w:footnote>
  <w:footnote w:id="1">
    <w:p w14:paraId="35E78794" w14:textId="77777777" w:rsidR="00B7103A" w:rsidRPr="00007578" w:rsidRDefault="00B7103A" w:rsidP="00B7103A">
      <w:pPr>
        <w:pStyle w:val="FootnoteText"/>
        <w:jc w:val="both"/>
      </w:pPr>
      <w:r>
        <w:rPr>
          <w:rStyle w:val="FootnoteReference"/>
        </w:rPr>
        <w:footnoteRef/>
      </w:r>
      <w:r>
        <w:t xml:space="preserve"> </w:t>
      </w:r>
      <w:hyperlink r:id="rId1" w:history="1">
        <w:r w:rsidRPr="00195F07">
          <w:rPr>
            <w:rStyle w:val="Hyperlink"/>
          </w:rPr>
          <w:t>Pre-Approval Controlled Functions</w:t>
        </w:r>
      </w:hyperlink>
      <w:r>
        <w:t xml:space="preserve"> means those functions set out in Schedule 2 of the Central Bank Reform Act 2010 (Sections 20 and 22) Regulations, 2011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39D4" w14:textId="63AF8648" w:rsidR="0000490C" w:rsidRDefault="00615A6B" w:rsidP="00615A6B">
    <w:pPr>
      <w:pStyle w:val="Header"/>
    </w:pPr>
    <w:fldSimple w:instr=" DOCPROPERTY bjHeaderEvenPageDocProperty \* MERGEFORMAT " w:fldLock="1">
      <w:r w:rsidRPr="00615A6B">
        <w:rPr>
          <w:rFonts w:ascii="Times New Roman" w:hAnsi="Times New Roman" w:cs="Times New Roman"/>
          <w:color w:val="000000"/>
          <w:sz w:val="24"/>
        </w:rPr>
        <w:t xml:space="preserve"> </w:t>
      </w:r>
    </w:fldSimple>
  </w:p>
  <w:p w14:paraId="1499A48A" w14:textId="2E06FE64" w:rsidR="007A538D" w:rsidRDefault="007A538D" w:rsidP="00232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A0010" w14:textId="21234593" w:rsidR="0000490C" w:rsidRDefault="00615A6B" w:rsidP="00615A6B">
    <w:pPr>
      <w:pStyle w:val="Head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bjHeaderBothDocProperty \* MERGEFORMAT </w:instrText>
    </w:r>
    <w:r>
      <w:rPr>
        <w:rFonts w:ascii="Times New Roman" w:hAnsi="Times New Roman" w:cs="Times New Roman"/>
        <w:color w:val="000000"/>
        <w:sz w:val="24"/>
      </w:rPr>
      <w:fldChar w:fldCharType="separate"/>
    </w:r>
    <w:r>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p w14:paraId="03AF3C53" w14:textId="5A1BED31" w:rsidR="007A538D" w:rsidRDefault="007A538D" w:rsidP="0023260A">
    <w:pPr>
      <w:pStyle w:val="Header"/>
    </w:pPr>
  </w:p>
  <w:p w14:paraId="7D89FF5B" w14:textId="7F5F367A" w:rsidR="007A538D" w:rsidRDefault="007A538D">
    <w:pPr>
      <w:pStyle w:val="Header"/>
    </w:pPr>
  </w:p>
  <w:p w14:paraId="323F6421" w14:textId="233767E9" w:rsidR="007A538D" w:rsidRDefault="007A538D" w:rsidP="00E57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C243" w14:textId="2BA40DE4" w:rsidR="0000490C" w:rsidRDefault="00615A6B" w:rsidP="00615A6B">
    <w:pPr>
      <w:pStyle w:val="Header"/>
    </w:pPr>
    <w:fldSimple w:instr=" DOCPROPERTY bjHeaderFirstPageDocProperty \* MERGEFORMAT " w:fldLock="1">
      <w:r w:rsidRPr="00615A6B">
        <w:rPr>
          <w:rFonts w:ascii="Times New Roman" w:hAnsi="Times New Roman" w:cs="Times New Roman"/>
          <w:color w:val="000000"/>
          <w:sz w:val="24"/>
        </w:rPr>
        <w:t xml:space="preserve"> </w:t>
      </w:r>
    </w:fldSimple>
  </w:p>
  <w:p w14:paraId="08654A13" w14:textId="5E98CA6F" w:rsidR="007A538D" w:rsidRDefault="007A538D" w:rsidP="0023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C17"/>
    <w:multiLevelType w:val="hybridMultilevel"/>
    <w:tmpl w:val="94F2A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1366F5"/>
    <w:multiLevelType w:val="hybridMultilevel"/>
    <w:tmpl w:val="515452DA"/>
    <w:lvl w:ilvl="0" w:tplc="04C0A09C">
      <w:start w:val="1"/>
      <w:numFmt w:val="decimal"/>
      <w:lvlText w:val="%1."/>
      <w:lvlJc w:val="left"/>
      <w:pPr>
        <w:tabs>
          <w:tab w:val="num" w:pos="720"/>
        </w:tabs>
        <w:ind w:left="720" w:hanging="360"/>
      </w:pPr>
    </w:lvl>
    <w:lvl w:ilvl="1" w:tplc="296ED806">
      <w:numFmt w:val="none"/>
      <w:lvlText w:val=""/>
      <w:lvlJc w:val="left"/>
      <w:pPr>
        <w:tabs>
          <w:tab w:val="num" w:pos="360"/>
        </w:tabs>
      </w:pPr>
    </w:lvl>
    <w:lvl w:ilvl="2" w:tplc="DA047602">
      <w:numFmt w:val="none"/>
      <w:lvlText w:val=""/>
      <w:lvlJc w:val="left"/>
      <w:pPr>
        <w:tabs>
          <w:tab w:val="num" w:pos="360"/>
        </w:tabs>
      </w:pPr>
    </w:lvl>
    <w:lvl w:ilvl="3" w:tplc="AE404B1A">
      <w:numFmt w:val="none"/>
      <w:lvlText w:val=""/>
      <w:lvlJc w:val="left"/>
      <w:pPr>
        <w:tabs>
          <w:tab w:val="num" w:pos="360"/>
        </w:tabs>
      </w:pPr>
    </w:lvl>
    <w:lvl w:ilvl="4" w:tplc="8B4673CA">
      <w:numFmt w:val="none"/>
      <w:lvlText w:val=""/>
      <w:lvlJc w:val="left"/>
      <w:pPr>
        <w:tabs>
          <w:tab w:val="num" w:pos="360"/>
        </w:tabs>
      </w:pPr>
    </w:lvl>
    <w:lvl w:ilvl="5" w:tplc="97CAA954">
      <w:numFmt w:val="none"/>
      <w:lvlText w:val=""/>
      <w:lvlJc w:val="left"/>
      <w:pPr>
        <w:tabs>
          <w:tab w:val="num" w:pos="360"/>
        </w:tabs>
      </w:pPr>
    </w:lvl>
    <w:lvl w:ilvl="6" w:tplc="99AAA05E">
      <w:numFmt w:val="none"/>
      <w:lvlText w:val=""/>
      <w:lvlJc w:val="left"/>
      <w:pPr>
        <w:tabs>
          <w:tab w:val="num" w:pos="360"/>
        </w:tabs>
      </w:pPr>
    </w:lvl>
    <w:lvl w:ilvl="7" w:tplc="CC0A1E70">
      <w:numFmt w:val="none"/>
      <w:lvlText w:val=""/>
      <w:lvlJc w:val="left"/>
      <w:pPr>
        <w:tabs>
          <w:tab w:val="num" w:pos="360"/>
        </w:tabs>
      </w:pPr>
    </w:lvl>
    <w:lvl w:ilvl="8" w:tplc="1B2A7250">
      <w:numFmt w:val="none"/>
      <w:lvlText w:val=""/>
      <w:lvlJc w:val="left"/>
      <w:pPr>
        <w:tabs>
          <w:tab w:val="num" w:pos="360"/>
        </w:tabs>
      </w:pPr>
    </w:lvl>
  </w:abstractNum>
  <w:abstractNum w:abstractNumId="2" w15:restartNumberingAfterBreak="0">
    <w:nsid w:val="1EA5539B"/>
    <w:multiLevelType w:val="hybridMultilevel"/>
    <w:tmpl w:val="4016DA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9C221F"/>
    <w:multiLevelType w:val="hybridMultilevel"/>
    <w:tmpl w:val="5BFC28D4"/>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187C8A"/>
    <w:multiLevelType w:val="hybridMultilevel"/>
    <w:tmpl w:val="BEB01A84"/>
    <w:lvl w:ilvl="0" w:tplc="8056FB64">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92449B2"/>
    <w:multiLevelType w:val="hybridMultilevel"/>
    <w:tmpl w:val="BA76B2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B6972EA"/>
    <w:multiLevelType w:val="hybridMultilevel"/>
    <w:tmpl w:val="881C41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BE"/>
    <w:rsid w:val="0000490C"/>
    <w:rsid w:val="00012956"/>
    <w:rsid w:val="00013B91"/>
    <w:rsid w:val="00021B0D"/>
    <w:rsid w:val="00023534"/>
    <w:rsid w:val="0005007C"/>
    <w:rsid w:val="00080AE2"/>
    <w:rsid w:val="000A03C5"/>
    <w:rsid w:val="000B5DE7"/>
    <w:rsid w:val="000D79F8"/>
    <w:rsid w:val="000F0D03"/>
    <w:rsid w:val="000F758D"/>
    <w:rsid w:val="001056DC"/>
    <w:rsid w:val="00114792"/>
    <w:rsid w:val="00130727"/>
    <w:rsid w:val="001307AB"/>
    <w:rsid w:val="00140638"/>
    <w:rsid w:val="00140C27"/>
    <w:rsid w:val="001561BA"/>
    <w:rsid w:val="0018270D"/>
    <w:rsid w:val="00190AC7"/>
    <w:rsid w:val="00195FD0"/>
    <w:rsid w:val="001C32AF"/>
    <w:rsid w:val="00200E1F"/>
    <w:rsid w:val="00204C35"/>
    <w:rsid w:val="0022227A"/>
    <w:rsid w:val="00225540"/>
    <w:rsid w:val="00225E70"/>
    <w:rsid w:val="0023260A"/>
    <w:rsid w:val="0024534F"/>
    <w:rsid w:val="00254639"/>
    <w:rsid w:val="00257115"/>
    <w:rsid w:val="0027195B"/>
    <w:rsid w:val="00294864"/>
    <w:rsid w:val="002B0991"/>
    <w:rsid w:val="002B6A2E"/>
    <w:rsid w:val="002E31F7"/>
    <w:rsid w:val="002F751F"/>
    <w:rsid w:val="00303B28"/>
    <w:rsid w:val="003046A7"/>
    <w:rsid w:val="003424F6"/>
    <w:rsid w:val="00345374"/>
    <w:rsid w:val="003500A7"/>
    <w:rsid w:val="00375BDC"/>
    <w:rsid w:val="00384441"/>
    <w:rsid w:val="00397FCA"/>
    <w:rsid w:val="003B73D1"/>
    <w:rsid w:val="003C368D"/>
    <w:rsid w:val="003D0CBB"/>
    <w:rsid w:val="003F670A"/>
    <w:rsid w:val="00426AAF"/>
    <w:rsid w:val="00444E5B"/>
    <w:rsid w:val="004457B4"/>
    <w:rsid w:val="004511AB"/>
    <w:rsid w:val="00475FC8"/>
    <w:rsid w:val="00477120"/>
    <w:rsid w:val="004A5EA3"/>
    <w:rsid w:val="004B01D9"/>
    <w:rsid w:val="004D4FCC"/>
    <w:rsid w:val="00502427"/>
    <w:rsid w:val="005421E6"/>
    <w:rsid w:val="00544CED"/>
    <w:rsid w:val="005506C4"/>
    <w:rsid w:val="0055478F"/>
    <w:rsid w:val="00555EAE"/>
    <w:rsid w:val="00580F71"/>
    <w:rsid w:val="00585AFD"/>
    <w:rsid w:val="005916D4"/>
    <w:rsid w:val="005B5A15"/>
    <w:rsid w:val="005C09A0"/>
    <w:rsid w:val="005C2A30"/>
    <w:rsid w:val="005D5481"/>
    <w:rsid w:val="005D7972"/>
    <w:rsid w:val="005F44B0"/>
    <w:rsid w:val="00607208"/>
    <w:rsid w:val="00615A6B"/>
    <w:rsid w:val="00615E1A"/>
    <w:rsid w:val="00626405"/>
    <w:rsid w:val="006269BA"/>
    <w:rsid w:val="0064335C"/>
    <w:rsid w:val="00645A5B"/>
    <w:rsid w:val="00656C29"/>
    <w:rsid w:val="006906E7"/>
    <w:rsid w:val="00693199"/>
    <w:rsid w:val="00693C6F"/>
    <w:rsid w:val="006B54B2"/>
    <w:rsid w:val="006B5C7A"/>
    <w:rsid w:val="006C0652"/>
    <w:rsid w:val="006C2F39"/>
    <w:rsid w:val="006C39C5"/>
    <w:rsid w:val="006D5011"/>
    <w:rsid w:val="006E0613"/>
    <w:rsid w:val="006E7F88"/>
    <w:rsid w:val="006F0D89"/>
    <w:rsid w:val="00702E31"/>
    <w:rsid w:val="00703F76"/>
    <w:rsid w:val="007043B0"/>
    <w:rsid w:val="0073232C"/>
    <w:rsid w:val="007527A4"/>
    <w:rsid w:val="0077530F"/>
    <w:rsid w:val="007814B5"/>
    <w:rsid w:val="007A538D"/>
    <w:rsid w:val="007B1139"/>
    <w:rsid w:val="007D02C1"/>
    <w:rsid w:val="007D44DE"/>
    <w:rsid w:val="007E2775"/>
    <w:rsid w:val="007E54FF"/>
    <w:rsid w:val="007E7489"/>
    <w:rsid w:val="007F6C1D"/>
    <w:rsid w:val="00816B94"/>
    <w:rsid w:val="00827DB0"/>
    <w:rsid w:val="0083407F"/>
    <w:rsid w:val="0083485E"/>
    <w:rsid w:val="0085288D"/>
    <w:rsid w:val="00865D18"/>
    <w:rsid w:val="008926B9"/>
    <w:rsid w:val="008972E3"/>
    <w:rsid w:val="008A2C21"/>
    <w:rsid w:val="008B517F"/>
    <w:rsid w:val="008B7739"/>
    <w:rsid w:val="008D3B68"/>
    <w:rsid w:val="008F285B"/>
    <w:rsid w:val="008F60D0"/>
    <w:rsid w:val="00923B04"/>
    <w:rsid w:val="00947F7E"/>
    <w:rsid w:val="009512FC"/>
    <w:rsid w:val="00970E2E"/>
    <w:rsid w:val="00982684"/>
    <w:rsid w:val="00982C13"/>
    <w:rsid w:val="00997C13"/>
    <w:rsid w:val="009C48D0"/>
    <w:rsid w:val="009E25A6"/>
    <w:rsid w:val="009F28E7"/>
    <w:rsid w:val="009F30FF"/>
    <w:rsid w:val="009F529C"/>
    <w:rsid w:val="00A071DF"/>
    <w:rsid w:val="00A277FC"/>
    <w:rsid w:val="00A61286"/>
    <w:rsid w:val="00A7451A"/>
    <w:rsid w:val="00A939C9"/>
    <w:rsid w:val="00AA31D3"/>
    <w:rsid w:val="00AA5A18"/>
    <w:rsid w:val="00AF39EE"/>
    <w:rsid w:val="00B04E3A"/>
    <w:rsid w:val="00B2596E"/>
    <w:rsid w:val="00B26CC9"/>
    <w:rsid w:val="00B32EFA"/>
    <w:rsid w:val="00B4258D"/>
    <w:rsid w:val="00B7103A"/>
    <w:rsid w:val="00BB0662"/>
    <w:rsid w:val="00BB6AA1"/>
    <w:rsid w:val="00BC2425"/>
    <w:rsid w:val="00BC2CAC"/>
    <w:rsid w:val="00BC65A8"/>
    <w:rsid w:val="00C03A64"/>
    <w:rsid w:val="00C10742"/>
    <w:rsid w:val="00C41212"/>
    <w:rsid w:val="00C41609"/>
    <w:rsid w:val="00C6319F"/>
    <w:rsid w:val="00CB1AD4"/>
    <w:rsid w:val="00CC2FBE"/>
    <w:rsid w:val="00CD673C"/>
    <w:rsid w:val="00CD7ECA"/>
    <w:rsid w:val="00CF17A9"/>
    <w:rsid w:val="00CF25FF"/>
    <w:rsid w:val="00CF6B0B"/>
    <w:rsid w:val="00D3153D"/>
    <w:rsid w:val="00D32CA9"/>
    <w:rsid w:val="00D473F7"/>
    <w:rsid w:val="00D735C8"/>
    <w:rsid w:val="00D802F4"/>
    <w:rsid w:val="00D8750E"/>
    <w:rsid w:val="00DA24E4"/>
    <w:rsid w:val="00DB0531"/>
    <w:rsid w:val="00E04C2E"/>
    <w:rsid w:val="00E22952"/>
    <w:rsid w:val="00E5773F"/>
    <w:rsid w:val="00E93D45"/>
    <w:rsid w:val="00E97085"/>
    <w:rsid w:val="00EA5C38"/>
    <w:rsid w:val="00ED018C"/>
    <w:rsid w:val="00ED5D0B"/>
    <w:rsid w:val="00F163F6"/>
    <w:rsid w:val="00F20B69"/>
    <w:rsid w:val="00F23EF2"/>
    <w:rsid w:val="00F53878"/>
    <w:rsid w:val="00F56699"/>
    <w:rsid w:val="00F76C74"/>
    <w:rsid w:val="00F844B1"/>
    <w:rsid w:val="00F9031B"/>
    <w:rsid w:val="00F90575"/>
    <w:rsid w:val="00FA3BC3"/>
    <w:rsid w:val="00FC1E5B"/>
    <w:rsid w:val="00FC27FC"/>
    <w:rsid w:val="00FD4292"/>
    <w:rsid w:val="00FE3687"/>
    <w:rsid w:val="00FE7B0F"/>
    <w:rsid w:val="00FF0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DE174"/>
  <w15:chartTrackingRefBased/>
  <w15:docId w15:val="{5A68D597-7432-4DC2-A622-4977BC0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B1"/>
  </w:style>
  <w:style w:type="paragraph" w:styleId="Heading3">
    <w:name w:val="heading 3"/>
    <w:basedOn w:val="Normal"/>
    <w:next w:val="Normal"/>
    <w:link w:val="Heading3Char"/>
    <w:qFormat/>
    <w:rsid w:val="00702E31"/>
    <w:pPr>
      <w:keepNext/>
      <w:spacing w:after="0" w:line="240" w:lineRule="auto"/>
      <w:ind w:left="-108"/>
      <w:jc w:val="both"/>
      <w:outlineLvl w:val="2"/>
    </w:pPr>
    <w:rPr>
      <w:rFonts w:ascii="Verdana" w:eastAsia="Times New Roman" w:hAnsi="Verdana" w:cs="Times New Roman"/>
      <w:b/>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BE"/>
  </w:style>
  <w:style w:type="paragraph" w:styleId="Footer">
    <w:name w:val="footer"/>
    <w:basedOn w:val="Normal"/>
    <w:link w:val="FooterChar"/>
    <w:uiPriority w:val="99"/>
    <w:unhideWhenUsed/>
    <w:rsid w:val="00CC2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BE"/>
  </w:style>
  <w:style w:type="character" w:styleId="CommentReference">
    <w:name w:val="annotation reference"/>
    <w:basedOn w:val="DefaultParagraphFont"/>
    <w:uiPriority w:val="99"/>
    <w:semiHidden/>
    <w:unhideWhenUsed/>
    <w:rsid w:val="00A61286"/>
    <w:rPr>
      <w:sz w:val="16"/>
      <w:szCs w:val="16"/>
    </w:rPr>
  </w:style>
  <w:style w:type="paragraph" w:styleId="CommentText">
    <w:name w:val="annotation text"/>
    <w:basedOn w:val="Normal"/>
    <w:link w:val="CommentTextChar"/>
    <w:uiPriority w:val="99"/>
    <w:semiHidden/>
    <w:unhideWhenUsed/>
    <w:rsid w:val="00A61286"/>
    <w:pPr>
      <w:spacing w:line="240" w:lineRule="auto"/>
    </w:pPr>
    <w:rPr>
      <w:sz w:val="20"/>
      <w:szCs w:val="20"/>
    </w:rPr>
  </w:style>
  <w:style w:type="character" w:customStyle="1" w:styleId="CommentTextChar">
    <w:name w:val="Comment Text Char"/>
    <w:basedOn w:val="DefaultParagraphFont"/>
    <w:link w:val="CommentText"/>
    <w:uiPriority w:val="99"/>
    <w:semiHidden/>
    <w:rsid w:val="00A61286"/>
    <w:rPr>
      <w:sz w:val="20"/>
      <w:szCs w:val="20"/>
    </w:rPr>
  </w:style>
  <w:style w:type="paragraph" w:styleId="CommentSubject">
    <w:name w:val="annotation subject"/>
    <w:basedOn w:val="CommentText"/>
    <w:next w:val="CommentText"/>
    <w:link w:val="CommentSubjectChar"/>
    <w:uiPriority w:val="99"/>
    <w:semiHidden/>
    <w:unhideWhenUsed/>
    <w:rsid w:val="00A61286"/>
    <w:rPr>
      <w:b/>
      <w:bCs/>
    </w:rPr>
  </w:style>
  <w:style w:type="character" w:customStyle="1" w:styleId="CommentSubjectChar">
    <w:name w:val="Comment Subject Char"/>
    <w:basedOn w:val="CommentTextChar"/>
    <w:link w:val="CommentSubject"/>
    <w:uiPriority w:val="99"/>
    <w:semiHidden/>
    <w:rsid w:val="00A61286"/>
    <w:rPr>
      <w:b/>
      <w:bCs/>
      <w:sz w:val="20"/>
      <w:szCs w:val="20"/>
    </w:rPr>
  </w:style>
  <w:style w:type="paragraph" w:styleId="BalloonText">
    <w:name w:val="Balloon Text"/>
    <w:basedOn w:val="Normal"/>
    <w:link w:val="BalloonTextChar"/>
    <w:uiPriority w:val="99"/>
    <w:semiHidden/>
    <w:unhideWhenUsed/>
    <w:rsid w:val="00A61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86"/>
    <w:rPr>
      <w:rFonts w:ascii="Segoe UI" w:hAnsi="Segoe UI" w:cs="Segoe UI"/>
      <w:sz w:val="18"/>
      <w:szCs w:val="18"/>
    </w:rPr>
  </w:style>
  <w:style w:type="character" w:customStyle="1" w:styleId="Heading3Char">
    <w:name w:val="Heading 3 Char"/>
    <w:basedOn w:val="DefaultParagraphFont"/>
    <w:link w:val="Heading3"/>
    <w:rsid w:val="00702E31"/>
    <w:rPr>
      <w:rFonts w:ascii="Verdana" w:eastAsia="Times New Roman" w:hAnsi="Verdana" w:cs="Times New Roman"/>
      <w:b/>
      <w:sz w:val="18"/>
      <w:szCs w:val="24"/>
      <w:lang w:val="en-GB"/>
    </w:rPr>
  </w:style>
  <w:style w:type="character" w:styleId="Hyperlink">
    <w:name w:val="Hyperlink"/>
    <w:basedOn w:val="DefaultParagraphFont"/>
    <w:uiPriority w:val="99"/>
    <w:rsid w:val="00140638"/>
    <w:rPr>
      <w:color w:val="0000FF" w:themeColor="hyperlink"/>
      <w:u w:val="single"/>
    </w:rPr>
  </w:style>
  <w:style w:type="paragraph" w:styleId="ListParagraph">
    <w:name w:val="List Paragraph"/>
    <w:basedOn w:val="Normal"/>
    <w:uiPriority w:val="34"/>
    <w:qFormat/>
    <w:rsid w:val="00140638"/>
    <w:pPr>
      <w:spacing w:after="0" w:line="240" w:lineRule="auto"/>
      <w:ind w:left="720"/>
    </w:pPr>
    <w:rPr>
      <w:rFonts w:ascii="Calibri" w:eastAsia="Calibri" w:hAnsi="Calibri" w:cs="Times New Roman"/>
      <w:lang w:val="en-GB"/>
    </w:rPr>
  </w:style>
  <w:style w:type="paragraph" w:customStyle="1" w:styleId="Default">
    <w:name w:val="Default"/>
    <w:basedOn w:val="Normal"/>
    <w:rsid w:val="00140638"/>
    <w:pPr>
      <w:autoSpaceDE w:val="0"/>
      <w:autoSpaceDN w:val="0"/>
      <w:spacing w:after="0" w:line="240" w:lineRule="auto"/>
    </w:pPr>
    <w:rPr>
      <w:rFonts w:ascii="Calibri" w:hAnsi="Calibri" w:cs="Times New Roman"/>
      <w:color w:val="000000"/>
      <w:sz w:val="24"/>
      <w:szCs w:val="24"/>
      <w:lang w:eastAsia="en-IE"/>
    </w:rPr>
  </w:style>
  <w:style w:type="character" w:styleId="FollowedHyperlink">
    <w:name w:val="FollowedHyperlink"/>
    <w:basedOn w:val="DefaultParagraphFont"/>
    <w:uiPriority w:val="99"/>
    <w:semiHidden/>
    <w:unhideWhenUsed/>
    <w:rsid w:val="007E2775"/>
    <w:rPr>
      <w:color w:val="800080" w:themeColor="followedHyperlink"/>
      <w:u w:val="single"/>
    </w:rPr>
  </w:style>
  <w:style w:type="paragraph" w:styleId="Revision">
    <w:name w:val="Revision"/>
    <w:hidden/>
    <w:uiPriority w:val="99"/>
    <w:semiHidden/>
    <w:rsid w:val="0073232C"/>
    <w:pPr>
      <w:spacing w:after="0" w:line="240" w:lineRule="auto"/>
    </w:pPr>
  </w:style>
  <w:style w:type="paragraph" w:styleId="EndnoteText">
    <w:name w:val="endnote text"/>
    <w:basedOn w:val="Normal"/>
    <w:link w:val="EndnoteTextChar"/>
    <w:uiPriority w:val="99"/>
    <w:semiHidden/>
    <w:unhideWhenUsed/>
    <w:rsid w:val="00BC2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425"/>
    <w:rPr>
      <w:sz w:val="20"/>
      <w:szCs w:val="20"/>
    </w:rPr>
  </w:style>
  <w:style w:type="character" w:styleId="EndnoteReference">
    <w:name w:val="endnote reference"/>
    <w:basedOn w:val="DefaultParagraphFont"/>
    <w:uiPriority w:val="99"/>
    <w:semiHidden/>
    <w:unhideWhenUsed/>
    <w:rsid w:val="00BC2425"/>
    <w:rPr>
      <w:vertAlign w:val="superscript"/>
    </w:rPr>
  </w:style>
  <w:style w:type="paragraph" w:styleId="FootnoteText">
    <w:name w:val="footnote text"/>
    <w:basedOn w:val="Normal"/>
    <w:link w:val="FootnoteTextChar"/>
    <w:uiPriority w:val="99"/>
    <w:unhideWhenUsed/>
    <w:qFormat/>
    <w:rsid w:val="00BC2425"/>
    <w:pPr>
      <w:spacing w:after="0" w:line="240" w:lineRule="auto"/>
    </w:pPr>
    <w:rPr>
      <w:sz w:val="20"/>
      <w:szCs w:val="20"/>
    </w:rPr>
  </w:style>
  <w:style w:type="character" w:customStyle="1" w:styleId="FootnoteTextChar">
    <w:name w:val="Footnote Text Char"/>
    <w:basedOn w:val="DefaultParagraphFont"/>
    <w:link w:val="FootnoteText"/>
    <w:uiPriority w:val="99"/>
    <w:rsid w:val="00BC2425"/>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unhideWhenUsed/>
    <w:qFormat/>
    <w:rsid w:val="00BC2425"/>
    <w:rPr>
      <w:vertAlign w:val="superscript"/>
    </w:rPr>
  </w:style>
  <w:style w:type="paragraph" w:customStyle="1" w:styleId="CM1">
    <w:name w:val="CM1"/>
    <w:basedOn w:val="Default"/>
    <w:next w:val="Default"/>
    <w:uiPriority w:val="99"/>
    <w:rsid w:val="006C39C5"/>
    <w:pPr>
      <w:adjustRightInd w:val="0"/>
    </w:pPr>
    <w:rPr>
      <w:rFonts w:ascii="EUAlbertina" w:hAnsi="EUAlbertina" w:cstheme="minorBidi"/>
      <w:color w:val="auto"/>
      <w:lang w:eastAsia="en-US"/>
    </w:rPr>
  </w:style>
  <w:style w:type="paragraph" w:customStyle="1" w:styleId="CM3">
    <w:name w:val="CM3"/>
    <w:basedOn w:val="Default"/>
    <w:next w:val="Default"/>
    <w:uiPriority w:val="99"/>
    <w:rsid w:val="006C39C5"/>
    <w:pPr>
      <w:adjustRightInd w:val="0"/>
    </w:pPr>
    <w:rPr>
      <w:rFonts w:ascii="EUAlbertina" w:hAnsi="EUAlbertina" w:cstheme="minorBidi"/>
      <w:color w:val="auto"/>
      <w:lang w:eastAsia="en-US"/>
    </w:rPr>
  </w:style>
  <w:style w:type="table" w:styleId="PlainTable1">
    <w:name w:val="Plain Table 1"/>
    <w:basedOn w:val="TableNormal"/>
    <w:uiPriority w:val="41"/>
    <w:rsid w:val="003046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0175">
      <w:bodyDiv w:val="1"/>
      <w:marLeft w:val="0"/>
      <w:marRight w:val="0"/>
      <w:marTop w:val="0"/>
      <w:marBottom w:val="0"/>
      <w:divBdr>
        <w:top w:val="none" w:sz="0" w:space="0" w:color="auto"/>
        <w:left w:val="none" w:sz="0" w:space="0" w:color="auto"/>
        <w:bottom w:val="none" w:sz="0" w:space="0" w:color="auto"/>
        <w:right w:val="none" w:sz="0" w:space="0" w:color="auto"/>
      </w:divBdr>
    </w:div>
    <w:div w:id="655038462">
      <w:bodyDiv w:val="1"/>
      <w:marLeft w:val="0"/>
      <w:marRight w:val="0"/>
      <w:marTop w:val="0"/>
      <w:marBottom w:val="0"/>
      <w:divBdr>
        <w:top w:val="none" w:sz="0" w:space="0" w:color="auto"/>
        <w:left w:val="none" w:sz="0" w:space="0" w:color="auto"/>
        <w:bottom w:val="none" w:sz="0" w:space="0" w:color="auto"/>
        <w:right w:val="none" w:sz="0" w:space="0" w:color="auto"/>
      </w:divBdr>
    </w:div>
    <w:div w:id="1027298323">
      <w:bodyDiv w:val="1"/>
      <w:marLeft w:val="0"/>
      <w:marRight w:val="0"/>
      <w:marTop w:val="0"/>
      <w:marBottom w:val="0"/>
      <w:divBdr>
        <w:top w:val="none" w:sz="0" w:space="0" w:color="auto"/>
        <w:left w:val="none" w:sz="0" w:space="0" w:color="auto"/>
        <w:bottom w:val="none" w:sz="0" w:space="0" w:color="auto"/>
        <w:right w:val="none" w:sz="0" w:space="0" w:color="auto"/>
      </w:divBdr>
    </w:div>
    <w:div w:id="20714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ymentservicessupervision@centralbank.i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ur-lex.europa.eu/legal-content/EN/TXT/PDF/?uri=CELEX:32015L2366&amp;from=EN" TargetMode="External"/><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ie/wp-content/uploads/2018/01/18012-S.I.-No.-6-of-2018-European-Union-Payment-Services-Regulations-2018.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entralbank.ie/fns/privacy-statement" TargetMode="External"/><Relationship Id="rId23" Type="http://schemas.openxmlformats.org/officeDocument/2006/relationships/footer" Target="footer3.xml"/><Relationship Id="rId10" Type="http://schemas.openxmlformats.org/officeDocument/2006/relationships/hyperlink" Target="https://www.eba.europa.eu/documents/10180/1904583/Final+Guidelines+on+Authorisations+of+Payment+Institutions+%28EBA-GL-2017-09%29.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ataprotection@centralbank.i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docs/default-source/Regulation/authorisation/fitness-probity/regulated-financial-service-providers/list-of-46-pre-approval-controlled-functions.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8284-418A-45D7-8518-034DA16486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377564-A75B-41A2-871E-543235EE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2178</Words>
  <Characters>12420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Wayne</dc:creator>
  <cp:keywords>Public</cp:keywords>
  <dc:description/>
  <cp:lastModifiedBy>McGuinness, Lucia</cp:lastModifiedBy>
  <cp:revision>2</cp:revision>
  <dcterms:created xsi:type="dcterms:W3CDTF">2019-01-30T12:10:00Z</dcterms:created>
  <dcterms:modified xsi:type="dcterms:W3CDTF">2019-01-30T12:10:00Z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72b73e83-e535-4b4d-90fb-5082cd6fd4ea</vt:lpwstr>
  </property>
  <property fmtid="{D5CDD505-2E9C-101B-9397-08002B2CF9AE}" pid="3" name="bjSaver">
    <vt:lpwstr>NP95F145AxkWzCs8udMI+wjg9kY7+vl3</vt:lpwstr>
  </property>
  <property fmtid="{D5CDD505-2E9C-101B-9397-08002B2CF9AE}" pid="4" name="_AdHocReviewCycleID">
    <vt:i4>616605555</vt:i4>
  </property>
  <property fmtid="{D5CDD505-2E9C-101B-9397-08002B2CF9AE}" pid="5" name="_NewReviewCycle">
    <vt:lpwstr/>
  </property>
  <property fmtid="{D5CDD505-2E9C-101B-9397-08002B2CF9AE}" pid="6" name="_EmailSubject">
    <vt:lpwstr>Changes to PI/EMI webpages</vt:lpwstr>
  </property>
  <property fmtid="{D5CDD505-2E9C-101B-9397-08002B2CF9AE}" pid="7" name="_AuthorEmail">
    <vt:lpwstr>diarmuid.leacy@centralbank.ie</vt:lpwstr>
  </property>
  <property fmtid="{D5CDD505-2E9C-101B-9397-08002B2CF9AE}" pid="8" name="_AuthorEmailDisplayName">
    <vt:lpwstr>Leacy, Diarmuid</vt:lpwstr>
  </property>
  <property fmtid="{D5CDD505-2E9C-101B-9397-08002B2CF9AE}" pid="9" name="_PreviousAdHocReviewCycleID">
    <vt:i4>-1491389578</vt:i4>
  </property>
  <property fmtid="{D5CDD505-2E9C-101B-9397-08002B2CF9AE}" pid="10" name="_ReviewingToolsShownOnce">
    <vt:lpwstr/>
  </property>
  <property fmtid="{D5CDD505-2E9C-101B-9397-08002B2CF9AE}" pid="11" name="bjDocumentSecurityLabel">
    <vt:lpwstr>Public</vt:lpwstr>
  </property>
  <property fmtid="{D5CDD505-2E9C-101B-9397-08002B2CF9AE}" pid="12" name="bjDocumentLabelFieldCodeHeaderFooter">
    <vt:lpwstr>Public</vt:lpwstr>
  </property>
  <property fmtid="{D5CDD505-2E9C-101B-9397-08002B2CF9AE}" pid="1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4" name="bjDocumentLabelXML-0">
    <vt:lpwstr>ames.com/2008/01/sie/internal/label"&gt;&lt;element uid="33ed6465-8d2f-4fab-bbbc-787e2c148707" value="" /&gt;&lt;element uid="28c775dd-3fa7-40f2-8368-0e7fa48abc25" value="" /&gt;&lt;/sisl&gt;</vt:lpwstr>
  </property>
  <property fmtid="{D5CDD505-2E9C-101B-9397-08002B2CF9AE}" pid="15" name="bjHeaderBothDocProperty">
    <vt:lpwstr> </vt:lpwstr>
  </property>
  <property fmtid="{D5CDD505-2E9C-101B-9397-08002B2CF9AE}" pid="16" name="bjHeaderFirstPageDocProperty">
    <vt:lpwstr> </vt:lpwstr>
  </property>
  <property fmtid="{D5CDD505-2E9C-101B-9397-08002B2CF9AE}" pid="17" name="bjHeaderEvenPageDocProperty">
    <vt:lpwstr> </vt:lpwstr>
  </property>
</Properties>
</file>