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E5B78" w14:textId="77777777" w:rsidR="008972E3" w:rsidRDefault="008972E3" w:rsidP="008972E3">
      <w:pPr>
        <w:spacing w:before="240"/>
        <w:ind w:left="720" w:firstLine="720"/>
        <w:jc w:val="center"/>
        <w:rPr>
          <w:b/>
        </w:rPr>
      </w:pPr>
      <w:bookmarkStart w:id="0" w:name="_GoBack"/>
      <w:bookmarkEnd w:id="0"/>
      <w:r>
        <w:rPr>
          <w:noProof/>
          <w:lang w:eastAsia="en-IE"/>
        </w:rPr>
        <w:drawing>
          <wp:anchor distT="0" distB="0" distL="114300" distR="114300" simplePos="0" relativeHeight="251659264" behindDoc="1" locked="0" layoutInCell="1" allowOverlap="1" wp14:anchorId="7D09D3BB" wp14:editId="7A079FE5">
            <wp:simplePos x="0" y="0"/>
            <wp:positionH relativeFrom="page">
              <wp:posOffset>180975</wp:posOffset>
            </wp:positionH>
            <wp:positionV relativeFrom="paragraph">
              <wp:posOffset>-685800</wp:posOffset>
            </wp:positionV>
            <wp:extent cx="7264400" cy="9980999"/>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71310" cy="9990493"/>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Pr>
          <w:b/>
        </w:rPr>
        <w:tab/>
      </w:r>
      <w:r>
        <w:rPr>
          <w:b/>
        </w:rPr>
        <w:tab/>
      </w:r>
    </w:p>
    <w:p w14:paraId="1817FA2E" w14:textId="77777777" w:rsidR="008972E3" w:rsidRDefault="008972E3" w:rsidP="008972E3">
      <w:pPr>
        <w:spacing w:before="240"/>
        <w:ind w:left="720" w:firstLine="720"/>
        <w:jc w:val="center"/>
        <w:rPr>
          <w:b/>
        </w:rPr>
      </w:pPr>
    </w:p>
    <w:p w14:paraId="7DF8173D" w14:textId="77777777" w:rsidR="008972E3" w:rsidRDefault="008972E3" w:rsidP="008972E3">
      <w:pPr>
        <w:spacing w:before="240"/>
        <w:ind w:left="720" w:firstLine="720"/>
        <w:jc w:val="center"/>
        <w:rPr>
          <w:b/>
        </w:rPr>
      </w:pPr>
    </w:p>
    <w:p w14:paraId="76C41333" w14:textId="7B90776E" w:rsidR="008972E3" w:rsidRDefault="0024534F" w:rsidP="0024534F">
      <w:pPr>
        <w:tabs>
          <w:tab w:val="left" w:pos="2580"/>
        </w:tabs>
        <w:spacing w:before="240"/>
        <w:ind w:left="720" w:firstLine="720"/>
        <w:rPr>
          <w:b/>
        </w:rPr>
      </w:pPr>
      <w:r>
        <w:rPr>
          <w:b/>
        </w:rPr>
        <w:tab/>
      </w:r>
    </w:p>
    <w:p w14:paraId="2FAFC57B" w14:textId="77777777" w:rsidR="008972E3" w:rsidRDefault="008972E3" w:rsidP="008972E3">
      <w:pPr>
        <w:spacing w:before="240"/>
        <w:ind w:left="720" w:firstLine="720"/>
        <w:jc w:val="center"/>
        <w:rPr>
          <w:b/>
        </w:rPr>
      </w:pPr>
    </w:p>
    <w:p w14:paraId="46D806EF" w14:textId="7A74BB45" w:rsidR="008972E3" w:rsidRDefault="0024534F" w:rsidP="0024534F">
      <w:pPr>
        <w:tabs>
          <w:tab w:val="left" w:pos="6855"/>
        </w:tabs>
        <w:spacing w:before="240"/>
        <w:ind w:left="720" w:firstLine="720"/>
        <w:rPr>
          <w:b/>
        </w:rPr>
      </w:pPr>
      <w:r>
        <w:rPr>
          <w:b/>
        </w:rPr>
        <w:tab/>
      </w:r>
    </w:p>
    <w:p w14:paraId="4C3196E2" w14:textId="77777777" w:rsidR="008972E3" w:rsidRDefault="008972E3" w:rsidP="008972E3">
      <w:pPr>
        <w:spacing w:before="240"/>
        <w:ind w:left="720" w:firstLine="720"/>
        <w:jc w:val="center"/>
        <w:rPr>
          <w:b/>
        </w:rPr>
      </w:pPr>
    </w:p>
    <w:p w14:paraId="4644AA97" w14:textId="77777777" w:rsidR="008972E3" w:rsidRDefault="008972E3" w:rsidP="008972E3">
      <w:pPr>
        <w:spacing w:before="240"/>
        <w:ind w:left="720" w:firstLine="720"/>
        <w:jc w:val="center"/>
        <w:rPr>
          <w:b/>
        </w:rPr>
      </w:pPr>
    </w:p>
    <w:p w14:paraId="6D02BC4F" w14:textId="77777777" w:rsidR="008972E3" w:rsidRDefault="008972E3" w:rsidP="008972E3">
      <w:pPr>
        <w:spacing w:before="240"/>
        <w:ind w:left="720" w:firstLine="720"/>
        <w:jc w:val="center"/>
        <w:rPr>
          <w:b/>
        </w:rPr>
      </w:pPr>
    </w:p>
    <w:p w14:paraId="532B82A0" w14:textId="77777777" w:rsidR="00333FD3" w:rsidRDefault="006C39C5" w:rsidP="00F50206">
      <w:pPr>
        <w:autoSpaceDE w:val="0"/>
        <w:autoSpaceDN w:val="0"/>
        <w:adjustRightInd w:val="0"/>
        <w:spacing w:after="0" w:line="240" w:lineRule="auto"/>
        <w:jc w:val="both"/>
        <w:rPr>
          <w:b/>
          <w:color w:val="92CDDC" w:themeColor="accent5" w:themeTint="99"/>
          <w:sz w:val="40"/>
          <w:szCs w:val="40"/>
        </w:rPr>
      </w:pPr>
      <w:r>
        <w:rPr>
          <w:b/>
          <w:color w:val="92CDDC" w:themeColor="accent5" w:themeTint="99"/>
          <w:sz w:val="40"/>
          <w:szCs w:val="40"/>
        </w:rPr>
        <w:t xml:space="preserve">Notification </w:t>
      </w:r>
      <w:r w:rsidR="005D5481">
        <w:rPr>
          <w:b/>
          <w:color w:val="92CDDC" w:themeColor="accent5" w:themeTint="99"/>
          <w:sz w:val="40"/>
          <w:szCs w:val="40"/>
        </w:rPr>
        <w:t>Form</w:t>
      </w:r>
      <w:r w:rsidR="0024534F" w:rsidRPr="00693C6F">
        <w:rPr>
          <w:b/>
          <w:color w:val="92CDDC" w:themeColor="accent5" w:themeTint="99"/>
          <w:sz w:val="40"/>
          <w:szCs w:val="40"/>
        </w:rPr>
        <w:t xml:space="preserve"> for Payment Institutions </w:t>
      </w:r>
      <w:r w:rsidR="00931EA8">
        <w:rPr>
          <w:b/>
          <w:color w:val="92CDDC" w:themeColor="accent5" w:themeTint="99"/>
          <w:sz w:val="40"/>
          <w:szCs w:val="40"/>
        </w:rPr>
        <w:t xml:space="preserve">and Electronic </w:t>
      </w:r>
      <w:r w:rsidR="0083485E" w:rsidRPr="00693C6F">
        <w:rPr>
          <w:b/>
          <w:color w:val="92CDDC" w:themeColor="accent5" w:themeTint="99"/>
          <w:sz w:val="40"/>
          <w:szCs w:val="40"/>
        </w:rPr>
        <w:t xml:space="preserve">Money Institutions </w:t>
      </w:r>
      <w:r w:rsidR="00333FD3">
        <w:rPr>
          <w:b/>
          <w:color w:val="92CDDC" w:themeColor="accent5" w:themeTint="99"/>
          <w:sz w:val="40"/>
          <w:szCs w:val="40"/>
        </w:rPr>
        <w:t>seeking to outsource</w:t>
      </w:r>
      <w:r w:rsidR="007D0CCC">
        <w:rPr>
          <w:b/>
          <w:color w:val="92CDDC" w:themeColor="accent5" w:themeTint="99"/>
          <w:sz w:val="40"/>
          <w:szCs w:val="40"/>
        </w:rPr>
        <w:t xml:space="preserve"> c</w:t>
      </w:r>
      <w:r w:rsidR="00333FD3">
        <w:rPr>
          <w:b/>
          <w:color w:val="92CDDC" w:themeColor="accent5" w:themeTint="99"/>
          <w:sz w:val="40"/>
          <w:szCs w:val="40"/>
        </w:rPr>
        <w:t>ritical or important functions</w:t>
      </w:r>
    </w:p>
    <w:p w14:paraId="28F0CA75" w14:textId="456B37F7" w:rsidR="00333FD3" w:rsidRDefault="00333FD3" w:rsidP="00F50206">
      <w:pPr>
        <w:autoSpaceDE w:val="0"/>
        <w:autoSpaceDN w:val="0"/>
        <w:adjustRightInd w:val="0"/>
        <w:spacing w:after="0" w:line="240" w:lineRule="auto"/>
        <w:jc w:val="both"/>
        <w:rPr>
          <w:b/>
          <w:color w:val="92CDDC" w:themeColor="accent5" w:themeTint="99"/>
          <w:sz w:val="40"/>
          <w:szCs w:val="40"/>
        </w:rPr>
      </w:pPr>
      <w:r>
        <w:rPr>
          <w:b/>
          <w:color w:val="92CDDC" w:themeColor="accent5" w:themeTint="99"/>
          <w:sz w:val="40"/>
          <w:szCs w:val="40"/>
        </w:rPr>
        <w:t>or</w:t>
      </w:r>
    </w:p>
    <w:p w14:paraId="39924D62" w14:textId="10DDD5BA" w:rsidR="0024534F" w:rsidRPr="00693C6F" w:rsidRDefault="00333FD3" w:rsidP="00F50206">
      <w:pPr>
        <w:autoSpaceDE w:val="0"/>
        <w:autoSpaceDN w:val="0"/>
        <w:adjustRightInd w:val="0"/>
        <w:spacing w:after="0" w:line="240" w:lineRule="auto"/>
        <w:jc w:val="both"/>
        <w:rPr>
          <w:b/>
          <w:color w:val="92CDDC" w:themeColor="accent5" w:themeTint="99"/>
          <w:sz w:val="40"/>
          <w:szCs w:val="40"/>
        </w:rPr>
      </w:pPr>
      <w:r>
        <w:rPr>
          <w:b/>
          <w:color w:val="92CDDC" w:themeColor="accent5" w:themeTint="99"/>
          <w:sz w:val="40"/>
          <w:szCs w:val="40"/>
        </w:rPr>
        <w:t xml:space="preserve">seeking to make material changes </w:t>
      </w:r>
      <w:r w:rsidR="007D0CCC">
        <w:rPr>
          <w:b/>
          <w:color w:val="92CDDC" w:themeColor="accent5" w:themeTint="99"/>
          <w:sz w:val="40"/>
          <w:szCs w:val="40"/>
        </w:rPr>
        <w:t xml:space="preserve">to critical or important </w:t>
      </w:r>
      <w:r>
        <w:rPr>
          <w:b/>
          <w:color w:val="92CDDC" w:themeColor="accent5" w:themeTint="99"/>
          <w:sz w:val="40"/>
          <w:szCs w:val="40"/>
        </w:rPr>
        <w:t xml:space="preserve">outsourced </w:t>
      </w:r>
      <w:r w:rsidR="007D0CCC">
        <w:rPr>
          <w:b/>
          <w:color w:val="92CDDC" w:themeColor="accent5" w:themeTint="99"/>
          <w:sz w:val="40"/>
          <w:szCs w:val="40"/>
        </w:rPr>
        <w:t>functions</w:t>
      </w:r>
    </w:p>
    <w:p w14:paraId="0430537A" w14:textId="35CA3719" w:rsidR="008972E3" w:rsidRPr="00693C6F" w:rsidRDefault="0024534F" w:rsidP="0024534F">
      <w:pPr>
        <w:spacing w:before="240"/>
        <w:rPr>
          <w:b/>
          <w:color w:val="92CDDC" w:themeColor="accent5" w:themeTint="99"/>
          <w:sz w:val="28"/>
          <w:szCs w:val="28"/>
        </w:rPr>
      </w:pPr>
      <w:r w:rsidRPr="00693C6F">
        <w:rPr>
          <w:b/>
          <w:color w:val="FFFFFF" w:themeColor="background1"/>
          <w:sz w:val="28"/>
          <w:szCs w:val="28"/>
        </w:rPr>
        <w:lastRenderedPageBreak/>
        <w:t>U</w:t>
      </w:r>
      <w:r w:rsidR="00C41609" w:rsidRPr="00693C6F">
        <w:rPr>
          <w:b/>
          <w:color w:val="FFFFFF" w:themeColor="background1"/>
          <w:sz w:val="28"/>
          <w:szCs w:val="28"/>
        </w:rPr>
        <w:t xml:space="preserve">nder </w:t>
      </w:r>
      <w:r w:rsidR="00931EA8">
        <w:rPr>
          <w:b/>
          <w:color w:val="FFFFFF" w:themeColor="background1"/>
          <w:sz w:val="28"/>
          <w:szCs w:val="28"/>
        </w:rPr>
        <w:t xml:space="preserve">the </w:t>
      </w:r>
      <w:r w:rsidR="00931EA8" w:rsidRPr="00931EA8">
        <w:rPr>
          <w:b/>
          <w:color w:val="FFFFFF" w:themeColor="background1"/>
          <w:sz w:val="28"/>
          <w:szCs w:val="28"/>
        </w:rPr>
        <w:t>EBA Guidelines on outsourcing arrangements</w:t>
      </w:r>
    </w:p>
    <w:p w14:paraId="4E5AD015" w14:textId="42A9DBED" w:rsidR="0024534F" w:rsidRPr="0018270D" w:rsidRDefault="00613020" w:rsidP="0024534F">
      <w:pPr>
        <w:spacing w:before="240"/>
        <w:rPr>
          <w:b/>
          <w:color w:val="FFFFFF" w:themeColor="background1"/>
          <w:sz w:val="36"/>
          <w:szCs w:val="36"/>
        </w:rPr>
      </w:pPr>
      <w:r>
        <w:rPr>
          <w:b/>
          <w:color w:val="FFFFFF" w:themeColor="background1"/>
          <w:sz w:val="28"/>
          <w:szCs w:val="28"/>
        </w:rPr>
        <w:t>February</w:t>
      </w:r>
      <w:r w:rsidR="009A58F0">
        <w:rPr>
          <w:b/>
          <w:color w:val="FFFFFF" w:themeColor="background1"/>
          <w:sz w:val="28"/>
          <w:szCs w:val="28"/>
        </w:rPr>
        <w:t xml:space="preserve"> 2020</w:t>
      </w:r>
    </w:p>
    <w:p w14:paraId="44F0A287" w14:textId="762301ED" w:rsidR="00254639" w:rsidRDefault="00254639">
      <w:pPr>
        <w:rPr>
          <w:b/>
        </w:rPr>
      </w:pPr>
      <w:r>
        <w:rPr>
          <w:b/>
        </w:rPr>
        <w:br w:type="page"/>
      </w:r>
    </w:p>
    <w:p w14:paraId="27EFBCE0" w14:textId="77777777" w:rsidR="00294864" w:rsidRPr="00BB2DB6" w:rsidRDefault="00294864" w:rsidP="00294864">
      <w:pPr>
        <w:jc w:val="center"/>
      </w:pPr>
      <w:r>
        <w:rPr>
          <w:rFonts w:cstheme="minorHAnsi"/>
          <w:b/>
          <w:color w:val="1F497D" w:themeColor="text2"/>
          <w:sz w:val="28"/>
          <w:szCs w:val="28"/>
        </w:rPr>
        <w:lastRenderedPageBreak/>
        <w:t xml:space="preserve">IMPORTANT INFORMATION TO BE READ </w:t>
      </w:r>
      <w:r>
        <w:rPr>
          <w:rFonts w:cstheme="minorHAnsi"/>
          <w:b/>
          <w:color w:val="1F497D" w:themeColor="text2"/>
          <w:sz w:val="28"/>
          <w:szCs w:val="28"/>
          <w:u w:val="single"/>
        </w:rPr>
        <w:t>B</w:t>
      </w:r>
      <w:r w:rsidRPr="00165BF3">
        <w:rPr>
          <w:rFonts w:cstheme="minorHAnsi"/>
          <w:b/>
          <w:color w:val="1F497D" w:themeColor="text2"/>
          <w:sz w:val="28"/>
          <w:szCs w:val="28"/>
          <w:u w:val="single"/>
        </w:rPr>
        <w:t>EFORE</w:t>
      </w:r>
      <w:r>
        <w:rPr>
          <w:rFonts w:cstheme="minorHAnsi"/>
          <w:b/>
          <w:color w:val="1F497D" w:themeColor="text2"/>
          <w:sz w:val="28"/>
          <w:szCs w:val="28"/>
        </w:rPr>
        <w:t xml:space="preserve"> COMPLETING THIS NOTIFICATION FORM</w:t>
      </w:r>
    </w:p>
    <w:p w14:paraId="332DAE00" w14:textId="77777777" w:rsidR="00294864" w:rsidRPr="00A03041" w:rsidRDefault="00294864" w:rsidP="00294864">
      <w:pPr>
        <w:spacing w:after="0"/>
        <w:jc w:val="both"/>
        <w:rPr>
          <w:rFonts w:cstheme="minorHAnsi"/>
          <w:sz w:val="20"/>
          <w:szCs w:val="20"/>
          <w:lang w:val="en-US"/>
        </w:rPr>
      </w:pPr>
    </w:p>
    <w:p w14:paraId="73163BB7" w14:textId="29B1F425" w:rsidR="00F9031B" w:rsidRPr="006F22EA" w:rsidRDefault="00294864" w:rsidP="006F22EA">
      <w:pPr>
        <w:pBdr>
          <w:top w:val="single" w:sz="4" w:space="1" w:color="auto"/>
          <w:left w:val="single" w:sz="4" w:space="4" w:color="auto"/>
          <w:bottom w:val="single" w:sz="4" w:space="18" w:color="auto"/>
          <w:right w:val="single" w:sz="4" w:space="4" w:color="auto"/>
        </w:pBdr>
        <w:spacing w:after="0"/>
        <w:rPr>
          <w:rFonts w:cstheme="minorHAnsi"/>
          <w:b/>
          <w:bCs/>
          <w:color w:val="1F497D" w:themeColor="text2"/>
        </w:rPr>
      </w:pPr>
      <w:r w:rsidRPr="00165BF3">
        <w:rPr>
          <w:rFonts w:cstheme="minorHAnsi"/>
          <w:b/>
          <w:bCs/>
          <w:color w:val="1F497D" w:themeColor="text2"/>
        </w:rPr>
        <w:t>Terms used in this Notification Form:</w:t>
      </w:r>
    </w:p>
    <w:p w14:paraId="71AA00EB" w14:textId="1F2599FB" w:rsidR="0023260A" w:rsidRPr="006A02E6" w:rsidRDefault="0023260A" w:rsidP="006F22EA">
      <w:pPr>
        <w:pBdr>
          <w:top w:val="single" w:sz="4" w:space="1" w:color="auto"/>
          <w:left w:val="single" w:sz="4" w:space="4" w:color="auto"/>
          <w:bottom w:val="single" w:sz="4" w:space="18" w:color="auto"/>
          <w:right w:val="single" w:sz="4" w:space="4" w:color="auto"/>
        </w:pBdr>
        <w:spacing w:after="0"/>
        <w:jc w:val="both"/>
        <w:rPr>
          <w:rFonts w:ascii="Calibri" w:eastAsia="MS PGothic" w:hAnsi="Calibri" w:cs="Times New Roman"/>
          <w:b/>
          <w:lang w:val="en-GB"/>
        </w:rPr>
      </w:pPr>
      <w:r w:rsidRPr="00693C6F">
        <w:rPr>
          <w:rFonts w:eastAsia="Times New Roman" w:cs="Arial"/>
          <w:b/>
          <w:color w:val="000000" w:themeColor="text1"/>
          <w:lang w:val="en" w:eastAsia="en-IE"/>
        </w:rPr>
        <w:t>Applicant</w:t>
      </w:r>
      <w:r>
        <w:rPr>
          <w:rFonts w:eastAsia="Times New Roman" w:cs="Arial"/>
          <w:color w:val="000000" w:themeColor="text1"/>
          <w:lang w:val="en" w:eastAsia="en-IE"/>
        </w:rPr>
        <w:t xml:space="preserve"> – the </w:t>
      </w:r>
      <w:r w:rsidR="00E31050">
        <w:rPr>
          <w:rFonts w:eastAsia="Times New Roman" w:cs="Arial"/>
          <w:color w:val="000000" w:themeColor="text1"/>
          <w:lang w:val="en" w:eastAsia="en-IE"/>
        </w:rPr>
        <w:t xml:space="preserve">payment institution or electronic money institution </w:t>
      </w:r>
      <w:r>
        <w:rPr>
          <w:rFonts w:eastAsia="Times New Roman" w:cs="Arial"/>
          <w:color w:val="000000" w:themeColor="text1"/>
          <w:lang w:val="en" w:eastAsia="en-IE"/>
        </w:rPr>
        <w:t xml:space="preserve">submitting this Notification Form to the Central Bank advising </w:t>
      </w:r>
      <w:r w:rsidR="00626741">
        <w:rPr>
          <w:rFonts w:eastAsia="Times New Roman" w:cs="Arial"/>
          <w:lang w:val="en" w:eastAsia="en-IE"/>
        </w:rPr>
        <w:t xml:space="preserve">of material changes to </w:t>
      </w:r>
      <w:r w:rsidR="006A02E6" w:rsidRPr="006A02E6">
        <w:rPr>
          <w:rFonts w:eastAsia="Times New Roman" w:cs="Arial"/>
          <w:lang w:val="en" w:eastAsia="en-IE"/>
        </w:rPr>
        <w:t>their outsourcing arrangements.</w:t>
      </w:r>
      <w:r w:rsidR="00E31050">
        <w:rPr>
          <w:rFonts w:eastAsia="Times New Roman" w:cs="Arial"/>
          <w:lang w:val="en" w:eastAsia="en-IE"/>
        </w:rPr>
        <w:t xml:space="preserve">  Notifications of severe events regarding outsourcing arrangements should be made directly to the institution’s supervision team.  The notification should include details of the event, its current status and actions taken to mitigate the event.  The notification should be submitted in as timely a manner as possible.</w:t>
      </w:r>
    </w:p>
    <w:p w14:paraId="42BFC4C8" w14:textId="77777777" w:rsidR="00F20B69" w:rsidRDefault="00F20B69" w:rsidP="006F22EA">
      <w:pPr>
        <w:pBdr>
          <w:top w:val="single" w:sz="4" w:space="1" w:color="auto"/>
          <w:left w:val="single" w:sz="4" w:space="4" w:color="auto"/>
          <w:bottom w:val="single" w:sz="4" w:space="18" w:color="auto"/>
          <w:right w:val="single" w:sz="4" w:space="4" w:color="auto"/>
        </w:pBdr>
        <w:spacing w:after="0"/>
        <w:jc w:val="both"/>
        <w:rPr>
          <w:rFonts w:cstheme="minorHAnsi"/>
          <w:b/>
          <w:bCs/>
          <w:color w:val="000000"/>
        </w:rPr>
      </w:pPr>
    </w:p>
    <w:p w14:paraId="3955B268" w14:textId="2A9611CE" w:rsidR="00F20B69" w:rsidRDefault="00F20B69" w:rsidP="006F22EA">
      <w:pPr>
        <w:pBdr>
          <w:top w:val="single" w:sz="4" w:space="1" w:color="auto"/>
          <w:left w:val="single" w:sz="4" w:space="4" w:color="auto"/>
          <w:bottom w:val="single" w:sz="4" w:space="18" w:color="auto"/>
          <w:right w:val="single" w:sz="4" w:space="4" w:color="auto"/>
        </w:pBdr>
        <w:spacing w:after="0"/>
        <w:jc w:val="both"/>
        <w:rPr>
          <w:rFonts w:cstheme="minorHAnsi"/>
          <w:bCs/>
          <w:color w:val="000000"/>
        </w:rPr>
      </w:pPr>
      <w:r w:rsidRPr="00165BF3">
        <w:rPr>
          <w:rFonts w:cstheme="minorHAnsi"/>
          <w:b/>
          <w:bCs/>
          <w:color w:val="000000"/>
        </w:rPr>
        <w:t>Central Bank</w:t>
      </w:r>
      <w:r w:rsidRPr="00165BF3">
        <w:rPr>
          <w:rFonts w:cstheme="minorHAnsi"/>
          <w:bCs/>
          <w:color w:val="000000"/>
        </w:rPr>
        <w:t xml:space="preserve"> – Central Bank of Ireland</w:t>
      </w:r>
      <w:r w:rsidR="00C33686">
        <w:rPr>
          <w:rFonts w:cstheme="minorHAnsi"/>
          <w:bCs/>
          <w:color w:val="000000"/>
        </w:rPr>
        <w:t>.</w:t>
      </w:r>
    </w:p>
    <w:p w14:paraId="2B44368B" w14:textId="3EF232BD" w:rsidR="00C33686" w:rsidRPr="00C33686" w:rsidRDefault="00C33686" w:rsidP="006F22EA">
      <w:pPr>
        <w:pBdr>
          <w:top w:val="single" w:sz="4" w:space="1" w:color="auto"/>
          <w:left w:val="single" w:sz="4" w:space="4" w:color="auto"/>
          <w:bottom w:val="single" w:sz="4" w:space="18" w:color="auto"/>
          <w:right w:val="single" w:sz="4" w:space="4" w:color="auto"/>
        </w:pBdr>
        <w:spacing w:after="0"/>
        <w:jc w:val="both"/>
        <w:rPr>
          <w:rFonts w:cstheme="minorHAnsi"/>
          <w:bCs/>
          <w:color w:val="000000"/>
        </w:rPr>
      </w:pPr>
    </w:p>
    <w:p w14:paraId="45BD75BC" w14:textId="32E80EBA" w:rsidR="00C33686" w:rsidRPr="00C33686" w:rsidRDefault="00C33686" w:rsidP="006F22EA">
      <w:pPr>
        <w:pBdr>
          <w:top w:val="single" w:sz="4" w:space="1" w:color="auto"/>
          <w:left w:val="single" w:sz="4" w:space="4" w:color="auto"/>
          <w:bottom w:val="single" w:sz="4" w:space="18" w:color="auto"/>
          <w:right w:val="single" w:sz="4" w:space="4" w:color="auto"/>
        </w:pBdr>
        <w:spacing w:after="0"/>
        <w:jc w:val="both"/>
        <w:rPr>
          <w:rFonts w:cstheme="minorHAnsi"/>
          <w:b/>
          <w:bCs/>
          <w:color w:val="000000"/>
        </w:rPr>
      </w:pPr>
      <w:r w:rsidRPr="00C33686">
        <w:rPr>
          <w:rFonts w:cstheme="minorHAnsi"/>
          <w:b/>
          <w:bCs/>
          <w:color w:val="000000"/>
        </w:rPr>
        <w:t>Critical or important function</w:t>
      </w:r>
      <w:r>
        <w:rPr>
          <w:rFonts w:cstheme="minorHAnsi"/>
          <w:b/>
          <w:bCs/>
          <w:color w:val="000000"/>
        </w:rPr>
        <w:t xml:space="preserve"> </w:t>
      </w:r>
      <w:r w:rsidRPr="00C33686">
        <w:rPr>
          <w:rFonts w:cstheme="minorHAnsi"/>
          <w:bCs/>
          <w:color w:val="000000"/>
        </w:rPr>
        <w:t>- means any function that is considered critical or important as set out in Section 4 of these guidelines.</w:t>
      </w:r>
      <w:r w:rsidRPr="00C33686">
        <w:rPr>
          <w:rFonts w:cstheme="minorHAnsi"/>
          <w:b/>
          <w:bCs/>
          <w:color w:val="000000"/>
        </w:rPr>
        <w:t xml:space="preserve">  </w:t>
      </w:r>
    </w:p>
    <w:p w14:paraId="45166EBE" w14:textId="77777777" w:rsidR="0023260A" w:rsidRPr="00961046" w:rsidRDefault="0023260A" w:rsidP="006F22EA">
      <w:pPr>
        <w:pBdr>
          <w:top w:val="single" w:sz="4" w:space="1" w:color="auto"/>
          <w:left w:val="single" w:sz="4" w:space="4" w:color="auto"/>
          <w:bottom w:val="single" w:sz="4" w:space="18" w:color="auto"/>
          <w:right w:val="single" w:sz="4" w:space="4" w:color="auto"/>
        </w:pBdr>
        <w:spacing w:after="0"/>
        <w:jc w:val="both"/>
        <w:rPr>
          <w:rFonts w:ascii="Calibri" w:eastAsia="MS PGothic" w:hAnsi="Calibri" w:cs="Times New Roman"/>
          <w:color w:val="000000" w:themeColor="text1"/>
          <w:lang w:val="en-GB"/>
        </w:rPr>
      </w:pPr>
    </w:p>
    <w:p w14:paraId="08A33862" w14:textId="3BD18FC6" w:rsidR="0023260A" w:rsidRPr="00707798" w:rsidRDefault="0023260A" w:rsidP="006F22EA">
      <w:pPr>
        <w:pBdr>
          <w:top w:val="single" w:sz="4" w:space="1" w:color="auto"/>
          <w:left w:val="single" w:sz="4" w:space="4" w:color="auto"/>
          <w:bottom w:val="single" w:sz="4" w:space="18" w:color="auto"/>
          <w:right w:val="single" w:sz="4" w:space="4" w:color="auto"/>
        </w:pBdr>
        <w:spacing w:after="0"/>
        <w:jc w:val="both"/>
        <w:rPr>
          <w:rFonts w:ascii="Calibri" w:eastAsia="MS PGothic" w:hAnsi="Calibri" w:cs="Times New Roman"/>
          <w:color w:val="404040" w:themeColor="text1" w:themeTint="BF"/>
          <w:lang w:val="en-GB"/>
        </w:rPr>
      </w:pPr>
      <w:r w:rsidRPr="00626741">
        <w:rPr>
          <w:rFonts w:ascii="Calibri" w:eastAsia="MS PGothic" w:hAnsi="Calibri" w:cs="Times New Roman"/>
          <w:b/>
          <w:lang w:val="en-GB"/>
        </w:rPr>
        <w:t xml:space="preserve">EBA Guidelines </w:t>
      </w:r>
      <w:r w:rsidR="006F22EA">
        <w:rPr>
          <w:rFonts w:ascii="Calibri" w:eastAsia="MS PGothic" w:hAnsi="Calibri" w:cs="Times New Roman"/>
          <w:color w:val="404040" w:themeColor="text1" w:themeTint="BF"/>
          <w:lang w:val="en-GB"/>
        </w:rPr>
        <w:t>–</w:t>
      </w:r>
      <w:r>
        <w:rPr>
          <w:rFonts w:ascii="Calibri" w:eastAsia="MS PGothic" w:hAnsi="Calibri" w:cs="Times New Roman"/>
          <w:color w:val="404040" w:themeColor="text1" w:themeTint="BF"/>
          <w:lang w:val="en-GB"/>
        </w:rPr>
        <w:t xml:space="preserve"> </w:t>
      </w:r>
      <w:r w:rsidRPr="008477D3">
        <w:t>E</w:t>
      </w:r>
      <w:r w:rsidR="006F22EA">
        <w:t>uropean Banking Authority</w:t>
      </w:r>
      <w:r w:rsidRPr="008477D3">
        <w:t xml:space="preserve"> Guidelines </w:t>
      </w:r>
      <w:r w:rsidR="007D0CCC">
        <w:t>on outsourcing arrangements</w:t>
      </w:r>
      <w:r w:rsidR="00626741">
        <w:t>.</w:t>
      </w:r>
    </w:p>
    <w:p w14:paraId="6E464527" w14:textId="0092F490" w:rsidR="0023260A" w:rsidRDefault="0023260A" w:rsidP="006F22EA">
      <w:pPr>
        <w:pBdr>
          <w:top w:val="single" w:sz="4" w:space="1" w:color="auto"/>
          <w:left w:val="single" w:sz="4" w:space="4" w:color="auto"/>
          <w:bottom w:val="single" w:sz="4" w:space="18" w:color="auto"/>
          <w:right w:val="single" w:sz="4" w:space="4" w:color="auto"/>
        </w:pBdr>
        <w:spacing w:after="0"/>
        <w:jc w:val="both"/>
        <w:rPr>
          <w:rFonts w:cstheme="minorHAnsi"/>
          <w:bCs/>
          <w:color w:val="000000"/>
        </w:rPr>
      </w:pPr>
    </w:p>
    <w:p w14:paraId="20BCD889" w14:textId="50B41B41" w:rsidR="00C33686" w:rsidRDefault="00C33686" w:rsidP="006F22EA">
      <w:pPr>
        <w:pBdr>
          <w:top w:val="single" w:sz="4" w:space="1" w:color="auto"/>
          <w:left w:val="single" w:sz="4" w:space="4" w:color="auto"/>
          <w:bottom w:val="single" w:sz="4" w:space="18" w:color="auto"/>
          <w:right w:val="single" w:sz="4" w:space="4" w:color="auto"/>
        </w:pBdr>
        <w:spacing w:after="0"/>
        <w:jc w:val="both"/>
        <w:rPr>
          <w:rFonts w:cstheme="minorHAnsi"/>
          <w:bCs/>
          <w:color w:val="000000"/>
        </w:rPr>
      </w:pPr>
      <w:r w:rsidRPr="00C33686">
        <w:rPr>
          <w:rFonts w:cstheme="minorHAnsi"/>
          <w:b/>
          <w:bCs/>
          <w:color w:val="000000"/>
        </w:rPr>
        <w:t>Function</w:t>
      </w:r>
      <w:r>
        <w:rPr>
          <w:rFonts w:cstheme="minorHAnsi"/>
          <w:bCs/>
          <w:color w:val="000000"/>
        </w:rPr>
        <w:t xml:space="preserve"> - </w:t>
      </w:r>
      <w:r w:rsidRPr="00C33686">
        <w:rPr>
          <w:rFonts w:cstheme="minorHAnsi"/>
          <w:bCs/>
          <w:color w:val="000000"/>
        </w:rPr>
        <w:t>means any processes, services or activities.</w:t>
      </w:r>
    </w:p>
    <w:p w14:paraId="02F2FBCA" w14:textId="6C914723" w:rsidR="00C33686" w:rsidRDefault="00C33686" w:rsidP="006F22EA">
      <w:pPr>
        <w:pBdr>
          <w:top w:val="single" w:sz="4" w:space="1" w:color="auto"/>
          <w:left w:val="single" w:sz="4" w:space="4" w:color="auto"/>
          <w:bottom w:val="single" w:sz="4" w:space="18" w:color="auto"/>
          <w:right w:val="single" w:sz="4" w:space="4" w:color="auto"/>
        </w:pBdr>
        <w:spacing w:after="0"/>
        <w:jc w:val="both"/>
        <w:rPr>
          <w:rFonts w:cstheme="minorHAnsi"/>
          <w:b/>
          <w:bCs/>
          <w:color w:val="000000"/>
        </w:rPr>
      </w:pPr>
    </w:p>
    <w:p w14:paraId="4B7DFD21" w14:textId="709D846A" w:rsidR="00C33686" w:rsidRPr="00C33686" w:rsidRDefault="00C33686" w:rsidP="006F22EA">
      <w:pPr>
        <w:pBdr>
          <w:top w:val="single" w:sz="4" w:space="1" w:color="auto"/>
          <w:left w:val="single" w:sz="4" w:space="4" w:color="auto"/>
          <w:bottom w:val="single" w:sz="4" w:space="18" w:color="auto"/>
          <w:right w:val="single" w:sz="4" w:space="4" w:color="auto"/>
        </w:pBdr>
        <w:spacing w:after="0"/>
        <w:jc w:val="both"/>
        <w:rPr>
          <w:rFonts w:cstheme="minorHAnsi"/>
          <w:bCs/>
          <w:color w:val="000000"/>
        </w:rPr>
      </w:pPr>
      <w:r w:rsidRPr="00C33686">
        <w:rPr>
          <w:rFonts w:cstheme="minorHAnsi"/>
          <w:b/>
          <w:bCs/>
          <w:color w:val="000000"/>
        </w:rPr>
        <w:t>Management body</w:t>
      </w:r>
      <w:r>
        <w:rPr>
          <w:rFonts w:cstheme="minorHAnsi"/>
          <w:b/>
          <w:bCs/>
          <w:color w:val="000000"/>
        </w:rPr>
        <w:t xml:space="preserve"> </w:t>
      </w:r>
      <w:r>
        <w:rPr>
          <w:rFonts w:cstheme="minorHAnsi"/>
          <w:bCs/>
          <w:color w:val="000000"/>
        </w:rPr>
        <w:t xml:space="preserve">- </w:t>
      </w:r>
      <w:r w:rsidR="00333FD3">
        <w:rPr>
          <w:rFonts w:cstheme="minorHAnsi"/>
          <w:bCs/>
          <w:color w:val="000000"/>
        </w:rPr>
        <w:t>means a</w:t>
      </w:r>
      <w:r w:rsidRPr="00C33686">
        <w:rPr>
          <w:rFonts w:cstheme="minorHAnsi"/>
          <w:bCs/>
          <w:color w:val="000000"/>
        </w:rPr>
        <w:t xml:space="preserve"> </w:t>
      </w:r>
      <w:r w:rsidR="008B66FE">
        <w:rPr>
          <w:rFonts w:eastAsia="Times New Roman" w:cs="Arial"/>
          <w:lang w:val="en" w:eastAsia="en-IE"/>
        </w:rPr>
        <w:t xml:space="preserve">payment institution’s or </w:t>
      </w:r>
      <w:r w:rsidR="008B66FE" w:rsidRPr="006A02E6">
        <w:rPr>
          <w:rFonts w:eastAsia="Times New Roman" w:cs="Arial"/>
          <w:lang w:val="en" w:eastAsia="en-IE"/>
        </w:rPr>
        <w:t>electronic money institution</w:t>
      </w:r>
      <w:r w:rsidR="008B66FE">
        <w:rPr>
          <w:rFonts w:eastAsia="Times New Roman" w:cs="Arial"/>
          <w:lang w:val="en" w:eastAsia="en-IE"/>
        </w:rPr>
        <w:t>’</w:t>
      </w:r>
      <w:r w:rsidR="008B66FE" w:rsidRPr="006A02E6">
        <w:rPr>
          <w:rFonts w:eastAsia="Times New Roman" w:cs="Arial"/>
          <w:lang w:val="en" w:eastAsia="en-IE"/>
        </w:rPr>
        <w:t>s</w:t>
      </w:r>
      <w:r w:rsidR="008B66FE">
        <w:rPr>
          <w:rFonts w:eastAsia="Times New Roman" w:cs="Arial"/>
          <w:lang w:val="en" w:eastAsia="en-IE"/>
        </w:rPr>
        <w:t xml:space="preserve"> </w:t>
      </w:r>
      <w:r w:rsidRPr="00C33686">
        <w:rPr>
          <w:rFonts w:cstheme="minorHAnsi"/>
          <w:bCs/>
          <w:color w:val="000000"/>
        </w:rPr>
        <w:t xml:space="preserve">body or bodies, which are appointed in accordance with national law, which are empowered to set the </w:t>
      </w:r>
      <w:r w:rsidR="008B66FE">
        <w:rPr>
          <w:rFonts w:eastAsia="Times New Roman" w:cs="Arial"/>
          <w:lang w:val="en" w:eastAsia="en-IE"/>
        </w:rPr>
        <w:t xml:space="preserve">payment institution’s or </w:t>
      </w:r>
      <w:r w:rsidR="008B66FE" w:rsidRPr="006A02E6">
        <w:rPr>
          <w:rFonts w:eastAsia="Times New Roman" w:cs="Arial"/>
          <w:lang w:val="en" w:eastAsia="en-IE"/>
        </w:rPr>
        <w:t>electronic money institution</w:t>
      </w:r>
      <w:r w:rsidR="008B66FE">
        <w:rPr>
          <w:rFonts w:eastAsia="Times New Roman" w:cs="Arial"/>
          <w:lang w:val="en" w:eastAsia="en-IE"/>
        </w:rPr>
        <w:t>’</w:t>
      </w:r>
      <w:r w:rsidR="008B66FE" w:rsidRPr="006A02E6">
        <w:rPr>
          <w:rFonts w:eastAsia="Times New Roman" w:cs="Arial"/>
          <w:lang w:val="en" w:eastAsia="en-IE"/>
        </w:rPr>
        <w:t>s</w:t>
      </w:r>
      <w:r w:rsidRPr="00C33686">
        <w:rPr>
          <w:rFonts w:cstheme="minorHAnsi"/>
          <w:bCs/>
          <w:color w:val="000000"/>
        </w:rPr>
        <w:t xml:space="preserve"> strategy, objectives and overall direction, and which oversee and monitor management decision-making and include the persons who effectively direct the business of the </w:t>
      </w:r>
      <w:r w:rsidR="008B66FE">
        <w:rPr>
          <w:rFonts w:eastAsia="Times New Roman" w:cs="Arial"/>
          <w:lang w:val="en" w:eastAsia="en-IE"/>
        </w:rPr>
        <w:t xml:space="preserve">payment institution or </w:t>
      </w:r>
      <w:r w:rsidR="008B66FE" w:rsidRPr="006A02E6">
        <w:rPr>
          <w:rFonts w:eastAsia="Times New Roman" w:cs="Arial"/>
          <w:lang w:val="en" w:eastAsia="en-IE"/>
        </w:rPr>
        <w:t>electronic money institution</w:t>
      </w:r>
      <w:r w:rsidR="008B66FE">
        <w:rPr>
          <w:rFonts w:eastAsia="Times New Roman" w:cs="Arial"/>
          <w:lang w:val="en" w:eastAsia="en-IE"/>
        </w:rPr>
        <w:t xml:space="preserve"> </w:t>
      </w:r>
      <w:r w:rsidRPr="00C33686">
        <w:rPr>
          <w:rFonts w:cstheme="minorHAnsi"/>
          <w:bCs/>
          <w:color w:val="000000"/>
        </w:rPr>
        <w:t>and the directors and persons responsible for the management of the payment institution.</w:t>
      </w:r>
    </w:p>
    <w:p w14:paraId="7F0A2702" w14:textId="77777777" w:rsidR="00C33686" w:rsidRPr="00C33686" w:rsidRDefault="00C33686" w:rsidP="006F22EA">
      <w:pPr>
        <w:pBdr>
          <w:top w:val="single" w:sz="4" w:space="1" w:color="auto"/>
          <w:left w:val="single" w:sz="4" w:space="4" w:color="auto"/>
          <w:bottom w:val="single" w:sz="4" w:space="18" w:color="auto"/>
          <w:right w:val="single" w:sz="4" w:space="4" w:color="auto"/>
        </w:pBdr>
        <w:spacing w:after="0"/>
        <w:jc w:val="both"/>
        <w:rPr>
          <w:rFonts w:cstheme="minorHAnsi"/>
          <w:b/>
          <w:bCs/>
          <w:color w:val="000000"/>
        </w:rPr>
      </w:pPr>
    </w:p>
    <w:p w14:paraId="06DC38F3" w14:textId="1E14B778" w:rsidR="00C33686" w:rsidRDefault="00C33686" w:rsidP="006F22EA">
      <w:pPr>
        <w:pBdr>
          <w:top w:val="single" w:sz="4" w:space="1" w:color="auto"/>
          <w:left w:val="single" w:sz="4" w:space="4" w:color="auto"/>
          <w:bottom w:val="single" w:sz="4" w:space="18" w:color="auto"/>
          <w:right w:val="single" w:sz="4" w:space="4" w:color="auto"/>
        </w:pBdr>
        <w:spacing w:after="0"/>
        <w:jc w:val="both"/>
        <w:rPr>
          <w:rFonts w:cstheme="minorHAnsi"/>
          <w:bCs/>
          <w:color w:val="000000"/>
        </w:rPr>
      </w:pPr>
      <w:r w:rsidRPr="00C33686">
        <w:rPr>
          <w:rFonts w:cstheme="minorHAnsi"/>
          <w:b/>
          <w:bCs/>
          <w:color w:val="000000"/>
        </w:rPr>
        <w:lastRenderedPageBreak/>
        <w:t>Outsourc</w:t>
      </w:r>
      <w:r w:rsidR="007D0CCC">
        <w:rPr>
          <w:rFonts w:cstheme="minorHAnsi"/>
          <w:b/>
          <w:bCs/>
          <w:color w:val="000000"/>
        </w:rPr>
        <w:t>e</w:t>
      </w:r>
      <w:r>
        <w:rPr>
          <w:rFonts w:cstheme="minorHAnsi"/>
          <w:bCs/>
          <w:color w:val="000000"/>
        </w:rPr>
        <w:t xml:space="preserve"> - </w:t>
      </w:r>
      <w:r w:rsidRPr="00C33686">
        <w:rPr>
          <w:rFonts w:cstheme="minorHAnsi"/>
          <w:bCs/>
          <w:color w:val="000000"/>
        </w:rPr>
        <w:t>means an arrangement of any form between an institution, a payment institution or an electronic money institution and a service provider by which that service provider performs a process, a service or an activity that would otherwise be undertaken by the institution, the payment institution or the electronic money institution itself</w:t>
      </w:r>
      <w:r>
        <w:rPr>
          <w:rFonts w:cstheme="minorHAnsi"/>
          <w:bCs/>
          <w:color w:val="000000"/>
        </w:rPr>
        <w:t xml:space="preserve">. </w:t>
      </w:r>
      <w:r w:rsidRPr="00C33686">
        <w:rPr>
          <w:rFonts w:cstheme="minorHAnsi"/>
          <w:bCs/>
          <w:color w:val="000000"/>
        </w:rPr>
        <w:t>An authorised entity’s use of a third party (the “outsourcing service provider”) to perform activities that would normally be undertaken by the authorised entity, now or in the future. The supplier may itself be an authorised or unauthorised entity.</w:t>
      </w:r>
    </w:p>
    <w:p w14:paraId="4BA5A320" w14:textId="77777777" w:rsidR="00C33686" w:rsidRDefault="00C33686" w:rsidP="006F22EA">
      <w:pPr>
        <w:pBdr>
          <w:top w:val="single" w:sz="4" w:space="1" w:color="auto"/>
          <w:left w:val="single" w:sz="4" w:space="4" w:color="auto"/>
          <w:bottom w:val="single" w:sz="4" w:space="18" w:color="auto"/>
          <w:right w:val="single" w:sz="4" w:space="4" w:color="auto"/>
        </w:pBdr>
        <w:spacing w:after="0"/>
        <w:jc w:val="both"/>
        <w:rPr>
          <w:rFonts w:cstheme="minorHAnsi"/>
          <w:bCs/>
          <w:color w:val="000000"/>
        </w:rPr>
      </w:pPr>
    </w:p>
    <w:p w14:paraId="11592394" w14:textId="2254ED25" w:rsidR="00C33686" w:rsidRDefault="00C33686" w:rsidP="006F22EA">
      <w:pPr>
        <w:pBdr>
          <w:top w:val="single" w:sz="4" w:space="1" w:color="auto"/>
          <w:left w:val="single" w:sz="4" w:space="4" w:color="auto"/>
          <w:bottom w:val="single" w:sz="4" w:space="18" w:color="auto"/>
          <w:right w:val="single" w:sz="4" w:space="4" w:color="auto"/>
        </w:pBdr>
        <w:spacing w:after="0"/>
        <w:jc w:val="both"/>
        <w:rPr>
          <w:rFonts w:cstheme="minorHAnsi"/>
          <w:bCs/>
          <w:color w:val="000000"/>
        </w:rPr>
      </w:pPr>
      <w:r w:rsidRPr="00C33686">
        <w:rPr>
          <w:rFonts w:cstheme="minorHAnsi"/>
          <w:b/>
          <w:bCs/>
          <w:color w:val="000000"/>
        </w:rPr>
        <w:t>Outsourcing Service provider</w:t>
      </w:r>
      <w:r>
        <w:rPr>
          <w:rFonts w:cstheme="minorHAnsi"/>
          <w:bCs/>
          <w:color w:val="000000"/>
        </w:rPr>
        <w:t xml:space="preserve"> - </w:t>
      </w:r>
      <w:r w:rsidRPr="00C33686">
        <w:rPr>
          <w:rFonts w:cstheme="minorHAnsi"/>
          <w:bCs/>
          <w:color w:val="000000"/>
        </w:rPr>
        <w:t>means a third-party entity that is undertaking an outsourced process, service or activity, or parts thereof, under an outsourcing arrangement</w:t>
      </w:r>
      <w:r>
        <w:rPr>
          <w:rFonts w:cstheme="minorHAnsi"/>
          <w:bCs/>
          <w:color w:val="000000"/>
        </w:rPr>
        <w:t xml:space="preserve">. </w:t>
      </w:r>
      <w:r w:rsidRPr="00C33686">
        <w:rPr>
          <w:rFonts w:cstheme="minorHAnsi"/>
          <w:bCs/>
          <w:color w:val="000000"/>
        </w:rPr>
        <w:t>The supplier of goods, services or facilities, which may or may not be an authorised entity, and which may be an affiliated entity within a corporate group or an entity that is external to the group.</w:t>
      </w:r>
    </w:p>
    <w:p w14:paraId="3DF35569" w14:textId="5461CF2F" w:rsidR="008B66FE" w:rsidRDefault="008B66FE" w:rsidP="006F22EA">
      <w:pPr>
        <w:pBdr>
          <w:top w:val="single" w:sz="4" w:space="1" w:color="auto"/>
          <w:left w:val="single" w:sz="4" w:space="4" w:color="auto"/>
          <w:bottom w:val="single" w:sz="4" w:space="18" w:color="auto"/>
          <w:right w:val="single" w:sz="4" w:space="4" w:color="auto"/>
        </w:pBdr>
        <w:spacing w:after="0"/>
        <w:jc w:val="both"/>
        <w:rPr>
          <w:rFonts w:cstheme="minorHAnsi"/>
          <w:b/>
          <w:bCs/>
          <w:color w:val="000000"/>
        </w:rPr>
      </w:pPr>
    </w:p>
    <w:p w14:paraId="58F60BD2" w14:textId="284B34E1" w:rsidR="00294864" w:rsidRPr="006F22EA" w:rsidRDefault="006F22EA" w:rsidP="006F22EA">
      <w:pPr>
        <w:pBdr>
          <w:top w:val="single" w:sz="4" w:space="1" w:color="auto"/>
          <w:left w:val="single" w:sz="4" w:space="4" w:color="auto"/>
          <w:bottom w:val="single" w:sz="4" w:space="18" w:color="auto"/>
          <w:right w:val="single" w:sz="4" w:space="4" w:color="auto"/>
        </w:pBdr>
        <w:spacing w:after="0"/>
        <w:jc w:val="both"/>
        <w:rPr>
          <w:rFonts w:cstheme="minorHAnsi"/>
          <w:b/>
          <w:bCs/>
          <w:color w:val="000000"/>
        </w:rPr>
      </w:pPr>
      <w:r>
        <w:rPr>
          <w:rFonts w:cstheme="minorHAnsi"/>
          <w:b/>
          <w:bCs/>
          <w:color w:val="000000"/>
        </w:rPr>
        <w:t xml:space="preserve">Sub-outsourcing - </w:t>
      </w:r>
      <w:r w:rsidRPr="00C33686">
        <w:rPr>
          <w:rFonts w:cstheme="minorHAnsi"/>
          <w:bCs/>
          <w:color w:val="000000"/>
        </w:rPr>
        <w:t>means a situation where the service provider under an outsourcing arrangement further transfers an outsourced function to another service provider.</w:t>
      </w:r>
    </w:p>
    <w:p w14:paraId="7A67FBFF" w14:textId="7185661C" w:rsidR="007D16A8" w:rsidRDefault="007D16A8" w:rsidP="00294864">
      <w:pPr>
        <w:rPr>
          <w:rFonts w:ascii="Calibri" w:hAnsi="Calibri"/>
          <w:b/>
          <w:u w:val="single"/>
        </w:rPr>
      </w:pPr>
    </w:p>
    <w:p w14:paraId="25AB2F71" w14:textId="77777777" w:rsidR="00626741" w:rsidRDefault="00626741" w:rsidP="00294864">
      <w:pPr>
        <w:rPr>
          <w:rFonts w:ascii="Calibri" w:hAnsi="Calibri"/>
          <w:b/>
          <w:u w:val="single"/>
        </w:rPr>
      </w:pPr>
    </w:p>
    <w:p w14:paraId="72305971" w14:textId="46851449" w:rsidR="00294864" w:rsidRPr="00C41609" w:rsidRDefault="00294864" w:rsidP="00294864">
      <w:pPr>
        <w:rPr>
          <w:rFonts w:ascii="Calibri" w:hAnsi="Calibri"/>
          <w:b/>
          <w:u w:val="single"/>
        </w:rPr>
      </w:pPr>
      <w:r>
        <w:rPr>
          <w:rFonts w:ascii="Calibri" w:hAnsi="Calibri"/>
          <w:b/>
          <w:u w:val="single"/>
        </w:rPr>
        <w:t>BACKGROUND INFORMATION</w:t>
      </w:r>
    </w:p>
    <w:p w14:paraId="4AA88FFA" w14:textId="49B577E2" w:rsidR="008B66FE" w:rsidRPr="00EC5F6F" w:rsidRDefault="00294864" w:rsidP="00294864">
      <w:pPr>
        <w:pStyle w:val="CM1"/>
        <w:spacing w:line="360" w:lineRule="auto"/>
        <w:jc w:val="both"/>
        <w:rPr>
          <w:rFonts w:asciiTheme="minorHAnsi" w:hAnsiTheme="minorHAnsi" w:cs="EUAlbertina"/>
          <w:sz w:val="22"/>
          <w:szCs w:val="22"/>
        </w:rPr>
      </w:pPr>
      <w:r w:rsidRPr="00693C6F">
        <w:rPr>
          <w:rFonts w:asciiTheme="minorHAnsi" w:hAnsiTheme="minorHAnsi"/>
          <w:sz w:val="22"/>
          <w:szCs w:val="22"/>
        </w:rPr>
        <w:t>This Notifi</w:t>
      </w:r>
      <w:r w:rsidR="00B7103A">
        <w:rPr>
          <w:rFonts w:asciiTheme="minorHAnsi" w:hAnsiTheme="minorHAnsi"/>
          <w:sz w:val="22"/>
          <w:szCs w:val="22"/>
        </w:rPr>
        <w:t>cation Form applies to payment i</w:t>
      </w:r>
      <w:r w:rsidRPr="00693C6F">
        <w:rPr>
          <w:rFonts w:asciiTheme="minorHAnsi" w:hAnsiTheme="minorHAnsi"/>
          <w:sz w:val="22"/>
          <w:szCs w:val="22"/>
        </w:rPr>
        <w:t xml:space="preserve">nstitutions and </w:t>
      </w:r>
      <w:r w:rsidR="00B7103A">
        <w:rPr>
          <w:rFonts w:asciiTheme="minorHAnsi" w:hAnsiTheme="minorHAnsi"/>
          <w:sz w:val="22"/>
          <w:szCs w:val="22"/>
        </w:rPr>
        <w:t>e</w:t>
      </w:r>
      <w:r w:rsidR="005D5481">
        <w:rPr>
          <w:rFonts w:asciiTheme="minorHAnsi" w:hAnsiTheme="minorHAnsi"/>
          <w:sz w:val="22"/>
          <w:szCs w:val="22"/>
        </w:rPr>
        <w:t>-</w:t>
      </w:r>
      <w:r w:rsidR="00B7103A">
        <w:rPr>
          <w:rFonts w:asciiTheme="minorHAnsi" w:hAnsiTheme="minorHAnsi"/>
          <w:sz w:val="22"/>
          <w:szCs w:val="22"/>
        </w:rPr>
        <w:t>m</w:t>
      </w:r>
      <w:r w:rsidRPr="00693C6F">
        <w:rPr>
          <w:rFonts w:asciiTheme="minorHAnsi" w:hAnsiTheme="minorHAnsi"/>
          <w:sz w:val="22"/>
          <w:szCs w:val="22"/>
        </w:rPr>
        <w:t xml:space="preserve">oney Institutions </w:t>
      </w:r>
      <w:r w:rsidR="00626741">
        <w:rPr>
          <w:rFonts w:asciiTheme="minorHAnsi" w:hAnsiTheme="minorHAnsi"/>
          <w:sz w:val="22"/>
          <w:szCs w:val="22"/>
        </w:rPr>
        <w:t>seeking to outsource critical or important functions</w:t>
      </w:r>
      <w:r w:rsidRPr="00EC5F6F">
        <w:rPr>
          <w:rFonts w:asciiTheme="minorHAnsi" w:hAnsiTheme="minorHAnsi" w:cs="EUAlbertina"/>
          <w:sz w:val="22"/>
          <w:szCs w:val="22"/>
        </w:rPr>
        <w:t xml:space="preserve"> </w:t>
      </w:r>
      <w:r w:rsidR="00626741">
        <w:rPr>
          <w:rFonts w:asciiTheme="minorHAnsi" w:hAnsiTheme="minorHAnsi" w:cs="EUAlbertina"/>
          <w:sz w:val="22"/>
          <w:szCs w:val="22"/>
        </w:rPr>
        <w:t>or seeking to make material changes to critical or important outsourced functions.</w:t>
      </w:r>
    </w:p>
    <w:p w14:paraId="26D086B9" w14:textId="41D04F05" w:rsidR="00294864" w:rsidRPr="00693C6F" w:rsidRDefault="00294864" w:rsidP="00294864">
      <w:pPr>
        <w:pStyle w:val="CM1"/>
        <w:spacing w:line="360" w:lineRule="auto"/>
        <w:jc w:val="both"/>
        <w:rPr>
          <w:rFonts w:asciiTheme="minorHAnsi" w:hAnsiTheme="minorHAnsi"/>
          <w:sz w:val="22"/>
          <w:szCs w:val="22"/>
        </w:rPr>
      </w:pPr>
    </w:p>
    <w:p w14:paraId="0001CA56" w14:textId="0E778748" w:rsidR="00F20B69" w:rsidRPr="00EC5F6F" w:rsidRDefault="00EC5F6F" w:rsidP="00294864">
      <w:pPr>
        <w:spacing w:after="0" w:line="360" w:lineRule="auto"/>
        <w:jc w:val="both"/>
      </w:pPr>
      <w:r w:rsidRPr="00EC5F6F">
        <w:t xml:space="preserve">The EBA Guidelines on outsourcing arrangements </w:t>
      </w:r>
      <w:r w:rsidR="00294864" w:rsidRPr="00EC5F6F">
        <w:rPr>
          <w:rFonts w:eastAsia="Times New Roman" w:cs="Arial"/>
          <w:lang w:val="en" w:eastAsia="en-IE"/>
        </w:rPr>
        <w:t xml:space="preserve">set out the </w:t>
      </w:r>
      <w:r w:rsidRPr="00EC5F6F">
        <w:rPr>
          <w:rFonts w:eastAsia="Times New Roman" w:cs="Arial"/>
          <w:lang w:val="en" w:eastAsia="en-IE"/>
        </w:rPr>
        <w:t>requirement</w:t>
      </w:r>
      <w:r w:rsidR="00012956" w:rsidRPr="00EC5F6F">
        <w:rPr>
          <w:rFonts w:eastAsia="Times New Roman" w:cs="Arial"/>
          <w:lang w:val="en" w:eastAsia="en-IE"/>
        </w:rPr>
        <w:t xml:space="preserve"> for </w:t>
      </w:r>
      <w:r w:rsidR="00F20B69" w:rsidRPr="00EC5F6F">
        <w:rPr>
          <w:rFonts w:eastAsia="Times New Roman" w:cs="Arial"/>
          <w:lang w:val="en" w:eastAsia="en-IE"/>
        </w:rPr>
        <w:t xml:space="preserve">a </w:t>
      </w:r>
      <w:r w:rsidR="00E97085" w:rsidRPr="00EC5F6F">
        <w:rPr>
          <w:rFonts w:eastAsia="Times New Roman" w:cs="Arial"/>
          <w:lang w:val="en" w:eastAsia="en-IE"/>
        </w:rPr>
        <w:t xml:space="preserve">firm </w:t>
      </w:r>
      <w:r w:rsidRPr="00EC5F6F">
        <w:rPr>
          <w:rFonts w:eastAsia="Times New Roman" w:cs="Arial"/>
          <w:lang w:val="en" w:eastAsia="en-IE"/>
        </w:rPr>
        <w:t xml:space="preserve">to inform competent authorities in a timely manner </w:t>
      </w:r>
      <w:r w:rsidRPr="00EC5F6F">
        <w:rPr>
          <w:rFonts w:cs="EUAlbertina"/>
        </w:rPr>
        <w:t>of material changes regarding their outsourcing arrangements.</w:t>
      </w:r>
    </w:p>
    <w:p w14:paraId="5F54DB72" w14:textId="77777777" w:rsidR="00EC5F6F" w:rsidRDefault="00EC5F6F" w:rsidP="00EC5F6F">
      <w:pPr>
        <w:spacing w:after="0" w:line="360" w:lineRule="auto"/>
        <w:jc w:val="both"/>
        <w:rPr>
          <w:rFonts w:eastAsia="Times New Roman" w:cs="Arial"/>
          <w:color w:val="000000" w:themeColor="text1"/>
          <w:lang w:val="en" w:eastAsia="en-IE"/>
        </w:rPr>
      </w:pPr>
    </w:p>
    <w:p w14:paraId="3A03B936" w14:textId="3BE51B4B" w:rsidR="00EC5F6F" w:rsidRPr="006F22EA" w:rsidRDefault="00EC5F6F" w:rsidP="00EC5F6F">
      <w:pPr>
        <w:spacing w:after="0" w:line="360" w:lineRule="auto"/>
        <w:jc w:val="both"/>
        <w:rPr>
          <w:rFonts w:eastAsia="Times New Roman" w:cs="Arial"/>
          <w:i/>
          <w:color w:val="000000" w:themeColor="text1"/>
          <w:lang w:val="en" w:eastAsia="en-IE"/>
        </w:rPr>
      </w:pPr>
      <w:r w:rsidRPr="00B64B1F">
        <w:rPr>
          <w:rFonts w:eastAsia="Times New Roman" w:cs="Arial"/>
          <w:color w:val="000000" w:themeColor="text1"/>
          <w:lang w:val="en" w:eastAsia="en-IE"/>
        </w:rPr>
        <w:t xml:space="preserve">The EBA Guidelines on Outsourcing define outsourcing as </w:t>
      </w:r>
      <w:r w:rsidRPr="006F22EA">
        <w:rPr>
          <w:rFonts w:eastAsia="Times New Roman" w:cs="Arial"/>
          <w:i/>
          <w:color w:val="000000" w:themeColor="text1"/>
          <w:lang w:val="en" w:eastAsia="en-IE"/>
        </w:rPr>
        <w:t xml:space="preserve">‘an arrangement of any form between an institution, a payment institution or an electronic money institution and a service provider by which that service provider performs a process, a service or an activity that would otherwise be undertaken by the institution, the payment institution or the electronic money institution itself.  </w:t>
      </w:r>
    </w:p>
    <w:p w14:paraId="48A083C2" w14:textId="77777777" w:rsidR="00F20B69" w:rsidRPr="006F22EA" w:rsidRDefault="00F20B69" w:rsidP="00294864">
      <w:pPr>
        <w:spacing w:after="0" w:line="360" w:lineRule="auto"/>
        <w:jc w:val="both"/>
        <w:rPr>
          <w:rFonts w:eastAsia="Times New Roman" w:cs="Arial"/>
          <w:i/>
          <w:color w:val="000000" w:themeColor="text1"/>
          <w:lang w:val="en" w:eastAsia="en-IE"/>
        </w:rPr>
      </w:pPr>
    </w:p>
    <w:p w14:paraId="535D46DC" w14:textId="783E7B49" w:rsidR="00EC5F6F" w:rsidRPr="006F22EA" w:rsidRDefault="00EC5F6F" w:rsidP="00EC5F6F">
      <w:pPr>
        <w:spacing w:after="0" w:line="360" w:lineRule="auto"/>
        <w:jc w:val="both"/>
        <w:rPr>
          <w:rFonts w:eastAsia="Times New Roman" w:cs="Arial"/>
          <w:i/>
          <w:color w:val="000000" w:themeColor="text1"/>
          <w:lang w:val="en" w:eastAsia="en-IE"/>
        </w:rPr>
      </w:pPr>
      <w:r w:rsidRPr="006F22EA">
        <w:rPr>
          <w:rFonts w:eastAsia="Times New Roman" w:cs="Arial"/>
          <w:i/>
          <w:color w:val="000000" w:themeColor="text1"/>
          <w:lang w:val="en" w:eastAsia="en-IE"/>
        </w:rPr>
        <w:t>Outsourcing may serve the purpose of achieving greater efficiency of operations and concentrating on the supervised institution’s principal operations and/or competence. However, outsourcing does not reduce the fundamental risks associated with the activity outsourced. Risks such as damaged reputation, non-compliance with legal or operational requirements, financial loss and disclosure of confidential data remain.  An institution must not seek to circumvent from prudential or other requirements by using a service provider.</w:t>
      </w:r>
      <w:r w:rsidR="00F50206" w:rsidRPr="006F22EA">
        <w:rPr>
          <w:rFonts w:eastAsia="Times New Roman" w:cs="Arial"/>
          <w:i/>
          <w:color w:val="000000" w:themeColor="text1"/>
          <w:lang w:val="en" w:eastAsia="en-IE"/>
        </w:rPr>
        <w:t>’</w:t>
      </w:r>
      <w:r w:rsidRPr="006F22EA">
        <w:rPr>
          <w:rFonts w:eastAsia="Times New Roman" w:cs="Arial"/>
          <w:i/>
          <w:color w:val="000000" w:themeColor="text1"/>
          <w:lang w:val="en" w:eastAsia="en-IE"/>
        </w:rPr>
        <w:t xml:space="preserve"> </w:t>
      </w:r>
    </w:p>
    <w:p w14:paraId="4B4665CA" w14:textId="61C790D7" w:rsidR="00EC5F6F" w:rsidRDefault="00EC5F6F" w:rsidP="00EC5F6F">
      <w:pPr>
        <w:spacing w:after="0" w:line="360" w:lineRule="auto"/>
        <w:jc w:val="both"/>
        <w:rPr>
          <w:rFonts w:eastAsia="Times New Roman" w:cs="Arial"/>
          <w:b/>
          <w:color w:val="000000" w:themeColor="text1"/>
          <w:lang w:val="en" w:eastAsia="en-IE"/>
        </w:rPr>
      </w:pPr>
    </w:p>
    <w:p w14:paraId="4ED15C53" w14:textId="59144F36" w:rsidR="00EC5F6F" w:rsidRPr="00C33686" w:rsidRDefault="00EC5F6F" w:rsidP="00EC5F6F">
      <w:pPr>
        <w:spacing w:after="0" w:line="360" w:lineRule="auto"/>
        <w:jc w:val="both"/>
        <w:rPr>
          <w:rFonts w:eastAsia="Times New Roman" w:cs="Arial"/>
          <w:b/>
          <w:color w:val="FF0000"/>
          <w:lang w:val="en" w:eastAsia="en-IE"/>
        </w:rPr>
      </w:pPr>
      <w:r w:rsidRPr="00C03A64">
        <w:rPr>
          <w:rFonts w:eastAsia="Times New Roman" w:cs="Arial"/>
          <w:b/>
          <w:color w:val="000000" w:themeColor="text1"/>
          <w:lang w:val="en" w:eastAsia="en-IE"/>
        </w:rPr>
        <w:t>This Notification Form is to be used by a</w:t>
      </w:r>
      <w:r>
        <w:rPr>
          <w:rFonts w:eastAsia="Times New Roman" w:cs="Arial"/>
          <w:b/>
          <w:color w:val="000000" w:themeColor="text1"/>
          <w:lang w:val="en" w:eastAsia="en-IE"/>
        </w:rPr>
        <w:t>n applicant</w:t>
      </w:r>
      <w:r w:rsidRPr="00C03A64">
        <w:rPr>
          <w:rFonts w:eastAsia="Times New Roman" w:cs="Arial"/>
          <w:b/>
          <w:color w:val="000000" w:themeColor="text1"/>
          <w:lang w:val="en" w:eastAsia="en-IE"/>
        </w:rPr>
        <w:t xml:space="preserve"> </w:t>
      </w:r>
      <w:r w:rsidR="00626741">
        <w:rPr>
          <w:rFonts w:eastAsia="Times New Roman" w:cs="Arial"/>
          <w:b/>
          <w:color w:val="000000" w:themeColor="text1"/>
          <w:lang w:val="en" w:eastAsia="en-IE"/>
        </w:rPr>
        <w:t>seeking to outsource critical or important functions or seeking to make</w:t>
      </w:r>
      <w:r w:rsidRPr="00EC5F6F">
        <w:rPr>
          <w:rFonts w:eastAsia="Times New Roman" w:cs="Arial"/>
          <w:b/>
          <w:lang w:val="en" w:eastAsia="en-IE"/>
        </w:rPr>
        <w:t xml:space="preserve"> material changes </w:t>
      </w:r>
      <w:r w:rsidR="00626741">
        <w:rPr>
          <w:rFonts w:eastAsia="Times New Roman" w:cs="Arial"/>
          <w:b/>
          <w:lang w:val="en" w:eastAsia="en-IE"/>
        </w:rPr>
        <w:t>to critical or important outsourced functions.</w:t>
      </w:r>
    </w:p>
    <w:p w14:paraId="1C8FBA23" w14:textId="77777777" w:rsidR="0023260A" w:rsidRDefault="0023260A" w:rsidP="00294864">
      <w:pPr>
        <w:spacing w:after="0" w:line="360" w:lineRule="auto"/>
        <w:jc w:val="both"/>
        <w:rPr>
          <w:rFonts w:cstheme="minorHAnsi"/>
          <w:b/>
          <w:u w:val="single"/>
          <w:lang w:val="en-GB"/>
        </w:rPr>
      </w:pPr>
    </w:p>
    <w:p w14:paraId="13B3293F" w14:textId="023DEBE7" w:rsidR="00294864" w:rsidRPr="00140638" w:rsidRDefault="00294864" w:rsidP="00294864">
      <w:pPr>
        <w:spacing w:after="0" w:line="360" w:lineRule="auto"/>
        <w:jc w:val="both"/>
        <w:rPr>
          <w:rFonts w:eastAsia="Times New Roman" w:cstheme="minorHAnsi"/>
          <w:b/>
          <w:u w:val="single"/>
          <w:lang w:val="en-GB"/>
        </w:rPr>
      </w:pPr>
      <w:r w:rsidRPr="00140638">
        <w:rPr>
          <w:rFonts w:cstheme="minorHAnsi"/>
          <w:b/>
          <w:u w:val="single"/>
          <w:lang w:val="en-GB"/>
        </w:rPr>
        <w:t>NOTES ON COMPLETION</w:t>
      </w:r>
    </w:p>
    <w:p w14:paraId="5B421BF1" w14:textId="4BA75E27" w:rsidR="00294864" w:rsidRPr="00D9222B" w:rsidRDefault="00294864" w:rsidP="00444E5B">
      <w:pPr>
        <w:pStyle w:val="ListParagraph"/>
        <w:numPr>
          <w:ilvl w:val="0"/>
          <w:numId w:val="3"/>
        </w:numPr>
        <w:spacing w:line="360" w:lineRule="auto"/>
        <w:ind w:left="0" w:firstLine="0"/>
        <w:jc w:val="both"/>
        <w:rPr>
          <w:rFonts w:cstheme="minorHAnsi"/>
          <w:b/>
          <w:smallCaps/>
        </w:rPr>
      </w:pPr>
      <w:r w:rsidRPr="00D9222B">
        <w:rPr>
          <w:rFonts w:cstheme="minorHAnsi"/>
          <w:b/>
          <w:smallCaps/>
        </w:rPr>
        <w:t xml:space="preserve">Please </w:t>
      </w:r>
      <w:r w:rsidR="00E31050">
        <w:rPr>
          <w:rFonts w:cstheme="minorHAnsi"/>
          <w:b/>
          <w:smallCaps/>
        </w:rPr>
        <w:t>consider all relevant legislation / regulations prior to submitting the notification form, including</w:t>
      </w:r>
      <w:r w:rsidRPr="00D9222B">
        <w:rPr>
          <w:rFonts w:cstheme="minorHAnsi"/>
          <w:b/>
          <w:smallCaps/>
        </w:rPr>
        <w:t xml:space="preserve">: </w:t>
      </w:r>
    </w:p>
    <w:p w14:paraId="1D89F763" w14:textId="77777777" w:rsidR="006F22EA" w:rsidRDefault="006F22EA" w:rsidP="00C33686">
      <w:pPr>
        <w:pStyle w:val="ListParagraph"/>
        <w:numPr>
          <w:ilvl w:val="0"/>
          <w:numId w:val="7"/>
        </w:numPr>
        <w:spacing w:line="360" w:lineRule="auto"/>
        <w:jc w:val="both"/>
        <w:rPr>
          <w:rFonts w:asciiTheme="minorHAnsi" w:hAnsiTheme="minorHAnsi" w:cstheme="minorHAnsi"/>
        </w:rPr>
      </w:pPr>
      <w:r>
        <w:rPr>
          <w:rFonts w:asciiTheme="minorHAnsi" w:hAnsiTheme="minorHAnsi" w:cstheme="minorHAnsi"/>
        </w:rPr>
        <w:t>The European Union (Payment Services) Regulations 2018;</w:t>
      </w:r>
    </w:p>
    <w:p w14:paraId="2D3BD31B" w14:textId="4375E975" w:rsidR="00012956" w:rsidRPr="0023260A" w:rsidRDefault="00012956" w:rsidP="00C33686">
      <w:pPr>
        <w:pStyle w:val="ListParagraph"/>
        <w:numPr>
          <w:ilvl w:val="0"/>
          <w:numId w:val="7"/>
        </w:numPr>
        <w:spacing w:line="360" w:lineRule="auto"/>
        <w:jc w:val="both"/>
        <w:rPr>
          <w:rFonts w:asciiTheme="minorHAnsi" w:hAnsiTheme="minorHAnsi" w:cstheme="minorHAnsi"/>
        </w:rPr>
      </w:pPr>
      <w:r w:rsidRPr="0023260A">
        <w:rPr>
          <w:rFonts w:asciiTheme="minorHAnsi" w:hAnsiTheme="minorHAnsi" w:cstheme="minorHAnsi"/>
        </w:rPr>
        <w:t>The European Communities (Electronic Money) Regulations 2011 (as amended);</w:t>
      </w:r>
    </w:p>
    <w:p w14:paraId="1097C32A" w14:textId="7E294F84" w:rsidR="00C33686" w:rsidRDefault="006F22EA" w:rsidP="00C33686">
      <w:pPr>
        <w:pStyle w:val="ListParagraph"/>
        <w:numPr>
          <w:ilvl w:val="0"/>
          <w:numId w:val="7"/>
        </w:numPr>
        <w:spacing w:line="360" w:lineRule="auto"/>
        <w:jc w:val="both"/>
        <w:rPr>
          <w:rFonts w:asciiTheme="minorHAnsi" w:hAnsiTheme="minorHAnsi" w:cstheme="minorHAnsi"/>
        </w:rPr>
      </w:pPr>
      <w:r>
        <w:rPr>
          <w:rFonts w:asciiTheme="minorHAnsi" w:hAnsiTheme="minorHAnsi" w:cstheme="minorHAnsi"/>
        </w:rPr>
        <w:lastRenderedPageBreak/>
        <w:t>Directive (EU) 2015/2366 of the European Parliament and of the Council of 25 November 2015,</w:t>
      </w:r>
      <w:r w:rsidR="00C33686">
        <w:rPr>
          <w:rFonts w:asciiTheme="minorHAnsi" w:hAnsiTheme="minorHAnsi" w:cstheme="minorHAnsi"/>
        </w:rPr>
        <w:t xml:space="preserve"> </w:t>
      </w:r>
      <w:r w:rsidRPr="00140638">
        <w:rPr>
          <w:rFonts w:asciiTheme="minorHAnsi" w:hAnsiTheme="minorHAnsi" w:cstheme="minorHAnsi"/>
        </w:rPr>
        <w:t xml:space="preserve">on </w:t>
      </w:r>
      <w:r>
        <w:rPr>
          <w:rFonts w:asciiTheme="minorHAnsi" w:hAnsiTheme="minorHAnsi" w:cstheme="minorHAnsi"/>
        </w:rPr>
        <w:t>P</w:t>
      </w:r>
      <w:r w:rsidRPr="00140638">
        <w:rPr>
          <w:rFonts w:asciiTheme="minorHAnsi" w:hAnsiTheme="minorHAnsi" w:cstheme="minorHAnsi"/>
        </w:rPr>
        <w:t xml:space="preserve">ayment </w:t>
      </w:r>
      <w:r>
        <w:rPr>
          <w:rFonts w:asciiTheme="minorHAnsi" w:hAnsiTheme="minorHAnsi" w:cstheme="minorHAnsi"/>
        </w:rPr>
        <w:t>S</w:t>
      </w:r>
      <w:r w:rsidRPr="00140638">
        <w:rPr>
          <w:rFonts w:asciiTheme="minorHAnsi" w:hAnsiTheme="minorHAnsi" w:cstheme="minorHAnsi"/>
        </w:rPr>
        <w:t xml:space="preserve">ervices in the </w:t>
      </w:r>
      <w:r>
        <w:rPr>
          <w:rFonts w:asciiTheme="minorHAnsi" w:hAnsiTheme="minorHAnsi" w:cstheme="minorHAnsi"/>
        </w:rPr>
        <w:t>I</w:t>
      </w:r>
      <w:r w:rsidRPr="00140638">
        <w:rPr>
          <w:rFonts w:asciiTheme="minorHAnsi" w:hAnsiTheme="minorHAnsi" w:cstheme="minorHAnsi"/>
        </w:rPr>
        <w:t xml:space="preserve">nternal </w:t>
      </w:r>
      <w:r>
        <w:rPr>
          <w:rFonts w:asciiTheme="minorHAnsi" w:hAnsiTheme="minorHAnsi" w:cstheme="minorHAnsi"/>
        </w:rPr>
        <w:t>M</w:t>
      </w:r>
      <w:r w:rsidRPr="00140638">
        <w:rPr>
          <w:rFonts w:asciiTheme="minorHAnsi" w:hAnsiTheme="minorHAnsi" w:cstheme="minorHAnsi"/>
        </w:rPr>
        <w:t>arket</w:t>
      </w:r>
      <w:r>
        <w:rPr>
          <w:rFonts w:asciiTheme="minorHAnsi" w:hAnsiTheme="minorHAnsi" w:cstheme="minorHAnsi"/>
        </w:rPr>
        <w:t xml:space="preserve"> </w:t>
      </w:r>
      <w:r w:rsidR="00C33686">
        <w:rPr>
          <w:rFonts w:asciiTheme="minorHAnsi" w:hAnsiTheme="minorHAnsi" w:cstheme="minorHAnsi"/>
        </w:rPr>
        <w:t>and</w:t>
      </w:r>
    </w:p>
    <w:p w14:paraId="70349401" w14:textId="2D47A4C7" w:rsidR="00294864" w:rsidRPr="006F22EA" w:rsidRDefault="00C33686" w:rsidP="00145C0E">
      <w:pPr>
        <w:pStyle w:val="ListParagraph"/>
        <w:numPr>
          <w:ilvl w:val="0"/>
          <w:numId w:val="7"/>
        </w:numPr>
        <w:spacing w:line="360" w:lineRule="auto"/>
        <w:jc w:val="both"/>
        <w:rPr>
          <w:color w:val="000000"/>
        </w:rPr>
      </w:pPr>
      <w:r w:rsidRPr="006F22EA">
        <w:rPr>
          <w:rFonts w:asciiTheme="minorHAnsi" w:hAnsiTheme="minorHAnsi" w:cstheme="minorHAnsi"/>
        </w:rPr>
        <w:t>The</w:t>
      </w:r>
      <w:r w:rsidR="006F22EA" w:rsidRPr="006F22EA">
        <w:rPr>
          <w:rFonts w:asciiTheme="minorHAnsi" w:hAnsiTheme="minorHAnsi" w:cstheme="minorHAnsi"/>
        </w:rPr>
        <w:t xml:space="preserve"> EBA Guidelines on outsourcing arrangements.</w:t>
      </w:r>
      <w:r w:rsidRPr="006F22EA">
        <w:rPr>
          <w:rFonts w:asciiTheme="minorHAnsi" w:hAnsiTheme="minorHAnsi" w:cstheme="minorHAnsi"/>
        </w:rPr>
        <w:t xml:space="preserve"> </w:t>
      </w:r>
    </w:p>
    <w:p w14:paraId="30892F33" w14:textId="77777777" w:rsidR="006F22EA" w:rsidRPr="006F22EA" w:rsidRDefault="006F22EA" w:rsidP="006F22EA">
      <w:pPr>
        <w:pStyle w:val="ListParagraph"/>
        <w:spacing w:line="360" w:lineRule="auto"/>
        <w:jc w:val="both"/>
        <w:rPr>
          <w:color w:val="000000"/>
        </w:rPr>
      </w:pPr>
    </w:p>
    <w:p w14:paraId="2C1ECDCB" w14:textId="5529FA5E" w:rsidR="00294864" w:rsidRPr="00140638" w:rsidRDefault="00B8436E" w:rsidP="00444E5B">
      <w:pPr>
        <w:numPr>
          <w:ilvl w:val="0"/>
          <w:numId w:val="3"/>
        </w:numPr>
        <w:spacing w:after="0" w:line="360" w:lineRule="auto"/>
        <w:ind w:left="357" w:hanging="357"/>
        <w:jc w:val="both"/>
      </w:pPr>
      <w:r>
        <w:rPr>
          <w:b/>
        </w:rPr>
        <w:t>Applicants must complete the application form</w:t>
      </w:r>
      <w:r w:rsidR="00294864" w:rsidRPr="00C03A64">
        <w:rPr>
          <w:b/>
        </w:rPr>
        <w:t xml:space="preserve"> in </w:t>
      </w:r>
      <w:r w:rsidR="00294864" w:rsidRPr="00C03A64">
        <w:rPr>
          <w:b/>
          <w:bCs/>
        </w:rPr>
        <w:t>typed format and</w:t>
      </w:r>
      <w:r>
        <w:rPr>
          <w:b/>
        </w:rPr>
        <w:t xml:space="preserve"> submit</w:t>
      </w:r>
      <w:r w:rsidR="00294864" w:rsidRPr="00C03A64">
        <w:rPr>
          <w:b/>
        </w:rPr>
        <w:t xml:space="preserve"> </w:t>
      </w:r>
      <w:r w:rsidR="00294864" w:rsidRPr="00F20B69">
        <w:rPr>
          <w:b/>
        </w:rPr>
        <w:t>by email</w:t>
      </w:r>
      <w:r w:rsidR="00294864" w:rsidRPr="00C03A64">
        <w:rPr>
          <w:b/>
        </w:rPr>
        <w:t xml:space="preserve"> to </w:t>
      </w:r>
      <w:r w:rsidR="00294864" w:rsidRPr="00EC5F6F">
        <w:rPr>
          <w:b/>
        </w:rPr>
        <w:t xml:space="preserve">the Central Bank </w:t>
      </w:r>
      <w:r w:rsidR="00EC5F6F" w:rsidRPr="00EC5F6F">
        <w:rPr>
          <w:b/>
          <w:u w:val="single"/>
        </w:rPr>
        <w:t>in a timely manner</w:t>
      </w:r>
      <w:r w:rsidR="00294864" w:rsidRPr="00EC5F6F">
        <w:rPr>
          <w:b/>
        </w:rPr>
        <w:t xml:space="preserve"> </w:t>
      </w:r>
      <w:r>
        <w:rPr>
          <w:b/>
        </w:rPr>
        <w:t>before any</w:t>
      </w:r>
      <w:r w:rsidR="00294864" w:rsidRPr="00EC5F6F">
        <w:rPr>
          <w:b/>
        </w:rPr>
        <w:t xml:space="preserve"> proposed </w:t>
      </w:r>
      <w:r w:rsidR="00EC5F6F" w:rsidRPr="00EC5F6F">
        <w:rPr>
          <w:b/>
        </w:rPr>
        <w:t>changes to outsourcing arrangements</w:t>
      </w:r>
      <w:r w:rsidR="00294864" w:rsidRPr="00EC5F6F">
        <w:rPr>
          <w:b/>
          <w:bCs/>
        </w:rPr>
        <w:t xml:space="preserve">. </w:t>
      </w:r>
      <w:r>
        <w:rPr>
          <w:b/>
          <w:bCs/>
        </w:rPr>
        <w:t>The completed form and relevant documents should be sent</w:t>
      </w:r>
      <w:r w:rsidR="00294864">
        <w:rPr>
          <w:b/>
          <w:bCs/>
        </w:rPr>
        <w:t xml:space="preserve"> by email to </w:t>
      </w:r>
      <w:hyperlink r:id="rId10" w:history="1">
        <w:r w:rsidR="00865D18" w:rsidRPr="00865D18">
          <w:rPr>
            <w:rStyle w:val="Hyperlink"/>
          </w:rPr>
          <w:t>paymentservicessupervision@centralbank.ie</w:t>
        </w:r>
      </w:hyperlink>
      <w:r w:rsidR="00294864">
        <w:rPr>
          <w:b/>
          <w:bCs/>
        </w:rPr>
        <w:t>.  The use of unsecured email is not recommended for sensitive or confidential material.</w:t>
      </w:r>
    </w:p>
    <w:p w14:paraId="34C9C016" w14:textId="77777777" w:rsidR="00294864" w:rsidRPr="00140638" w:rsidRDefault="00294864" w:rsidP="00444E5B">
      <w:pPr>
        <w:spacing w:after="0" w:line="360" w:lineRule="auto"/>
        <w:ind w:left="357" w:hanging="357"/>
        <w:jc w:val="both"/>
      </w:pPr>
    </w:p>
    <w:p w14:paraId="3ADACF94" w14:textId="16B923C3" w:rsidR="00294864" w:rsidRPr="0023260A" w:rsidRDefault="00294864" w:rsidP="0023260A">
      <w:pPr>
        <w:pStyle w:val="ListParagraph"/>
        <w:numPr>
          <w:ilvl w:val="0"/>
          <w:numId w:val="3"/>
        </w:numPr>
        <w:spacing w:line="360" w:lineRule="auto"/>
        <w:ind w:left="360"/>
        <w:jc w:val="both"/>
        <w:rPr>
          <w:u w:val="single"/>
        </w:rPr>
      </w:pPr>
      <w:r>
        <w:t xml:space="preserve">The applicant </w:t>
      </w:r>
      <w:r w:rsidRPr="00140638">
        <w:t xml:space="preserve">must </w:t>
      </w:r>
      <w:r>
        <w:t xml:space="preserve">answer all questions asked and provide all information or documentation requested </w:t>
      </w:r>
      <w:r w:rsidRPr="00140638">
        <w:t xml:space="preserve">before the </w:t>
      </w:r>
      <w:r w:rsidR="009972D1">
        <w:t>notification</w:t>
      </w:r>
      <w:r w:rsidR="009972D1" w:rsidRPr="00140638">
        <w:t xml:space="preserve"> </w:t>
      </w:r>
      <w:r w:rsidRPr="00140638">
        <w:t xml:space="preserve">can be considered.  </w:t>
      </w:r>
      <w:r>
        <w:t xml:space="preserve">In the event that </w:t>
      </w:r>
      <w:r w:rsidRPr="00140638">
        <w:t xml:space="preserve">a question does not apply, please write </w:t>
      </w:r>
      <w:r>
        <w:t>‘</w:t>
      </w:r>
      <w:r w:rsidRPr="0023260A">
        <w:rPr>
          <w:b/>
        </w:rPr>
        <w:t>not applicable’</w:t>
      </w:r>
      <w:r w:rsidRPr="00140638">
        <w:t xml:space="preserve"> or </w:t>
      </w:r>
      <w:r>
        <w:t>‘</w:t>
      </w:r>
      <w:r w:rsidRPr="0023260A">
        <w:rPr>
          <w:b/>
        </w:rPr>
        <w:t>none’</w:t>
      </w:r>
      <w:r w:rsidRPr="00140638">
        <w:t xml:space="preserve"> as appropriate</w:t>
      </w:r>
      <w:r>
        <w:t xml:space="preserve"> and provide an explanation as to why this is considered to be the case</w:t>
      </w:r>
      <w:r w:rsidRPr="00140638">
        <w:t xml:space="preserve">.  </w:t>
      </w:r>
      <w:r w:rsidRPr="0023260A">
        <w:rPr>
          <w:u w:val="single"/>
        </w:rPr>
        <w:t>Do not leave any blank spaces.</w:t>
      </w:r>
      <w:r w:rsidRPr="00140638">
        <w:t xml:space="preserve"> </w:t>
      </w:r>
      <w:r w:rsidR="006B0CB9">
        <w:t xml:space="preserve"> </w:t>
      </w:r>
      <w:r w:rsidRPr="0023260A">
        <w:rPr>
          <w:b/>
          <w:bCs/>
        </w:rPr>
        <w:t xml:space="preserve">Incomplete </w:t>
      </w:r>
      <w:r w:rsidR="009972D1">
        <w:rPr>
          <w:b/>
          <w:bCs/>
        </w:rPr>
        <w:t xml:space="preserve">notifications </w:t>
      </w:r>
      <w:r w:rsidRPr="0023260A">
        <w:rPr>
          <w:b/>
          <w:bCs/>
        </w:rPr>
        <w:t xml:space="preserve">will be returned to the applicant who will be advised that the </w:t>
      </w:r>
      <w:r w:rsidR="009972D1">
        <w:rPr>
          <w:b/>
          <w:bCs/>
        </w:rPr>
        <w:t>notification</w:t>
      </w:r>
      <w:r w:rsidR="009972D1" w:rsidRPr="0023260A">
        <w:rPr>
          <w:b/>
          <w:bCs/>
        </w:rPr>
        <w:t xml:space="preserve"> </w:t>
      </w:r>
      <w:r w:rsidRPr="0023260A">
        <w:rPr>
          <w:b/>
          <w:bCs/>
        </w:rPr>
        <w:t xml:space="preserve">does not contain sufficient material to be </w:t>
      </w:r>
      <w:r w:rsidR="00B91AE0">
        <w:rPr>
          <w:b/>
          <w:bCs/>
        </w:rPr>
        <w:t>considered</w:t>
      </w:r>
      <w:r w:rsidRPr="0023260A">
        <w:rPr>
          <w:b/>
          <w:bCs/>
        </w:rPr>
        <w:t>.</w:t>
      </w:r>
      <w:r w:rsidRPr="00140638">
        <w:t xml:space="preserve"> </w:t>
      </w:r>
    </w:p>
    <w:p w14:paraId="775A3475" w14:textId="77777777" w:rsidR="00294864" w:rsidRPr="00140638" w:rsidRDefault="00294864" w:rsidP="0023260A">
      <w:pPr>
        <w:spacing w:after="0" w:line="360" w:lineRule="auto"/>
        <w:jc w:val="both"/>
        <w:rPr>
          <w:u w:val="single"/>
        </w:rPr>
      </w:pPr>
    </w:p>
    <w:p w14:paraId="6D8BB6B1" w14:textId="081DC9DB" w:rsidR="005D5481" w:rsidRDefault="00294864" w:rsidP="0023260A">
      <w:pPr>
        <w:pStyle w:val="ListParagraph"/>
        <w:numPr>
          <w:ilvl w:val="0"/>
          <w:numId w:val="3"/>
        </w:numPr>
        <w:spacing w:line="360" w:lineRule="auto"/>
        <w:ind w:left="360"/>
        <w:jc w:val="both"/>
      </w:pPr>
      <w:r w:rsidRPr="00140638">
        <w:t xml:space="preserve">Where </w:t>
      </w:r>
      <w:r>
        <w:t xml:space="preserve">an </w:t>
      </w:r>
      <w:r w:rsidRPr="00140638">
        <w:t>applicant</w:t>
      </w:r>
      <w:r>
        <w:t xml:space="preserve"> i</w:t>
      </w:r>
      <w:r w:rsidRPr="00140638">
        <w:t xml:space="preserve">s required to </w:t>
      </w:r>
      <w:r w:rsidR="007E54FF">
        <w:t xml:space="preserve">provide </w:t>
      </w:r>
      <w:r w:rsidRPr="00140638">
        <w:t>‘confirm</w:t>
      </w:r>
      <w:r w:rsidR="007E54FF">
        <w:t>ation</w:t>
      </w:r>
      <w:r w:rsidRPr="00140638">
        <w:t>’, a tick (‘</w:t>
      </w:r>
      <w:r w:rsidRPr="00140638">
        <w:sym w:font="Wingdings" w:char="F0FC"/>
      </w:r>
      <w:r w:rsidRPr="00140638">
        <w:t>’) placed in the relevant box will be taken as a confirmation.</w:t>
      </w:r>
      <w:r w:rsidR="0083485E" w:rsidRPr="0083485E">
        <w:t xml:space="preserve"> </w:t>
      </w:r>
    </w:p>
    <w:p w14:paraId="0F9BF2C4" w14:textId="77777777" w:rsidR="00FE3687" w:rsidRDefault="00FE3687" w:rsidP="0023260A">
      <w:pPr>
        <w:pStyle w:val="ListParagraph"/>
        <w:ind w:left="360"/>
      </w:pPr>
    </w:p>
    <w:p w14:paraId="6CBCF5EF" w14:textId="386AA3B2" w:rsidR="00FE3687" w:rsidRPr="00140638" w:rsidRDefault="00FE3687" w:rsidP="0023260A">
      <w:pPr>
        <w:pStyle w:val="ListParagraph"/>
        <w:numPr>
          <w:ilvl w:val="0"/>
          <w:numId w:val="3"/>
        </w:numPr>
        <w:spacing w:line="360" w:lineRule="auto"/>
        <w:ind w:left="360"/>
        <w:jc w:val="both"/>
      </w:pPr>
      <w:r w:rsidRPr="00140638">
        <w:t xml:space="preserve">If insufficient space has been provided for a reply or if the answer is requested on a separate sheet, please provide that information on a separate sheet and refer to it in the space provided for the answer.  Please </w:t>
      </w:r>
      <w:r w:rsidRPr="00140638">
        <w:lastRenderedPageBreak/>
        <w:t xml:space="preserve">ensure that any sheets are clearly marked with the name of the </w:t>
      </w:r>
      <w:r>
        <w:t xml:space="preserve">applicant </w:t>
      </w:r>
      <w:r w:rsidRPr="00140638">
        <w:t>and referenced to the appropriate question.</w:t>
      </w:r>
      <w:r w:rsidR="00344290">
        <w:t xml:space="preserve">  </w:t>
      </w:r>
      <w:r w:rsidR="00344290" w:rsidRPr="00344290">
        <w:rPr>
          <w:bCs/>
        </w:rPr>
        <w:t>The level of detail should be proportionate to the applicant’s size and internal organisation, and to the nature, scope, complexity and riskiness of the particular service(s) the applicant intends to provide.</w:t>
      </w:r>
    </w:p>
    <w:p w14:paraId="23EC98D1" w14:textId="77777777" w:rsidR="005D5481" w:rsidRDefault="005D5481" w:rsidP="0023260A">
      <w:pPr>
        <w:pStyle w:val="ListParagraph"/>
        <w:ind w:left="360"/>
      </w:pPr>
    </w:p>
    <w:p w14:paraId="5A9B6895" w14:textId="43EFF9E8" w:rsidR="00294864" w:rsidRPr="0083485E" w:rsidRDefault="0083485E" w:rsidP="0023260A">
      <w:pPr>
        <w:pStyle w:val="ListParagraph"/>
        <w:numPr>
          <w:ilvl w:val="0"/>
          <w:numId w:val="3"/>
        </w:numPr>
        <w:spacing w:line="360" w:lineRule="auto"/>
        <w:ind w:left="360"/>
        <w:jc w:val="both"/>
      </w:pPr>
      <w:r w:rsidRPr="00140638">
        <w:t xml:space="preserve">Any questions that have a </w:t>
      </w:r>
      <w:r>
        <w:t>‘</w:t>
      </w:r>
      <w:r w:rsidRPr="0023260A">
        <w:rPr>
          <w:b/>
          <w:bCs/>
        </w:rPr>
        <w:t>YES’</w:t>
      </w:r>
      <w:r w:rsidRPr="00140638">
        <w:t xml:space="preserve"> and a </w:t>
      </w:r>
      <w:r>
        <w:t>‘</w:t>
      </w:r>
      <w:r w:rsidRPr="0023260A">
        <w:rPr>
          <w:b/>
          <w:bCs/>
        </w:rPr>
        <w:t>NO’</w:t>
      </w:r>
      <w:r w:rsidRPr="00140638">
        <w:t xml:space="preserve"> box should be completed </w:t>
      </w:r>
      <w:r w:rsidR="005D5481">
        <w:t xml:space="preserve">by the applicant </w:t>
      </w:r>
      <w:r w:rsidRPr="00140638">
        <w:t>accordingly.</w:t>
      </w:r>
    </w:p>
    <w:p w14:paraId="1708148B" w14:textId="77777777" w:rsidR="00294864" w:rsidRPr="00140638" w:rsidRDefault="00294864" w:rsidP="0023260A">
      <w:pPr>
        <w:spacing w:after="0" w:line="360" w:lineRule="auto"/>
        <w:jc w:val="both"/>
      </w:pPr>
    </w:p>
    <w:p w14:paraId="00DBF2E9" w14:textId="6A0D1C88" w:rsidR="00294864" w:rsidRDefault="00294864" w:rsidP="0023260A">
      <w:pPr>
        <w:pStyle w:val="ListParagraph"/>
        <w:numPr>
          <w:ilvl w:val="0"/>
          <w:numId w:val="3"/>
        </w:numPr>
        <w:spacing w:line="360" w:lineRule="auto"/>
        <w:ind w:left="360"/>
        <w:jc w:val="both"/>
      </w:pPr>
      <w:r w:rsidRPr="00140638">
        <w:t xml:space="preserve">Further information or clarification may be requested </w:t>
      </w:r>
      <w:r>
        <w:t xml:space="preserve">from the applicant </w:t>
      </w:r>
      <w:r w:rsidRPr="00140638">
        <w:t>(having regard to the replies furnished</w:t>
      </w:r>
      <w:r>
        <w:t xml:space="preserve"> with its </w:t>
      </w:r>
      <w:r w:rsidR="009972D1">
        <w:t>notification</w:t>
      </w:r>
      <w:r w:rsidRPr="00140638">
        <w:t>) for the purpose of considering a</w:t>
      </w:r>
      <w:r w:rsidR="009972D1">
        <w:t xml:space="preserve"> notification</w:t>
      </w:r>
      <w:r w:rsidRPr="00140638">
        <w:t>.</w:t>
      </w:r>
      <w:r w:rsidR="000F0D03">
        <w:t xml:space="preserve"> </w:t>
      </w:r>
    </w:p>
    <w:p w14:paraId="1389A141" w14:textId="77777777" w:rsidR="000F0D03" w:rsidRDefault="000F0D03" w:rsidP="00C03A64">
      <w:pPr>
        <w:pStyle w:val="ListParagraph"/>
      </w:pPr>
    </w:p>
    <w:p w14:paraId="2C8F3EF7" w14:textId="05A46814" w:rsidR="00B64B1F" w:rsidRDefault="000F0D03" w:rsidP="00C03A64">
      <w:pPr>
        <w:pStyle w:val="ListParagraph"/>
        <w:numPr>
          <w:ilvl w:val="0"/>
          <w:numId w:val="3"/>
        </w:numPr>
        <w:spacing w:line="360" w:lineRule="auto"/>
        <w:ind w:left="360"/>
        <w:jc w:val="both"/>
      </w:pPr>
      <w:r w:rsidRPr="001E0C56">
        <w:t xml:space="preserve">The Central Bank may process personal data provided by you in order to fulfil its statutory functions or to facilitate its business operations. </w:t>
      </w:r>
      <w:r w:rsidR="006B0CB9">
        <w:t xml:space="preserve"> </w:t>
      </w:r>
      <w:r w:rsidRPr="001E0C56">
        <w:t xml:space="preserve">Any personal data will be processed in accordance with the requirements of data protection legislation. </w:t>
      </w:r>
      <w:r w:rsidR="006B0CB9">
        <w:t xml:space="preserve"> </w:t>
      </w:r>
      <w:r w:rsidRPr="001E0C56">
        <w:t xml:space="preserve">Any queries concerning the processing of personal data by the Central Bank may be directed to </w:t>
      </w:r>
      <w:hyperlink r:id="rId11" w:history="1">
        <w:r w:rsidRPr="00A52A10">
          <w:rPr>
            <w:color w:val="0070C0"/>
            <w:u w:val="single"/>
          </w:rPr>
          <w:t>dataprotection@centralbank.ie</w:t>
        </w:r>
      </w:hyperlink>
      <w:r w:rsidRPr="001E0C56">
        <w:t xml:space="preserve">. </w:t>
      </w:r>
      <w:r w:rsidR="006B0CB9">
        <w:t xml:space="preserve"> </w:t>
      </w:r>
      <w:r w:rsidRPr="001E0C56">
        <w:t xml:space="preserve">A copy of the Central Bank’s Data Protection Notice is available at </w:t>
      </w:r>
      <w:hyperlink r:id="rId12" w:history="1">
        <w:r w:rsidRPr="00A52A10">
          <w:rPr>
            <w:color w:val="0070C0"/>
            <w:u w:val="single"/>
          </w:rPr>
          <w:t>www.centralbank.ie/fns/privacy-statement</w:t>
        </w:r>
      </w:hyperlink>
      <w:r w:rsidRPr="001E0C56">
        <w:t>.</w:t>
      </w:r>
    </w:p>
    <w:p w14:paraId="3422A9A9" w14:textId="77777777" w:rsidR="007D16A8" w:rsidRDefault="007D16A8" w:rsidP="007D16A8"/>
    <w:p w14:paraId="5F89090E" w14:textId="498CA855" w:rsidR="00D473F7" w:rsidRDefault="0023260A" w:rsidP="007D16A8">
      <w:pPr>
        <w:jc w:val="center"/>
      </w:pPr>
      <w:r>
        <w:rPr>
          <w:b/>
          <w:sz w:val="24"/>
          <w:szCs w:val="24"/>
        </w:rPr>
        <w:t>T</w:t>
      </w:r>
      <w:r w:rsidR="00D473F7" w:rsidRPr="00D9222B">
        <w:rPr>
          <w:b/>
          <w:sz w:val="24"/>
          <w:szCs w:val="24"/>
        </w:rPr>
        <w:t xml:space="preserve">ABLE </w:t>
      </w:r>
      <w:r w:rsidR="00D473F7">
        <w:rPr>
          <w:b/>
          <w:sz w:val="24"/>
          <w:szCs w:val="24"/>
        </w:rPr>
        <w:t>1</w:t>
      </w:r>
    </w:p>
    <w:tbl>
      <w:tblPr>
        <w:tblW w:w="5979" w:type="pct"/>
        <w:tblInd w:w="-71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7"/>
        <w:gridCol w:w="4678"/>
        <w:gridCol w:w="5529"/>
      </w:tblGrid>
      <w:tr w:rsidR="00294864" w:rsidRPr="00A63412" w14:paraId="2F04527F"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70016886" w14:textId="6089E402" w:rsidR="00294864" w:rsidRPr="00A63412" w:rsidRDefault="00294864" w:rsidP="00C33686"/>
        </w:tc>
        <w:tc>
          <w:tcPr>
            <w:tcW w:w="2171"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0113CD9A" w14:textId="77777777" w:rsidR="00294864" w:rsidRPr="00D9222B" w:rsidRDefault="00294864" w:rsidP="00EC5F6F">
            <w:pPr>
              <w:rPr>
                <w:b/>
              </w:rPr>
            </w:pPr>
            <w:r w:rsidRPr="00D9222B">
              <w:rPr>
                <w:b/>
              </w:rPr>
              <w:t>Information to be provided by Applicant</w:t>
            </w:r>
          </w:p>
        </w:tc>
        <w:tc>
          <w:tcPr>
            <w:tcW w:w="2566" w:type="pct"/>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30" w:type="dxa"/>
              <w:left w:w="75" w:type="dxa"/>
              <w:bottom w:w="30" w:type="dxa"/>
              <w:right w:w="30" w:type="dxa"/>
            </w:tcMar>
          </w:tcPr>
          <w:p w14:paraId="6FC3363A" w14:textId="77777777" w:rsidR="00294864" w:rsidRPr="00D9222B" w:rsidRDefault="00294864" w:rsidP="00EC5F6F">
            <w:pPr>
              <w:rPr>
                <w:b/>
              </w:rPr>
            </w:pPr>
            <w:r w:rsidRPr="00D9222B">
              <w:rPr>
                <w:b/>
              </w:rPr>
              <w:t>Response Provided by Applicant</w:t>
            </w:r>
          </w:p>
        </w:tc>
      </w:tr>
      <w:tr w:rsidR="00FF099B" w:rsidRPr="00A63412" w14:paraId="195EC032"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6F85BA06" w14:textId="68C5AE7F" w:rsidR="00FF099B" w:rsidRPr="00693199" w:rsidRDefault="00FF099B" w:rsidP="00EC5F6F">
            <w:r>
              <w:t>A)</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83E64E6" w14:textId="4B14E003" w:rsidR="00FF099B" w:rsidRDefault="006B0CB9" w:rsidP="00B91AE0">
            <w:pPr>
              <w:rPr>
                <w:rFonts w:cs="TimesTen-Roman"/>
              </w:rPr>
            </w:pPr>
            <w:r>
              <w:rPr>
                <w:rFonts w:cs="TimesTen-Roman"/>
              </w:rPr>
              <w:t xml:space="preserve">Name of </w:t>
            </w:r>
            <w:r w:rsidR="00B91AE0">
              <w:rPr>
                <w:rFonts w:cs="TimesTen-Roman"/>
              </w:rPr>
              <w:t>applicant</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0CB1BAFA" w14:textId="1002ADB9" w:rsidR="006B0CB9" w:rsidRPr="00A63412" w:rsidRDefault="006B0CB9" w:rsidP="006B0CB9">
            <w:pPr>
              <w:jc w:val="both"/>
            </w:pPr>
          </w:p>
        </w:tc>
      </w:tr>
      <w:tr w:rsidR="00FF099B" w:rsidRPr="00A63412" w14:paraId="4F2CC438"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813C68D" w14:textId="0BDF067E" w:rsidR="00FF099B" w:rsidRPr="00693199" w:rsidRDefault="00FF099B" w:rsidP="00EC5F6F">
            <w:r>
              <w:t>B)</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9B50A1B" w14:textId="0B4C8633" w:rsidR="00FF099B" w:rsidRDefault="00FF099B" w:rsidP="00EC5F6F">
            <w:pPr>
              <w:rPr>
                <w:rFonts w:cs="TimesTen-Roman"/>
              </w:rPr>
            </w:pPr>
            <w:r w:rsidRPr="00FF099B">
              <w:rPr>
                <w:rFonts w:cs="TimesTen-Roman"/>
              </w:rPr>
              <w:t>Central Bank of Ireland</w:t>
            </w:r>
            <w:r>
              <w:rPr>
                <w:rFonts w:cs="TimesTen-Roman"/>
              </w:rPr>
              <w:t xml:space="preserve"> reference No.</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1518374" w14:textId="77777777" w:rsidR="00FF099B" w:rsidRPr="00A63412" w:rsidRDefault="00FF099B" w:rsidP="006B0CB9">
            <w:pPr>
              <w:jc w:val="both"/>
            </w:pPr>
          </w:p>
        </w:tc>
      </w:tr>
      <w:tr w:rsidR="00FF099B" w:rsidRPr="00A63412" w14:paraId="62DDBA8B"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1F16E1A4" w14:textId="12084D16" w:rsidR="00FF099B" w:rsidRPr="00693199" w:rsidRDefault="00FF099B" w:rsidP="00EC5F6F">
            <w:r>
              <w:lastRenderedPageBreak/>
              <w:t>C)</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4BDB12AA" w14:textId="3CB8F638" w:rsidR="00FF099B" w:rsidRDefault="00F844B1" w:rsidP="00EC5F6F">
            <w:pPr>
              <w:rPr>
                <w:rFonts w:cs="TimesTen-Roman"/>
              </w:rPr>
            </w:pPr>
            <w:r>
              <w:rPr>
                <w:rFonts w:cs="TimesTen-Roman"/>
              </w:rPr>
              <w:t xml:space="preserve">Date of Receipt by the </w:t>
            </w:r>
            <w:r w:rsidRPr="00F844B1">
              <w:rPr>
                <w:rFonts w:cs="TimesTen-Roman"/>
              </w:rPr>
              <w:t>Central Bank of Ireland</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E67E58A" w14:textId="77777777" w:rsidR="00FF099B" w:rsidRPr="00A63412" w:rsidRDefault="00FF099B" w:rsidP="006B0CB9">
            <w:pPr>
              <w:jc w:val="both"/>
            </w:pPr>
          </w:p>
        </w:tc>
      </w:tr>
      <w:tr w:rsidR="00F844B1" w:rsidRPr="00A63412" w14:paraId="66057F03"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0DFA29C5" w14:textId="46E78310" w:rsidR="00F844B1" w:rsidRPr="00B63D66" w:rsidRDefault="00B63D66" w:rsidP="00EC5F6F">
            <w:r>
              <w:t>D</w:t>
            </w:r>
            <w:r w:rsidR="00F844B1" w:rsidRPr="00B63D66">
              <w:t>)</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51212070" w14:textId="31358508" w:rsidR="00F844B1" w:rsidRPr="00B63D66" w:rsidRDefault="00F844B1" w:rsidP="00B91AE0">
            <w:pPr>
              <w:rPr>
                <w:rFonts w:cs="TimesTen-Roman"/>
              </w:rPr>
            </w:pPr>
            <w:r w:rsidRPr="00B63D66">
              <w:rPr>
                <w:rFonts w:cs="TimesTen-Roman"/>
              </w:rPr>
              <w:t>Contact person w</w:t>
            </w:r>
            <w:r w:rsidR="006B0CB9">
              <w:rPr>
                <w:rFonts w:cs="TimesTen-Roman"/>
              </w:rPr>
              <w:t xml:space="preserve">ithin the </w:t>
            </w:r>
            <w:r w:rsidR="00B91AE0">
              <w:rPr>
                <w:rFonts w:cs="TimesTen-Roman"/>
              </w:rPr>
              <w:t>applicant</w:t>
            </w:r>
            <w:r w:rsidRPr="00B63D66">
              <w:rPr>
                <w:rFonts w:cs="TimesTen-Roman"/>
              </w:rPr>
              <w:t xml:space="preserve">  </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EE65987" w14:textId="77777777" w:rsidR="00F844B1" w:rsidRPr="00A63412" w:rsidRDefault="00F844B1" w:rsidP="006B0CB9">
            <w:pPr>
              <w:jc w:val="both"/>
            </w:pPr>
          </w:p>
        </w:tc>
      </w:tr>
      <w:tr w:rsidR="00F844B1" w:rsidRPr="00A63412" w14:paraId="2EDBC795"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53D35D0C" w14:textId="5C985498" w:rsidR="00F844B1" w:rsidRPr="00B63D66" w:rsidRDefault="00B63D66" w:rsidP="00EC5F6F">
            <w:r>
              <w:t>E</w:t>
            </w:r>
            <w:r w:rsidR="00F844B1" w:rsidRPr="00B63D66">
              <w:t>)</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6EA5835A" w14:textId="7E55A6EF" w:rsidR="00F844B1" w:rsidRPr="00B63D66" w:rsidRDefault="00F844B1" w:rsidP="00EC5F6F">
            <w:pPr>
              <w:rPr>
                <w:rFonts w:cs="TimesTen-Roman"/>
              </w:rPr>
            </w:pPr>
            <w:r w:rsidRPr="00B63D66">
              <w:rPr>
                <w:rFonts w:cs="TimesTen-Roman"/>
              </w:rPr>
              <w:t xml:space="preserve">Email address of the above contact person </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5EAD0669" w14:textId="77777777" w:rsidR="00F844B1" w:rsidRPr="00A63412" w:rsidRDefault="00F844B1" w:rsidP="006B0CB9">
            <w:pPr>
              <w:jc w:val="both"/>
            </w:pPr>
          </w:p>
        </w:tc>
      </w:tr>
      <w:tr w:rsidR="00F844B1" w:rsidRPr="00A63412" w14:paraId="6F1D8C3B"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6D062951" w14:textId="5CB51F07" w:rsidR="00F844B1" w:rsidRPr="00B63D66" w:rsidRDefault="00B63D66" w:rsidP="00EC5F6F">
            <w:r>
              <w:t>F</w:t>
            </w:r>
            <w:r w:rsidR="00F844B1" w:rsidRPr="00B63D66">
              <w:t>)</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06C01D0" w14:textId="22D1E50D" w:rsidR="00F844B1" w:rsidRPr="00B63D66" w:rsidRDefault="00F844B1" w:rsidP="00EC5F6F">
            <w:pPr>
              <w:rPr>
                <w:rFonts w:cs="TimesTen-Roman"/>
              </w:rPr>
            </w:pPr>
            <w:r w:rsidRPr="00B63D66">
              <w:rPr>
                <w:rFonts w:cs="TimesTen-Roman"/>
              </w:rPr>
              <w:t>Telephone number of the above contact person</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6A8E45ED" w14:textId="77777777" w:rsidR="00F844B1" w:rsidRPr="00A63412" w:rsidRDefault="00F844B1" w:rsidP="006B0CB9">
            <w:pPr>
              <w:jc w:val="both"/>
            </w:pPr>
          </w:p>
        </w:tc>
      </w:tr>
      <w:tr w:rsidR="00294864" w:rsidRPr="00A63412" w14:paraId="736A9D03"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53DDA814" w14:textId="451847A8" w:rsidR="00294864" w:rsidRPr="00B63D66" w:rsidRDefault="00B63D66" w:rsidP="00EC5F6F">
            <w:r>
              <w:t>G</w:t>
            </w:r>
            <w:r w:rsidR="00294864" w:rsidRPr="00B63D66">
              <w:t>)</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7985EE37" w14:textId="6B1CDBBB" w:rsidR="00294864" w:rsidRPr="00B63D66" w:rsidRDefault="00D473F7" w:rsidP="00EC5F6F">
            <w:r w:rsidRPr="00B63D66">
              <w:rPr>
                <w:rFonts w:cs="TimesTen-Roman"/>
              </w:rPr>
              <w:t>N</w:t>
            </w:r>
            <w:r w:rsidR="00B63D66">
              <w:rPr>
                <w:rFonts w:cs="TimesTen-Roman"/>
              </w:rPr>
              <w:t>ame</w:t>
            </w:r>
            <w:r w:rsidR="00F844B1" w:rsidRPr="00B63D66">
              <w:rPr>
                <w:rFonts w:cs="TimesTen-Roman"/>
              </w:rPr>
              <w:t xml:space="preserve"> </w:t>
            </w:r>
            <w:r w:rsidR="00B63D66" w:rsidRPr="00B63D66">
              <w:rPr>
                <w:rFonts w:cs="TimesTen-Roman"/>
              </w:rPr>
              <w:t xml:space="preserve">and address of the </w:t>
            </w:r>
            <w:r w:rsidR="005B6EA5" w:rsidRPr="00C33686">
              <w:rPr>
                <w:rFonts w:cstheme="minorHAnsi"/>
                <w:bCs/>
                <w:color w:val="000000"/>
              </w:rPr>
              <w:t>outsourcing service provider</w:t>
            </w:r>
            <w:r w:rsidR="00B91AE0">
              <w:rPr>
                <w:rFonts w:cstheme="minorHAnsi"/>
                <w:bCs/>
                <w:color w:val="000000"/>
              </w:rPr>
              <w:t>(s)</w:t>
            </w:r>
            <w:r w:rsidR="00B91AE0">
              <w:rPr>
                <w:rStyle w:val="FootnoteReference"/>
                <w:rFonts w:cstheme="minorHAnsi"/>
                <w:bCs/>
                <w:color w:val="000000"/>
              </w:rPr>
              <w:footnoteReference w:id="1"/>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hideMark/>
          </w:tcPr>
          <w:p w14:paraId="2210A3DA" w14:textId="3BA16761" w:rsidR="006B0CB9" w:rsidRPr="00A63412" w:rsidRDefault="00294864" w:rsidP="006B0CB9">
            <w:pPr>
              <w:jc w:val="both"/>
            </w:pPr>
            <w:r w:rsidRPr="00A63412">
              <w:t> </w:t>
            </w:r>
          </w:p>
        </w:tc>
      </w:tr>
      <w:tr w:rsidR="00B91AE0" w:rsidRPr="00A63412" w14:paraId="6CFAC516"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3400173E" w14:textId="08D48D67" w:rsidR="00B91AE0" w:rsidRPr="00B63D66" w:rsidRDefault="00B91AE0" w:rsidP="00EC5F6F">
            <w:r>
              <w:t>H)</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02886B5C" w14:textId="4C7918C9" w:rsidR="00B91AE0" w:rsidRPr="00B63D66" w:rsidRDefault="00B91AE0" w:rsidP="00EC5F6F">
            <w:pPr>
              <w:rPr>
                <w:rFonts w:cs="TimesTen-Roman"/>
              </w:rPr>
            </w:pPr>
            <w:r>
              <w:rPr>
                <w:rFonts w:cs="TimesTen-Roman"/>
              </w:rPr>
              <w:t>Where applicable, the national competent authority of the outsourcing service provider(s)</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468B66FD" w14:textId="77777777" w:rsidR="00B91AE0" w:rsidRPr="00A63412" w:rsidRDefault="00B91AE0" w:rsidP="006B0CB9">
            <w:pPr>
              <w:jc w:val="both"/>
            </w:pPr>
          </w:p>
        </w:tc>
      </w:tr>
      <w:tr w:rsidR="00B63D66" w:rsidRPr="00A63412" w14:paraId="4D13EA43"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5816671" w14:textId="7B479B3C" w:rsidR="00B63D66" w:rsidRPr="00B63D66" w:rsidRDefault="00B91AE0" w:rsidP="00EC5F6F">
            <w:r>
              <w:t>I</w:t>
            </w:r>
            <w:r w:rsidR="00B63D66" w:rsidRPr="00B63D66">
              <w:t>)</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043D550" w14:textId="7B78F3BB" w:rsidR="00B63D66" w:rsidRPr="00B63D66" w:rsidRDefault="00B63D66" w:rsidP="00EC5F6F">
            <w:pPr>
              <w:rPr>
                <w:rFonts w:cs="TimesTen-Roman"/>
              </w:rPr>
            </w:pPr>
            <w:r w:rsidRPr="00B63D66">
              <w:rPr>
                <w:rFonts w:cs="TimesTen-Roman"/>
              </w:rPr>
              <w:t xml:space="preserve">Where applicable, the unique identification code or number of the </w:t>
            </w:r>
            <w:r w:rsidR="005B6EA5" w:rsidRPr="00C33686">
              <w:rPr>
                <w:rFonts w:cstheme="minorHAnsi"/>
                <w:bCs/>
                <w:color w:val="000000"/>
              </w:rPr>
              <w:t>outsourcing service provider</w:t>
            </w:r>
            <w:r w:rsidR="00B91AE0">
              <w:rPr>
                <w:rFonts w:cstheme="minorHAnsi"/>
                <w:bCs/>
                <w:color w:val="000000"/>
              </w:rPr>
              <w:t>(s)</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55B5D36" w14:textId="77777777" w:rsidR="00B63D66" w:rsidRPr="00A63412" w:rsidRDefault="00B63D66" w:rsidP="00520C00">
            <w:pPr>
              <w:autoSpaceDE w:val="0"/>
              <w:autoSpaceDN w:val="0"/>
              <w:adjustRightInd w:val="0"/>
              <w:spacing w:after="0"/>
              <w:jc w:val="both"/>
            </w:pPr>
          </w:p>
        </w:tc>
      </w:tr>
      <w:tr w:rsidR="00520C00" w:rsidRPr="00A63412" w14:paraId="131528CA"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65DC78EE" w14:textId="2A236645" w:rsidR="00520C00" w:rsidRDefault="00520C00" w:rsidP="00EC5F6F">
            <w:r>
              <w:t>J)</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56182178" w14:textId="592EBECA" w:rsidR="00520C00" w:rsidRPr="00B63D66" w:rsidRDefault="00520C00" w:rsidP="007D16A8">
            <w:pPr>
              <w:autoSpaceDE w:val="0"/>
              <w:autoSpaceDN w:val="0"/>
              <w:adjustRightInd w:val="0"/>
              <w:spacing w:after="0"/>
              <w:jc w:val="both"/>
              <w:rPr>
                <w:rFonts w:cs="TimesTen-Roman"/>
              </w:rPr>
            </w:pPr>
            <w:r w:rsidRPr="00B63D66">
              <w:rPr>
                <w:rFonts w:cs="TimesTen-Roman"/>
              </w:rPr>
              <w:t xml:space="preserve">A summary of the proposed arrangements, including how these are consistent with the </w:t>
            </w:r>
            <w:r>
              <w:rPr>
                <w:rFonts w:cs="TimesTen-Roman"/>
              </w:rPr>
              <w:t>applicant</w:t>
            </w:r>
            <w:r w:rsidRPr="00B63D66">
              <w:rPr>
                <w:rFonts w:cs="TimesTen-Roman"/>
              </w:rPr>
              <w:t>’s strategy, and meet the cri</w:t>
            </w:r>
            <w:r>
              <w:rPr>
                <w:rFonts w:cs="TimesTen-Roman"/>
              </w:rPr>
              <w:t>teria set out in the Guidelines.  The summary should include details of any material changes to the applicant’s programme of operations submitted as part of its original authorisation application.</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6C8DEB8" w14:textId="2667586E" w:rsidR="00520C00" w:rsidRPr="00B63D66" w:rsidRDefault="007D0CCC" w:rsidP="00520C00">
            <w:pPr>
              <w:autoSpaceDE w:val="0"/>
              <w:autoSpaceDN w:val="0"/>
              <w:adjustRightInd w:val="0"/>
              <w:spacing w:after="0"/>
              <w:jc w:val="both"/>
              <w:rPr>
                <w:rFonts w:cs="TimesTen-Roman"/>
              </w:rPr>
            </w:pPr>
            <w:r>
              <w:rPr>
                <w:rFonts w:cs="TimesTen-Roman"/>
              </w:rPr>
              <w:t>This summary should be attached as a separate Appendix to the notification.</w:t>
            </w:r>
            <w:r w:rsidR="009972D1">
              <w:rPr>
                <w:rFonts w:cs="TimesTen-Roman"/>
              </w:rPr>
              <w:t xml:space="preserve">  It should be a concise document, with only relevant material included.  </w:t>
            </w:r>
          </w:p>
        </w:tc>
      </w:tr>
      <w:tr w:rsidR="00520C00" w:rsidRPr="00A63412" w14:paraId="6E54EC10"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DEFF959" w14:textId="1FC6E45F" w:rsidR="00520C00" w:rsidRDefault="00520C00" w:rsidP="00EC5F6F">
            <w:r>
              <w:t>K)</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A3DBE0B" w14:textId="660DC27F" w:rsidR="00520C00" w:rsidRPr="00B63D66" w:rsidRDefault="00520C00" w:rsidP="00EC5F6F">
            <w:pPr>
              <w:autoSpaceDE w:val="0"/>
              <w:autoSpaceDN w:val="0"/>
              <w:adjustRightInd w:val="0"/>
              <w:spacing w:after="0"/>
              <w:rPr>
                <w:rFonts w:cs="TimesTen-Roman"/>
              </w:rPr>
            </w:pPr>
            <w:r w:rsidRPr="00B63D66">
              <w:rPr>
                <w:rFonts w:cs="TimesTen-Roman"/>
              </w:rPr>
              <w:t>Details of the risk assessment undertaken in relation to the proposed arrangements, including how risks have been ide</w:t>
            </w:r>
            <w:r>
              <w:rPr>
                <w:rFonts w:cs="TimesTen-Roman"/>
              </w:rPr>
              <w:t>ntified, assessed and mitigated</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DB0AFCC" w14:textId="12AF52A0" w:rsidR="00520C00" w:rsidRPr="00A63412" w:rsidRDefault="009972D1" w:rsidP="006B0CB9">
            <w:pPr>
              <w:spacing w:after="0"/>
              <w:jc w:val="both"/>
            </w:pPr>
            <w:r>
              <w:t>This assessment should be attached as a separate Appendix to the notification.  It should be a concise document, with only relevant material included.</w:t>
            </w:r>
          </w:p>
        </w:tc>
      </w:tr>
      <w:tr w:rsidR="009972D1" w:rsidRPr="00A63412" w14:paraId="55156C92"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580BA3B" w14:textId="673B3AB8" w:rsidR="009972D1" w:rsidRDefault="009972D1" w:rsidP="00EC5F6F">
            <w:r>
              <w:t>L)</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B8E122F" w14:textId="5FF14119" w:rsidR="009972D1" w:rsidRDefault="009972D1" w:rsidP="009972D1">
            <w:pPr>
              <w:pStyle w:val="Default"/>
              <w:spacing w:line="276" w:lineRule="auto"/>
              <w:jc w:val="both"/>
              <w:rPr>
                <w:rFonts w:cs="Calibri"/>
                <w:sz w:val="22"/>
                <w:szCs w:val="22"/>
              </w:rPr>
            </w:pPr>
            <w:r>
              <w:rPr>
                <w:rFonts w:cs="Calibri"/>
                <w:sz w:val="22"/>
                <w:szCs w:val="22"/>
              </w:rPr>
              <w:t>Is sub-outsourcing in place as part of the proposed arrangements (Y/N)?</w:t>
            </w:r>
          </w:p>
          <w:p w14:paraId="66756C7B" w14:textId="5AE505BA" w:rsidR="009972D1" w:rsidRPr="007D16A8" w:rsidRDefault="009972D1" w:rsidP="007D16A8">
            <w:pPr>
              <w:pStyle w:val="Default"/>
              <w:spacing w:line="276" w:lineRule="auto"/>
              <w:jc w:val="both"/>
              <w:rPr>
                <w:rFonts w:cs="Calibri"/>
                <w:sz w:val="22"/>
                <w:szCs w:val="22"/>
              </w:rPr>
            </w:pP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4DE43659" w14:textId="77777777" w:rsidR="007D16A8" w:rsidRDefault="007D16A8" w:rsidP="007D16A8">
            <w:pPr>
              <w:spacing w:after="0"/>
              <w:jc w:val="both"/>
            </w:pPr>
            <w:r>
              <w:t>If No – then Not Applicable.</w:t>
            </w:r>
          </w:p>
          <w:p w14:paraId="41CF9F0C" w14:textId="1F199F18" w:rsidR="009972D1" w:rsidRPr="00A63412" w:rsidRDefault="009972D1" w:rsidP="009972D1">
            <w:pPr>
              <w:spacing w:after="0"/>
              <w:jc w:val="both"/>
            </w:pPr>
            <w:r>
              <w:t>If Yes – please provide a separate Appendix setting out how sub-outsourcing requirements set out in Guidelines 76 to 80 will be met by the applicant.</w:t>
            </w:r>
          </w:p>
        </w:tc>
      </w:tr>
      <w:tr w:rsidR="00B63D66" w:rsidRPr="00A63412" w14:paraId="4E778851" w14:textId="77777777" w:rsidTr="00EC5F6F">
        <w:tc>
          <w:tcPr>
            <w:tcW w:w="263"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2E6C90B7" w14:textId="35620360" w:rsidR="00B63D66" w:rsidRDefault="009972D1" w:rsidP="00EC5F6F">
            <w:r>
              <w:t>M</w:t>
            </w:r>
            <w:r w:rsidR="00B63D66">
              <w:t>)</w:t>
            </w:r>
          </w:p>
        </w:tc>
        <w:tc>
          <w:tcPr>
            <w:tcW w:w="2171"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15F89439" w14:textId="3415A5F1" w:rsidR="00B63D66" w:rsidRPr="00B63D66" w:rsidRDefault="00B63D66" w:rsidP="00EC5F6F">
            <w:pPr>
              <w:autoSpaceDE w:val="0"/>
              <w:autoSpaceDN w:val="0"/>
              <w:adjustRightInd w:val="0"/>
              <w:spacing w:after="0"/>
              <w:rPr>
                <w:rFonts w:cs="TimesTen-Roman"/>
              </w:rPr>
            </w:pPr>
            <w:r w:rsidRPr="00B63D66">
              <w:rPr>
                <w:rFonts w:cs="TimesTen-Roman"/>
              </w:rPr>
              <w:t>A copy of the outsourcing agreement.</w:t>
            </w:r>
          </w:p>
        </w:tc>
        <w:tc>
          <w:tcPr>
            <w:tcW w:w="2566" w:type="pct"/>
            <w:tcBorders>
              <w:top w:val="single" w:sz="6" w:space="0" w:color="000000"/>
              <w:left w:val="single" w:sz="6" w:space="0" w:color="000000"/>
              <w:bottom w:val="single" w:sz="6" w:space="0" w:color="000000"/>
              <w:right w:val="single" w:sz="6" w:space="0" w:color="000000"/>
            </w:tcBorders>
            <w:shd w:val="clear" w:color="auto" w:fill="FFFFFF"/>
            <w:tcMar>
              <w:top w:w="30" w:type="dxa"/>
              <w:left w:w="75" w:type="dxa"/>
              <w:bottom w:w="30" w:type="dxa"/>
              <w:right w:w="30" w:type="dxa"/>
            </w:tcMar>
          </w:tcPr>
          <w:p w14:paraId="7C5B1D14" w14:textId="77777777" w:rsidR="00B63D66" w:rsidRPr="00A63412" w:rsidRDefault="00B63D66" w:rsidP="006B0CB9">
            <w:pPr>
              <w:spacing w:after="0"/>
              <w:jc w:val="both"/>
            </w:pPr>
          </w:p>
        </w:tc>
      </w:tr>
    </w:tbl>
    <w:p w14:paraId="63F9B307" w14:textId="34F90C20" w:rsidR="00520C00" w:rsidRDefault="00520C00" w:rsidP="007D16A8">
      <w:pPr>
        <w:rPr>
          <w:b/>
          <w:sz w:val="24"/>
          <w:szCs w:val="24"/>
        </w:rPr>
      </w:pPr>
    </w:p>
    <w:p w14:paraId="2E864682" w14:textId="79AFAFD7" w:rsidR="00294864" w:rsidRPr="00D9222B" w:rsidRDefault="00294864" w:rsidP="00294864">
      <w:pPr>
        <w:jc w:val="center"/>
        <w:rPr>
          <w:b/>
          <w:sz w:val="24"/>
          <w:szCs w:val="24"/>
        </w:rPr>
      </w:pPr>
      <w:r w:rsidRPr="00D9222B">
        <w:rPr>
          <w:b/>
          <w:sz w:val="24"/>
          <w:szCs w:val="24"/>
        </w:rPr>
        <w:t xml:space="preserve">TABLE </w:t>
      </w:r>
      <w:r w:rsidR="00D473F7">
        <w:rPr>
          <w:b/>
          <w:sz w:val="24"/>
          <w:szCs w:val="24"/>
        </w:rPr>
        <w:t>2</w:t>
      </w:r>
    </w:p>
    <w:tbl>
      <w:tblPr>
        <w:tblW w:w="10774" w:type="dxa"/>
        <w:tblInd w:w="-714" w:type="dxa"/>
        <w:tblLook w:val="04A0" w:firstRow="1" w:lastRow="0" w:firstColumn="1" w:lastColumn="0" w:noHBand="0" w:noVBand="1"/>
      </w:tblPr>
      <w:tblGrid>
        <w:gridCol w:w="3727"/>
        <w:gridCol w:w="4981"/>
        <w:gridCol w:w="2066"/>
      </w:tblGrid>
      <w:tr w:rsidR="00294864" w:rsidRPr="00607208" w14:paraId="3460C480" w14:textId="77777777" w:rsidTr="00D473F7">
        <w:trPr>
          <w:trHeight w:val="699"/>
        </w:trPr>
        <w:tc>
          <w:tcPr>
            <w:tcW w:w="3727" w:type="dxa"/>
            <w:tcBorders>
              <w:top w:val="single" w:sz="4" w:space="0" w:color="auto"/>
              <w:left w:val="single" w:sz="4" w:space="0" w:color="auto"/>
              <w:bottom w:val="single" w:sz="4" w:space="0" w:color="auto"/>
              <w:right w:val="single" w:sz="4" w:space="0" w:color="auto"/>
            </w:tcBorders>
            <w:shd w:val="clear" w:color="000000" w:fill="F2F2F2"/>
          </w:tcPr>
          <w:p w14:paraId="704BC755" w14:textId="41774974" w:rsidR="00294864" w:rsidRPr="00D8750E" w:rsidRDefault="00294864" w:rsidP="00974D13">
            <w:pPr>
              <w:spacing w:after="0" w:line="240" w:lineRule="auto"/>
              <w:rPr>
                <w:b/>
              </w:rPr>
            </w:pPr>
            <w:r w:rsidRPr="00D8750E">
              <w:rPr>
                <w:b/>
              </w:rPr>
              <w:t xml:space="preserve">Related to </w:t>
            </w:r>
            <w:r w:rsidR="00D473F7">
              <w:rPr>
                <w:b/>
              </w:rPr>
              <w:t>Question</w:t>
            </w:r>
            <w:r w:rsidR="00FE3687">
              <w:rPr>
                <w:b/>
              </w:rPr>
              <w:t>s</w:t>
            </w:r>
            <w:r w:rsidR="00D473F7">
              <w:rPr>
                <w:b/>
              </w:rPr>
              <w:t xml:space="preserve"> in Table 1</w:t>
            </w:r>
          </w:p>
        </w:tc>
        <w:tc>
          <w:tcPr>
            <w:tcW w:w="4981" w:type="dxa"/>
            <w:tcBorders>
              <w:top w:val="single" w:sz="4" w:space="0" w:color="auto"/>
              <w:left w:val="nil"/>
              <w:bottom w:val="single" w:sz="4" w:space="0" w:color="auto"/>
              <w:right w:val="single" w:sz="4" w:space="0" w:color="auto"/>
            </w:tcBorders>
            <w:shd w:val="clear" w:color="000000" w:fill="F2F2F2"/>
          </w:tcPr>
          <w:p w14:paraId="262B0D7A" w14:textId="78CDE864" w:rsidR="00294864" w:rsidRPr="00D8750E" w:rsidRDefault="00294864" w:rsidP="00974D13">
            <w:pPr>
              <w:spacing w:after="0" w:line="240" w:lineRule="auto"/>
              <w:rPr>
                <w:rFonts w:ascii="Calibri" w:eastAsia="Times New Roman" w:hAnsi="Calibri" w:cs="Arial"/>
                <w:b/>
                <w:bCs/>
                <w:color w:val="000000"/>
                <w:lang w:eastAsia="en-IE"/>
              </w:rPr>
            </w:pPr>
            <w:r w:rsidRPr="00D8750E">
              <w:rPr>
                <w:rFonts w:ascii="Calibri" w:eastAsia="Times New Roman" w:hAnsi="Calibri" w:cs="Arial"/>
                <w:b/>
                <w:bCs/>
                <w:color w:val="000000"/>
                <w:lang w:eastAsia="en-IE"/>
              </w:rPr>
              <w:t>Details</w:t>
            </w:r>
            <w:r w:rsidR="00ED018C">
              <w:rPr>
                <w:rFonts w:ascii="Calibri" w:eastAsia="Times New Roman" w:hAnsi="Calibri" w:cs="Arial"/>
                <w:b/>
                <w:bCs/>
                <w:color w:val="000000"/>
                <w:lang w:eastAsia="en-IE"/>
              </w:rPr>
              <w:t xml:space="preserve"> to be provided by Applicant</w:t>
            </w:r>
          </w:p>
        </w:tc>
        <w:tc>
          <w:tcPr>
            <w:tcW w:w="2066" w:type="dxa"/>
            <w:tcBorders>
              <w:top w:val="single" w:sz="4" w:space="0" w:color="auto"/>
              <w:left w:val="nil"/>
              <w:bottom w:val="single" w:sz="4" w:space="0" w:color="auto"/>
              <w:right w:val="single" w:sz="4" w:space="0" w:color="auto"/>
            </w:tcBorders>
            <w:shd w:val="clear" w:color="000000" w:fill="F2F2F2"/>
          </w:tcPr>
          <w:p w14:paraId="5CB0D610" w14:textId="0C284568" w:rsidR="00294864" w:rsidRDefault="00294864" w:rsidP="006B0CB9">
            <w:pPr>
              <w:spacing w:after="0" w:line="240" w:lineRule="auto"/>
              <w:jc w:val="both"/>
              <w:rPr>
                <w:rFonts w:ascii="Calibri" w:eastAsia="Times New Roman" w:hAnsi="Calibri" w:cs="Arial"/>
                <w:b/>
                <w:bCs/>
                <w:color w:val="000000"/>
                <w:lang w:eastAsia="en-IE"/>
              </w:rPr>
            </w:pPr>
            <w:r w:rsidRPr="00D8750E">
              <w:rPr>
                <w:rFonts w:ascii="Calibri" w:eastAsia="Times New Roman" w:hAnsi="Calibri" w:cs="Arial"/>
                <w:b/>
                <w:bCs/>
                <w:color w:val="000000"/>
                <w:lang w:eastAsia="en-IE"/>
              </w:rPr>
              <w:t>Tick to confirm</w:t>
            </w:r>
            <w:r w:rsidR="00923B04">
              <w:rPr>
                <w:rFonts w:ascii="Calibri" w:eastAsia="Times New Roman" w:hAnsi="Calibri" w:cs="Arial"/>
                <w:b/>
                <w:bCs/>
                <w:color w:val="000000"/>
                <w:lang w:eastAsia="en-IE"/>
              </w:rPr>
              <w:t xml:space="preserve"> </w:t>
            </w:r>
          </w:p>
          <w:p w14:paraId="07110E5D" w14:textId="77777777" w:rsidR="00294864" w:rsidRPr="00D8750E" w:rsidRDefault="00294864" w:rsidP="006B0CB9">
            <w:pPr>
              <w:spacing w:after="0" w:line="240" w:lineRule="auto"/>
              <w:jc w:val="both"/>
              <w:rPr>
                <w:rFonts w:ascii="Calibri" w:eastAsia="Times New Roman" w:hAnsi="Calibri" w:cs="Arial"/>
                <w:b/>
                <w:bCs/>
                <w:color w:val="000000"/>
                <w:lang w:eastAsia="en-IE"/>
              </w:rPr>
            </w:pPr>
          </w:p>
        </w:tc>
      </w:tr>
      <w:tr w:rsidR="00597327" w:rsidRPr="00607208" w14:paraId="41F6949E" w14:textId="77777777" w:rsidTr="0001482C">
        <w:trPr>
          <w:trHeight w:val="1620"/>
        </w:trPr>
        <w:tc>
          <w:tcPr>
            <w:tcW w:w="3727" w:type="dxa"/>
            <w:vMerge w:val="restart"/>
            <w:tcBorders>
              <w:top w:val="single" w:sz="4" w:space="0" w:color="auto"/>
              <w:left w:val="single" w:sz="4" w:space="0" w:color="auto"/>
              <w:right w:val="single" w:sz="4" w:space="0" w:color="auto"/>
            </w:tcBorders>
            <w:shd w:val="clear" w:color="auto" w:fill="FFFFFF" w:themeFill="background1"/>
            <w:hideMark/>
          </w:tcPr>
          <w:p w14:paraId="7F5F3D9C" w14:textId="4A90E1BC" w:rsidR="00597327" w:rsidRPr="00607208" w:rsidRDefault="00597327" w:rsidP="00520C00">
            <w:pPr>
              <w:spacing w:after="0"/>
              <w:jc w:val="both"/>
              <w:rPr>
                <w:rFonts w:ascii="Calibri" w:eastAsia="Times New Roman" w:hAnsi="Calibri" w:cs="Arial"/>
                <w:b/>
                <w:bCs/>
                <w:color w:val="000000"/>
                <w:lang w:eastAsia="en-IE"/>
              </w:rPr>
            </w:pPr>
            <w:r w:rsidRPr="00D8750E">
              <w:br w:type="page"/>
            </w:r>
            <w:bookmarkStart w:id="1" w:name="RANGE!A1:C19"/>
            <w:r w:rsidR="00520C00">
              <w:rPr>
                <w:rFonts w:ascii="Calibri" w:eastAsia="Times New Roman" w:hAnsi="Calibri" w:cs="Arial"/>
                <w:b/>
                <w:bCs/>
                <w:color w:val="000000"/>
                <w:lang w:eastAsia="en-IE"/>
              </w:rPr>
              <w:t>1.</w:t>
            </w:r>
            <w:r w:rsidRPr="00607208">
              <w:rPr>
                <w:rFonts w:ascii="Calibri" w:eastAsia="Times New Roman" w:hAnsi="Calibri" w:cs="Arial"/>
                <w:b/>
                <w:bCs/>
                <w:color w:val="000000"/>
                <w:lang w:eastAsia="en-IE"/>
              </w:rPr>
              <w:t xml:space="preserve"> </w:t>
            </w:r>
            <w:bookmarkEnd w:id="1"/>
            <w:r w:rsidRPr="00F371B4">
              <w:rPr>
                <w:rFonts w:ascii="Calibri" w:eastAsia="Times New Roman" w:hAnsi="Calibri" w:cs="Arial"/>
                <w:b/>
                <w:bCs/>
                <w:color w:val="000000"/>
                <w:lang w:eastAsia="en-IE"/>
              </w:rPr>
              <w:t>A brief summary of the proposed arrangements, including how these are consistent with the firm’s strategy, and meet the criteria set out in the Guidelines</w:t>
            </w:r>
          </w:p>
        </w:tc>
        <w:tc>
          <w:tcPr>
            <w:tcW w:w="4981" w:type="dxa"/>
            <w:tcBorders>
              <w:top w:val="single" w:sz="4" w:space="0" w:color="auto"/>
              <w:left w:val="nil"/>
              <w:bottom w:val="single" w:sz="4" w:space="0" w:color="auto"/>
              <w:right w:val="single" w:sz="4" w:space="0" w:color="auto"/>
            </w:tcBorders>
            <w:shd w:val="clear" w:color="auto" w:fill="FFFFFF" w:themeFill="background1"/>
            <w:hideMark/>
          </w:tcPr>
          <w:p w14:paraId="03CB8515" w14:textId="4793653F" w:rsidR="00597327" w:rsidRPr="00607208" w:rsidRDefault="00597327" w:rsidP="0002507F">
            <w:pPr>
              <w:spacing w:after="0"/>
              <w:jc w:val="both"/>
              <w:rPr>
                <w:rFonts w:ascii="Calibri" w:eastAsia="Times New Roman" w:hAnsi="Calibri" w:cs="Arial"/>
                <w:bCs/>
                <w:color w:val="000000"/>
                <w:lang w:eastAsia="en-IE"/>
              </w:rPr>
            </w:pPr>
            <w:r w:rsidRPr="00B63D66">
              <w:rPr>
                <w:rFonts w:cs="TimesTen-Roman"/>
              </w:rPr>
              <w:t>Confirmation that the outsourcing arrangement</w:t>
            </w:r>
            <w:r>
              <w:rPr>
                <w:rFonts w:cs="TimesTen-Roman"/>
              </w:rPr>
              <w:t>(s)</w:t>
            </w:r>
            <w:r w:rsidRPr="00B63D66">
              <w:rPr>
                <w:rFonts w:cs="TimesTen-Roman"/>
              </w:rPr>
              <w:t xml:space="preserve"> are in comp</w:t>
            </w:r>
            <w:r>
              <w:rPr>
                <w:rFonts w:cs="TimesTen-Roman"/>
              </w:rPr>
              <w:t>liance with the Guidelines and will not impact on the applicant meeting the conditions of its authorisation</w:t>
            </w:r>
          </w:p>
        </w:tc>
        <w:tc>
          <w:tcPr>
            <w:tcW w:w="2066" w:type="dxa"/>
            <w:tcBorders>
              <w:top w:val="single" w:sz="4" w:space="0" w:color="auto"/>
              <w:left w:val="nil"/>
              <w:bottom w:val="single" w:sz="4" w:space="0" w:color="auto"/>
              <w:right w:val="single" w:sz="4" w:space="0" w:color="auto"/>
            </w:tcBorders>
            <w:shd w:val="clear" w:color="auto" w:fill="FFFFFF" w:themeFill="background1"/>
          </w:tcPr>
          <w:p w14:paraId="31BD3066" w14:textId="77777777" w:rsidR="00597327" w:rsidRPr="00607208" w:rsidRDefault="00597327" w:rsidP="006B0CB9">
            <w:pPr>
              <w:spacing w:after="0"/>
              <w:jc w:val="both"/>
              <w:rPr>
                <w:rFonts w:ascii="Calibri" w:eastAsia="Times New Roman" w:hAnsi="Calibri" w:cs="Arial"/>
                <w:bCs/>
                <w:color w:val="000000"/>
                <w:lang w:eastAsia="en-IE"/>
              </w:rPr>
            </w:pPr>
          </w:p>
        </w:tc>
      </w:tr>
      <w:tr w:rsidR="00597327" w:rsidRPr="00607208" w14:paraId="2346D2BE" w14:textId="77777777" w:rsidTr="006B2B0D">
        <w:trPr>
          <w:trHeight w:val="1620"/>
        </w:trPr>
        <w:tc>
          <w:tcPr>
            <w:tcW w:w="3727" w:type="dxa"/>
            <w:vMerge/>
            <w:tcBorders>
              <w:left w:val="single" w:sz="4" w:space="0" w:color="auto"/>
              <w:right w:val="single" w:sz="4" w:space="0" w:color="auto"/>
            </w:tcBorders>
            <w:shd w:val="clear" w:color="auto" w:fill="FFFFFF" w:themeFill="background1"/>
          </w:tcPr>
          <w:p w14:paraId="147695BD" w14:textId="77777777" w:rsidR="00597327" w:rsidRPr="00D8750E" w:rsidRDefault="00597327" w:rsidP="00974D13">
            <w:pPr>
              <w:spacing w:after="0"/>
            </w:pPr>
          </w:p>
        </w:tc>
        <w:tc>
          <w:tcPr>
            <w:tcW w:w="4981" w:type="dxa"/>
            <w:tcBorders>
              <w:top w:val="single" w:sz="4" w:space="0" w:color="auto"/>
              <w:left w:val="nil"/>
              <w:bottom w:val="single" w:sz="4" w:space="0" w:color="auto"/>
              <w:right w:val="single" w:sz="4" w:space="0" w:color="auto"/>
            </w:tcBorders>
            <w:shd w:val="clear" w:color="auto" w:fill="FFFFFF" w:themeFill="background1"/>
          </w:tcPr>
          <w:p w14:paraId="06EE7530" w14:textId="77777777" w:rsidR="00597327" w:rsidRPr="00597327" w:rsidRDefault="00597327" w:rsidP="00597327">
            <w:pPr>
              <w:autoSpaceDE w:val="0"/>
              <w:autoSpaceDN w:val="0"/>
              <w:adjustRightInd w:val="0"/>
              <w:spacing w:after="0" w:line="240" w:lineRule="auto"/>
              <w:rPr>
                <w:rFonts w:ascii="Calibri" w:hAnsi="Calibri" w:cs="Calibri"/>
                <w:color w:val="000000"/>
                <w:sz w:val="24"/>
                <w:szCs w:val="24"/>
              </w:rPr>
            </w:pPr>
          </w:p>
          <w:p w14:paraId="05126565" w14:textId="120F96AC" w:rsidR="00597327" w:rsidRPr="00597327" w:rsidRDefault="00597327" w:rsidP="0059732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Confirmation that the applicant will be</w:t>
            </w:r>
            <w:r w:rsidRPr="00597327">
              <w:rPr>
                <w:rFonts w:ascii="Calibri" w:hAnsi="Calibri" w:cs="Calibri"/>
                <w:color w:val="000000"/>
              </w:rPr>
              <w:t xml:space="preserve"> able to undertake at least one of the following actions, within an appropriate time frame: </w:t>
            </w:r>
          </w:p>
          <w:p w14:paraId="645A70DC" w14:textId="77777777" w:rsidR="00597327" w:rsidRDefault="00597327" w:rsidP="00597327">
            <w:pPr>
              <w:pStyle w:val="ListParagraph"/>
              <w:numPr>
                <w:ilvl w:val="0"/>
                <w:numId w:val="8"/>
              </w:numPr>
              <w:autoSpaceDE w:val="0"/>
              <w:autoSpaceDN w:val="0"/>
              <w:adjustRightInd w:val="0"/>
              <w:spacing w:after="296"/>
              <w:rPr>
                <w:rFonts w:cs="Calibri"/>
                <w:color w:val="000000"/>
              </w:rPr>
            </w:pPr>
            <w:r w:rsidRPr="00597327">
              <w:rPr>
                <w:rFonts w:cs="Calibri"/>
                <w:color w:val="000000"/>
              </w:rPr>
              <w:t xml:space="preserve">transfer the function to alternative service providers; </w:t>
            </w:r>
          </w:p>
          <w:p w14:paraId="759B170C" w14:textId="77777777" w:rsidR="00597327" w:rsidRDefault="00597327" w:rsidP="00597327">
            <w:pPr>
              <w:pStyle w:val="ListParagraph"/>
              <w:numPr>
                <w:ilvl w:val="0"/>
                <w:numId w:val="8"/>
              </w:numPr>
              <w:autoSpaceDE w:val="0"/>
              <w:autoSpaceDN w:val="0"/>
              <w:adjustRightInd w:val="0"/>
              <w:spacing w:after="296"/>
              <w:rPr>
                <w:rFonts w:cs="Calibri"/>
                <w:color w:val="000000"/>
              </w:rPr>
            </w:pPr>
            <w:r w:rsidRPr="00597327">
              <w:rPr>
                <w:rFonts w:cs="Calibri"/>
                <w:color w:val="000000"/>
              </w:rPr>
              <w:t xml:space="preserve">reintegrate the function; or </w:t>
            </w:r>
          </w:p>
          <w:p w14:paraId="245B2005" w14:textId="063D5342" w:rsidR="00597327" w:rsidRPr="00520C00" w:rsidRDefault="00597327" w:rsidP="00520C00">
            <w:pPr>
              <w:pStyle w:val="ListParagraph"/>
              <w:numPr>
                <w:ilvl w:val="0"/>
                <w:numId w:val="8"/>
              </w:numPr>
              <w:autoSpaceDE w:val="0"/>
              <w:autoSpaceDN w:val="0"/>
              <w:adjustRightInd w:val="0"/>
              <w:spacing w:after="296"/>
              <w:rPr>
                <w:rFonts w:cs="Calibri"/>
                <w:color w:val="000000"/>
              </w:rPr>
            </w:pPr>
            <w:r w:rsidRPr="00597327">
              <w:rPr>
                <w:rFonts w:cs="Calibri"/>
                <w:color w:val="000000"/>
              </w:rPr>
              <w:t xml:space="preserve">discontinue the business activities that are depending on the function. </w:t>
            </w:r>
          </w:p>
        </w:tc>
        <w:tc>
          <w:tcPr>
            <w:tcW w:w="2066" w:type="dxa"/>
            <w:tcBorders>
              <w:top w:val="single" w:sz="4" w:space="0" w:color="auto"/>
              <w:left w:val="nil"/>
              <w:bottom w:val="single" w:sz="4" w:space="0" w:color="auto"/>
              <w:right w:val="single" w:sz="4" w:space="0" w:color="auto"/>
            </w:tcBorders>
            <w:shd w:val="clear" w:color="auto" w:fill="FFFFFF" w:themeFill="background1"/>
          </w:tcPr>
          <w:p w14:paraId="56E827AC" w14:textId="77777777" w:rsidR="00597327" w:rsidRPr="00607208" w:rsidRDefault="00597327" w:rsidP="006B0CB9">
            <w:pPr>
              <w:spacing w:after="0"/>
              <w:jc w:val="both"/>
              <w:rPr>
                <w:rFonts w:ascii="Calibri" w:eastAsia="Times New Roman" w:hAnsi="Calibri" w:cs="Arial"/>
                <w:bCs/>
                <w:color w:val="000000"/>
                <w:lang w:eastAsia="en-IE"/>
              </w:rPr>
            </w:pPr>
          </w:p>
        </w:tc>
      </w:tr>
      <w:tr w:rsidR="00597327" w:rsidRPr="00607208" w14:paraId="3D62C3C1" w14:textId="77777777" w:rsidTr="006B2B0D">
        <w:trPr>
          <w:trHeight w:val="1620"/>
        </w:trPr>
        <w:tc>
          <w:tcPr>
            <w:tcW w:w="3727" w:type="dxa"/>
            <w:vMerge/>
            <w:tcBorders>
              <w:left w:val="single" w:sz="4" w:space="0" w:color="auto"/>
              <w:right w:val="single" w:sz="4" w:space="0" w:color="auto"/>
            </w:tcBorders>
            <w:shd w:val="clear" w:color="auto" w:fill="FFFFFF" w:themeFill="background1"/>
          </w:tcPr>
          <w:p w14:paraId="5F56726D" w14:textId="77777777" w:rsidR="00597327" w:rsidRPr="00D8750E" w:rsidRDefault="00597327" w:rsidP="00974D13">
            <w:pPr>
              <w:spacing w:after="0"/>
            </w:pPr>
          </w:p>
        </w:tc>
        <w:tc>
          <w:tcPr>
            <w:tcW w:w="4981" w:type="dxa"/>
            <w:tcBorders>
              <w:top w:val="single" w:sz="4" w:space="0" w:color="auto"/>
              <w:left w:val="nil"/>
              <w:bottom w:val="single" w:sz="4" w:space="0" w:color="auto"/>
              <w:right w:val="single" w:sz="4" w:space="0" w:color="auto"/>
            </w:tcBorders>
            <w:shd w:val="clear" w:color="auto" w:fill="FFFFFF" w:themeFill="background1"/>
          </w:tcPr>
          <w:p w14:paraId="2C53DDF1" w14:textId="77777777" w:rsidR="00597327" w:rsidRPr="00597327" w:rsidRDefault="00597327" w:rsidP="00597327">
            <w:pPr>
              <w:autoSpaceDE w:val="0"/>
              <w:autoSpaceDN w:val="0"/>
              <w:adjustRightInd w:val="0"/>
              <w:spacing w:after="0" w:line="240" w:lineRule="auto"/>
              <w:rPr>
                <w:rFonts w:ascii="Calibri" w:hAnsi="Calibri" w:cs="Calibri"/>
                <w:color w:val="000000"/>
                <w:sz w:val="24"/>
                <w:szCs w:val="24"/>
              </w:rPr>
            </w:pPr>
          </w:p>
          <w:p w14:paraId="287643C3" w14:textId="1BEF587E" w:rsidR="00597327" w:rsidRPr="00597327" w:rsidRDefault="00597327" w:rsidP="0059732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Confirmation that the applicant’s b</w:t>
            </w:r>
            <w:r w:rsidRPr="00597327">
              <w:rPr>
                <w:rFonts w:ascii="Calibri" w:hAnsi="Calibri" w:cs="Calibri"/>
                <w:color w:val="000000"/>
              </w:rPr>
              <w:t xml:space="preserve">usiness continuity plans should take into account the possible event that the quality of the provision of the outsourced critical or important function deteriorates to an unacceptable level or fails. </w:t>
            </w:r>
          </w:p>
          <w:p w14:paraId="1270A055" w14:textId="77777777" w:rsidR="00597327" w:rsidRPr="00597327" w:rsidRDefault="00597327" w:rsidP="00597327">
            <w:pPr>
              <w:autoSpaceDE w:val="0"/>
              <w:autoSpaceDN w:val="0"/>
              <w:adjustRightInd w:val="0"/>
              <w:spacing w:after="0" w:line="240" w:lineRule="auto"/>
              <w:rPr>
                <w:rFonts w:ascii="Calibri" w:hAnsi="Calibri" w:cs="Calibri"/>
                <w:color w:val="000000"/>
                <w:sz w:val="24"/>
                <w:szCs w:val="24"/>
              </w:rPr>
            </w:pPr>
          </w:p>
        </w:tc>
        <w:tc>
          <w:tcPr>
            <w:tcW w:w="2066" w:type="dxa"/>
            <w:tcBorders>
              <w:top w:val="single" w:sz="4" w:space="0" w:color="auto"/>
              <w:left w:val="nil"/>
              <w:bottom w:val="single" w:sz="4" w:space="0" w:color="auto"/>
              <w:right w:val="single" w:sz="4" w:space="0" w:color="auto"/>
            </w:tcBorders>
            <w:shd w:val="clear" w:color="auto" w:fill="FFFFFF" w:themeFill="background1"/>
          </w:tcPr>
          <w:p w14:paraId="51D92320" w14:textId="77777777" w:rsidR="00520C00" w:rsidRPr="00597327" w:rsidRDefault="00520C00" w:rsidP="00520C00">
            <w:pPr>
              <w:autoSpaceDE w:val="0"/>
              <w:autoSpaceDN w:val="0"/>
              <w:adjustRightInd w:val="0"/>
              <w:spacing w:after="0" w:line="240" w:lineRule="auto"/>
              <w:jc w:val="both"/>
              <w:rPr>
                <w:rFonts w:ascii="Calibri" w:hAnsi="Calibri" w:cs="Calibri"/>
                <w:color w:val="000000"/>
              </w:rPr>
            </w:pPr>
          </w:p>
          <w:p w14:paraId="05C3A377" w14:textId="68EAA07B" w:rsidR="00597327" w:rsidRPr="00607208" w:rsidRDefault="00597327" w:rsidP="00520C00">
            <w:pPr>
              <w:spacing w:after="0"/>
              <w:jc w:val="both"/>
              <w:rPr>
                <w:rFonts w:ascii="Calibri" w:eastAsia="Times New Roman" w:hAnsi="Calibri" w:cs="Arial"/>
                <w:bCs/>
                <w:color w:val="000000"/>
                <w:lang w:eastAsia="en-IE"/>
              </w:rPr>
            </w:pPr>
          </w:p>
        </w:tc>
      </w:tr>
      <w:tr w:rsidR="00597327" w:rsidRPr="00607208" w14:paraId="28221265" w14:textId="77777777" w:rsidTr="0017303A">
        <w:trPr>
          <w:trHeight w:val="1333"/>
        </w:trPr>
        <w:tc>
          <w:tcPr>
            <w:tcW w:w="3727" w:type="dxa"/>
            <w:vMerge/>
            <w:tcBorders>
              <w:left w:val="single" w:sz="4" w:space="0" w:color="auto"/>
              <w:bottom w:val="single" w:sz="4" w:space="0" w:color="auto"/>
              <w:right w:val="single" w:sz="4" w:space="0" w:color="auto"/>
            </w:tcBorders>
            <w:shd w:val="clear" w:color="auto" w:fill="FFFFFF" w:themeFill="background1"/>
          </w:tcPr>
          <w:p w14:paraId="10FC8D72" w14:textId="77777777" w:rsidR="00597327" w:rsidRPr="00D8750E" w:rsidRDefault="00597327" w:rsidP="00974D13">
            <w:pPr>
              <w:spacing w:after="0"/>
            </w:pPr>
          </w:p>
        </w:tc>
        <w:tc>
          <w:tcPr>
            <w:tcW w:w="4981" w:type="dxa"/>
            <w:tcBorders>
              <w:top w:val="single" w:sz="4" w:space="0" w:color="auto"/>
              <w:left w:val="nil"/>
              <w:bottom w:val="single" w:sz="4" w:space="0" w:color="auto"/>
              <w:right w:val="single" w:sz="4" w:space="0" w:color="auto"/>
            </w:tcBorders>
            <w:shd w:val="clear" w:color="auto" w:fill="FFFFFF" w:themeFill="background1"/>
          </w:tcPr>
          <w:p w14:paraId="43CB0915" w14:textId="0C1B7437" w:rsidR="00597327" w:rsidRPr="00597327" w:rsidRDefault="00520C00" w:rsidP="00597327">
            <w:pPr>
              <w:autoSpaceDE w:val="0"/>
              <w:autoSpaceDN w:val="0"/>
              <w:adjustRightInd w:val="0"/>
              <w:spacing w:after="0" w:line="240" w:lineRule="auto"/>
              <w:jc w:val="both"/>
              <w:rPr>
                <w:rFonts w:ascii="Calibri" w:hAnsi="Calibri" w:cs="Calibri"/>
                <w:color w:val="000000"/>
              </w:rPr>
            </w:pPr>
            <w:r w:rsidRPr="00597327">
              <w:rPr>
                <w:rFonts w:ascii="Calibri" w:hAnsi="Calibri" w:cs="Calibri"/>
                <w:color w:val="000000"/>
              </w:rPr>
              <w:t>Confirmation that the applicant’s audit plan and programme include the proposed outsourcing arrangements.</w:t>
            </w:r>
          </w:p>
        </w:tc>
        <w:tc>
          <w:tcPr>
            <w:tcW w:w="2066" w:type="dxa"/>
            <w:tcBorders>
              <w:top w:val="single" w:sz="4" w:space="0" w:color="auto"/>
              <w:left w:val="nil"/>
              <w:bottom w:val="single" w:sz="4" w:space="0" w:color="auto"/>
              <w:right w:val="single" w:sz="4" w:space="0" w:color="auto"/>
            </w:tcBorders>
            <w:shd w:val="clear" w:color="auto" w:fill="FFFFFF" w:themeFill="background1"/>
          </w:tcPr>
          <w:p w14:paraId="5F284D15" w14:textId="77777777" w:rsidR="00597327" w:rsidRPr="00607208" w:rsidRDefault="00597327" w:rsidP="006B0CB9">
            <w:pPr>
              <w:spacing w:after="0"/>
              <w:jc w:val="both"/>
              <w:rPr>
                <w:rFonts w:ascii="Calibri" w:eastAsia="Times New Roman" w:hAnsi="Calibri" w:cs="Arial"/>
                <w:bCs/>
                <w:color w:val="000000"/>
                <w:lang w:eastAsia="en-IE"/>
              </w:rPr>
            </w:pPr>
          </w:p>
        </w:tc>
      </w:tr>
      <w:tr w:rsidR="0017303A" w:rsidRPr="00607208" w14:paraId="0AF2CEFC" w14:textId="77777777" w:rsidTr="0017303A">
        <w:trPr>
          <w:trHeight w:val="4015"/>
        </w:trPr>
        <w:tc>
          <w:tcPr>
            <w:tcW w:w="37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B0BF41" w14:textId="1CAA3ED6" w:rsidR="0017303A" w:rsidRPr="002552D7" w:rsidRDefault="0017303A" w:rsidP="00974D13">
            <w:pPr>
              <w:spacing w:after="0"/>
              <w:rPr>
                <w:b/>
              </w:rPr>
            </w:pPr>
            <w:r>
              <w:rPr>
                <w:b/>
              </w:rPr>
              <w:lastRenderedPageBreak/>
              <w:t xml:space="preserve">2. </w:t>
            </w:r>
            <w:r w:rsidRPr="002552D7">
              <w:rPr>
                <w:b/>
              </w:rPr>
              <w:t xml:space="preserve"> A copy of the outsourcing agreement.</w:t>
            </w:r>
          </w:p>
        </w:tc>
        <w:tc>
          <w:tcPr>
            <w:tcW w:w="4981" w:type="dxa"/>
            <w:tcBorders>
              <w:top w:val="single" w:sz="4" w:space="0" w:color="auto"/>
              <w:left w:val="single" w:sz="4" w:space="0" w:color="auto"/>
              <w:bottom w:val="single" w:sz="4" w:space="0" w:color="auto"/>
              <w:right w:val="single" w:sz="4" w:space="0" w:color="auto"/>
            </w:tcBorders>
            <w:shd w:val="clear" w:color="auto" w:fill="FFFFFF" w:themeFill="background1"/>
          </w:tcPr>
          <w:p w14:paraId="0054109E" w14:textId="5AD76F95" w:rsidR="0017303A" w:rsidRPr="006A02E6" w:rsidRDefault="0017303A" w:rsidP="0002507F">
            <w:pPr>
              <w:pStyle w:val="Default"/>
              <w:spacing w:line="276" w:lineRule="auto"/>
              <w:jc w:val="both"/>
              <w:rPr>
                <w:rFonts w:cs="Calibri"/>
                <w:sz w:val="22"/>
                <w:szCs w:val="22"/>
                <w:lang w:eastAsia="en-US"/>
              </w:rPr>
            </w:pPr>
            <w:r w:rsidRPr="006A02E6">
              <w:rPr>
                <w:rFonts w:cs="Calibri"/>
                <w:sz w:val="22"/>
                <w:szCs w:val="22"/>
              </w:rPr>
              <w:t xml:space="preserve">Confirmation </w:t>
            </w:r>
            <w:r w:rsidRPr="006A02E6">
              <w:rPr>
                <w:sz w:val="22"/>
                <w:szCs w:val="22"/>
              </w:rPr>
              <w:t>that the outsourcing agreement(s) for critical or important functions set out at least</w:t>
            </w:r>
            <w:r>
              <w:rPr>
                <w:sz w:val="22"/>
                <w:szCs w:val="22"/>
              </w:rPr>
              <w:t>:</w:t>
            </w:r>
            <w:r w:rsidRPr="006A02E6">
              <w:rPr>
                <w:sz w:val="22"/>
                <w:szCs w:val="22"/>
              </w:rPr>
              <w:t xml:space="preserve"> </w:t>
            </w:r>
          </w:p>
          <w:p w14:paraId="59B08B0C" w14:textId="1DCC73FE" w:rsidR="00DA7E0E" w:rsidRDefault="00DA7E0E" w:rsidP="00DA7E0E">
            <w:pPr>
              <w:pStyle w:val="ListParagraph"/>
              <w:numPr>
                <w:ilvl w:val="0"/>
                <w:numId w:val="9"/>
              </w:numPr>
              <w:autoSpaceDE w:val="0"/>
              <w:autoSpaceDN w:val="0"/>
              <w:adjustRightInd w:val="0"/>
              <w:jc w:val="both"/>
              <w:rPr>
                <w:rFonts w:cs="Calibri"/>
                <w:color w:val="000000"/>
              </w:rPr>
            </w:pPr>
            <w:r>
              <w:rPr>
                <w:rFonts w:cs="Calibri"/>
                <w:color w:val="000000"/>
              </w:rPr>
              <w:t>T</w:t>
            </w:r>
            <w:r w:rsidR="0017303A" w:rsidRPr="00DA7E0E">
              <w:rPr>
                <w:rFonts w:cs="Calibri"/>
                <w:color w:val="000000"/>
              </w:rPr>
              <w:t>he reporting obligations of the service provider to the ins</w:t>
            </w:r>
            <w:r>
              <w:rPr>
                <w:rFonts w:cs="Calibri"/>
                <w:color w:val="000000"/>
              </w:rPr>
              <w:t>titution or payment institution;</w:t>
            </w:r>
            <w:r w:rsidR="0017303A" w:rsidRPr="00DA7E0E">
              <w:rPr>
                <w:rFonts w:cs="Calibri"/>
                <w:color w:val="000000"/>
              </w:rPr>
              <w:t xml:space="preserve"> </w:t>
            </w:r>
          </w:p>
          <w:p w14:paraId="4C3B4515" w14:textId="478A94A4" w:rsidR="00DA7E0E" w:rsidRDefault="00DA7E0E" w:rsidP="00DA7E0E">
            <w:pPr>
              <w:pStyle w:val="ListParagraph"/>
              <w:numPr>
                <w:ilvl w:val="0"/>
                <w:numId w:val="9"/>
              </w:numPr>
              <w:autoSpaceDE w:val="0"/>
              <w:autoSpaceDN w:val="0"/>
              <w:adjustRightInd w:val="0"/>
              <w:jc w:val="both"/>
              <w:rPr>
                <w:rFonts w:cs="Calibri"/>
                <w:color w:val="000000"/>
              </w:rPr>
            </w:pPr>
            <w:r>
              <w:rPr>
                <w:rFonts w:cs="Calibri"/>
                <w:color w:val="000000"/>
              </w:rPr>
              <w:t>T</w:t>
            </w:r>
            <w:r w:rsidR="0017303A" w:rsidRPr="00DA7E0E">
              <w:rPr>
                <w:rFonts w:cs="Calibri"/>
                <w:color w:val="000000"/>
              </w:rPr>
              <w:t>he communication by the service provider of any development that may have a material impact on the service provider’s ability to effectively carry out the critical or important function in line with the agreed service levels and in compliance with applicable laws and regulatory requirements</w:t>
            </w:r>
            <w:r>
              <w:rPr>
                <w:rFonts w:cs="Calibri"/>
                <w:color w:val="000000"/>
              </w:rPr>
              <w:t>;</w:t>
            </w:r>
            <w:r w:rsidR="0017303A" w:rsidRPr="00DA7E0E">
              <w:rPr>
                <w:rFonts w:cs="Calibri"/>
                <w:color w:val="000000"/>
              </w:rPr>
              <w:t xml:space="preserve"> and, </w:t>
            </w:r>
          </w:p>
          <w:p w14:paraId="11A5F702" w14:textId="26D878DD" w:rsidR="0017303A" w:rsidRPr="007D16A8" w:rsidRDefault="00DA7E0E" w:rsidP="00974D13">
            <w:pPr>
              <w:pStyle w:val="ListParagraph"/>
              <w:numPr>
                <w:ilvl w:val="0"/>
                <w:numId w:val="9"/>
              </w:numPr>
              <w:autoSpaceDE w:val="0"/>
              <w:autoSpaceDN w:val="0"/>
              <w:adjustRightInd w:val="0"/>
              <w:jc w:val="both"/>
              <w:rPr>
                <w:rFonts w:cs="Calibri"/>
                <w:color w:val="000000"/>
              </w:rPr>
            </w:pPr>
            <w:r>
              <w:rPr>
                <w:rFonts w:cs="Calibri"/>
                <w:color w:val="000000"/>
              </w:rPr>
              <w:t>T</w:t>
            </w:r>
            <w:r w:rsidR="0017303A" w:rsidRPr="00DA7E0E">
              <w:rPr>
                <w:rFonts w:cs="Calibri"/>
                <w:color w:val="000000"/>
              </w:rPr>
              <w:t>he obligations</w:t>
            </w:r>
            <w:r>
              <w:rPr>
                <w:rFonts w:cs="Calibri"/>
                <w:color w:val="000000"/>
              </w:rPr>
              <w:t xml:space="preserve"> (as applicable) of the service provider to submit reports of its</w:t>
            </w:r>
            <w:r w:rsidR="0017303A" w:rsidRPr="00DA7E0E">
              <w:rPr>
                <w:rFonts w:cs="Calibri"/>
                <w:color w:val="000000"/>
              </w:rPr>
              <w:t xml:space="preserve"> internal audit function </w:t>
            </w:r>
            <w:r>
              <w:rPr>
                <w:rFonts w:cs="Calibri"/>
                <w:color w:val="000000"/>
              </w:rPr>
              <w:t>to the applicant.</w:t>
            </w:r>
          </w:p>
        </w:tc>
        <w:tc>
          <w:tcPr>
            <w:tcW w:w="2066" w:type="dxa"/>
            <w:tcBorders>
              <w:top w:val="single" w:sz="4" w:space="0" w:color="auto"/>
              <w:left w:val="single" w:sz="4" w:space="0" w:color="auto"/>
              <w:bottom w:val="single" w:sz="4" w:space="0" w:color="auto"/>
              <w:right w:val="single" w:sz="4" w:space="0" w:color="auto"/>
            </w:tcBorders>
            <w:shd w:val="clear" w:color="auto" w:fill="FFFFFF" w:themeFill="background1"/>
          </w:tcPr>
          <w:p w14:paraId="2701CBC3" w14:textId="77777777" w:rsidR="0017303A" w:rsidRPr="00607208" w:rsidRDefault="0017303A" w:rsidP="006B0CB9">
            <w:pPr>
              <w:spacing w:after="0"/>
              <w:jc w:val="both"/>
              <w:rPr>
                <w:rFonts w:ascii="Calibri" w:eastAsia="Times New Roman" w:hAnsi="Calibri" w:cs="Arial"/>
                <w:bCs/>
                <w:color w:val="000000"/>
                <w:lang w:eastAsia="en-IE"/>
              </w:rPr>
            </w:pPr>
          </w:p>
        </w:tc>
      </w:tr>
      <w:tr w:rsidR="0017303A" w:rsidRPr="00607208" w14:paraId="71E8631B" w14:textId="77777777" w:rsidTr="0017303A">
        <w:trPr>
          <w:trHeight w:val="1183"/>
        </w:trPr>
        <w:tc>
          <w:tcPr>
            <w:tcW w:w="37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6D0D9F" w14:textId="77777777" w:rsidR="0017303A" w:rsidRPr="002552D7" w:rsidRDefault="0017303A" w:rsidP="0017303A">
            <w:pPr>
              <w:spacing w:after="0"/>
              <w:rPr>
                <w:b/>
              </w:rPr>
            </w:pPr>
          </w:p>
        </w:tc>
        <w:tc>
          <w:tcPr>
            <w:tcW w:w="4981" w:type="dxa"/>
            <w:tcBorders>
              <w:top w:val="single" w:sz="4" w:space="0" w:color="auto"/>
              <w:left w:val="nil"/>
              <w:bottom w:val="single" w:sz="4" w:space="0" w:color="auto"/>
              <w:right w:val="single" w:sz="4" w:space="0" w:color="auto"/>
            </w:tcBorders>
            <w:shd w:val="clear" w:color="auto" w:fill="FFFFFF" w:themeFill="background1"/>
          </w:tcPr>
          <w:p w14:paraId="2FFD56C9" w14:textId="289282D1" w:rsidR="0017303A" w:rsidRDefault="0017303A" w:rsidP="0017303A">
            <w:pPr>
              <w:pStyle w:val="Default"/>
              <w:spacing w:line="276" w:lineRule="auto"/>
              <w:jc w:val="both"/>
              <w:rPr>
                <w:rFonts w:cs="Calibri"/>
                <w:sz w:val="22"/>
                <w:szCs w:val="22"/>
              </w:rPr>
            </w:pPr>
            <w:r>
              <w:rPr>
                <w:rFonts w:cs="Calibri"/>
                <w:sz w:val="22"/>
                <w:szCs w:val="22"/>
              </w:rPr>
              <w:t>Confirmation that the applicant has followed its policy to determine the criticality or importance of the outsourced function</w:t>
            </w:r>
            <w:r w:rsidR="007D16A8">
              <w:rPr>
                <w:rFonts w:cs="Calibri"/>
                <w:sz w:val="22"/>
                <w:szCs w:val="22"/>
              </w:rPr>
              <w:t>.</w:t>
            </w:r>
          </w:p>
          <w:p w14:paraId="68B07E47" w14:textId="77777777" w:rsidR="0017303A" w:rsidRDefault="0017303A" w:rsidP="0017303A">
            <w:pPr>
              <w:pStyle w:val="Default"/>
              <w:spacing w:line="276" w:lineRule="auto"/>
              <w:jc w:val="both"/>
              <w:rPr>
                <w:rFonts w:cs="Calibri"/>
                <w:sz w:val="22"/>
                <w:szCs w:val="22"/>
              </w:rPr>
            </w:pPr>
          </w:p>
        </w:tc>
        <w:tc>
          <w:tcPr>
            <w:tcW w:w="2066" w:type="dxa"/>
            <w:tcBorders>
              <w:top w:val="single" w:sz="4" w:space="0" w:color="auto"/>
              <w:left w:val="nil"/>
              <w:bottom w:val="single" w:sz="4" w:space="0" w:color="auto"/>
              <w:right w:val="single" w:sz="4" w:space="0" w:color="auto"/>
            </w:tcBorders>
            <w:shd w:val="clear" w:color="auto" w:fill="FFFFFF" w:themeFill="background1"/>
          </w:tcPr>
          <w:p w14:paraId="55E94AD3" w14:textId="77777777" w:rsidR="0017303A" w:rsidRDefault="0017303A" w:rsidP="0017303A">
            <w:pPr>
              <w:pStyle w:val="Default"/>
              <w:spacing w:line="276" w:lineRule="auto"/>
              <w:jc w:val="both"/>
              <w:rPr>
                <w:rFonts w:cs="Calibri"/>
                <w:sz w:val="22"/>
                <w:szCs w:val="22"/>
              </w:rPr>
            </w:pPr>
          </w:p>
        </w:tc>
      </w:tr>
      <w:tr w:rsidR="0017303A" w:rsidRPr="00607208" w14:paraId="35D9EE57" w14:textId="77777777" w:rsidTr="0002507F">
        <w:trPr>
          <w:trHeight w:val="1183"/>
        </w:trPr>
        <w:tc>
          <w:tcPr>
            <w:tcW w:w="3727" w:type="dxa"/>
            <w:tcBorders>
              <w:left w:val="single" w:sz="4" w:space="0" w:color="auto"/>
              <w:bottom w:val="single" w:sz="4" w:space="0" w:color="auto"/>
              <w:right w:val="single" w:sz="4" w:space="0" w:color="auto"/>
            </w:tcBorders>
            <w:shd w:val="clear" w:color="auto" w:fill="FFFFFF" w:themeFill="background1"/>
          </w:tcPr>
          <w:p w14:paraId="6D0007AA" w14:textId="77777777" w:rsidR="0017303A" w:rsidRPr="002552D7" w:rsidRDefault="0017303A" w:rsidP="0017303A">
            <w:pPr>
              <w:spacing w:after="0"/>
              <w:rPr>
                <w:b/>
              </w:rPr>
            </w:pPr>
          </w:p>
        </w:tc>
        <w:tc>
          <w:tcPr>
            <w:tcW w:w="4981" w:type="dxa"/>
            <w:tcBorders>
              <w:top w:val="single" w:sz="4" w:space="0" w:color="auto"/>
              <w:left w:val="nil"/>
              <w:bottom w:val="single" w:sz="4" w:space="0" w:color="auto"/>
              <w:right w:val="single" w:sz="4" w:space="0" w:color="auto"/>
            </w:tcBorders>
            <w:shd w:val="clear" w:color="auto" w:fill="FFFFFF" w:themeFill="background1"/>
          </w:tcPr>
          <w:p w14:paraId="6095A840" w14:textId="5D5E2EC1" w:rsidR="0017303A" w:rsidRDefault="0017303A" w:rsidP="0017303A">
            <w:pPr>
              <w:pStyle w:val="Default"/>
              <w:spacing w:line="276" w:lineRule="auto"/>
              <w:jc w:val="both"/>
              <w:rPr>
                <w:rFonts w:cs="Calibri"/>
                <w:sz w:val="22"/>
                <w:szCs w:val="22"/>
              </w:rPr>
            </w:pPr>
            <w:r>
              <w:rPr>
                <w:rFonts w:cs="Calibri"/>
                <w:sz w:val="22"/>
                <w:szCs w:val="22"/>
              </w:rPr>
              <w:t>Is the outsource service provider required to hold an authorisation to carry out the service for the applicant (Y/N)?</w:t>
            </w:r>
          </w:p>
          <w:p w14:paraId="013483F9" w14:textId="77777777" w:rsidR="0017303A" w:rsidRDefault="0017303A" w:rsidP="0017303A">
            <w:pPr>
              <w:pStyle w:val="Default"/>
              <w:spacing w:line="276" w:lineRule="auto"/>
              <w:jc w:val="both"/>
              <w:rPr>
                <w:rFonts w:cs="Calibri"/>
                <w:sz w:val="22"/>
                <w:szCs w:val="22"/>
              </w:rPr>
            </w:pPr>
          </w:p>
          <w:p w14:paraId="656F1442" w14:textId="77777777" w:rsidR="0017303A" w:rsidRDefault="0017303A" w:rsidP="0017303A">
            <w:pPr>
              <w:pStyle w:val="Default"/>
              <w:spacing w:line="276" w:lineRule="auto"/>
              <w:jc w:val="both"/>
              <w:rPr>
                <w:rFonts w:cs="Calibri"/>
                <w:sz w:val="22"/>
                <w:szCs w:val="22"/>
              </w:rPr>
            </w:pPr>
            <w:r>
              <w:rPr>
                <w:rFonts w:cs="Calibri"/>
                <w:sz w:val="22"/>
                <w:szCs w:val="22"/>
              </w:rPr>
              <w:t>If Yes, please confirm that the outsource service provider holds the required authorisation from its home competent authority.</w:t>
            </w:r>
          </w:p>
          <w:p w14:paraId="70874ACE" w14:textId="77777777" w:rsidR="0017303A" w:rsidRDefault="0017303A" w:rsidP="0017303A">
            <w:pPr>
              <w:pStyle w:val="Default"/>
              <w:spacing w:line="276" w:lineRule="auto"/>
              <w:jc w:val="both"/>
              <w:rPr>
                <w:rFonts w:cs="Calibri"/>
                <w:sz w:val="22"/>
                <w:szCs w:val="22"/>
              </w:rPr>
            </w:pPr>
          </w:p>
          <w:p w14:paraId="3532F18E" w14:textId="19190952" w:rsidR="0017303A" w:rsidRDefault="0017303A" w:rsidP="0017303A">
            <w:pPr>
              <w:pStyle w:val="Default"/>
              <w:spacing w:line="276" w:lineRule="auto"/>
              <w:jc w:val="both"/>
              <w:rPr>
                <w:rFonts w:cs="Calibri"/>
                <w:sz w:val="22"/>
                <w:szCs w:val="22"/>
              </w:rPr>
            </w:pPr>
          </w:p>
        </w:tc>
        <w:tc>
          <w:tcPr>
            <w:tcW w:w="2066" w:type="dxa"/>
            <w:tcBorders>
              <w:top w:val="single" w:sz="4" w:space="0" w:color="auto"/>
              <w:left w:val="nil"/>
              <w:bottom w:val="single" w:sz="4" w:space="0" w:color="auto"/>
              <w:right w:val="single" w:sz="4" w:space="0" w:color="auto"/>
            </w:tcBorders>
            <w:shd w:val="clear" w:color="auto" w:fill="FFFFFF" w:themeFill="background1"/>
          </w:tcPr>
          <w:p w14:paraId="7E69A488" w14:textId="77777777" w:rsidR="0017303A" w:rsidRPr="00607208" w:rsidRDefault="0017303A" w:rsidP="0017303A">
            <w:pPr>
              <w:spacing w:after="0"/>
              <w:jc w:val="both"/>
              <w:rPr>
                <w:rFonts w:ascii="Calibri" w:eastAsia="Times New Roman" w:hAnsi="Calibri" w:cs="Arial"/>
                <w:bCs/>
                <w:color w:val="000000"/>
                <w:lang w:eastAsia="en-IE"/>
              </w:rPr>
            </w:pPr>
          </w:p>
        </w:tc>
      </w:tr>
      <w:tr w:rsidR="0017303A" w:rsidRPr="00607208" w14:paraId="08A3E2B9" w14:textId="77777777" w:rsidTr="0002507F">
        <w:trPr>
          <w:trHeight w:val="1183"/>
        </w:trPr>
        <w:tc>
          <w:tcPr>
            <w:tcW w:w="3727" w:type="dxa"/>
            <w:tcBorders>
              <w:left w:val="single" w:sz="4" w:space="0" w:color="auto"/>
              <w:bottom w:val="single" w:sz="4" w:space="0" w:color="auto"/>
              <w:right w:val="single" w:sz="4" w:space="0" w:color="auto"/>
            </w:tcBorders>
            <w:shd w:val="clear" w:color="auto" w:fill="FFFFFF" w:themeFill="background1"/>
          </w:tcPr>
          <w:p w14:paraId="5CAC7685" w14:textId="77777777" w:rsidR="0017303A" w:rsidRPr="002552D7" w:rsidRDefault="0017303A" w:rsidP="0017303A">
            <w:pPr>
              <w:spacing w:after="0"/>
              <w:rPr>
                <w:b/>
              </w:rPr>
            </w:pPr>
          </w:p>
        </w:tc>
        <w:tc>
          <w:tcPr>
            <w:tcW w:w="4981" w:type="dxa"/>
            <w:tcBorders>
              <w:top w:val="single" w:sz="4" w:space="0" w:color="auto"/>
              <w:left w:val="nil"/>
              <w:bottom w:val="single" w:sz="4" w:space="0" w:color="auto"/>
              <w:right w:val="single" w:sz="4" w:space="0" w:color="auto"/>
            </w:tcBorders>
            <w:shd w:val="clear" w:color="auto" w:fill="FFFFFF" w:themeFill="background1"/>
          </w:tcPr>
          <w:p w14:paraId="0847864E" w14:textId="77777777" w:rsidR="0017303A" w:rsidRPr="00884004" w:rsidRDefault="0017303A" w:rsidP="0017303A">
            <w:pPr>
              <w:autoSpaceDE w:val="0"/>
              <w:autoSpaceDN w:val="0"/>
              <w:adjustRightInd w:val="0"/>
              <w:spacing w:after="0" w:line="240" w:lineRule="auto"/>
              <w:rPr>
                <w:rFonts w:ascii="Calibri" w:hAnsi="Calibri" w:cs="Calibri"/>
                <w:color w:val="000000"/>
                <w:sz w:val="24"/>
                <w:szCs w:val="24"/>
              </w:rPr>
            </w:pPr>
          </w:p>
          <w:p w14:paraId="01C208E2" w14:textId="77777777" w:rsidR="0017303A" w:rsidRDefault="0017303A" w:rsidP="0017303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Where relevant, have</w:t>
            </w:r>
            <w:r w:rsidRPr="00884004">
              <w:rPr>
                <w:rFonts w:ascii="Calibri" w:hAnsi="Calibri" w:cs="Calibri"/>
                <w:color w:val="000000"/>
              </w:rPr>
              <w:t xml:space="preserve"> data and system security requirements </w:t>
            </w:r>
            <w:r>
              <w:rPr>
                <w:rFonts w:ascii="Calibri" w:hAnsi="Calibri" w:cs="Calibri"/>
                <w:color w:val="000000"/>
              </w:rPr>
              <w:t xml:space="preserve">been defined </w:t>
            </w:r>
            <w:r w:rsidRPr="00884004">
              <w:rPr>
                <w:rFonts w:ascii="Calibri" w:hAnsi="Calibri" w:cs="Calibri"/>
                <w:color w:val="000000"/>
              </w:rPr>
              <w:t>within the outsourcing agreement</w:t>
            </w:r>
            <w:r>
              <w:rPr>
                <w:rFonts w:ascii="Calibri" w:hAnsi="Calibri" w:cs="Calibri"/>
                <w:color w:val="000000"/>
              </w:rPr>
              <w:t>?</w:t>
            </w:r>
          </w:p>
          <w:p w14:paraId="7F49A3A0" w14:textId="77777777" w:rsidR="0017303A" w:rsidRDefault="0017303A" w:rsidP="0017303A">
            <w:pPr>
              <w:autoSpaceDE w:val="0"/>
              <w:autoSpaceDN w:val="0"/>
              <w:adjustRightInd w:val="0"/>
              <w:spacing w:after="0" w:line="240" w:lineRule="auto"/>
              <w:jc w:val="both"/>
              <w:rPr>
                <w:rFonts w:ascii="Calibri" w:hAnsi="Calibri" w:cs="Calibri"/>
                <w:color w:val="000000"/>
              </w:rPr>
            </w:pPr>
          </w:p>
          <w:p w14:paraId="3AF811BD" w14:textId="0CB20E39" w:rsidR="0017303A" w:rsidRPr="00884004" w:rsidRDefault="0017303A" w:rsidP="0017303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If Yes, please confirm that the applicant has adequate monitoring and controls in place for the ongoing assessment of compliance with the requirements.</w:t>
            </w:r>
            <w:r w:rsidRPr="00884004">
              <w:rPr>
                <w:rFonts w:ascii="Calibri" w:hAnsi="Calibri" w:cs="Calibri"/>
                <w:color w:val="000000"/>
              </w:rPr>
              <w:t xml:space="preserve"> </w:t>
            </w:r>
          </w:p>
          <w:p w14:paraId="1068A1EF" w14:textId="77777777" w:rsidR="0017303A" w:rsidRDefault="0017303A" w:rsidP="0017303A">
            <w:pPr>
              <w:pStyle w:val="Default"/>
              <w:spacing w:line="276" w:lineRule="auto"/>
              <w:jc w:val="both"/>
              <w:rPr>
                <w:rFonts w:cs="Calibri"/>
                <w:sz w:val="22"/>
                <w:szCs w:val="22"/>
              </w:rPr>
            </w:pPr>
          </w:p>
          <w:p w14:paraId="5F4BA5DB" w14:textId="092CA2A7" w:rsidR="0017303A" w:rsidRDefault="0017303A" w:rsidP="0017303A">
            <w:pPr>
              <w:pStyle w:val="Default"/>
              <w:spacing w:line="276" w:lineRule="auto"/>
              <w:jc w:val="both"/>
              <w:rPr>
                <w:rFonts w:cs="Calibri"/>
                <w:sz w:val="22"/>
                <w:szCs w:val="22"/>
              </w:rPr>
            </w:pPr>
          </w:p>
        </w:tc>
        <w:tc>
          <w:tcPr>
            <w:tcW w:w="2066" w:type="dxa"/>
            <w:tcBorders>
              <w:top w:val="single" w:sz="4" w:space="0" w:color="auto"/>
              <w:left w:val="nil"/>
              <w:bottom w:val="single" w:sz="4" w:space="0" w:color="auto"/>
              <w:right w:val="single" w:sz="4" w:space="0" w:color="auto"/>
            </w:tcBorders>
            <w:shd w:val="clear" w:color="auto" w:fill="FFFFFF" w:themeFill="background1"/>
          </w:tcPr>
          <w:p w14:paraId="74269EB8" w14:textId="77777777" w:rsidR="0017303A" w:rsidRPr="00607208" w:rsidRDefault="0017303A" w:rsidP="0017303A">
            <w:pPr>
              <w:spacing w:after="0"/>
              <w:jc w:val="both"/>
              <w:rPr>
                <w:rFonts w:ascii="Calibri" w:eastAsia="Times New Roman" w:hAnsi="Calibri" w:cs="Arial"/>
                <w:bCs/>
                <w:color w:val="000000"/>
                <w:lang w:eastAsia="en-IE"/>
              </w:rPr>
            </w:pPr>
          </w:p>
        </w:tc>
      </w:tr>
      <w:tr w:rsidR="0017303A" w:rsidRPr="00607208" w14:paraId="46BCCD47" w14:textId="77777777" w:rsidTr="0017303A">
        <w:trPr>
          <w:trHeight w:val="1183"/>
        </w:trPr>
        <w:tc>
          <w:tcPr>
            <w:tcW w:w="3727" w:type="dxa"/>
            <w:tcBorders>
              <w:left w:val="single" w:sz="4" w:space="0" w:color="auto"/>
              <w:bottom w:val="single" w:sz="4" w:space="0" w:color="auto"/>
              <w:right w:val="single" w:sz="4" w:space="0" w:color="auto"/>
            </w:tcBorders>
            <w:shd w:val="clear" w:color="auto" w:fill="FFFFFF" w:themeFill="background1"/>
          </w:tcPr>
          <w:p w14:paraId="7829902D" w14:textId="77777777" w:rsidR="0017303A" w:rsidRPr="002552D7" w:rsidRDefault="0017303A" w:rsidP="0017303A">
            <w:pPr>
              <w:spacing w:after="0"/>
              <w:rPr>
                <w:b/>
              </w:rPr>
            </w:pPr>
          </w:p>
        </w:tc>
        <w:tc>
          <w:tcPr>
            <w:tcW w:w="4981" w:type="dxa"/>
            <w:tcBorders>
              <w:top w:val="single" w:sz="4" w:space="0" w:color="auto"/>
              <w:left w:val="nil"/>
              <w:bottom w:val="single" w:sz="4" w:space="0" w:color="auto"/>
              <w:right w:val="single" w:sz="4" w:space="0" w:color="auto"/>
            </w:tcBorders>
            <w:shd w:val="clear" w:color="auto" w:fill="FFFFFF" w:themeFill="background1"/>
          </w:tcPr>
          <w:p w14:paraId="637C875A" w14:textId="6411F9DA" w:rsidR="0017303A" w:rsidRPr="00841B44" w:rsidRDefault="007D16A8" w:rsidP="0017303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Confirmation</w:t>
            </w:r>
            <w:r w:rsidR="0017303A" w:rsidRPr="00841B44">
              <w:rPr>
                <w:rFonts w:ascii="Calibri" w:hAnsi="Calibri" w:cs="Calibri"/>
                <w:color w:val="000000"/>
              </w:rPr>
              <w:t xml:space="preserve"> that all relevant access rights are available to the applicant, its auditors and relevant competent authorities, including the Central Bank, under the proposed arrangements.</w:t>
            </w:r>
          </w:p>
          <w:p w14:paraId="6D8D1225" w14:textId="02FDF3BF" w:rsidR="0017303A" w:rsidRPr="00884004" w:rsidRDefault="0017303A" w:rsidP="0017303A">
            <w:pPr>
              <w:autoSpaceDE w:val="0"/>
              <w:autoSpaceDN w:val="0"/>
              <w:adjustRightInd w:val="0"/>
              <w:spacing w:after="0" w:line="240" w:lineRule="auto"/>
              <w:jc w:val="both"/>
              <w:rPr>
                <w:rFonts w:ascii="Calibri" w:hAnsi="Calibri" w:cs="Calibri"/>
                <w:color w:val="000000"/>
                <w:sz w:val="24"/>
                <w:szCs w:val="24"/>
              </w:rPr>
            </w:pPr>
          </w:p>
        </w:tc>
        <w:tc>
          <w:tcPr>
            <w:tcW w:w="2066" w:type="dxa"/>
            <w:tcBorders>
              <w:top w:val="single" w:sz="4" w:space="0" w:color="auto"/>
              <w:left w:val="nil"/>
              <w:bottom w:val="single" w:sz="4" w:space="0" w:color="auto"/>
              <w:right w:val="single" w:sz="4" w:space="0" w:color="auto"/>
            </w:tcBorders>
            <w:shd w:val="clear" w:color="auto" w:fill="FFFFFF" w:themeFill="background1"/>
          </w:tcPr>
          <w:p w14:paraId="57FE02C3" w14:textId="77777777" w:rsidR="0017303A" w:rsidRPr="00607208" w:rsidRDefault="0017303A" w:rsidP="0017303A">
            <w:pPr>
              <w:spacing w:after="0"/>
              <w:jc w:val="both"/>
              <w:rPr>
                <w:rFonts w:ascii="Calibri" w:eastAsia="Times New Roman" w:hAnsi="Calibri" w:cs="Arial"/>
                <w:bCs/>
                <w:color w:val="000000"/>
                <w:lang w:eastAsia="en-IE"/>
              </w:rPr>
            </w:pPr>
          </w:p>
        </w:tc>
      </w:tr>
      <w:tr w:rsidR="0017303A" w:rsidRPr="00607208" w14:paraId="41643115" w14:textId="77777777" w:rsidTr="00DA7E0E">
        <w:trPr>
          <w:trHeight w:val="1183"/>
        </w:trPr>
        <w:tc>
          <w:tcPr>
            <w:tcW w:w="37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3B7F8E" w14:textId="77777777" w:rsidR="0017303A" w:rsidRPr="002552D7" w:rsidRDefault="0017303A" w:rsidP="0017303A">
            <w:pPr>
              <w:spacing w:after="0"/>
              <w:rPr>
                <w:b/>
              </w:rPr>
            </w:pPr>
          </w:p>
        </w:tc>
        <w:tc>
          <w:tcPr>
            <w:tcW w:w="4981" w:type="dxa"/>
            <w:tcBorders>
              <w:top w:val="single" w:sz="4" w:space="0" w:color="auto"/>
              <w:left w:val="nil"/>
              <w:bottom w:val="single" w:sz="4" w:space="0" w:color="auto"/>
              <w:right w:val="single" w:sz="4" w:space="0" w:color="auto"/>
            </w:tcBorders>
            <w:shd w:val="clear" w:color="auto" w:fill="FFFFFF" w:themeFill="background1"/>
          </w:tcPr>
          <w:p w14:paraId="5E0745C1" w14:textId="40FF98B7" w:rsidR="0017303A" w:rsidRDefault="007D16A8" w:rsidP="0017303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Confirmation</w:t>
            </w:r>
            <w:r w:rsidR="0017303A" w:rsidRPr="00841B44">
              <w:rPr>
                <w:rFonts w:ascii="Calibri" w:hAnsi="Calibri" w:cs="Calibri"/>
                <w:color w:val="000000"/>
              </w:rPr>
              <w:t xml:space="preserve"> that the termination rights within the agreement meet the criteria set out under Requirements 98 and 99 of the EBA Guidelines</w:t>
            </w:r>
            <w:r>
              <w:rPr>
                <w:rFonts w:ascii="Calibri" w:hAnsi="Calibri" w:cs="Calibri"/>
                <w:color w:val="000000"/>
              </w:rPr>
              <w:t>.</w:t>
            </w:r>
          </w:p>
          <w:p w14:paraId="4099731B" w14:textId="3D6267F9" w:rsidR="0017303A" w:rsidRDefault="0017303A" w:rsidP="0017303A">
            <w:pPr>
              <w:autoSpaceDE w:val="0"/>
              <w:autoSpaceDN w:val="0"/>
              <w:adjustRightInd w:val="0"/>
              <w:spacing w:after="0" w:line="240" w:lineRule="auto"/>
              <w:jc w:val="both"/>
              <w:rPr>
                <w:rFonts w:ascii="Calibri" w:hAnsi="Calibri" w:cs="Calibri"/>
                <w:color w:val="000000"/>
                <w:sz w:val="24"/>
                <w:szCs w:val="24"/>
              </w:rPr>
            </w:pPr>
          </w:p>
        </w:tc>
        <w:tc>
          <w:tcPr>
            <w:tcW w:w="2066" w:type="dxa"/>
            <w:tcBorders>
              <w:top w:val="single" w:sz="4" w:space="0" w:color="auto"/>
              <w:left w:val="nil"/>
              <w:bottom w:val="single" w:sz="4" w:space="0" w:color="auto"/>
              <w:right w:val="single" w:sz="4" w:space="0" w:color="auto"/>
            </w:tcBorders>
            <w:shd w:val="clear" w:color="auto" w:fill="FFFFFF" w:themeFill="background1"/>
          </w:tcPr>
          <w:p w14:paraId="59E1AAD9" w14:textId="77777777" w:rsidR="0017303A" w:rsidRPr="00607208" w:rsidRDefault="0017303A" w:rsidP="0017303A">
            <w:pPr>
              <w:spacing w:after="0"/>
              <w:jc w:val="both"/>
              <w:rPr>
                <w:rFonts w:ascii="Calibri" w:eastAsia="Times New Roman" w:hAnsi="Calibri" w:cs="Arial"/>
                <w:bCs/>
                <w:color w:val="000000"/>
                <w:lang w:eastAsia="en-IE"/>
              </w:rPr>
            </w:pPr>
          </w:p>
        </w:tc>
      </w:tr>
      <w:tr w:rsidR="00DA7E0E" w:rsidRPr="00607208" w14:paraId="1368D9D5" w14:textId="77777777" w:rsidTr="00DA7E0E">
        <w:trPr>
          <w:trHeight w:val="3263"/>
        </w:trPr>
        <w:tc>
          <w:tcPr>
            <w:tcW w:w="870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29C8A41" w14:textId="77777777" w:rsidR="00DA7E0E" w:rsidRDefault="00DA7E0E" w:rsidP="0017303A">
            <w:pPr>
              <w:spacing w:after="0"/>
              <w:jc w:val="both"/>
              <w:rPr>
                <w:rFonts w:ascii="Calibri" w:eastAsia="Times New Roman" w:hAnsi="Calibri" w:cs="Arial"/>
                <w:b/>
                <w:bCs/>
                <w:color w:val="000000"/>
                <w:lang w:eastAsia="en-IE"/>
              </w:rPr>
            </w:pPr>
            <w:r>
              <w:rPr>
                <w:rFonts w:ascii="Calibri" w:eastAsia="Times New Roman" w:hAnsi="Calibri" w:cs="Arial"/>
                <w:b/>
                <w:bCs/>
                <w:color w:val="000000"/>
                <w:lang w:eastAsia="en-IE"/>
              </w:rPr>
              <w:t xml:space="preserve">3. </w:t>
            </w:r>
            <w:r w:rsidRPr="00607208">
              <w:rPr>
                <w:rFonts w:ascii="Calibri" w:eastAsia="Times New Roman" w:hAnsi="Calibri" w:cs="Arial"/>
                <w:b/>
                <w:bCs/>
                <w:color w:val="000000"/>
                <w:lang w:eastAsia="en-IE"/>
              </w:rPr>
              <w:t xml:space="preserve">Confirm that the applicant has read and understands the provisions contained in the European Communities (Payment Services) Regulations 2018  </w:t>
            </w:r>
            <w:r>
              <w:rPr>
                <w:rFonts w:ascii="Calibri" w:eastAsia="Times New Roman" w:hAnsi="Calibri" w:cs="Arial"/>
                <w:b/>
                <w:bCs/>
                <w:color w:val="000000"/>
                <w:lang w:eastAsia="en-IE"/>
              </w:rPr>
              <w:t xml:space="preserve">and/or the European Communities (Electronic Money) Regulations 2011 (as amended) (the Regulations) </w:t>
            </w:r>
            <w:r w:rsidRPr="00607208">
              <w:rPr>
                <w:rFonts w:ascii="Calibri" w:eastAsia="Times New Roman" w:hAnsi="Calibri" w:cs="Arial"/>
                <w:b/>
                <w:bCs/>
                <w:color w:val="000000"/>
                <w:lang w:eastAsia="en-IE"/>
              </w:rPr>
              <w:t xml:space="preserve">and is satisfied that the appointment of this </w:t>
            </w:r>
            <w:r>
              <w:rPr>
                <w:rFonts w:ascii="Calibri" w:eastAsia="Times New Roman" w:hAnsi="Calibri" w:cs="Arial"/>
                <w:b/>
                <w:bCs/>
                <w:color w:val="000000"/>
                <w:lang w:eastAsia="en-IE"/>
              </w:rPr>
              <w:t>outsourcing agreement</w:t>
            </w:r>
            <w:r w:rsidRPr="00607208">
              <w:rPr>
                <w:rFonts w:ascii="Calibri" w:eastAsia="Times New Roman" w:hAnsi="Calibri" w:cs="Arial"/>
                <w:b/>
                <w:bCs/>
                <w:color w:val="000000"/>
                <w:lang w:eastAsia="en-IE"/>
              </w:rPr>
              <w:t xml:space="preserve"> will not materially impair:</w:t>
            </w:r>
          </w:p>
          <w:p w14:paraId="5E06E51E" w14:textId="77777777" w:rsidR="00DA7E0E" w:rsidRPr="00DA7E0E" w:rsidRDefault="00DA7E0E" w:rsidP="00DA7E0E">
            <w:pPr>
              <w:pStyle w:val="ListParagraph"/>
              <w:numPr>
                <w:ilvl w:val="0"/>
                <w:numId w:val="10"/>
              </w:numPr>
              <w:jc w:val="both"/>
              <w:rPr>
                <w:rFonts w:eastAsia="Times New Roman" w:cs="Arial"/>
                <w:bCs/>
                <w:color w:val="000000"/>
                <w:lang w:eastAsia="en-IE"/>
              </w:rPr>
            </w:pPr>
            <w:r w:rsidRPr="00DA7E0E">
              <w:rPr>
                <w:rFonts w:eastAsia="Times New Roman" w:cs="Arial"/>
                <w:bCs/>
                <w:color w:val="000000"/>
                <w:lang w:eastAsia="en-IE"/>
              </w:rPr>
              <w:t>The quality of the applicant’s internal controls and the ability of the Central Bank to monitor the applicant’s compliance with all obligations laid down in the Regulations</w:t>
            </w:r>
          </w:p>
          <w:p w14:paraId="2A70C644" w14:textId="77777777" w:rsidR="00DA7E0E" w:rsidRPr="00DA7E0E" w:rsidRDefault="00DA7E0E" w:rsidP="00DA7E0E">
            <w:pPr>
              <w:pStyle w:val="ListParagraph"/>
              <w:numPr>
                <w:ilvl w:val="0"/>
                <w:numId w:val="10"/>
              </w:numPr>
              <w:jc w:val="both"/>
              <w:rPr>
                <w:rFonts w:eastAsia="Times New Roman" w:cs="Arial"/>
                <w:bCs/>
                <w:color w:val="000000"/>
                <w:lang w:eastAsia="en-IE"/>
              </w:rPr>
            </w:pPr>
            <w:r w:rsidRPr="00DA7E0E">
              <w:rPr>
                <w:rFonts w:eastAsia="Times New Roman" w:cs="Arial"/>
                <w:bCs/>
                <w:color w:val="000000"/>
                <w:lang w:eastAsia="en-IE"/>
              </w:rPr>
              <w:t>The continuing compliance of the applicant with the requirements of its authorisation under the Regulations</w:t>
            </w:r>
          </w:p>
          <w:p w14:paraId="4372F2B3" w14:textId="77777777" w:rsidR="00DA7E0E" w:rsidRPr="00DA7E0E" w:rsidRDefault="00DA7E0E" w:rsidP="00DA7E0E">
            <w:pPr>
              <w:pStyle w:val="ListParagraph"/>
              <w:numPr>
                <w:ilvl w:val="0"/>
                <w:numId w:val="10"/>
              </w:numPr>
              <w:jc w:val="both"/>
              <w:rPr>
                <w:rFonts w:cstheme="minorHAnsi"/>
                <w:bCs/>
                <w:color w:val="000000"/>
              </w:rPr>
            </w:pPr>
            <w:r w:rsidRPr="00DA7E0E">
              <w:rPr>
                <w:rFonts w:cstheme="minorHAnsi"/>
                <w:bCs/>
                <w:color w:val="000000"/>
              </w:rPr>
              <w:t>The applicant’s senior management retain full responsibility for compliance with all regulatory requirements</w:t>
            </w:r>
          </w:p>
          <w:p w14:paraId="496D7D6F" w14:textId="5C4BABB3" w:rsidR="00DA7E0E" w:rsidRPr="00607208" w:rsidRDefault="00DA7E0E" w:rsidP="0017303A">
            <w:pPr>
              <w:spacing w:after="0"/>
              <w:jc w:val="both"/>
              <w:rPr>
                <w:rFonts w:ascii="Calibri" w:eastAsia="Times New Roman" w:hAnsi="Calibri" w:cs="Arial"/>
                <w:bCs/>
                <w:color w:val="000000"/>
                <w:lang w:eastAsia="en-IE"/>
              </w:rPr>
            </w:pPr>
          </w:p>
        </w:tc>
        <w:tc>
          <w:tcPr>
            <w:tcW w:w="2066" w:type="dxa"/>
            <w:tcBorders>
              <w:top w:val="single" w:sz="4" w:space="0" w:color="auto"/>
              <w:left w:val="nil"/>
              <w:bottom w:val="single" w:sz="4" w:space="0" w:color="auto"/>
              <w:right w:val="single" w:sz="4" w:space="0" w:color="auto"/>
            </w:tcBorders>
            <w:shd w:val="clear" w:color="auto" w:fill="FFFFFF" w:themeFill="background1"/>
          </w:tcPr>
          <w:p w14:paraId="0871DE46" w14:textId="77777777" w:rsidR="00DA7E0E" w:rsidRPr="00607208" w:rsidRDefault="00DA7E0E" w:rsidP="0017303A">
            <w:pPr>
              <w:spacing w:after="0"/>
              <w:jc w:val="both"/>
              <w:rPr>
                <w:rFonts w:ascii="Calibri" w:eastAsia="Times New Roman" w:hAnsi="Calibri" w:cs="Arial"/>
                <w:bCs/>
                <w:color w:val="000000"/>
                <w:lang w:eastAsia="en-IE"/>
              </w:rPr>
            </w:pPr>
          </w:p>
        </w:tc>
      </w:tr>
      <w:tr w:rsidR="0017303A" w:rsidRPr="00607208" w14:paraId="1D1CAE73" w14:textId="77777777" w:rsidTr="007D16A8">
        <w:trPr>
          <w:trHeight w:val="921"/>
        </w:trPr>
        <w:tc>
          <w:tcPr>
            <w:tcW w:w="37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62944B" w14:textId="4DD29F54" w:rsidR="0017303A" w:rsidRDefault="0017303A" w:rsidP="0017303A">
            <w:pPr>
              <w:spacing w:after="0"/>
              <w:jc w:val="both"/>
              <w:rPr>
                <w:rFonts w:ascii="Calibri" w:eastAsia="Times New Roman" w:hAnsi="Calibri" w:cs="Arial"/>
                <w:b/>
                <w:bCs/>
                <w:color w:val="000000"/>
                <w:lang w:eastAsia="en-IE"/>
              </w:rPr>
            </w:pPr>
            <w:r>
              <w:rPr>
                <w:rFonts w:ascii="Calibri" w:eastAsia="Times New Roman" w:hAnsi="Calibri" w:cs="Arial"/>
                <w:b/>
                <w:bCs/>
                <w:color w:val="000000"/>
                <w:lang w:eastAsia="en-IE"/>
              </w:rPr>
              <w:t xml:space="preserve">4. </w:t>
            </w:r>
            <w:r w:rsidR="00DA7E0E">
              <w:rPr>
                <w:rFonts w:ascii="Calibri" w:eastAsia="Times New Roman" w:hAnsi="Calibri" w:cs="Arial"/>
                <w:b/>
                <w:bCs/>
                <w:color w:val="000000"/>
                <w:lang w:eastAsia="en-IE"/>
              </w:rPr>
              <w:t>I</w:t>
            </w:r>
            <w:r>
              <w:rPr>
                <w:rFonts w:ascii="Calibri" w:eastAsia="Times New Roman" w:hAnsi="Calibri" w:cs="Arial"/>
                <w:b/>
                <w:bCs/>
                <w:color w:val="000000"/>
                <w:lang w:eastAsia="en-IE"/>
              </w:rPr>
              <w:t>ndependent monitoring of the Service provider</w:t>
            </w:r>
            <w:r w:rsidR="00DA7E0E">
              <w:rPr>
                <w:rFonts w:ascii="Calibri" w:eastAsia="Times New Roman" w:hAnsi="Calibri" w:cs="Arial"/>
                <w:b/>
                <w:bCs/>
                <w:color w:val="000000"/>
                <w:lang w:eastAsia="en-IE"/>
              </w:rPr>
              <w:t>(s)</w:t>
            </w:r>
          </w:p>
          <w:p w14:paraId="54817B23" w14:textId="43043B45" w:rsidR="0017303A" w:rsidRPr="00607208" w:rsidRDefault="0017303A" w:rsidP="0017303A">
            <w:pPr>
              <w:spacing w:after="0"/>
              <w:jc w:val="both"/>
              <w:rPr>
                <w:rFonts w:ascii="Calibri" w:eastAsia="Times New Roman" w:hAnsi="Calibri" w:cs="Arial"/>
                <w:b/>
                <w:bCs/>
                <w:color w:val="000000"/>
                <w:lang w:eastAsia="en-IE"/>
              </w:rPr>
            </w:pPr>
          </w:p>
        </w:tc>
        <w:tc>
          <w:tcPr>
            <w:tcW w:w="4981" w:type="dxa"/>
            <w:tcBorders>
              <w:top w:val="single" w:sz="4" w:space="0" w:color="auto"/>
              <w:left w:val="nil"/>
              <w:bottom w:val="single" w:sz="4" w:space="0" w:color="auto"/>
              <w:right w:val="single" w:sz="4" w:space="0" w:color="auto"/>
            </w:tcBorders>
            <w:shd w:val="clear" w:color="auto" w:fill="FFFFFF" w:themeFill="background1"/>
            <w:hideMark/>
          </w:tcPr>
          <w:p w14:paraId="065DCAEE" w14:textId="733F7099" w:rsidR="0017303A" w:rsidRPr="00607208" w:rsidRDefault="0017303A" w:rsidP="0017303A">
            <w:pPr>
              <w:spacing w:after="0"/>
              <w:jc w:val="both"/>
              <w:rPr>
                <w:rFonts w:ascii="Calibri" w:eastAsia="Times New Roman" w:hAnsi="Calibri" w:cs="Arial"/>
                <w:bCs/>
                <w:color w:val="000000"/>
                <w:lang w:eastAsia="en-IE"/>
              </w:rPr>
            </w:pPr>
            <w:r w:rsidRPr="00607208">
              <w:rPr>
                <w:rFonts w:ascii="Calibri" w:eastAsia="Times New Roman" w:hAnsi="Calibri" w:cs="Arial"/>
                <w:bCs/>
                <w:color w:val="000000"/>
                <w:lang w:eastAsia="en-IE"/>
              </w:rPr>
              <w:t>Confirm</w:t>
            </w:r>
            <w:r w:rsidR="007D16A8">
              <w:rPr>
                <w:rFonts w:ascii="Calibri" w:eastAsia="Times New Roman" w:hAnsi="Calibri" w:cs="Arial"/>
                <w:bCs/>
                <w:color w:val="000000"/>
                <w:lang w:eastAsia="en-IE"/>
              </w:rPr>
              <w:t>ation</w:t>
            </w:r>
            <w:r w:rsidRPr="00607208">
              <w:rPr>
                <w:rFonts w:ascii="Calibri" w:eastAsia="Times New Roman" w:hAnsi="Calibri" w:cs="Arial"/>
                <w:bCs/>
                <w:color w:val="000000"/>
                <w:lang w:eastAsia="en-IE"/>
              </w:rPr>
              <w:t xml:space="preserve"> that the proposed </w:t>
            </w:r>
            <w:r w:rsidRPr="00C33686">
              <w:rPr>
                <w:rFonts w:cstheme="minorHAnsi"/>
                <w:bCs/>
                <w:color w:val="000000"/>
              </w:rPr>
              <w:t>outsourcing service provider</w:t>
            </w:r>
            <w:r>
              <w:rPr>
                <w:rFonts w:cs="TimesTen-Roman"/>
              </w:rPr>
              <w:t xml:space="preserve">(s) </w:t>
            </w:r>
            <w:r w:rsidRPr="00607208">
              <w:rPr>
                <w:rFonts w:ascii="Calibri" w:eastAsia="Times New Roman" w:hAnsi="Calibri" w:cs="Arial"/>
                <w:bCs/>
                <w:color w:val="000000"/>
                <w:lang w:eastAsia="en-IE"/>
              </w:rPr>
              <w:t>acting on the applicant’s behalf will inform payment users of this fact</w:t>
            </w:r>
            <w:r>
              <w:rPr>
                <w:rFonts w:ascii="Calibri" w:eastAsia="Times New Roman" w:hAnsi="Calibri" w:cs="Arial"/>
                <w:bCs/>
                <w:color w:val="000000"/>
                <w:lang w:eastAsia="en-IE"/>
              </w:rPr>
              <w:t>, if appropriate</w:t>
            </w:r>
            <w:r w:rsidR="007D16A8">
              <w:rPr>
                <w:rFonts w:ascii="Calibri" w:eastAsia="Times New Roman" w:hAnsi="Calibri" w:cs="Arial"/>
                <w:bCs/>
                <w:color w:val="000000"/>
                <w:lang w:eastAsia="en-IE"/>
              </w:rPr>
              <w:t>.</w:t>
            </w:r>
          </w:p>
        </w:tc>
        <w:tc>
          <w:tcPr>
            <w:tcW w:w="2066" w:type="dxa"/>
            <w:tcBorders>
              <w:top w:val="single" w:sz="4" w:space="0" w:color="auto"/>
              <w:left w:val="nil"/>
              <w:bottom w:val="single" w:sz="4" w:space="0" w:color="auto"/>
              <w:right w:val="single" w:sz="4" w:space="0" w:color="auto"/>
            </w:tcBorders>
            <w:shd w:val="clear" w:color="auto" w:fill="FFFFFF" w:themeFill="background1"/>
          </w:tcPr>
          <w:p w14:paraId="573EBE70" w14:textId="77777777" w:rsidR="0017303A" w:rsidRPr="00607208" w:rsidRDefault="0017303A" w:rsidP="0017303A">
            <w:pPr>
              <w:spacing w:after="0"/>
              <w:jc w:val="both"/>
              <w:rPr>
                <w:rFonts w:ascii="Calibri" w:eastAsia="Times New Roman" w:hAnsi="Calibri" w:cs="Arial"/>
                <w:bCs/>
                <w:color w:val="000000"/>
                <w:lang w:eastAsia="en-IE"/>
              </w:rPr>
            </w:pPr>
          </w:p>
        </w:tc>
      </w:tr>
      <w:tr w:rsidR="0017303A" w:rsidRPr="00607208" w14:paraId="748AAC0F" w14:textId="77777777" w:rsidTr="007D16A8">
        <w:trPr>
          <w:trHeight w:val="1418"/>
        </w:trPr>
        <w:tc>
          <w:tcPr>
            <w:tcW w:w="372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5D2A7F" w14:textId="274B2045" w:rsidR="0017303A" w:rsidRPr="00607208" w:rsidRDefault="0017303A" w:rsidP="0017303A">
            <w:pPr>
              <w:autoSpaceDE w:val="0"/>
              <w:autoSpaceDN w:val="0"/>
              <w:adjustRightInd w:val="0"/>
              <w:spacing w:after="0" w:line="240" w:lineRule="auto"/>
              <w:jc w:val="both"/>
              <w:rPr>
                <w:rFonts w:ascii="Calibri" w:eastAsia="Times New Roman" w:hAnsi="Calibri" w:cs="Arial"/>
                <w:b/>
                <w:bCs/>
                <w:color w:val="000000"/>
                <w:lang w:eastAsia="en-IE"/>
              </w:rPr>
            </w:pPr>
          </w:p>
        </w:tc>
        <w:tc>
          <w:tcPr>
            <w:tcW w:w="4981" w:type="dxa"/>
            <w:tcBorders>
              <w:top w:val="single" w:sz="4" w:space="0" w:color="auto"/>
              <w:left w:val="nil"/>
              <w:bottom w:val="single" w:sz="4" w:space="0" w:color="auto"/>
              <w:right w:val="single" w:sz="4" w:space="0" w:color="auto"/>
            </w:tcBorders>
            <w:shd w:val="clear" w:color="auto" w:fill="FFFFFF" w:themeFill="background1"/>
            <w:hideMark/>
          </w:tcPr>
          <w:p w14:paraId="4134373C" w14:textId="7A3B0784" w:rsidR="0017303A" w:rsidRPr="00607208" w:rsidRDefault="0017303A" w:rsidP="0017303A">
            <w:pPr>
              <w:spacing w:after="0"/>
              <w:jc w:val="both"/>
              <w:rPr>
                <w:rFonts w:ascii="Calibri" w:eastAsia="Times New Roman" w:hAnsi="Calibri" w:cs="Arial"/>
                <w:bCs/>
                <w:color w:val="000000"/>
                <w:lang w:eastAsia="en-IE"/>
              </w:rPr>
            </w:pPr>
            <w:r>
              <w:rPr>
                <w:rFonts w:ascii="Calibri" w:eastAsia="Times New Roman" w:hAnsi="Calibri" w:cs="Arial"/>
                <w:bCs/>
                <w:color w:val="000000"/>
                <w:lang w:eastAsia="en-IE"/>
              </w:rPr>
              <w:t>Confirm</w:t>
            </w:r>
            <w:r w:rsidR="007D16A8">
              <w:rPr>
                <w:rFonts w:ascii="Calibri" w:eastAsia="Times New Roman" w:hAnsi="Calibri" w:cs="Arial"/>
                <w:bCs/>
                <w:color w:val="000000"/>
                <w:lang w:eastAsia="en-IE"/>
              </w:rPr>
              <w:t>ation</w:t>
            </w:r>
            <w:r>
              <w:rPr>
                <w:rFonts w:ascii="Calibri" w:eastAsia="Times New Roman" w:hAnsi="Calibri" w:cs="Arial"/>
                <w:bCs/>
                <w:color w:val="000000"/>
                <w:lang w:eastAsia="en-IE"/>
              </w:rPr>
              <w:t xml:space="preserve"> that the applicant has appropriate policies and procedures in place to identify, manage and mitigate potential conflicts of interest in relation to the outsourced service</w:t>
            </w:r>
            <w:r w:rsidR="007D16A8">
              <w:rPr>
                <w:rFonts w:ascii="Calibri" w:eastAsia="Times New Roman" w:hAnsi="Calibri" w:cs="Arial"/>
                <w:bCs/>
                <w:color w:val="000000"/>
                <w:lang w:eastAsia="en-IE"/>
              </w:rPr>
              <w:t>.</w:t>
            </w:r>
          </w:p>
        </w:tc>
        <w:tc>
          <w:tcPr>
            <w:tcW w:w="2066" w:type="dxa"/>
            <w:tcBorders>
              <w:top w:val="single" w:sz="4" w:space="0" w:color="auto"/>
              <w:left w:val="nil"/>
              <w:bottom w:val="single" w:sz="4" w:space="0" w:color="auto"/>
              <w:right w:val="single" w:sz="4" w:space="0" w:color="auto"/>
            </w:tcBorders>
            <w:shd w:val="clear" w:color="auto" w:fill="FFFFFF" w:themeFill="background1"/>
          </w:tcPr>
          <w:p w14:paraId="0B37BE42" w14:textId="77777777" w:rsidR="0017303A" w:rsidRPr="00607208" w:rsidRDefault="0017303A" w:rsidP="0017303A">
            <w:pPr>
              <w:spacing w:after="0"/>
              <w:jc w:val="both"/>
              <w:rPr>
                <w:rFonts w:ascii="Calibri" w:eastAsia="Times New Roman" w:hAnsi="Calibri" w:cs="Arial"/>
                <w:bCs/>
                <w:color w:val="000000"/>
                <w:lang w:eastAsia="en-IE"/>
              </w:rPr>
            </w:pPr>
          </w:p>
        </w:tc>
      </w:tr>
      <w:tr w:rsidR="0017303A" w:rsidRPr="00607208" w14:paraId="6910B611" w14:textId="77777777" w:rsidTr="00520C00">
        <w:trPr>
          <w:trHeight w:val="1779"/>
        </w:trPr>
        <w:tc>
          <w:tcPr>
            <w:tcW w:w="3727" w:type="dxa"/>
            <w:tcBorders>
              <w:top w:val="single" w:sz="4" w:space="0" w:color="auto"/>
              <w:left w:val="single" w:sz="4" w:space="0" w:color="auto"/>
              <w:bottom w:val="single" w:sz="4" w:space="0" w:color="000000"/>
              <w:right w:val="single" w:sz="4" w:space="0" w:color="auto"/>
            </w:tcBorders>
            <w:shd w:val="clear" w:color="auto" w:fill="FFFFFF" w:themeFill="background1"/>
          </w:tcPr>
          <w:p w14:paraId="08468646" w14:textId="77777777" w:rsidR="0017303A" w:rsidRPr="001B26A6" w:rsidRDefault="0017303A" w:rsidP="0017303A">
            <w:pPr>
              <w:autoSpaceDE w:val="0"/>
              <w:autoSpaceDN w:val="0"/>
              <w:adjustRightInd w:val="0"/>
              <w:spacing w:after="0" w:line="240" w:lineRule="auto"/>
              <w:jc w:val="both"/>
              <w:rPr>
                <w:rFonts w:ascii="Calibri" w:eastAsia="Times New Roman" w:hAnsi="Calibri" w:cs="Arial"/>
                <w:bCs/>
                <w:color w:val="000000"/>
                <w:lang w:eastAsia="en-IE"/>
              </w:rPr>
            </w:pPr>
          </w:p>
        </w:tc>
        <w:tc>
          <w:tcPr>
            <w:tcW w:w="4981" w:type="dxa"/>
            <w:tcBorders>
              <w:top w:val="single" w:sz="4" w:space="0" w:color="auto"/>
              <w:left w:val="nil"/>
              <w:bottom w:val="single" w:sz="4" w:space="0" w:color="auto"/>
              <w:right w:val="single" w:sz="4" w:space="0" w:color="auto"/>
            </w:tcBorders>
            <w:shd w:val="clear" w:color="auto" w:fill="FFFFFF" w:themeFill="background1"/>
          </w:tcPr>
          <w:p w14:paraId="3CBBD5EA" w14:textId="073245C6" w:rsidR="0017303A" w:rsidRPr="001B26A6" w:rsidRDefault="007D16A8" w:rsidP="0017303A">
            <w:pPr>
              <w:autoSpaceDE w:val="0"/>
              <w:autoSpaceDN w:val="0"/>
              <w:adjustRightInd w:val="0"/>
              <w:spacing w:after="0" w:line="240" w:lineRule="auto"/>
              <w:jc w:val="both"/>
              <w:rPr>
                <w:rFonts w:ascii="Calibri" w:hAnsi="Calibri" w:cs="Calibri"/>
                <w:color w:val="000000"/>
                <w:sz w:val="24"/>
                <w:szCs w:val="24"/>
              </w:rPr>
            </w:pPr>
            <w:r>
              <w:rPr>
                <w:rFonts w:ascii="Calibri" w:eastAsia="Times New Roman" w:hAnsi="Calibri" w:cs="Arial"/>
                <w:bCs/>
                <w:color w:val="000000"/>
                <w:lang w:eastAsia="en-IE"/>
              </w:rPr>
              <w:t>Confirmation</w:t>
            </w:r>
            <w:r w:rsidR="0017303A" w:rsidRPr="001B26A6">
              <w:rPr>
                <w:rFonts w:ascii="Calibri" w:eastAsia="Times New Roman" w:hAnsi="Calibri" w:cs="Arial"/>
                <w:bCs/>
                <w:color w:val="000000"/>
                <w:lang w:eastAsia="en-IE"/>
              </w:rPr>
              <w:t xml:space="preserve"> that this monitoring includes, as applicable, reports from the monitoring function</w:t>
            </w:r>
            <w:r w:rsidR="00DA7E0E">
              <w:rPr>
                <w:rFonts w:ascii="Calibri" w:eastAsia="Times New Roman" w:hAnsi="Calibri" w:cs="Arial"/>
                <w:bCs/>
                <w:color w:val="000000"/>
                <w:lang w:eastAsia="en-IE"/>
              </w:rPr>
              <w:t>s of the applicant,  summarising</w:t>
            </w:r>
            <w:r w:rsidR="0017303A" w:rsidRPr="001B26A6">
              <w:rPr>
                <w:rFonts w:ascii="Calibri" w:eastAsia="Times New Roman" w:hAnsi="Calibri" w:cs="Arial"/>
                <w:bCs/>
                <w:color w:val="000000"/>
                <w:lang w:eastAsia="en-IE"/>
              </w:rPr>
              <w:t xml:space="preserve"> the outsourcing risk assessment and performance monitoring</w:t>
            </w:r>
            <w:r>
              <w:rPr>
                <w:rFonts w:ascii="Calibri" w:eastAsia="Times New Roman" w:hAnsi="Calibri" w:cs="Arial"/>
                <w:bCs/>
                <w:color w:val="000000"/>
                <w:lang w:eastAsia="en-IE"/>
              </w:rPr>
              <w:t>.</w:t>
            </w:r>
          </w:p>
          <w:p w14:paraId="1499EEA5" w14:textId="77777777" w:rsidR="0017303A" w:rsidRDefault="0017303A" w:rsidP="0017303A">
            <w:pPr>
              <w:spacing w:after="0"/>
              <w:jc w:val="both"/>
              <w:rPr>
                <w:rFonts w:ascii="Calibri" w:eastAsia="Times New Roman" w:hAnsi="Calibri" w:cs="Arial"/>
                <w:bCs/>
                <w:color w:val="000000"/>
                <w:lang w:eastAsia="en-IE"/>
              </w:rPr>
            </w:pPr>
          </w:p>
        </w:tc>
        <w:tc>
          <w:tcPr>
            <w:tcW w:w="2066" w:type="dxa"/>
            <w:tcBorders>
              <w:top w:val="single" w:sz="4" w:space="0" w:color="auto"/>
              <w:left w:val="nil"/>
              <w:bottom w:val="single" w:sz="4" w:space="0" w:color="auto"/>
              <w:right w:val="single" w:sz="4" w:space="0" w:color="auto"/>
            </w:tcBorders>
            <w:shd w:val="clear" w:color="auto" w:fill="FFFFFF" w:themeFill="background1"/>
          </w:tcPr>
          <w:p w14:paraId="7064E0CB" w14:textId="77777777" w:rsidR="0017303A" w:rsidRPr="00607208" w:rsidRDefault="0017303A" w:rsidP="0017303A">
            <w:pPr>
              <w:spacing w:after="0"/>
              <w:jc w:val="both"/>
              <w:rPr>
                <w:rFonts w:ascii="Calibri" w:eastAsia="Times New Roman" w:hAnsi="Calibri" w:cs="Arial"/>
                <w:bCs/>
                <w:color w:val="000000"/>
                <w:lang w:eastAsia="en-IE"/>
              </w:rPr>
            </w:pPr>
          </w:p>
        </w:tc>
      </w:tr>
    </w:tbl>
    <w:p w14:paraId="662DFA91" w14:textId="6D203E84" w:rsidR="00F371B4" w:rsidRDefault="00F371B4"/>
    <w:p w14:paraId="43DD3E34" w14:textId="0D0A45EE" w:rsidR="00F371B4" w:rsidRDefault="00F371B4" w:rsidP="00294864"/>
    <w:p w14:paraId="5E297FB8" w14:textId="7915A1E3" w:rsidR="00520C00" w:rsidRDefault="00520C00" w:rsidP="00294864"/>
    <w:p w14:paraId="4DF07ED2" w14:textId="77777777" w:rsidR="00520C00" w:rsidRDefault="00520C00" w:rsidP="00294864"/>
    <w:p w14:paraId="288AAC6E" w14:textId="6B05C91B" w:rsidR="00520C00" w:rsidRDefault="00520C00" w:rsidP="00294864"/>
    <w:p w14:paraId="58010625" w14:textId="3A55A4AA" w:rsidR="00520C00" w:rsidRDefault="00520C00" w:rsidP="00294864"/>
    <w:p w14:paraId="029AE4D4" w14:textId="0B494F0B" w:rsidR="00520C00" w:rsidRDefault="00520C00" w:rsidP="00294864"/>
    <w:p w14:paraId="166A0B0E" w14:textId="7D36C914" w:rsidR="00520C00" w:rsidRDefault="00520C00" w:rsidP="00294864"/>
    <w:p w14:paraId="39CCED47" w14:textId="033B8199" w:rsidR="00520C00" w:rsidRDefault="00520C00" w:rsidP="00294864"/>
    <w:p w14:paraId="1CE76F4D" w14:textId="77777777" w:rsidR="007D16A8" w:rsidRDefault="007D16A8" w:rsidP="00294864"/>
    <w:p w14:paraId="6F8211DD" w14:textId="77777777" w:rsidR="00520C00" w:rsidRDefault="00520C00" w:rsidP="00294864"/>
    <w:p w14:paraId="3EBE84C6" w14:textId="2EAB6A6A" w:rsidR="006F22EA" w:rsidRDefault="006F22EA" w:rsidP="00294864"/>
    <w:p w14:paraId="011E21CE" w14:textId="7C037F46" w:rsidR="007D16A8" w:rsidRDefault="007D16A8" w:rsidP="00294864"/>
    <w:p w14:paraId="2D369D6A" w14:textId="2341A9A0" w:rsidR="007D16A8" w:rsidRDefault="007D16A8" w:rsidP="00294864"/>
    <w:p w14:paraId="291528DB" w14:textId="2BCD2935" w:rsidR="007D16A8" w:rsidRDefault="007D16A8" w:rsidP="00294864"/>
    <w:p w14:paraId="78B2B350" w14:textId="7A95F4D4" w:rsidR="007D16A8" w:rsidRDefault="007D16A8" w:rsidP="00294864"/>
    <w:p w14:paraId="65DE5117" w14:textId="1CD9C4BC" w:rsidR="007D16A8" w:rsidRDefault="007D16A8" w:rsidP="00294864"/>
    <w:p w14:paraId="695D30EB" w14:textId="372A924B" w:rsidR="007D16A8" w:rsidRDefault="007D16A8" w:rsidP="00294864"/>
    <w:p w14:paraId="773B28CD" w14:textId="33992D58" w:rsidR="007D16A8" w:rsidRDefault="007D16A8" w:rsidP="00294864"/>
    <w:p w14:paraId="166D5FF7" w14:textId="77777777" w:rsidR="007D16A8" w:rsidRDefault="007D16A8" w:rsidP="0029486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000" w:firstRow="0" w:lastRow="0" w:firstColumn="0" w:lastColumn="0" w:noHBand="0" w:noVBand="0"/>
      </w:tblPr>
      <w:tblGrid>
        <w:gridCol w:w="9498"/>
      </w:tblGrid>
      <w:tr w:rsidR="00294864" w:rsidRPr="007173DC" w14:paraId="7F64DF11" w14:textId="77777777" w:rsidTr="00C33686">
        <w:trPr>
          <w:trHeight w:val="699"/>
        </w:trPr>
        <w:tc>
          <w:tcPr>
            <w:tcW w:w="9498" w:type="dxa"/>
            <w:shd w:val="clear" w:color="auto" w:fill="DBE5F1" w:themeFill="accent1" w:themeFillTint="33"/>
          </w:tcPr>
          <w:p w14:paraId="30992D20" w14:textId="77777777" w:rsidR="00294864" w:rsidRPr="006D3365" w:rsidRDefault="00294864" w:rsidP="00C33686">
            <w:pPr>
              <w:spacing w:before="240" w:after="120"/>
              <w:jc w:val="center"/>
              <w:rPr>
                <w:b/>
                <w:lang w:val="en-GB"/>
              </w:rPr>
            </w:pPr>
            <w:r w:rsidRPr="006D3365">
              <w:rPr>
                <w:rFonts w:ascii="Calibri" w:eastAsia="MS PGothic" w:hAnsi="Calibri" w:cs="Times New Roman"/>
                <w:b/>
                <w:color w:val="1F497D" w:themeColor="text2"/>
                <w:sz w:val="28"/>
                <w:lang w:val="en-GB"/>
              </w:rPr>
              <w:t>Declaration</w:t>
            </w:r>
          </w:p>
        </w:tc>
      </w:tr>
    </w:tbl>
    <w:p w14:paraId="5BCE8317" w14:textId="77777777" w:rsidR="00294864" w:rsidRPr="007173DC" w:rsidRDefault="00294864" w:rsidP="00294864">
      <w:pPr>
        <w:rPr>
          <w:b/>
          <w:lang w:val="en-GB"/>
        </w:rPr>
      </w:pPr>
    </w:p>
    <w:p w14:paraId="1C87E332" w14:textId="694C6170" w:rsidR="00294864" w:rsidRPr="00A071DF" w:rsidRDefault="00294864" w:rsidP="00294864">
      <w:pPr>
        <w:spacing w:after="0" w:line="360" w:lineRule="auto"/>
        <w:jc w:val="both"/>
        <w:rPr>
          <w:lang w:val="en-GB"/>
        </w:rPr>
      </w:pPr>
      <w:r w:rsidRPr="007D44DE">
        <w:rPr>
          <w:b/>
          <w:iCs/>
          <w:color w:val="000000" w:themeColor="text1"/>
          <w:lang w:val="en-GB"/>
        </w:rPr>
        <w:t>[Insert full legal name of applicant]</w:t>
      </w:r>
      <w:r w:rsidRPr="007D44DE">
        <w:rPr>
          <w:iCs/>
          <w:color w:val="000000" w:themeColor="text1"/>
          <w:lang w:val="en-GB"/>
        </w:rPr>
        <w:t xml:space="preserve"> </w:t>
      </w:r>
      <w:r w:rsidR="00675659">
        <w:rPr>
          <w:color w:val="000000" w:themeColor="text1"/>
          <w:lang w:val="en-GB"/>
        </w:rPr>
        <w:t>notifying of the outsourcing of activities to</w:t>
      </w:r>
      <w:r w:rsidRPr="007D44DE">
        <w:rPr>
          <w:lang w:val="en-GB"/>
        </w:rPr>
        <w:t xml:space="preserve"> [</w:t>
      </w:r>
      <w:r w:rsidRPr="007D44DE">
        <w:rPr>
          <w:b/>
          <w:lang w:val="en-GB"/>
        </w:rPr>
        <w:t>insert full legal name of proposed agent</w:t>
      </w:r>
      <w:r>
        <w:rPr>
          <w:b/>
          <w:lang w:val="en-GB"/>
        </w:rPr>
        <w:t>(</w:t>
      </w:r>
      <w:r w:rsidRPr="007D44DE">
        <w:rPr>
          <w:b/>
          <w:lang w:val="en-GB"/>
        </w:rPr>
        <w:t>s</w:t>
      </w:r>
      <w:r>
        <w:rPr>
          <w:b/>
          <w:lang w:val="en-GB"/>
        </w:rPr>
        <w:t>)]</w:t>
      </w:r>
      <w:r w:rsidRPr="007D44DE">
        <w:rPr>
          <w:lang w:val="en-GB"/>
        </w:rPr>
        <w:t xml:space="preserve"> as an </w:t>
      </w:r>
      <w:r w:rsidR="00675659">
        <w:rPr>
          <w:lang w:val="en-GB"/>
        </w:rPr>
        <w:t>outsourcing service provider</w:t>
      </w:r>
      <w:r w:rsidRPr="007D44DE">
        <w:rPr>
          <w:lang w:val="en-GB"/>
        </w:rPr>
        <w:t xml:space="preserve"> under </w:t>
      </w:r>
      <w:r w:rsidRPr="00A071DF">
        <w:rPr>
          <w:lang w:val="en-GB"/>
        </w:rPr>
        <w:t>European Union (Payment Services) Regulations 2018</w:t>
      </w:r>
      <w:r w:rsidR="00DA24E4">
        <w:rPr>
          <w:lang w:val="en-GB"/>
        </w:rPr>
        <w:t xml:space="preserve"> </w:t>
      </w:r>
      <w:r w:rsidR="00DA24E4" w:rsidRPr="00DA24E4">
        <w:rPr>
          <w:lang w:val="en-GB"/>
        </w:rPr>
        <w:t>or under the European Communities (Electronic Money) Regulations 2011 (as amended)</w:t>
      </w:r>
      <w:r w:rsidRPr="00A071DF">
        <w:rPr>
          <w:lang w:val="en-GB"/>
        </w:rPr>
        <w:t xml:space="preserve">, on the basis of information supplied with this </w:t>
      </w:r>
      <w:r w:rsidR="007D0CCC">
        <w:rPr>
          <w:lang w:val="en-GB"/>
        </w:rPr>
        <w:t xml:space="preserve">notification </w:t>
      </w:r>
      <w:r w:rsidRPr="00A071DF">
        <w:rPr>
          <w:lang w:val="en-GB"/>
        </w:rPr>
        <w:t xml:space="preserve">and any additional information supplied to the Central Bank in the course of the </w:t>
      </w:r>
      <w:r w:rsidR="007D0CCC">
        <w:rPr>
          <w:lang w:val="en-GB"/>
        </w:rPr>
        <w:t>notification</w:t>
      </w:r>
      <w:r w:rsidRPr="00A071DF">
        <w:rPr>
          <w:lang w:val="en-GB"/>
        </w:rPr>
        <w:t xml:space="preserve"> process.</w:t>
      </w:r>
    </w:p>
    <w:p w14:paraId="2423C6D7" w14:textId="77777777" w:rsidR="00294864" w:rsidRPr="00A071DF" w:rsidRDefault="00294864" w:rsidP="00294864">
      <w:pPr>
        <w:spacing w:after="0" w:line="360" w:lineRule="auto"/>
        <w:jc w:val="both"/>
        <w:rPr>
          <w:lang w:val="en-GB"/>
        </w:rPr>
      </w:pPr>
    </w:p>
    <w:p w14:paraId="0B8FD923" w14:textId="77777777" w:rsidR="00294864" w:rsidRPr="00A071DF" w:rsidRDefault="00294864" w:rsidP="00294864">
      <w:pPr>
        <w:spacing w:after="0" w:line="360" w:lineRule="auto"/>
        <w:jc w:val="both"/>
        <w:rPr>
          <w:lang w:val="en-GB"/>
        </w:rPr>
      </w:pPr>
      <w:r w:rsidRPr="00A071DF">
        <w:rPr>
          <w:lang w:val="en-GB"/>
        </w:rPr>
        <w:t>I/We acknowledge that the Central Bank may disclose information in the performance of its statutory functions or otherwise as may be specifically authorised by law.</w:t>
      </w:r>
    </w:p>
    <w:p w14:paraId="2FFE024C" w14:textId="7DDB0D25" w:rsidR="00294864" w:rsidRDefault="00294864" w:rsidP="00294864">
      <w:pPr>
        <w:spacing w:after="0" w:line="360" w:lineRule="auto"/>
        <w:jc w:val="both"/>
        <w:rPr>
          <w:bCs/>
          <w:lang w:val="en-GB"/>
        </w:rPr>
      </w:pPr>
    </w:p>
    <w:p w14:paraId="3EAAD821" w14:textId="3242FF99" w:rsidR="00294864" w:rsidRDefault="00294864" w:rsidP="00294864">
      <w:pPr>
        <w:spacing w:after="0" w:line="360" w:lineRule="auto"/>
        <w:jc w:val="both"/>
        <w:rPr>
          <w:bCs/>
          <w:lang w:val="en-GB"/>
        </w:rPr>
      </w:pPr>
      <w:r>
        <w:rPr>
          <w:bCs/>
          <w:lang w:val="en-GB"/>
        </w:rPr>
        <w:t>I/</w:t>
      </w:r>
      <w:r w:rsidRPr="006D3365">
        <w:rPr>
          <w:bCs/>
          <w:lang w:val="en-GB"/>
        </w:rPr>
        <w:t xml:space="preserve">We warrant that </w:t>
      </w:r>
      <w:r>
        <w:rPr>
          <w:bCs/>
          <w:lang w:val="en-GB"/>
        </w:rPr>
        <w:t>I/</w:t>
      </w:r>
      <w:r w:rsidRPr="006D3365">
        <w:rPr>
          <w:bCs/>
          <w:lang w:val="en-GB"/>
        </w:rPr>
        <w:t xml:space="preserve">we have truthfully and fully answered the relevant questions in this </w:t>
      </w:r>
      <w:r>
        <w:rPr>
          <w:bCs/>
          <w:lang w:val="en-GB"/>
        </w:rPr>
        <w:t>F</w:t>
      </w:r>
      <w:r w:rsidRPr="006D3365">
        <w:rPr>
          <w:bCs/>
          <w:lang w:val="en-GB"/>
        </w:rPr>
        <w:t xml:space="preserve">orm and disclosed any other information which might reasonably be considered relevant for the purpose of the </w:t>
      </w:r>
      <w:r w:rsidR="007D0CCC">
        <w:rPr>
          <w:bCs/>
          <w:lang w:val="en-GB"/>
        </w:rPr>
        <w:t>notification</w:t>
      </w:r>
      <w:r w:rsidRPr="006D3365">
        <w:rPr>
          <w:bCs/>
          <w:lang w:val="en-GB"/>
        </w:rPr>
        <w:t>.</w:t>
      </w:r>
    </w:p>
    <w:p w14:paraId="3B323E82" w14:textId="77777777" w:rsidR="00294864" w:rsidRPr="006D3365" w:rsidRDefault="00294864" w:rsidP="00294864">
      <w:pPr>
        <w:spacing w:after="0" w:line="360" w:lineRule="auto"/>
        <w:jc w:val="both"/>
        <w:rPr>
          <w:bCs/>
          <w:lang w:val="en-GB"/>
        </w:rPr>
      </w:pPr>
    </w:p>
    <w:p w14:paraId="1194D6DF" w14:textId="71CEC212" w:rsidR="00294864" w:rsidRDefault="00294864" w:rsidP="00294864">
      <w:pPr>
        <w:spacing w:after="0" w:line="360" w:lineRule="auto"/>
        <w:jc w:val="both"/>
        <w:rPr>
          <w:bCs/>
          <w:lang w:val="en-GB"/>
        </w:rPr>
      </w:pPr>
      <w:r>
        <w:rPr>
          <w:bCs/>
          <w:lang w:val="en-GB"/>
        </w:rPr>
        <w:t>I/</w:t>
      </w:r>
      <w:r w:rsidRPr="006D3365">
        <w:rPr>
          <w:bCs/>
          <w:lang w:val="en-GB"/>
        </w:rPr>
        <w:t xml:space="preserve">We warrant that </w:t>
      </w:r>
      <w:r w:rsidR="0055478F">
        <w:rPr>
          <w:bCs/>
          <w:lang w:val="en-GB"/>
        </w:rPr>
        <w:t>I/</w:t>
      </w:r>
      <w:r w:rsidRPr="006D3365">
        <w:rPr>
          <w:bCs/>
          <w:lang w:val="en-GB"/>
        </w:rPr>
        <w:t xml:space="preserve">we will promptly notify the Central Bank of any changes in the information we have provided and supply any other relevant information which may come to light in the period during which the </w:t>
      </w:r>
      <w:r w:rsidR="007D0CCC">
        <w:rPr>
          <w:bCs/>
          <w:lang w:val="en-GB"/>
        </w:rPr>
        <w:t>notification</w:t>
      </w:r>
      <w:r w:rsidR="007D0CCC" w:rsidRPr="006D3365">
        <w:rPr>
          <w:bCs/>
          <w:lang w:val="en-GB"/>
        </w:rPr>
        <w:t xml:space="preserve"> </w:t>
      </w:r>
      <w:r w:rsidRPr="006D3365">
        <w:rPr>
          <w:bCs/>
          <w:lang w:val="en-GB"/>
        </w:rPr>
        <w:t xml:space="preserve">is being considered and, </w:t>
      </w:r>
      <w:r w:rsidR="00FE3687">
        <w:rPr>
          <w:bCs/>
          <w:lang w:val="en-GB"/>
        </w:rPr>
        <w:t xml:space="preserve">where </w:t>
      </w:r>
      <w:r w:rsidRPr="006D3365">
        <w:rPr>
          <w:bCs/>
          <w:lang w:val="en-GB"/>
        </w:rPr>
        <w:t xml:space="preserve">the </w:t>
      </w:r>
      <w:r w:rsidR="007D0CCC">
        <w:rPr>
          <w:bCs/>
          <w:lang w:val="en-GB"/>
        </w:rPr>
        <w:t>notification</w:t>
      </w:r>
      <w:r w:rsidR="007D0CCC" w:rsidRPr="006D3365">
        <w:rPr>
          <w:bCs/>
          <w:lang w:val="en-GB"/>
        </w:rPr>
        <w:t xml:space="preserve"> </w:t>
      </w:r>
      <w:r w:rsidRPr="006D3365">
        <w:rPr>
          <w:bCs/>
          <w:lang w:val="en-GB"/>
        </w:rPr>
        <w:t>is accepted, thereafter.</w:t>
      </w:r>
    </w:p>
    <w:p w14:paraId="1603F418" w14:textId="77777777" w:rsidR="00294864" w:rsidRPr="006D3365" w:rsidRDefault="00294864" w:rsidP="00294864">
      <w:pPr>
        <w:spacing w:after="0" w:line="360" w:lineRule="auto"/>
        <w:jc w:val="both"/>
        <w:rPr>
          <w:bCs/>
          <w:lang w:val="en-GB"/>
        </w:rPr>
      </w:pPr>
    </w:p>
    <w:p w14:paraId="30B7F058" w14:textId="4125E4F1" w:rsidR="00294864" w:rsidRDefault="00294864" w:rsidP="00294864">
      <w:pPr>
        <w:spacing w:after="0" w:line="360" w:lineRule="auto"/>
        <w:jc w:val="both"/>
        <w:rPr>
          <w:b/>
          <w:bCs/>
          <w:lang w:val="en-GB"/>
        </w:rPr>
      </w:pPr>
      <w:r>
        <w:rPr>
          <w:bCs/>
          <w:lang w:val="en-GB"/>
        </w:rPr>
        <w:t>I/</w:t>
      </w:r>
      <w:r w:rsidRPr="006D3365">
        <w:rPr>
          <w:bCs/>
          <w:lang w:val="en-GB"/>
        </w:rPr>
        <w:t xml:space="preserve">We warrant that </w:t>
      </w:r>
      <w:r w:rsidR="0055478F">
        <w:rPr>
          <w:bCs/>
          <w:lang w:val="en-GB"/>
        </w:rPr>
        <w:t>I/</w:t>
      </w:r>
      <w:r w:rsidRPr="006D3365">
        <w:rPr>
          <w:bCs/>
          <w:lang w:val="en-GB"/>
        </w:rPr>
        <w:t xml:space="preserve">we </w:t>
      </w:r>
      <w:r w:rsidR="0055478F">
        <w:rPr>
          <w:bCs/>
          <w:lang w:val="en-GB"/>
        </w:rPr>
        <w:t>am/</w:t>
      </w:r>
      <w:r w:rsidRPr="006D3365">
        <w:rPr>
          <w:bCs/>
          <w:lang w:val="en-GB"/>
        </w:rPr>
        <w:t xml:space="preserve">are authorised to make this </w:t>
      </w:r>
      <w:r w:rsidR="007D0CCC">
        <w:rPr>
          <w:bCs/>
          <w:lang w:val="en-GB"/>
        </w:rPr>
        <w:t>notification</w:t>
      </w:r>
      <w:r w:rsidR="007D0CCC" w:rsidRPr="006D3365">
        <w:rPr>
          <w:bCs/>
          <w:lang w:val="en-GB"/>
        </w:rPr>
        <w:t xml:space="preserve"> </w:t>
      </w:r>
      <w:r w:rsidRPr="006D3365">
        <w:rPr>
          <w:bCs/>
          <w:lang w:val="en-GB"/>
        </w:rPr>
        <w:t>on behalf</w:t>
      </w:r>
      <w:r>
        <w:rPr>
          <w:bCs/>
          <w:lang w:val="en-GB"/>
        </w:rPr>
        <w:t xml:space="preserve"> of</w:t>
      </w:r>
      <w:r w:rsidRPr="006D3365">
        <w:rPr>
          <w:bCs/>
          <w:lang w:val="en-GB"/>
        </w:rPr>
        <w:t xml:space="preserve"> </w:t>
      </w:r>
      <w:r w:rsidRPr="006D3365">
        <w:rPr>
          <w:b/>
          <w:bCs/>
          <w:lang w:val="en-GB"/>
        </w:rPr>
        <w:t>[</w:t>
      </w:r>
      <w:r w:rsidRPr="006D3365">
        <w:rPr>
          <w:b/>
          <w:bCs/>
          <w:i/>
          <w:lang w:val="en-GB"/>
        </w:rPr>
        <w:t xml:space="preserve">insert </w:t>
      </w:r>
      <w:r>
        <w:rPr>
          <w:b/>
          <w:bCs/>
          <w:i/>
          <w:lang w:val="en-GB"/>
        </w:rPr>
        <w:t xml:space="preserve">full legal </w:t>
      </w:r>
      <w:r w:rsidRPr="006D3365">
        <w:rPr>
          <w:b/>
          <w:bCs/>
          <w:i/>
          <w:lang w:val="en-GB"/>
        </w:rPr>
        <w:t>name of applicant</w:t>
      </w:r>
      <w:r w:rsidRPr="006D3365">
        <w:rPr>
          <w:b/>
          <w:bCs/>
          <w:lang w:val="en-GB"/>
        </w:rPr>
        <w:t>].</w:t>
      </w:r>
    </w:p>
    <w:p w14:paraId="55A27138" w14:textId="4FA54996" w:rsidR="00294864" w:rsidRPr="006D3365" w:rsidRDefault="00294864" w:rsidP="00294864">
      <w:pPr>
        <w:spacing w:after="0" w:line="360" w:lineRule="auto"/>
        <w:jc w:val="both"/>
        <w:rPr>
          <w:b/>
          <w:bCs/>
          <w:lang w:val="en-GB"/>
        </w:rPr>
      </w:pP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294864" w:rsidRPr="007173DC" w14:paraId="115477AB" w14:textId="77777777" w:rsidTr="00C33686">
        <w:trPr>
          <w:trHeight w:val="423"/>
        </w:trPr>
        <w:tc>
          <w:tcPr>
            <w:tcW w:w="2122" w:type="dxa"/>
            <w:shd w:val="clear" w:color="auto" w:fill="D9D9D9" w:themeFill="background1" w:themeFillShade="D9"/>
          </w:tcPr>
          <w:p w14:paraId="53DE49C2" w14:textId="77777777" w:rsidR="00294864" w:rsidRPr="006D3365" w:rsidRDefault="00294864" w:rsidP="00C33686">
            <w:pPr>
              <w:jc w:val="both"/>
              <w:rPr>
                <w:b/>
                <w:lang w:val="en-GB"/>
              </w:rPr>
            </w:pPr>
            <w:r w:rsidRPr="006D3365">
              <w:rPr>
                <w:b/>
                <w:lang w:val="en-GB"/>
              </w:rPr>
              <w:t>For and on behalf of:</w:t>
            </w:r>
          </w:p>
        </w:tc>
        <w:tc>
          <w:tcPr>
            <w:tcW w:w="6478" w:type="dxa"/>
          </w:tcPr>
          <w:p w14:paraId="11C07E35" w14:textId="77777777" w:rsidR="00294864" w:rsidRDefault="00294864" w:rsidP="00C33686">
            <w:pPr>
              <w:jc w:val="both"/>
              <w:rPr>
                <w:b/>
                <w:lang w:val="en-GB"/>
              </w:rPr>
            </w:pPr>
            <w:r>
              <w:rPr>
                <w:b/>
                <w:lang w:val="en-GB"/>
              </w:rPr>
              <w:t>[insert full legal name of applicant]</w:t>
            </w:r>
          </w:p>
          <w:p w14:paraId="20B66BDB" w14:textId="77777777" w:rsidR="00294864" w:rsidRPr="006D3365" w:rsidRDefault="00294864" w:rsidP="00C33686">
            <w:pPr>
              <w:jc w:val="both"/>
              <w:rPr>
                <w:b/>
                <w:lang w:val="en-GB"/>
              </w:rPr>
            </w:pPr>
          </w:p>
        </w:tc>
      </w:tr>
      <w:tr w:rsidR="00294864" w:rsidRPr="007173DC" w14:paraId="1EE6FA5E" w14:textId="77777777" w:rsidTr="00C33686">
        <w:trPr>
          <w:trHeight w:val="1971"/>
        </w:trPr>
        <w:tc>
          <w:tcPr>
            <w:tcW w:w="2122" w:type="dxa"/>
            <w:shd w:val="clear" w:color="auto" w:fill="D9D9D9" w:themeFill="background1" w:themeFillShade="D9"/>
          </w:tcPr>
          <w:p w14:paraId="707F9D0E" w14:textId="77777777" w:rsidR="00294864" w:rsidRPr="007173DC" w:rsidRDefault="00294864" w:rsidP="00C33686">
            <w:pPr>
              <w:jc w:val="both"/>
              <w:rPr>
                <w:b/>
                <w:lang w:val="en-GB"/>
              </w:rPr>
            </w:pPr>
            <w:r w:rsidRPr="007173DC">
              <w:rPr>
                <w:b/>
                <w:lang w:val="en-GB"/>
              </w:rPr>
              <w:t>Name (Printed):</w:t>
            </w:r>
          </w:p>
          <w:p w14:paraId="6AB91C4B" w14:textId="77777777" w:rsidR="00294864" w:rsidRPr="006D3365" w:rsidRDefault="00294864" w:rsidP="00C33686">
            <w:pPr>
              <w:jc w:val="both"/>
              <w:rPr>
                <w:b/>
                <w:lang w:val="en-GB"/>
              </w:rPr>
            </w:pPr>
            <w:r w:rsidRPr="006D3365">
              <w:rPr>
                <w:b/>
                <w:lang w:val="en-GB"/>
              </w:rPr>
              <w:t>Title:</w:t>
            </w:r>
          </w:p>
          <w:p w14:paraId="5A7F4CF9" w14:textId="77777777" w:rsidR="00294864" w:rsidRPr="006D3365" w:rsidRDefault="00294864" w:rsidP="00C33686">
            <w:pPr>
              <w:jc w:val="both"/>
              <w:rPr>
                <w:b/>
                <w:lang w:val="en-GB"/>
              </w:rPr>
            </w:pPr>
          </w:p>
          <w:p w14:paraId="60B8E397" w14:textId="77777777" w:rsidR="00294864" w:rsidRPr="006D3365" w:rsidRDefault="00294864" w:rsidP="00C33686">
            <w:pPr>
              <w:jc w:val="both"/>
              <w:rPr>
                <w:b/>
                <w:lang w:val="en-GB"/>
              </w:rPr>
            </w:pPr>
            <w:r w:rsidRPr="006D3365">
              <w:rPr>
                <w:b/>
                <w:lang w:val="en-GB"/>
              </w:rPr>
              <w:t>Signature:</w:t>
            </w:r>
          </w:p>
          <w:p w14:paraId="300010B7" w14:textId="77777777" w:rsidR="00294864" w:rsidRPr="006D3365" w:rsidRDefault="00294864" w:rsidP="00C33686">
            <w:pPr>
              <w:jc w:val="both"/>
              <w:rPr>
                <w:b/>
                <w:lang w:val="en-GB"/>
              </w:rPr>
            </w:pPr>
            <w:r w:rsidRPr="006D3365">
              <w:rPr>
                <w:b/>
                <w:lang w:val="en-GB"/>
              </w:rPr>
              <w:t>Date:</w:t>
            </w:r>
          </w:p>
        </w:tc>
        <w:tc>
          <w:tcPr>
            <w:tcW w:w="6478" w:type="dxa"/>
          </w:tcPr>
          <w:p w14:paraId="0D8E15CC" w14:textId="77777777" w:rsidR="00294864" w:rsidRPr="006D3365" w:rsidRDefault="00294864" w:rsidP="00C33686">
            <w:pPr>
              <w:jc w:val="both"/>
              <w:rPr>
                <w:b/>
                <w:lang w:val="en-GB"/>
              </w:rPr>
            </w:pPr>
          </w:p>
        </w:tc>
      </w:tr>
      <w:tr w:rsidR="00294864" w:rsidRPr="007173DC" w14:paraId="23C35364" w14:textId="77777777" w:rsidTr="00C33686">
        <w:trPr>
          <w:trHeight w:val="416"/>
        </w:trPr>
        <w:tc>
          <w:tcPr>
            <w:tcW w:w="2122" w:type="dxa"/>
            <w:shd w:val="clear" w:color="auto" w:fill="D9D9D9" w:themeFill="background1" w:themeFillShade="D9"/>
          </w:tcPr>
          <w:p w14:paraId="1E1FB806" w14:textId="77777777" w:rsidR="00294864" w:rsidRPr="007173DC" w:rsidRDefault="00294864" w:rsidP="00C33686">
            <w:pPr>
              <w:jc w:val="both"/>
              <w:rPr>
                <w:b/>
                <w:lang w:val="en-GB"/>
              </w:rPr>
            </w:pPr>
            <w:r w:rsidRPr="007173DC">
              <w:rPr>
                <w:b/>
                <w:lang w:val="en-GB"/>
              </w:rPr>
              <w:t>Name (Printed):</w:t>
            </w:r>
          </w:p>
          <w:p w14:paraId="41E389C8" w14:textId="77777777" w:rsidR="00294864" w:rsidRPr="006D3365" w:rsidRDefault="00294864" w:rsidP="00C33686">
            <w:pPr>
              <w:jc w:val="both"/>
              <w:rPr>
                <w:b/>
                <w:lang w:val="en-GB"/>
              </w:rPr>
            </w:pPr>
            <w:r w:rsidRPr="006D3365">
              <w:rPr>
                <w:b/>
                <w:lang w:val="en-GB"/>
              </w:rPr>
              <w:t>Title:</w:t>
            </w:r>
          </w:p>
          <w:p w14:paraId="5129A20F" w14:textId="77777777" w:rsidR="00294864" w:rsidRPr="006D3365" w:rsidRDefault="00294864" w:rsidP="00C33686">
            <w:pPr>
              <w:jc w:val="both"/>
              <w:rPr>
                <w:b/>
                <w:lang w:val="en-GB"/>
              </w:rPr>
            </w:pPr>
          </w:p>
          <w:p w14:paraId="453B0293" w14:textId="77777777" w:rsidR="00294864" w:rsidRPr="006D3365" w:rsidRDefault="00294864" w:rsidP="00C33686">
            <w:pPr>
              <w:jc w:val="both"/>
              <w:rPr>
                <w:b/>
                <w:lang w:val="en-GB"/>
              </w:rPr>
            </w:pPr>
            <w:r w:rsidRPr="006D3365">
              <w:rPr>
                <w:b/>
                <w:lang w:val="en-GB"/>
              </w:rPr>
              <w:t>Signature:</w:t>
            </w:r>
          </w:p>
          <w:p w14:paraId="03DE952D" w14:textId="77777777" w:rsidR="00294864" w:rsidRPr="006D3365" w:rsidRDefault="00294864" w:rsidP="00C33686">
            <w:pPr>
              <w:jc w:val="both"/>
              <w:rPr>
                <w:b/>
                <w:lang w:val="en-GB"/>
              </w:rPr>
            </w:pPr>
            <w:r w:rsidRPr="006D3365">
              <w:rPr>
                <w:b/>
                <w:lang w:val="en-GB"/>
              </w:rPr>
              <w:t>Date:</w:t>
            </w:r>
          </w:p>
          <w:p w14:paraId="0D0D95AD" w14:textId="77777777" w:rsidR="00294864" w:rsidRPr="006D3365" w:rsidRDefault="00294864" w:rsidP="00C33686">
            <w:pPr>
              <w:jc w:val="both"/>
              <w:rPr>
                <w:b/>
                <w:lang w:val="en-GB"/>
              </w:rPr>
            </w:pPr>
          </w:p>
        </w:tc>
        <w:tc>
          <w:tcPr>
            <w:tcW w:w="6478" w:type="dxa"/>
          </w:tcPr>
          <w:p w14:paraId="5D33B569" w14:textId="77777777" w:rsidR="00294864" w:rsidRPr="006D3365" w:rsidRDefault="00294864" w:rsidP="00C33686">
            <w:pPr>
              <w:jc w:val="both"/>
              <w:rPr>
                <w:b/>
                <w:lang w:val="en-GB"/>
              </w:rPr>
            </w:pPr>
          </w:p>
        </w:tc>
      </w:tr>
      <w:tr w:rsidR="00294864" w:rsidRPr="007173DC" w14:paraId="463C09FB" w14:textId="77777777" w:rsidTr="00C33686">
        <w:trPr>
          <w:trHeight w:val="509"/>
        </w:trPr>
        <w:tc>
          <w:tcPr>
            <w:tcW w:w="8600" w:type="dxa"/>
            <w:gridSpan w:val="2"/>
          </w:tcPr>
          <w:p w14:paraId="1762D96E" w14:textId="63EB805C" w:rsidR="00294864" w:rsidRPr="0055478F" w:rsidRDefault="00294864" w:rsidP="00213076">
            <w:pPr>
              <w:jc w:val="both"/>
              <w:rPr>
                <w:b/>
                <w:lang w:val="en-GB"/>
              </w:rPr>
            </w:pPr>
            <w:r w:rsidRPr="00F9031B">
              <w:rPr>
                <w:b/>
                <w:bCs/>
                <w:i/>
                <w:iCs/>
                <w:lang w:val="en-GB"/>
              </w:rPr>
              <w:t xml:space="preserve">(Please print name of the applicant. At least two </w:t>
            </w:r>
            <w:r w:rsidR="00213076">
              <w:rPr>
                <w:b/>
                <w:bCs/>
                <w:i/>
                <w:iCs/>
                <w:lang w:val="en-GB"/>
              </w:rPr>
              <w:t>PCF Holders</w:t>
            </w:r>
            <w:r w:rsidRPr="00F9031B">
              <w:rPr>
                <w:b/>
                <w:bCs/>
                <w:i/>
                <w:iCs/>
                <w:lang w:val="en-GB"/>
              </w:rPr>
              <w:t xml:space="preserve"> must sign the Declaration above.</w:t>
            </w:r>
            <w:r w:rsidR="00213076">
              <w:rPr>
                <w:b/>
                <w:bCs/>
                <w:i/>
                <w:iCs/>
                <w:lang w:val="en-GB"/>
              </w:rPr>
              <w:t>)</w:t>
            </w:r>
          </w:p>
        </w:tc>
      </w:tr>
    </w:tbl>
    <w:p w14:paraId="0857C4CB" w14:textId="77777777" w:rsidR="00294864" w:rsidRPr="007173DC" w:rsidRDefault="00294864" w:rsidP="00294864">
      <w:pPr>
        <w:spacing w:before="240" w:after="120"/>
        <w:jc w:val="both"/>
        <w:rPr>
          <w:rFonts w:eastAsia="MS PGothic"/>
          <w:lang w:val="en-GB"/>
        </w:rPr>
      </w:pPr>
    </w:p>
    <w:p w14:paraId="2A2554B9" w14:textId="53253269" w:rsidR="00294864" w:rsidRPr="00ED018C" w:rsidRDefault="00294864" w:rsidP="00294864">
      <w:pPr>
        <w:jc w:val="both"/>
        <w:rPr>
          <w:rFonts w:cstheme="minorHAnsi"/>
          <w:b/>
          <w:lang w:val="en-GB"/>
        </w:rPr>
      </w:pPr>
      <w:r w:rsidRPr="00C03A64">
        <w:rPr>
          <w:b/>
          <w:iCs/>
          <w:lang w:val="en-GB"/>
        </w:rPr>
        <w:t xml:space="preserve">Provisions in this document should not be deleted nor amended in any manner. </w:t>
      </w:r>
      <w:r w:rsidRPr="00ED018C">
        <w:rPr>
          <w:rFonts w:cstheme="minorHAnsi"/>
          <w:b/>
          <w:lang w:val="en-GB"/>
        </w:rPr>
        <w:t xml:space="preserve">Applicants should note that it is an offence under the </w:t>
      </w:r>
      <w:r w:rsidRPr="00C03A64">
        <w:rPr>
          <w:rFonts w:eastAsia="Times New Roman" w:cs="Arial"/>
          <w:b/>
          <w:bCs/>
          <w:color w:val="000000"/>
          <w:lang w:eastAsia="en-IE"/>
        </w:rPr>
        <w:t>European Union (Payment Services) Regulations 2018</w:t>
      </w:r>
      <w:r w:rsidRPr="00ED018C">
        <w:rPr>
          <w:rFonts w:cstheme="minorHAnsi"/>
          <w:b/>
          <w:lang w:val="en-GB"/>
        </w:rPr>
        <w:t xml:space="preserve"> and the European Communities (Electronic Money) Regulations 2011 (as amended) to provide false or misleading information in relation to: (i) obtaining an authorisation to operate as respectively a payment institution or </w:t>
      </w:r>
      <w:r w:rsidR="00FE3687" w:rsidRPr="00ED018C">
        <w:rPr>
          <w:rFonts w:cstheme="minorHAnsi"/>
          <w:b/>
          <w:lang w:val="en-GB"/>
        </w:rPr>
        <w:t xml:space="preserve">an </w:t>
      </w:r>
      <w:r w:rsidRPr="00ED018C">
        <w:rPr>
          <w:rFonts w:cstheme="minorHAnsi"/>
          <w:b/>
          <w:lang w:val="en-GB"/>
        </w:rPr>
        <w:t xml:space="preserve">e-money </w:t>
      </w:r>
      <w:r w:rsidRPr="00ED018C">
        <w:rPr>
          <w:rFonts w:cstheme="minorHAnsi"/>
          <w:b/>
          <w:lang w:val="en-GB"/>
        </w:rPr>
        <w:lastRenderedPageBreak/>
        <w:t>institution, or (ii) an approval, waiver or permission from the Central Bank concerning the operation of respectively a payment institution or an e</w:t>
      </w:r>
      <w:r w:rsidR="00FE3687" w:rsidRPr="00ED018C">
        <w:rPr>
          <w:rFonts w:cstheme="minorHAnsi"/>
          <w:b/>
          <w:lang w:val="en-GB"/>
        </w:rPr>
        <w:t>-</w:t>
      </w:r>
      <w:r w:rsidRPr="00ED018C">
        <w:rPr>
          <w:rFonts w:cstheme="minorHAnsi"/>
          <w:b/>
          <w:lang w:val="en-GB"/>
        </w:rPr>
        <w:t>money institution.</w:t>
      </w:r>
    </w:p>
    <w:p w14:paraId="7D0FB494" w14:textId="750BD1DB" w:rsidR="00CD7ECA" w:rsidRDefault="00294864">
      <w:pPr>
        <w:rPr>
          <w:rFonts w:eastAsia="MS PGothic"/>
          <w:lang w:val="en-GB"/>
        </w:rPr>
      </w:pPr>
      <w:r>
        <w:rPr>
          <w:rFonts w:cstheme="minorHAnsi"/>
          <w:b/>
          <w:lang w:val="en-GB"/>
        </w:rPr>
        <w:br w:type="page"/>
      </w:r>
    </w:p>
    <w:p w14:paraId="4335328E" w14:textId="7A7C13DF" w:rsidR="003046A7" w:rsidRDefault="003046A7" w:rsidP="003046A7">
      <w:pPr>
        <w:jc w:val="both"/>
        <w:rPr>
          <w:sz w:val="12"/>
          <w:lang w:val="en-GB"/>
        </w:rPr>
      </w:pPr>
      <w:r w:rsidRPr="007F089A">
        <w:rPr>
          <w:b/>
          <w:noProof/>
          <w:lang w:eastAsia="en-IE"/>
        </w:rPr>
        <w:lastRenderedPageBreak/>
        <mc:AlternateContent>
          <mc:Choice Requires="wps">
            <w:drawing>
              <wp:anchor distT="0" distB="0" distL="114300" distR="114300" simplePos="0" relativeHeight="251662336" behindDoc="0" locked="0" layoutInCell="1" allowOverlap="1" wp14:anchorId="274B8092" wp14:editId="5D231398">
                <wp:simplePos x="0" y="0"/>
                <wp:positionH relativeFrom="column">
                  <wp:posOffset>-1140823</wp:posOffset>
                </wp:positionH>
                <wp:positionV relativeFrom="paragraph">
                  <wp:posOffset>-962206</wp:posOffset>
                </wp:positionV>
                <wp:extent cx="11583670" cy="11785600"/>
                <wp:effectExtent l="0" t="0" r="17780" b="25400"/>
                <wp:wrapNone/>
                <wp:docPr id="2" name="Rectangle 2"/>
                <wp:cNvGraphicFramePr/>
                <a:graphic xmlns:a="http://schemas.openxmlformats.org/drawingml/2006/main">
                  <a:graphicData uri="http://schemas.microsoft.com/office/word/2010/wordprocessingShape">
                    <wps:wsp>
                      <wps:cNvSpPr/>
                      <wps:spPr>
                        <a:xfrm>
                          <a:off x="0" y="0"/>
                          <a:ext cx="11583670" cy="11785600"/>
                        </a:xfrm>
                        <a:prstGeom prst="rect">
                          <a:avLst/>
                        </a:prstGeom>
                        <a:solidFill>
                          <a:srgbClr val="4BACC6"/>
                        </a:solidFill>
                        <a:ln w="25400" cap="flat" cmpd="sng" algn="ctr">
                          <a:solidFill>
                            <a:srgbClr val="4BACC6">
                              <a:shade val="50000"/>
                            </a:srgbClr>
                          </a:solidFill>
                          <a:prstDash val="solid"/>
                        </a:ln>
                        <a:effectLst/>
                      </wps:spPr>
                      <wps:txbx>
                        <w:txbxContent>
                          <w:p w14:paraId="34717714" w14:textId="77777777" w:rsidR="005B6EA5" w:rsidRDefault="005B6EA5" w:rsidP="003046A7">
                            <w:pPr>
                              <w:rPr>
                                <w:b/>
                                <w:lang w:val="en-GB"/>
                              </w:rPr>
                            </w:pPr>
                          </w:p>
                          <w:p w14:paraId="7FF1F6CE" w14:textId="77777777" w:rsidR="005B6EA5" w:rsidRDefault="005B6EA5" w:rsidP="003046A7">
                            <w:pPr>
                              <w:rPr>
                                <w:b/>
                                <w:lang w:val="en-GB"/>
                              </w:rPr>
                            </w:pPr>
                          </w:p>
                          <w:p w14:paraId="0096340D" w14:textId="77777777" w:rsidR="005B6EA5" w:rsidRDefault="005B6EA5" w:rsidP="003046A7">
                            <w:pPr>
                              <w:rPr>
                                <w:b/>
                                <w:lang w:val="en-GB"/>
                              </w:rPr>
                            </w:pPr>
                          </w:p>
                          <w:p w14:paraId="1D5789E7" w14:textId="20BBA829" w:rsidR="005B6EA5" w:rsidRPr="00CB40E8" w:rsidRDefault="005B6EA5" w:rsidP="003046A7">
                            <w:pPr>
                              <w:ind w:left="720" w:firstLine="720"/>
                              <w:rPr>
                                <w:b/>
                                <w:color w:val="FFFFFF" w:themeColor="background1"/>
                                <w:lang w:val="en-GB"/>
                              </w:rPr>
                            </w:pPr>
                            <w:r w:rsidRPr="00CB40E8">
                              <w:rPr>
                                <w:b/>
                                <w:color w:val="FFFFFF" w:themeColor="background1"/>
                                <w:lang w:val="en-GB"/>
                              </w:rPr>
                              <w:t>T +353 1 224</w:t>
                            </w:r>
                            <w:r>
                              <w:rPr>
                                <w:b/>
                                <w:color w:val="FFFFFF" w:themeColor="background1"/>
                                <w:lang w:val="en-GB"/>
                              </w:rPr>
                              <w:t xml:space="preserve"> 4657</w:t>
                            </w:r>
                            <w:r w:rsidRPr="00CB40E8">
                              <w:rPr>
                                <w:b/>
                                <w:color w:val="FFFFFF" w:themeColor="background1"/>
                                <w:lang w:val="en-GB"/>
                              </w:rPr>
                              <w:t xml:space="preserve">   </w:t>
                            </w:r>
                            <w:r>
                              <w:rPr>
                                <w:b/>
                                <w:color w:val="FFFFFF" w:themeColor="background1"/>
                                <w:lang w:val="en-GB"/>
                              </w:rPr>
                              <w:tab/>
                            </w:r>
                            <w:r w:rsidRPr="00CB40E8">
                              <w:rPr>
                                <w:b/>
                                <w:color w:val="FFFFFF" w:themeColor="background1"/>
                                <w:lang w:val="en-GB"/>
                              </w:rPr>
                              <w:t xml:space="preserve">     www.centralbank.ie         </w:t>
                            </w:r>
                            <w:r w:rsidRPr="00CB40E8">
                              <w:rPr>
                                <w:b/>
                                <w:color w:val="FFFFFF" w:themeColor="background1"/>
                                <w:lang w:val="en-GB"/>
                              </w:rPr>
                              <w:tab/>
                            </w:r>
                            <w:r>
                              <w:rPr>
                                <w:b/>
                                <w:color w:val="FFFFFF" w:themeColor="background1"/>
                                <w:lang w:val="en-GB"/>
                              </w:rPr>
                              <w:t>paymentservicessupervision</w:t>
                            </w:r>
                            <w:r w:rsidRPr="00CB40E8">
                              <w:rPr>
                                <w:b/>
                                <w:color w:val="FFFFFF" w:themeColor="background1"/>
                                <w:lang w:val="en-GB"/>
                              </w:rPr>
                              <w:t xml:space="preserve">@centralbank.ie     </w:t>
                            </w:r>
                          </w:p>
                          <w:p w14:paraId="425218B8" w14:textId="77777777" w:rsidR="005B6EA5" w:rsidRDefault="005B6EA5" w:rsidP="003046A7">
                            <w:pPr>
                              <w:jc w:val="center"/>
                            </w:pPr>
                          </w:p>
                          <w:p w14:paraId="628B19DB" w14:textId="77777777" w:rsidR="005B6EA5" w:rsidRDefault="005B6EA5" w:rsidP="003046A7">
                            <w:pPr>
                              <w:jc w:val="center"/>
                            </w:pPr>
                          </w:p>
                          <w:p w14:paraId="0D6BC1F9" w14:textId="77777777" w:rsidR="005B6EA5" w:rsidRDefault="005B6EA5" w:rsidP="003046A7">
                            <w:pPr>
                              <w:jc w:val="center"/>
                            </w:pPr>
                          </w:p>
                          <w:p w14:paraId="79FD3802" w14:textId="77777777" w:rsidR="005B6EA5" w:rsidRDefault="005B6EA5" w:rsidP="003046A7">
                            <w:pPr>
                              <w:jc w:val="center"/>
                            </w:pPr>
                          </w:p>
                          <w:p w14:paraId="025A9AAB" w14:textId="77777777" w:rsidR="005B6EA5" w:rsidRDefault="005B6EA5" w:rsidP="003046A7">
                            <w:pPr>
                              <w:jc w:val="center"/>
                            </w:pPr>
                          </w:p>
                          <w:p w14:paraId="68EC4200" w14:textId="77777777" w:rsidR="005B6EA5" w:rsidRDefault="005B6EA5" w:rsidP="003046A7">
                            <w:pPr>
                              <w:jc w:val="center"/>
                            </w:pPr>
                          </w:p>
                          <w:p w14:paraId="4AACD677" w14:textId="77777777" w:rsidR="005B6EA5" w:rsidRDefault="005B6EA5" w:rsidP="003046A7">
                            <w:pPr>
                              <w:jc w:val="center"/>
                            </w:pPr>
                          </w:p>
                          <w:p w14:paraId="63AC6341" w14:textId="77777777" w:rsidR="005B6EA5" w:rsidRDefault="005B6EA5" w:rsidP="003046A7">
                            <w:pPr>
                              <w:jc w:val="center"/>
                            </w:pPr>
                          </w:p>
                          <w:p w14:paraId="67688E27" w14:textId="77777777" w:rsidR="005B6EA5" w:rsidRDefault="005B6EA5" w:rsidP="003046A7">
                            <w:pPr>
                              <w:jc w:val="center"/>
                            </w:pPr>
                          </w:p>
                          <w:p w14:paraId="31224A55" w14:textId="77777777" w:rsidR="005B6EA5" w:rsidRDefault="005B6EA5" w:rsidP="003046A7">
                            <w:pPr>
                              <w:jc w:val="center"/>
                            </w:pPr>
                          </w:p>
                          <w:p w14:paraId="0B8A6265" w14:textId="77777777" w:rsidR="005B6EA5" w:rsidRDefault="005B6EA5" w:rsidP="003046A7">
                            <w:pPr>
                              <w:jc w:val="center"/>
                            </w:pPr>
                          </w:p>
                          <w:p w14:paraId="56ED630E" w14:textId="77777777" w:rsidR="005B6EA5" w:rsidRDefault="005B6EA5" w:rsidP="003046A7">
                            <w:pPr>
                              <w:jc w:val="center"/>
                            </w:pPr>
                          </w:p>
                          <w:p w14:paraId="6BFDE9EC" w14:textId="77777777" w:rsidR="005B6EA5" w:rsidRDefault="005B6EA5" w:rsidP="003046A7">
                            <w:pPr>
                              <w:jc w:val="center"/>
                            </w:pPr>
                          </w:p>
                          <w:p w14:paraId="0703FAC6" w14:textId="77777777" w:rsidR="005B6EA5" w:rsidRDefault="005B6EA5" w:rsidP="003046A7">
                            <w:pPr>
                              <w:jc w:val="center"/>
                            </w:pPr>
                          </w:p>
                          <w:p w14:paraId="3EB8311B" w14:textId="77777777" w:rsidR="005B6EA5" w:rsidRDefault="005B6EA5" w:rsidP="003046A7">
                            <w:pPr>
                              <w:jc w:val="center"/>
                            </w:pPr>
                          </w:p>
                          <w:p w14:paraId="3B40B4F9" w14:textId="77777777" w:rsidR="005B6EA5" w:rsidRDefault="005B6EA5" w:rsidP="003046A7">
                            <w:pPr>
                              <w:jc w:val="center"/>
                            </w:pPr>
                          </w:p>
                          <w:p w14:paraId="3C6B77F8" w14:textId="77777777" w:rsidR="005B6EA5" w:rsidRDefault="005B6EA5" w:rsidP="003046A7">
                            <w:pPr>
                              <w:jc w:val="center"/>
                            </w:pPr>
                          </w:p>
                          <w:p w14:paraId="01E631D3" w14:textId="77777777" w:rsidR="005B6EA5" w:rsidRDefault="005B6EA5" w:rsidP="003046A7">
                            <w:pPr>
                              <w:jc w:val="center"/>
                            </w:pPr>
                          </w:p>
                          <w:p w14:paraId="77121F20" w14:textId="77777777" w:rsidR="005B6EA5" w:rsidRDefault="005B6EA5" w:rsidP="003046A7">
                            <w:pPr>
                              <w:jc w:val="center"/>
                            </w:pPr>
                          </w:p>
                          <w:p w14:paraId="0D4106AA" w14:textId="77777777" w:rsidR="005B6EA5" w:rsidRDefault="005B6EA5" w:rsidP="003046A7">
                            <w:pPr>
                              <w:jc w:val="center"/>
                            </w:pPr>
                          </w:p>
                          <w:p w14:paraId="12A971DD" w14:textId="77777777" w:rsidR="005B6EA5" w:rsidRDefault="005B6EA5" w:rsidP="003046A7">
                            <w:pPr>
                              <w:jc w:val="center"/>
                            </w:pPr>
                          </w:p>
                          <w:p w14:paraId="0981F76A" w14:textId="77777777" w:rsidR="005B6EA5" w:rsidRDefault="005B6EA5" w:rsidP="003046A7">
                            <w:pPr>
                              <w:jc w:val="center"/>
                            </w:pPr>
                          </w:p>
                          <w:p w14:paraId="59FD65F6" w14:textId="77777777" w:rsidR="005B6EA5" w:rsidRDefault="005B6EA5" w:rsidP="003046A7">
                            <w:pPr>
                              <w:jc w:val="center"/>
                            </w:pPr>
                          </w:p>
                          <w:p w14:paraId="693D8101" w14:textId="77777777" w:rsidR="005B6EA5" w:rsidRDefault="005B6EA5" w:rsidP="003046A7">
                            <w:pPr>
                              <w:jc w:val="center"/>
                            </w:pPr>
                          </w:p>
                          <w:p w14:paraId="778B001E" w14:textId="77777777" w:rsidR="005B6EA5" w:rsidRDefault="005B6EA5" w:rsidP="003046A7">
                            <w:pPr>
                              <w:jc w:val="center"/>
                            </w:pPr>
                          </w:p>
                          <w:p w14:paraId="2A90694C" w14:textId="77777777" w:rsidR="005B6EA5" w:rsidRDefault="005B6EA5" w:rsidP="003046A7">
                            <w:pPr>
                              <w:jc w:val="center"/>
                            </w:pPr>
                          </w:p>
                          <w:p w14:paraId="01245FC1" w14:textId="77777777" w:rsidR="005B6EA5" w:rsidRDefault="005B6EA5" w:rsidP="003046A7">
                            <w:pPr>
                              <w:jc w:val="center"/>
                            </w:pPr>
                          </w:p>
                          <w:p w14:paraId="6B7A2C1A" w14:textId="77777777" w:rsidR="005B6EA5" w:rsidRDefault="005B6EA5" w:rsidP="003046A7">
                            <w:pPr>
                              <w:jc w:val="center"/>
                            </w:pPr>
                          </w:p>
                          <w:p w14:paraId="57C241E4" w14:textId="77777777" w:rsidR="005B6EA5" w:rsidRDefault="005B6EA5" w:rsidP="003046A7">
                            <w:pPr>
                              <w:jc w:val="center"/>
                            </w:pPr>
                          </w:p>
                          <w:p w14:paraId="52669F58" w14:textId="77777777" w:rsidR="005B6EA5" w:rsidRDefault="005B6EA5" w:rsidP="003046A7">
                            <w:pPr>
                              <w:jc w:val="center"/>
                            </w:pPr>
                          </w:p>
                          <w:p w14:paraId="45FBD2CD" w14:textId="77777777" w:rsidR="005B6EA5" w:rsidRDefault="005B6EA5" w:rsidP="003046A7">
                            <w:pPr>
                              <w:jc w:val="center"/>
                            </w:pPr>
                          </w:p>
                          <w:p w14:paraId="68D2E886" w14:textId="77777777" w:rsidR="005B6EA5" w:rsidRDefault="005B6EA5" w:rsidP="003046A7">
                            <w:pPr>
                              <w:jc w:val="center"/>
                            </w:pPr>
                          </w:p>
                          <w:p w14:paraId="7E2F45A7" w14:textId="77777777" w:rsidR="005B6EA5" w:rsidRDefault="005B6EA5" w:rsidP="003046A7">
                            <w:pPr>
                              <w:jc w:val="center"/>
                            </w:pPr>
                          </w:p>
                          <w:p w14:paraId="769003DD" w14:textId="77777777" w:rsidR="005B6EA5" w:rsidRDefault="005B6EA5" w:rsidP="003046A7">
                            <w:pPr>
                              <w:jc w:val="center"/>
                            </w:pPr>
                          </w:p>
                          <w:p w14:paraId="0DF11A38" w14:textId="77777777" w:rsidR="005B6EA5" w:rsidRDefault="005B6EA5" w:rsidP="003046A7">
                            <w:pPr>
                              <w:jc w:val="center"/>
                            </w:pPr>
                          </w:p>
                          <w:p w14:paraId="75877D3B" w14:textId="77777777" w:rsidR="005B6EA5" w:rsidRDefault="005B6EA5" w:rsidP="003046A7">
                            <w:pPr>
                              <w:jc w:val="center"/>
                            </w:pPr>
                          </w:p>
                          <w:p w14:paraId="69DC24AF" w14:textId="77777777" w:rsidR="005B6EA5" w:rsidRDefault="005B6EA5" w:rsidP="003046A7">
                            <w:pPr>
                              <w:jc w:val="center"/>
                            </w:pPr>
                          </w:p>
                          <w:p w14:paraId="3D784F47" w14:textId="77777777" w:rsidR="005B6EA5" w:rsidRDefault="005B6EA5" w:rsidP="003046A7">
                            <w:pPr>
                              <w:jc w:val="center"/>
                            </w:pPr>
                            <w:r>
                              <w:rPr>
                                <w:noProof/>
                                <w:lang w:eastAsia="en-IE"/>
                              </w:rPr>
                              <w:drawing>
                                <wp:inline distT="0" distB="0" distL="0" distR="0" wp14:anchorId="72AECEEE" wp14:editId="37457C8B">
                                  <wp:extent cx="2378075" cy="549910"/>
                                  <wp:effectExtent l="0" t="0" r="3175" b="2540"/>
                                  <wp:docPr id="7" name="Picture 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a:srcRect/>
                                          <a:stretch>
                                            <a:fillRect/>
                                          </a:stretch>
                                        </pic:blipFill>
                                        <pic:spPr bwMode="auto">
                                          <a:xfrm>
                                            <a:off x="0" y="0"/>
                                            <a:ext cx="2378075" cy="54991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B8092" id="Rectangle 2" o:spid="_x0000_s1026" style="position:absolute;left:0;text-align:left;margin-left:-89.85pt;margin-top:-75.75pt;width:912.1pt;height:9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S6eQIAAAkFAAAOAAAAZHJzL2Uyb0RvYy54bWysVE1v2zAMvQ/YfxB0Xx1nSdoFdYosRYcB&#10;RVu0HXpmZMk2IEsapcTufv0o2en3aVgOCilSfOQj6dOzvtVsL9E31hQ8P5pwJo2wZWOqgv+6v/hy&#10;wpkPYErQ1siCP0rPz1afP512bimntra6lMgoiPHLzhW8DsEts8yLWrbgj6yThozKYguBVKyyEqGj&#10;6K3OppPJIusslg6tkN7T7flg5KsUXykpwrVSXgamC065hXRiOrfxzFansKwQXN2IMQ34hyxaaAyB&#10;PoU6hwBsh827UG0j0HqrwpGwbWaVaoRMNVA1+eRNNXc1OJlqIXK8e6LJ/7+w4mp/g6wpCz7lzEBL&#10;Lbol0sBUWrJppKdzfkled+4GR82TGGvtFbbxn6pgfaL08YlS2Qcm6DLP5ydfF8dEvSBjnh+fzBeT&#10;RHv2HMChDz+kbVkUCo6UQCIT9pc+ECi5Hlwinre6KS8arZOC1Xajke2BOjz7vt5sFjFrevLKTRvW&#10;UY3zGYEzATRpSkMgsXVUuzcVZ6ArGmERMGG/eu0/AEngNZRygJ5P6HdAHtzfZxGrOAdfD08SxPhE&#10;mxhPpokdi47ED1RHKfTbfuR/a8tHahraYZq9ExcNBb4EH24AaXypRFrJcE2H0pbqtqPEWW3xz0f3&#10;0Z+miqycdbQOxMnvHaDkTP80NG/f8tks7k9SZvPjKSn40rJ9aTG7dmOpHzktvxNJjP5BH0SFtn2g&#10;zV1HVDKBEYQ9sD8qmzCsKe2+kOt1cqOdcRAuzZ0TMXikLFJ63z8AunF6Ao3elT2sDizfDNHgG18a&#10;u94Fq5o0YZHigVfqWlRo31L/xm9DXOiXevJ6/oKt/gIAAP//AwBQSwMEFAAGAAgAAAAhAKYfFQvk&#10;AAAADwEAAA8AAABkcnMvZG93bnJldi54bWxMj8tOwzAQRfdI/IM1SGyi1gk0DQ1xKkBiUcSmDyTY&#10;ubGbBOxxFLtt+vdMVrA7o7m6c6ZYDtawk+5961BAMo2BaaycarEWsNu+Th6A+SBRSeNQC7hoD8vy&#10;+qqQuXJnXOvTJtSMStDnUkATQpdz7qtGW+mnrtNIu4PrrQw09jVXvTxTuTX8Lo7n3MoW6UIjO/3S&#10;6Opnc7QCnj/sZfX9Fr1H0eF+/enTr9YsVkLc3gxPj8CCHsJfGEZ9UoeSnPbuiMozI2CSZIuMsiOl&#10;SQpszMxnM6I9URYT8bLg//8ofwEAAP//AwBQSwECLQAUAAYACAAAACEAtoM4kv4AAADhAQAAEwAA&#10;AAAAAAAAAAAAAAAAAAAAW0NvbnRlbnRfVHlwZXNdLnhtbFBLAQItABQABgAIAAAAIQA4/SH/1gAA&#10;AJQBAAALAAAAAAAAAAAAAAAAAC8BAABfcmVscy8ucmVsc1BLAQItABQABgAIAAAAIQBr9tS6eQIA&#10;AAkFAAAOAAAAAAAAAAAAAAAAAC4CAABkcnMvZTJvRG9jLnhtbFBLAQItABQABgAIAAAAIQCmHxUL&#10;5AAAAA8BAAAPAAAAAAAAAAAAAAAAANMEAABkcnMvZG93bnJldi54bWxQSwUGAAAAAAQABADzAAAA&#10;5AUAAAAA&#10;" fillcolor="#4bacc6" strokecolor="#357d91" strokeweight="2pt">
                <v:textbox>
                  <w:txbxContent>
                    <w:p w14:paraId="34717714" w14:textId="77777777" w:rsidR="005B6EA5" w:rsidRDefault="005B6EA5" w:rsidP="003046A7">
                      <w:pPr>
                        <w:rPr>
                          <w:b/>
                          <w:lang w:val="en-GB"/>
                        </w:rPr>
                      </w:pPr>
                    </w:p>
                    <w:p w14:paraId="7FF1F6CE" w14:textId="77777777" w:rsidR="005B6EA5" w:rsidRDefault="005B6EA5" w:rsidP="003046A7">
                      <w:pPr>
                        <w:rPr>
                          <w:b/>
                          <w:lang w:val="en-GB"/>
                        </w:rPr>
                      </w:pPr>
                    </w:p>
                    <w:p w14:paraId="0096340D" w14:textId="77777777" w:rsidR="005B6EA5" w:rsidRDefault="005B6EA5" w:rsidP="003046A7">
                      <w:pPr>
                        <w:rPr>
                          <w:b/>
                          <w:lang w:val="en-GB"/>
                        </w:rPr>
                      </w:pPr>
                    </w:p>
                    <w:p w14:paraId="1D5789E7" w14:textId="20BBA829" w:rsidR="005B6EA5" w:rsidRPr="00CB40E8" w:rsidRDefault="005B6EA5" w:rsidP="003046A7">
                      <w:pPr>
                        <w:ind w:left="720" w:firstLine="720"/>
                        <w:rPr>
                          <w:b/>
                          <w:color w:val="FFFFFF" w:themeColor="background1"/>
                          <w:lang w:val="en-GB"/>
                        </w:rPr>
                      </w:pPr>
                      <w:r w:rsidRPr="00CB40E8">
                        <w:rPr>
                          <w:b/>
                          <w:color w:val="FFFFFF" w:themeColor="background1"/>
                          <w:lang w:val="en-GB"/>
                        </w:rPr>
                        <w:t>T +353 1 224</w:t>
                      </w:r>
                      <w:r>
                        <w:rPr>
                          <w:b/>
                          <w:color w:val="FFFFFF" w:themeColor="background1"/>
                          <w:lang w:val="en-GB"/>
                        </w:rPr>
                        <w:t xml:space="preserve"> 4657</w:t>
                      </w:r>
                      <w:r w:rsidRPr="00CB40E8">
                        <w:rPr>
                          <w:b/>
                          <w:color w:val="FFFFFF" w:themeColor="background1"/>
                          <w:lang w:val="en-GB"/>
                        </w:rPr>
                        <w:t xml:space="preserve">   </w:t>
                      </w:r>
                      <w:r>
                        <w:rPr>
                          <w:b/>
                          <w:color w:val="FFFFFF" w:themeColor="background1"/>
                          <w:lang w:val="en-GB"/>
                        </w:rPr>
                        <w:tab/>
                      </w:r>
                      <w:r w:rsidRPr="00CB40E8">
                        <w:rPr>
                          <w:b/>
                          <w:color w:val="FFFFFF" w:themeColor="background1"/>
                          <w:lang w:val="en-GB"/>
                        </w:rPr>
                        <w:t xml:space="preserve">     www.centralbank.ie         </w:t>
                      </w:r>
                      <w:r w:rsidRPr="00CB40E8">
                        <w:rPr>
                          <w:b/>
                          <w:color w:val="FFFFFF" w:themeColor="background1"/>
                          <w:lang w:val="en-GB"/>
                        </w:rPr>
                        <w:tab/>
                      </w:r>
                      <w:r>
                        <w:rPr>
                          <w:b/>
                          <w:color w:val="FFFFFF" w:themeColor="background1"/>
                          <w:lang w:val="en-GB"/>
                        </w:rPr>
                        <w:t>paymentservicessupervision</w:t>
                      </w:r>
                      <w:r w:rsidRPr="00CB40E8">
                        <w:rPr>
                          <w:b/>
                          <w:color w:val="FFFFFF" w:themeColor="background1"/>
                          <w:lang w:val="en-GB"/>
                        </w:rPr>
                        <w:t xml:space="preserve">@centralbank.ie     </w:t>
                      </w:r>
                    </w:p>
                    <w:p w14:paraId="425218B8" w14:textId="77777777" w:rsidR="005B6EA5" w:rsidRDefault="005B6EA5" w:rsidP="003046A7">
                      <w:pPr>
                        <w:jc w:val="center"/>
                      </w:pPr>
                    </w:p>
                    <w:p w14:paraId="628B19DB" w14:textId="77777777" w:rsidR="005B6EA5" w:rsidRDefault="005B6EA5" w:rsidP="003046A7">
                      <w:pPr>
                        <w:jc w:val="center"/>
                      </w:pPr>
                    </w:p>
                    <w:p w14:paraId="0D6BC1F9" w14:textId="77777777" w:rsidR="005B6EA5" w:rsidRDefault="005B6EA5" w:rsidP="003046A7">
                      <w:pPr>
                        <w:jc w:val="center"/>
                      </w:pPr>
                    </w:p>
                    <w:p w14:paraId="79FD3802" w14:textId="77777777" w:rsidR="005B6EA5" w:rsidRDefault="005B6EA5" w:rsidP="003046A7">
                      <w:pPr>
                        <w:jc w:val="center"/>
                      </w:pPr>
                    </w:p>
                    <w:p w14:paraId="025A9AAB" w14:textId="77777777" w:rsidR="005B6EA5" w:rsidRDefault="005B6EA5" w:rsidP="003046A7">
                      <w:pPr>
                        <w:jc w:val="center"/>
                      </w:pPr>
                    </w:p>
                    <w:p w14:paraId="68EC4200" w14:textId="77777777" w:rsidR="005B6EA5" w:rsidRDefault="005B6EA5" w:rsidP="003046A7">
                      <w:pPr>
                        <w:jc w:val="center"/>
                      </w:pPr>
                    </w:p>
                    <w:p w14:paraId="4AACD677" w14:textId="77777777" w:rsidR="005B6EA5" w:rsidRDefault="005B6EA5" w:rsidP="003046A7">
                      <w:pPr>
                        <w:jc w:val="center"/>
                      </w:pPr>
                    </w:p>
                    <w:p w14:paraId="63AC6341" w14:textId="77777777" w:rsidR="005B6EA5" w:rsidRDefault="005B6EA5" w:rsidP="003046A7">
                      <w:pPr>
                        <w:jc w:val="center"/>
                      </w:pPr>
                    </w:p>
                    <w:p w14:paraId="67688E27" w14:textId="77777777" w:rsidR="005B6EA5" w:rsidRDefault="005B6EA5" w:rsidP="003046A7">
                      <w:pPr>
                        <w:jc w:val="center"/>
                      </w:pPr>
                    </w:p>
                    <w:p w14:paraId="31224A55" w14:textId="77777777" w:rsidR="005B6EA5" w:rsidRDefault="005B6EA5" w:rsidP="003046A7">
                      <w:pPr>
                        <w:jc w:val="center"/>
                      </w:pPr>
                    </w:p>
                    <w:p w14:paraId="0B8A6265" w14:textId="77777777" w:rsidR="005B6EA5" w:rsidRDefault="005B6EA5" w:rsidP="003046A7">
                      <w:pPr>
                        <w:jc w:val="center"/>
                      </w:pPr>
                    </w:p>
                    <w:p w14:paraId="56ED630E" w14:textId="77777777" w:rsidR="005B6EA5" w:rsidRDefault="005B6EA5" w:rsidP="003046A7">
                      <w:pPr>
                        <w:jc w:val="center"/>
                      </w:pPr>
                    </w:p>
                    <w:p w14:paraId="6BFDE9EC" w14:textId="77777777" w:rsidR="005B6EA5" w:rsidRDefault="005B6EA5" w:rsidP="003046A7">
                      <w:pPr>
                        <w:jc w:val="center"/>
                      </w:pPr>
                    </w:p>
                    <w:p w14:paraId="0703FAC6" w14:textId="77777777" w:rsidR="005B6EA5" w:rsidRDefault="005B6EA5" w:rsidP="003046A7">
                      <w:pPr>
                        <w:jc w:val="center"/>
                      </w:pPr>
                    </w:p>
                    <w:p w14:paraId="3EB8311B" w14:textId="77777777" w:rsidR="005B6EA5" w:rsidRDefault="005B6EA5" w:rsidP="003046A7">
                      <w:pPr>
                        <w:jc w:val="center"/>
                      </w:pPr>
                    </w:p>
                    <w:p w14:paraId="3B40B4F9" w14:textId="77777777" w:rsidR="005B6EA5" w:rsidRDefault="005B6EA5" w:rsidP="003046A7">
                      <w:pPr>
                        <w:jc w:val="center"/>
                      </w:pPr>
                    </w:p>
                    <w:p w14:paraId="3C6B77F8" w14:textId="77777777" w:rsidR="005B6EA5" w:rsidRDefault="005B6EA5" w:rsidP="003046A7">
                      <w:pPr>
                        <w:jc w:val="center"/>
                      </w:pPr>
                    </w:p>
                    <w:p w14:paraId="01E631D3" w14:textId="77777777" w:rsidR="005B6EA5" w:rsidRDefault="005B6EA5" w:rsidP="003046A7">
                      <w:pPr>
                        <w:jc w:val="center"/>
                      </w:pPr>
                    </w:p>
                    <w:p w14:paraId="77121F20" w14:textId="77777777" w:rsidR="005B6EA5" w:rsidRDefault="005B6EA5" w:rsidP="003046A7">
                      <w:pPr>
                        <w:jc w:val="center"/>
                      </w:pPr>
                    </w:p>
                    <w:p w14:paraId="0D4106AA" w14:textId="77777777" w:rsidR="005B6EA5" w:rsidRDefault="005B6EA5" w:rsidP="003046A7">
                      <w:pPr>
                        <w:jc w:val="center"/>
                      </w:pPr>
                    </w:p>
                    <w:p w14:paraId="12A971DD" w14:textId="77777777" w:rsidR="005B6EA5" w:rsidRDefault="005B6EA5" w:rsidP="003046A7">
                      <w:pPr>
                        <w:jc w:val="center"/>
                      </w:pPr>
                    </w:p>
                    <w:p w14:paraId="0981F76A" w14:textId="77777777" w:rsidR="005B6EA5" w:rsidRDefault="005B6EA5" w:rsidP="003046A7">
                      <w:pPr>
                        <w:jc w:val="center"/>
                      </w:pPr>
                    </w:p>
                    <w:p w14:paraId="59FD65F6" w14:textId="77777777" w:rsidR="005B6EA5" w:rsidRDefault="005B6EA5" w:rsidP="003046A7">
                      <w:pPr>
                        <w:jc w:val="center"/>
                      </w:pPr>
                    </w:p>
                    <w:p w14:paraId="693D8101" w14:textId="77777777" w:rsidR="005B6EA5" w:rsidRDefault="005B6EA5" w:rsidP="003046A7">
                      <w:pPr>
                        <w:jc w:val="center"/>
                      </w:pPr>
                    </w:p>
                    <w:p w14:paraId="778B001E" w14:textId="77777777" w:rsidR="005B6EA5" w:rsidRDefault="005B6EA5" w:rsidP="003046A7">
                      <w:pPr>
                        <w:jc w:val="center"/>
                      </w:pPr>
                    </w:p>
                    <w:p w14:paraId="2A90694C" w14:textId="77777777" w:rsidR="005B6EA5" w:rsidRDefault="005B6EA5" w:rsidP="003046A7">
                      <w:pPr>
                        <w:jc w:val="center"/>
                      </w:pPr>
                    </w:p>
                    <w:p w14:paraId="01245FC1" w14:textId="77777777" w:rsidR="005B6EA5" w:rsidRDefault="005B6EA5" w:rsidP="003046A7">
                      <w:pPr>
                        <w:jc w:val="center"/>
                      </w:pPr>
                    </w:p>
                    <w:p w14:paraId="6B7A2C1A" w14:textId="77777777" w:rsidR="005B6EA5" w:rsidRDefault="005B6EA5" w:rsidP="003046A7">
                      <w:pPr>
                        <w:jc w:val="center"/>
                      </w:pPr>
                    </w:p>
                    <w:p w14:paraId="57C241E4" w14:textId="77777777" w:rsidR="005B6EA5" w:rsidRDefault="005B6EA5" w:rsidP="003046A7">
                      <w:pPr>
                        <w:jc w:val="center"/>
                      </w:pPr>
                    </w:p>
                    <w:p w14:paraId="52669F58" w14:textId="77777777" w:rsidR="005B6EA5" w:rsidRDefault="005B6EA5" w:rsidP="003046A7">
                      <w:pPr>
                        <w:jc w:val="center"/>
                      </w:pPr>
                    </w:p>
                    <w:p w14:paraId="45FBD2CD" w14:textId="77777777" w:rsidR="005B6EA5" w:rsidRDefault="005B6EA5" w:rsidP="003046A7">
                      <w:pPr>
                        <w:jc w:val="center"/>
                      </w:pPr>
                    </w:p>
                    <w:p w14:paraId="68D2E886" w14:textId="77777777" w:rsidR="005B6EA5" w:rsidRDefault="005B6EA5" w:rsidP="003046A7">
                      <w:pPr>
                        <w:jc w:val="center"/>
                      </w:pPr>
                    </w:p>
                    <w:p w14:paraId="7E2F45A7" w14:textId="77777777" w:rsidR="005B6EA5" w:rsidRDefault="005B6EA5" w:rsidP="003046A7">
                      <w:pPr>
                        <w:jc w:val="center"/>
                      </w:pPr>
                    </w:p>
                    <w:p w14:paraId="769003DD" w14:textId="77777777" w:rsidR="005B6EA5" w:rsidRDefault="005B6EA5" w:rsidP="003046A7">
                      <w:pPr>
                        <w:jc w:val="center"/>
                      </w:pPr>
                    </w:p>
                    <w:p w14:paraId="0DF11A38" w14:textId="77777777" w:rsidR="005B6EA5" w:rsidRDefault="005B6EA5" w:rsidP="003046A7">
                      <w:pPr>
                        <w:jc w:val="center"/>
                      </w:pPr>
                    </w:p>
                    <w:p w14:paraId="75877D3B" w14:textId="77777777" w:rsidR="005B6EA5" w:rsidRDefault="005B6EA5" w:rsidP="003046A7">
                      <w:pPr>
                        <w:jc w:val="center"/>
                      </w:pPr>
                    </w:p>
                    <w:p w14:paraId="69DC24AF" w14:textId="77777777" w:rsidR="005B6EA5" w:rsidRDefault="005B6EA5" w:rsidP="003046A7">
                      <w:pPr>
                        <w:jc w:val="center"/>
                      </w:pPr>
                    </w:p>
                    <w:p w14:paraId="3D784F47" w14:textId="77777777" w:rsidR="005B6EA5" w:rsidRDefault="005B6EA5" w:rsidP="003046A7">
                      <w:pPr>
                        <w:jc w:val="center"/>
                      </w:pPr>
                      <w:r>
                        <w:rPr>
                          <w:noProof/>
                          <w:lang w:eastAsia="en-IE"/>
                        </w:rPr>
                        <w:drawing>
                          <wp:inline distT="0" distB="0" distL="0" distR="0" wp14:anchorId="72AECEEE" wp14:editId="37457C8B">
                            <wp:extent cx="2378075" cy="549910"/>
                            <wp:effectExtent l="0" t="0" r="3175" b="2540"/>
                            <wp:docPr id="7" name="Picture 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srcRect/>
                                    <a:stretch>
                                      <a:fillRect/>
                                    </a:stretch>
                                  </pic:blipFill>
                                  <pic:spPr bwMode="auto">
                                    <a:xfrm>
                                      <a:off x="0" y="0"/>
                                      <a:ext cx="2378075" cy="549910"/>
                                    </a:xfrm>
                                    <a:prstGeom prst="rect">
                                      <a:avLst/>
                                    </a:prstGeom>
                                    <a:noFill/>
                                  </pic:spPr>
                                </pic:pic>
                              </a:graphicData>
                            </a:graphic>
                          </wp:inline>
                        </w:drawing>
                      </w:r>
                    </w:p>
                  </w:txbxContent>
                </v:textbox>
              </v:rect>
            </w:pict>
          </mc:Fallback>
        </mc:AlternateContent>
      </w:r>
    </w:p>
    <w:p w14:paraId="6AE143B4" w14:textId="77777777" w:rsidR="003046A7" w:rsidRDefault="003046A7" w:rsidP="003046A7">
      <w:pPr>
        <w:jc w:val="both"/>
        <w:rPr>
          <w:sz w:val="12"/>
          <w:lang w:val="en-GB"/>
        </w:rPr>
      </w:pPr>
    </w:p>
    <w:p w14:paraId="5EEF5397" w14:textId="1FCD747B" w:rsidR="003046A7" w:rsidRDefault="003046A7" w:rsidP="003046A7">
      <w:pPr>
        <w:jc w:val="both"/>
        <w:rPr>
          <w:sz w:val="12"/>
          <w:lang w:val="en-GB"/>
        </w:rPr>
      </w:pP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r>
        <w:rPr>
          <w:sz w:val="12"/>
          <w:lang w:val="en-GB"/>
        </w:rPr>
        <w:br/>
      </w:r>
    </w:p>
    <w:p w14:paraId="1E66A3CB" w14:textId="5C852227" w:rsidR="003046A7" w:rsidRPr="00A03041" w:rsidRDefault="003046A7" w:rsidP="003046A7">
      <w:pPr>
        <w:rPr>
          <w:rFonts w:cstheme="minorHAnsi"/>
          <w:b/>
          <w:sz w:val="20"/>
          <w:szCs w:val="20"/>
        </w:rPr>
      </w:pPr>
    </w:p>
    <w:p w14:paraId="62A677B7" w14:textId="77777777" w:rsidR="003046A7" w:rsidRPr="00E8145E" w:rsidRDefault="003046A7" w:rsidP="003046A7">
      <w:pPr>
        <w:jc w:val="both"/>
        <w:rPr>
          <w:sz w:val="12"/>
          <w:lang w:val="en-GB"/>
        </w:rPr>
      </w:pPr>
    </w:p>
    <w:p w14:paraId="4CC5CF9A" w14:textId="72308852" w:rsidR="006C0652" w:rsidRPr="00AD3CFD" w:rsidRDefault="006C0652" w:rsidP="005F44B0">
      <w:pPr>
        <w:jc w:val="both"/>
        <w:rPr>
          <w:rFonts w:eastAsia="MS PGothic"/>
          <w:lang w:val="en-GB"/>
        </w:rPr>
      </w:pPr>
    </w:p>
    <w:sectPr w:rsidR="006C0652" w:rsidRPr="00AD3CFD" w:rsidSect="007D16A8">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837D5" w14:textId="77777777" w:rsidR="005B6EA5" w:rsidRDefault="005B6EA5" w:rsidP="00CC2FBE">
      <w:pPr>
        <w:spacing w:after="0" w:line="240" w:lineRule="auto"/>
      </w:pPr>
      <w:r>
        <w:separator/>
      </w:r>
    </w:p>
  </w:endnote>
  <w:endnote w:type="continuationSeparator" w:id="0">
    <w:p w14:paraId="64B9FD50" w14:textId="77777777" w:rsidR="005B6EA5" w:rsidRDefault="005B6EA5" w:rsidP="00CC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20A4" w14:textId="77777777" w:rsidR="0080575E" w:rsidRDefault="0080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0CD2" w14:textId="77777777" w:rsidR="0080575E" w:rsidRDefault="00805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7613B" w14:textId="77777777" w:rsidR="0080575E" w:rsidRDefault="0080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7D122" w14:textId="77777777" w:rsidR="005B6EA5" w:rsidRDefault="005B6EA5" w:rsidP="00CC2FBE">
      <w:pPr>
        <w:spacing w:after="0" w:line="240" w:lineRule="auto"/>
      </w:pPr>
      <w:r>
        <w:separator/>
      </w:r>
    </w:p>
  </w:footnote>
  <w:footnote w:type="continuationSeparator" w:id="0">
    <w:p w14:paraId="7A64DB9A" w14:textId="77777777" w:rsidR="005B6EA5" w:rsidRDefault="005B6EA5" w:rsidP="00CC2FBE">
      <w:pPr>
        <w:spacing w:after="0" w:line="240" w:lineRule="auto"/>
      </w:pPr>
      <w:r>
        <w:continuationSeparator/>
      </w:r>
    </w:p>
  </w:footnote>
  <w:footnote w:id="1">
    <w:p w14:paraId="4D267B5C" w14:textId="2BF85E9B" w:rsidR="00B91AE0" w:rsidRDefault="00B91AE0">
      <w:pPr>
        <w:pStyle w:val="FootnoteText"/>
      </w:pPr>
      <w:r>
        <w:rPr>
          <w:rStyle w:val="FootnoteReference"/>
        </w:rPr>
        <w:footnoteRef/>
      </w:r>
      <w:r>
        <w:t xml:space="preserve"> Details of any chain outsource providers should also be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39D4" w14:textId="55B806D5" w:rsidR="005B6EA5" w:rsidRDefault="0080575E" w:rsidP="0080575E">
    <w:pPr>
      <w:pStyle w:val="Header"/>
    </w:pPr>
    <w:fldSimple w:instr=" DOCPROPERTY bjHeaderEvenPageDocProperty \* MERGEFORMAT " w:fldLock="1">
      <w:r w:rsidRPr="0080575E">
        <w:rPr>
          <w:rFonts w:ascii="Times New Roman" w:hAnsi="Times New Roman" w:cs="Times New Roman"/>
          <w:color w:val="000000"/>
          <w:sz w:val="24"/>
        </w:rPr>
        <w:t xml:space="preserve"> </w:t>
      </w:r>
    </w:fldSimple>
  </w:p>
  <w:p w14:paraId="1499A48A" w14:textId="2E06FE64" w:rsidR="005B6EA5" w:rsidRDefault="005B6EA5" w:rsidP="002326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A0010" w14:textId="296F403C" w:rsidR="005B6EA5" w:rsidRDefault="0080575E" w:rsidP="0080575E">
    <w:pPr>
      <w:pStyle w:val="Header"/>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bjHeaderBothDocProperty \* MERGEFORMAT </w:instrText>
    </w:r>
    <w:r>
      <w:rPr>
        <w:rFonts w:ascii="Times New Roman" w:hAnsi="Times New Roman" w:cs="Times New Roman"/>
        <w:color w:val="000000"/>
        <w:sz w:val="24"/>
      </w:rPr>
      <w:fldChar w:fldCharType="separate"/>
    </w:r>
    <w:r>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p w14:paraId="03AF3C53" w14:textId="5A1BED31" w:rsidR="005B6EA5" w:rsidRDefault="005B6EA5" w:rsidP="0023260A">
    <w:pPr>
      <w:pStyle w:val="Header"/>
    </w:pPr>
  </w:p>
  <w:p w14:paraId="7D89FF5B" w14:textId="7F5F367A" w:rsidR="005B6EA5" w:rsidRDefault="005B6EA5">
    <w:pPr>
      <w:pStyle w:val="Header"/>
    </w:pPr>
  </w:p>
  <w:p w14:paraId="323F6421" w14:textId="233767E9" w:rsidR="005B6EA5" w:rsidRDefault="005B6EA5" w:rsidP="00E577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8C243" w14:textId="38655221" w:rsidR="005B6EA5" w:rsidRDefault="0080575E" w:rsidP="0080575E">
    <w:pPr>
      <w:pStyle w:val="Header"/>
    </w:pPr>
    <w:fldSimple w:instr=" DOCPROPERTY bjHeaderFirstPageDocProperty \* MERGEFORMAT " w:fldLock="1">
      <w:r w:rsidRPr="0080575E">
        <w:rPr>
          <w:rFonts w:ascii="Times New Roman" w:hAnsi="Times New Roman" w:cs="Times New Roman"/>
          <w:color w:val="000000"/>
          <w:sz w:val="24"/>
        </w:rPr>
        <w:t xml:space="preserve"> </w:t>
      </w:r>
    </w:fldSimple>
  </w:p>
  <w:p w14:paraId="08654A13" w14:textId="5E98CA6F" w:rsidR="005B6EA5" w:rsidRDefault="005B6EA5" w:rsidP="00232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59"/>
    <w:multiLevelType w:val="hybridMultilevel"/>
    <w:tmpl w:val="DAA68E82"/>
    <w:lvl w:ilvl="0" w:tplc="DEAC209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4BF1C17"/>
    <w:multiLevelType w:val="hybridMultilevel"/>
    <w:tmpl w:val="94F2AC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1366F5"/>
    <w:multiLevelType w:val="hybridMultilevel"/>
    <w:tmpl w:val="515452DA"/>
    <w:lvl w:ilvl="0" w:tplc="04C0A09C">
      <w:start w:val="1"/>
      <w:numFmt w:val="decimal"/>
      <w:lvlText w:val="%1."/>
      <w:lvlJc w:val="left"/>
      <w:pPr>
        <w:tabs>
          <w:tab w:val="num" w:pos="720"/>
        </w:tabs>
        <w:ind w:left="720" w:hanging="360"/>
      </w:pPr>
    </w:lvl>
    <w:lvl w:ilvl="1" w:tplc="296ED806">
      <w:numFmt w:val="none"/>
      <w:lvlText w:val=""/>
      <w:lvlJc w:val="left"/>
      <w:pPr>
        <w:tabs>
          <w:tab w:val="num" w:pos="360"/>
        </w:tabs>
      </w:pPr>
    </w:lvl>
    <w:lvl w:ilvl="2" w:tplc="DA047602">
      <w:numFmt w:val="none"/>
      <w:lvlText w:val=""/>
      <w:lvlJc w:val="left"/>
      <w:pPr>
        <w:tabs>
          <w:tab w:val="num" w:pos="360"/>
        </w:tabs>
      </w:pPr>
    </w:lvl>
    <w:lvl w:ilvl="3" w:tplc="AE404B1A">
      <w:numFmt w:val="none"/>
      <w:lvlText w:val=""/>
      <w:lvlJc w:val="left"/>
      <w:pPr>
        <w:tabs>
          <w:tab w:val="num" w:pos="360"/>
        </w:tabs>
      </w:pPr>
    </w:lvl>
    <w:lvl w:ilvl="4" w:tplc="8B4673CA">
      <w:numFmt w:val="none"/>
      <w:lvlText w:val=""/>
      <w:lvlJc w:val="left"/>
      <w:pPr>
        <w:tabs>
          <w:tab w:val="num" w:pos="360"/>
        </w:tabs>
      </w:pPr>
    </w:lvl>
    <w:lvl w:ilvl="5" w:tplc="97CAA954">
      <w:numFmt w:val="none"/>
      <w:lvlText w:val=""/>
      <w:lvlJc w:val="left"/>
      <w:pPr>
        <w:tabs>
          <w:tab w:val="num" w:pos="360"/>
        </w:tabs>
      </w:pPr>
    </w:lvl>
    <w:lvl w:ilvl="6" w:tplc="99AAA05E">
      <w:numFmt w:val="none"/>
      <w:lvlText w:val=""/>
      <w:lvlJc w:val="left"/>
      <w:pPr>
        <w:tabs>
          <w:tab w:val="num" w:pos="360"/>
        </w:tabs>
      </w:pPr>
    </w:lvl>
    <w:lvl w:ilvl="7" w:tplc="CC0A1E70">
      <w:numFmt w:val="none"/>
      <w:lvlText w:val=""/>
      <w:lvlJc w:val="left"/>
      <w:pPr>
        <w:tabs>
          <w:tab w:val="num" w:pos="360"/>
        </w:tabs>
      </w:pPr>
    </w:lvl>
    <w:lvl w:ilvl="8" w:tplc="1B2A7250">
      <w:numFmt w:val="none"/>
      <w:lvlText w:val=""/>
      <w:lvlJc w:val="left"/>
      <w:pPr>
        <w:tabs>
          <w:tab w:val="num" w:pos="360"/>
        </w:tabs>
      </w:pPr>
    </w:lvl>
  </w:abstractNum>
  <w:abstractNum w:abstractNumId="3" w15:restartNumberingAfterBreak="0">
    <w:nsid w:val="1EA5539B"/>
    <w:multiLevelType w:val="hybridMultilevel"/>
    <w:tmpl w:val="4016DA8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D539D8"/>
    <w:multiLevelType w:val="hybridMultilevel"/>
    <w:tmpl w:val="63960D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C310AA"/>
    <w:multiLevelType w:val="hybridMultilevel"/>
    <w:tmpl w:val="11704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79C221F"/>
    <w:multiLevelType w:val="hybridMultilevel"/>
    <w:tmpl w:val="5BFC28D4"/>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9187C8A"/>
    <w:multiLevelType w:val="hybridMultilevel"/>
    <w:tmpl w:val="BEB01A84"/>
    <w:lvl w:ilvl="0" w:tplc="8056FB64">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392449B2"/>
    <w:multiLevelType w:val="hybridMultilevel"/>
    <w:tmpl w:val="BA76B2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B6972EA"/>
    <w:multiLevelType w:val="hybridMultilevel"/>
    <w:tmpl w:val="881C41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9"/>
  </w:num>
  <w:num w:numId="8">
    <w:abstractNumId w:val="0"/>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FBE"/>
    <w:rsid w:val="0000490C"/>
    <w:rsid w:val="00012956"/>
    <w:rsid w:val="00013B91"/>
    <w:rsid w:val="000170FE"/>
    <w:rsid w:val="00021B0D"/>
    <w:rsid w:val="00023534"/>
    <w:rsid w:val="0002507F"/>
    <w:rsid w:val="00043B2A"/>
    <w:rsid w:val="0005007C"/>
    <w:rsid w:val="0007282D"/>
    <w:rsid w:val="00080AE2"/>
    <w:rsid w:val="000A03C5"/>
    <w:rsid w:val="000B5DE7"/>
    <w:rsid w:val="000D79F8"/>
    <w:rsid w:val="000F0D03"/>
    <w:rsid w:val="000F758D"/>
    <w:rsid w:val="001056DC"/>
    <w:rsid w:val="00114792"/>
    <w:rsid w:val="00130727"/>
    <w:rsid w:val="001307AB"/>
    <w:rsid w:val="00140638"/>
    <w:rsid w:val="00140C27"/>
    <w:rsid w:val="001561BA"/>
    <w:rsid w:val="0017303A"/>
    <w:rsid w:val="0018270D"/>
    <w:rsid w:val="00190AC7"/>
    <w:rsid w:val="00195745"/>
    <w:rsid w:val="00195FD0"/>
    <w:rsid w:val="001B26A6"/>
    <w:rsid w:val="001C32AF"/>
    <w:rsid w:val="00200E1F"/>
    <w:rsid w:val="00204C35"/>
    <w:rsid w:val="00213076"/>
    <w:rsid w:val="0022227A"/>
    <w:rsid w:val="00225540"/>
    <w:rsid w:val="00225E70"/>
    <w:rsid w:val="0023260A"/>
    <w:rsid w:val="0024534F"/>
    <w:rsid w:val="00254639"/>
    <w:rsid w:val="002552D7"/>
    <w:rsid w:val="00257115"/>
    <w:rsid w:val="0027195B"/>
    <w:rsid w:val="00294864"/>
    <w:rsid w:val="002B0991"/>
    <w:rsid w:val="002B6A2E"/>
    <w:rsid w:val="002C309A"/>
    <w:rsid w:val="002D15C0"/>
    <w:rsid w:val="002E31F7"/>
    <w:rsid w:val="002F751F"/>
    <w:rsid w:val="00303B28"/>
    <w:rsid w:val="003046A7"/>
    <w:rsid w:val="00333FD3"/>
    <w:rsid w:val="003424F6"/>
    <w:rsid w:val="00344290"/>
    <w:rsid w:val="00345374"/>
    <w:rsid w:val="003500A7"/>
    <w:rsid w:val="00375BDC"/>
    <w:rsid w:val="003776B7"/>
    <w:rsid w:val="00384441"/>
    <w:rsid w:val="00397FCA"/>
    <w:rsid w:val="003A164F"/>
    <w:rsid w:val="003B73D1"/>
    <w:rsid w:val="003C368D"/>
    <w:rsid w:val="003D0CBB"/>
    <w:rsid w:val="003F670A"/>
    <w:rsid w:val="00426AAF"/>
    <w:rsid w:val="00444E5B"/>
    <w:rsid w:val="004457B4"/>
    <w:rsid w:val="004511AB"/>
    <w:rsid w:val="00475FC8"/>
    <w:rsid w:val="00477120"/>
    <w:rsid w:val="004A5EA3"/>
    <w:rsid w:val="004B01D9"/>
    <w:rsid w:val="004D4FCC"/>
    <w:rsid w:val="00502427"/>
    <w:rsid w:val="00520C00"/>
    <w:rsid w:val="005421E6"/>
    <w:rsid w:val="00544CED"/>
    <w:rsid w:val="005506C4"/>
    <w:rsid w:val="005540FF"/>
    <w:rsid w:val="00554755"/>
    <w:rsid w:val="0055478F"/>
    <w:rsid w:val="00555EAE"/>
    <w:rsid w:val="00580F71"/>
    <w:rsid w:val="00585AFD"/>
    <w:rsid w:val="005916D4"/>
    <w:rsid w:val="00597327"/>
    <w:rsid w:val="005B5A15"/>
    <w:rsid w:val="005B6EA5"/>
    <w:rsid w:val="005C09A0"/>
    <w:rsid w:val="005C2A30"/>
    <w:rsid w:val="005D5481"/>
    <w:rsid w:val="005D7972"/>
    <w:rsid w:val="005F44B0"/>
    <w:rsid w:val="00607208"/>
    <w:rsid w:val="00613020"/>
    <w:rsid w:val="00615A6B"/>
    <w:rsid w:val="00615E1A"/>
    <w:rsid w:val="00626405"/>
    <w:rsid w:val="00626741"/>
    <w:rsid w:val="006269BA"/>
    <w:rsid w:val="0064335C"/>
    <w:rsid w:val="00645A5B"/>
    <w:rsid w:val="00652BA9"/>
    <w:rsid w:val="00656C29"/>
    <w:rsid w:val="00675659"/>
    <w:rsid w:val="006906E7"/>
    <w:rsid w:val="00693199"/>
    <w:rsid w:val="00693C6F"/>
    <w:rsid w:val="006A02E6"/>
    <w:rsid w:val="006B0CB9"/>
    <w:rsid w:val="006B54B2"/>
    <w:rsid w:val="006B5C7A"/>
    <w:rsid w:val="006C0652"/>
    <w:rsid w:val="006C2F39"/>
    <w:rsid w:val="006C39C5"/>
    <w:rsid w:val="006D5011"/>
    <w:rsid w:val="006E0613"/>
    <w:rsid w:val="006E7F88"/>
    <w:rsid w:val="006F0D89"/>
    <w:rsid w:val="006F22EA"/>
    <w:rsid w:val="006F2786"/>
    <w:rsid w:val="00702E31"/>
    <w:rsid w:val="00703F76"/>
    <w:rsid w:val="007043B0"/>
    <w:rsid w:val="0073232C"/>
    <w:rsid w:val="007527A4"/>
    <w:rsid w:val="0077530F"/>
    <w:rsid w:val="007814B5"/>
    <w:rsid w:val="007946E8"/>
    <w:rsid w:val="007A538D"/>
    <w:rsid w:val="007B1139"/>
    <w:rsid w:val="007D02C1"/>
    <w:rsid w:val="007D0CCC"/>
    <w:rsid w:val="007D16A8"/>
    <w:rsid w:val="007D44DE"/>
    <w:rsid w:val="007E2775"/>
    <w:rsid w:val="007E54FF"/>
    <w:rsid w:val="007E7489"/>
    <w:rsid w:val="007F6C1D"/>
    <w:rsid w:val="0080575E"/>
    <w:rsid w:val="00816B94"/>
    <w:rsid w:val="00827DB0"/>
    <w:rsid w:val="0083407F"/>
    <w:rsid w:val="0083485E"/>
    <w:rsid w:val="00841B44"/>
    <w:rsid w:val="0085288D"/>
    <w:rsid w:val="00865D18"/>
    <w:rsid w:val="00884004"/>
    <w:rsid w:val="008926B9"/>
    <w:rsid w:val="008972E3"/>
    <w:rsid w:val="008A2C21"/>
    <w:rsid w:val="008B517F"/>
    <w:rsid w:val="008B66FE"/>
    <w:rsid w:val="008B7739"/>
    <w:rsid w:val="008D3B68"/>
    <w:rsid w:val="008F285B"/>
    <w:rsid w:val="008F60D0"/>
    <w:rsid w:val="00923B04"/>
    <w:rsid w:val="00931EA8"/>
    <w:rsid w:val="00947F7E"/>
    <w:rsid w:val="009508F7"/>
    <w:rsid w:val="009512FC"/>
    <w:rsid w:val="00970E2E"/>
    <w:rsid w:val="00974D13"/>
    <w:rsid w:val="00982684"/>
    <w:rsid w:val="00982C13"/>
    <w:rsid w:val="009972D1"/>
    <w:rsid w:val="00997C13"/>
    <w:rsid w:val="009A58F0"/>
    <w:rsid w:val="009C48D0"/>
    <w:rsid w:val="009E25A6"/>
    <w:rsid w:val="009F28E7"/>
    <w:rsid w:val="009F30FF"/>
    <w:rsid w:val="009F529C"/>
    <w:rsid w:val="00A071DF"/>
    <w:rsid w:val="00A277FC"/>
    <w:rsid w:val="00A61286"/>
    <w:rsid w:val="00A7451A"/>
    <w:rsid w:val="00A939C9"/>
    <w:rsid w:val="00AA31D3"/>
    <w:rsid w:val="00AA5A18"/>
    <w:rsid w:val="00AE103D"/>
    <w:rsid w:val="00AF1096"/>
    <w:rsid w:val="00AF39EE"/>
    <w:rsid w:val="00B04E3A"/>
    <w:rsid w:val="00B2596E"/>
    <w:rsid w:val="00B26CC9"/>
    <w:rsid w:val="00B32EFA"/>
    <w:rsid w:val="00B4258D"/>
    <w:rsid w:val="00B63D66"/>
    <w:rsid w:val="00B64B1F"/>
    <w:rsid w:val="00B7103A"/>
    <w:rsid w:val="00B8436E"/>
    <w:rsid w:val="00B91AE0"/>
    <w:rsid w:val="00BB0662"/>
    <w:rsid w:val="00BB6AA1"/>
    <w:rsid w:val="00BC2425"/>
    <w:rsid w:val="00BC2CAC"/>
    <w:rsid w:val="00BC65A8"/>
    <w:rsid w:val="00C03A64"/>
    <w:rsid w:val="00C10742"/>
    <w:rsid w:val="00C33686"/>
    <w:rsid w:val="00C37C41"/>
    <w:rsid w:val="00C41212"/>
    <w:rsid w:val="00C41609"/>
    <w:rsid w:val="00C6319F"/>
    <w:rsid w:val="00CB1AD4"/>
    <w:rsid w:val="00CC2FBE"/>
    <w:rsid w:val="00CD673C"/>
    <w:rsid w:val="00CD7ECA"/>
    <w:rsid w:val="00CF17A9"/>
    <w:rsid w:val="00CF25FF"/>
    <w:rsid w:val="00CF6B0B"/>
    <w:rsid w:val="00D3153D"/>
    <w:rsid w:val="00D32CA9"/>
    <w:rsid w:val="00D473F7"/>
    <w:rsid w:val="00D735C8"/>
    <w:rsid w:val="00D802F4"/>
    <w:rsid w:val="00D8750E"/>
    <w:rsid w:val="00DA24E4"/>
    <w:rsid w:val="00DA7E0E"/>
    <w:rsid w:val="00DB0531"/>
    <w:rsid w:val="00DC0284"/>
    <w:rsid w:val="00DF2FD0"/>
    <w:rsid w:val="00E04C2E"/>
    <w:rsid w:val="00E22952"/>
    <w:rsid w:val="00E31050"/>
    <w:rsid w:val="00E36733"/>
    <w:rsid w:val="00E5422A"/>
    <w:rsid w:val="00E5773F"/>
    <w:rsid w:val="00E93D45"/>
    <w:rsid w:val="00E97085"/>
    <w:rsid w:val="00EA00F8"/>
    <w:rsid w:val="00EA5C38"/>
    <w:rsid w:val="00EC40CF"/>
    <w:rsid w:val="00EC5F6F"/>
    <w:rsid w:val="00ED018C"/>
    <w:rsid w:val="00ED5D0B"/>
    <w:rsid w:val="00F163F6"/>
    <w:rsid w:val="00F20B69"/>
    <w:rsid w:val="00F23EF2"/>
    <w:rsid w:val="00F31405"/>
    <w:rsid w:val="00F371B4"/>
    <w:rsid w:val="00F50206"/>
    <w:rsid w:val="00F53878"/>
    <w:rsid w:val="00F56699"/>
    <w:rsid w:val="00F76C74"/>
    <w:rsid w:val="00F844B1"/>
    <w:rsid w:val="00F9031B"/>
    <w:rsid w:val="00F90575"/>
    <w:rsid w:val="00FA3BC3"/>
    <w:rsid w:val="00FC1E5B"/>
    <w:rsid w:val="00FC27FC"/>
    <w:rsid w:val="00FD4292"/>
    <w:rsid w:val="00FE3687"/>
    <w:rsid w:val="00FE7B0F"/>
    <w:rsid w:val="00FF09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ADDE174"/>
  <w15:chartTrackingRefBased/>
  <w15:docId w15:val="{5A68D597-7432-4DC2-A622-4977BC05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4B1"/>
  </w:style>
  <w:style w:type="paragraph" w:styleId="Heading3">
    <w:name w:val="heading 3"/>
    <w:basedOn w:val="Normal"/>
    <w:next w:val="Normal"/>
    <w:link w:val="Heading3Char"/>
    <w:qFormat/>
    <w:rsid w:val="00702E31"/>
    <w:pPr>
      <w:keepNext/>
      <w:spacing w:after="0" w:line="240" w:lineRule="auto"/>
      <w:ind w:left="-108"/>
      <w:jc w:val="both"/>
      <w:outlineLvl w:val="2"/>
    </w:pPr>
    <w:rPr>
      <w:rFonts w:ascii="Verdana" w:eastAsia="Times New Roman" w:hAnsi="Verdana" w:cs="Times New Roman"/>
      <w:b/>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2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FBE"/>
  </w:style>
  <w:style w:type="paragraph" w:styleId="Footer">
    <w:name w:val="footer"/>
    <w:basedOn w:val="Normal"/>
    <w:link w:val="FooterChar"/>
    <w:uiPriority w:val="99"/>
    <w:unhideWhenUsed/>
    <w:rsid w:val="00CC2F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FBE"/>
  </w:style>
  <w:style w:type="character" w:styleId="CommentReference">
    <w:name w:val="annotation reference"/>
    <w:basedOn w:val="DefaultParagraphFont"/>
    <w:uiPriority w:val="99"/>
    <w:semiHidden/>
    <w:unhideWhenUsed/>
    <w:rsid w:val="00A61286"/>
    <w:rPr>
      <w:sz w:val="16"/>
      <w:szCs w:val="16"/>
    </w:rPr>
  </w:style>
  <w:style w:type="paragraph" w:styleId="CommentText">
    <w:name w:val="annotation text"/>
    <w:basedOn w:val="Normal"/>
    <w:link w:val="CommentTextChar"/>
    <w:uiPriority w:val="99"/>
    <w:semiHidden/>
    <w:unhideWhenUsed/>
    <w:rsid w:val="00A61286"/>
    <w:pPr>
      <w:spacing w:line="240" w:lineRule="auto"/>
    </w:pPr>
    <w:rPr>
      <w:sz w:val="20"/>
      <w:szCs w:val="20"/>
    </w:rPr>
  </w:style>
  <w:style w:type="character" w:customStyle="1" w:styleId="CommentTextChar">
    <w:name w:val="Comment Text Char"/>
    <w:basedOn w:val="DefaultParagraphFont"/>
    <w:link w:val="CommentText"/>
    <w:uiPriority w:val="99"/>
    <w:semiHidden/>
    <w:rsid w:val="00A61286"/>
    <w:rPr>
      <w:sz w:val="20"/>
      <w:szCs w:val="20"/>
    </w:rPr>
  </w:style>
  <w:style w:type="paragraph" w:styleId="CommentSubject">
    <w:name w:val="annotation subject"/>
    <w:basedOn w:val="CommentText"/>
    <w:next w:val="CommentText"/>
    <w:link w:val="CommentSubjectChar"/>
    <w:uiPriority w:val="99"/>
    <w:semiHidden/>
    <w:unhideWhenUsed/>
    <w:rsid w:val="00A61286"/>
    <w:rPr>
      <w:b/>
      <w:bCs/>
    </w:rPr>
  </w:style>
  <w:style w:type="character" w:customStyle="1" w:styleId="CommentSubjectChar">
    <w:name w:val="Comment Subject Char"/>
    <w:basedOn w:val="CommentTextChar"/>
    <w:link w:val="CommentSubject"/>
    <w:uiPriority w:val="99"/>
    <w:semiHidden/>
    <w:rsid w:val="00A61286"/>
    <w:rPr>
      <w:b/>
      <w:bCs/>
      <w:sz w:val="20"/>
      <w:szCs w:val="20"/>
    </w:rPr>
  </w:style>
  <w:style w:type="paragraph" w:styleId="BalloonText">
    <w:name w:val="Balloon Text"/>
    <w:basedOn w:val="Normal"/>
    <w:link w:val="BalloonTextChar"/>
    <w:uiPriority w:val="99"/>
    <w:semiHidden/>
    <w:unhideWhenUsed/>
    <w:rsid w:val="00A61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286"/>
    <w:rPr>
      <w:rFonts w:ascii="Segoe UI" w:hAnsi="Segoe UI" w:cs="Segoe UI"/>
      <w:sz w:val="18"/>
      <w:szCs w:val="18"/>
    </w:rPr>
  </w:style>
  <w:style w:type="character" w:customStyle="1" w:styleId="Heading3Char">
    <w:name w:val="Heading 3 Char"/>
    <w:basedOn w:val="DefaultParagraphFont"/>
    <w:link w:val="Heading3"/>
    <w:rsid w:val="00702E31"/>
    <w:rPr>
      <w:rFonts w:ascii="Verdana" w:eastAsia="Times New Roman" w:hAnsi="Verdana" w:cs="Times New Roman"/>
      <w:b/>
      <w:sz w:val="18"/>
      <w:szCs w:val="24"/>
      <w:lang w:val="en-GB"/>
    </w:rPr>
  </w:style>
  <w:style w:type="character" w:styleId="Hyperlink">
    <w:name w:val="Hyperlink"/>
    <w:basedOn w:val="DefaultParagraphFont"/>
    <w:uiPriority w:val="99"/>
    <w:rsid w:val="00140638"/>
    <w:rPr>
      <w:color w:val="0000FF" w:themeColor="hyperlink"/>
      <w:u w:val="single"/>
    </w:rPr>
  </w:style>
  <w:style w:type="paragraph" w:styleId="ListParagraph">
    <w:name w:val="List Paragraph"/>
    <w:basedOn w:val="Normal"/>
    <w:uiPriority w:val="34"/>
    <w:qFormat/>
    <w:rsid w:val="00140638"/>
    <w:pPr>
      <w:spacing w:after="0" w:line="240" w:lineRule="auto"/>
      <w:ind w:left="720"/>
    </w:pPr>
    <w:rPr>
      <w:rFonts w:ascii="Calibri" w:eastAsia="Calibri" w:hAnsi="Calibri" w:cs="Times New Roman"/>
      <w:lang w:val="en-GB"/>
    </w:rPr>
  </w:style>
  <w:style w:type="paragraph" w:customStyle="1" w:styleId="Default">
    <w:name w:val="Default"/>
    <w:basedOn w:val="Normal"/>
    <w:rsid w:val="00140638"/>
    <w:pPr>
      <w:autoSpaceDE w:val="0"/>
      <w:autoSpaceDN w:val="0"/>
      <w:spacing w:after="0" w:line="240" w:lineRule="auto"/>
    </w:pPr>
    <w:rPr>
      <w:rFonts w:ascii="Calibri" w:hAnsi="Calibri" w:cs="Times New Roman"/>
      <w:color w:val="000000"/>
      <w:sz w:val="24"/>
      <w:szCs w:val="24"/>
      <w:lang w:eastAsia="en-IE"/>
    </w:rPr>
  </w:style>
  <w:style w:type="character" w:styleId="FollowedHyperlink">
    <w:name w:val="FollowedHyperlink"/>
    <w:basedOn w:val="DefaultParagraphFont"/>
    <w:uiPriority w:val="99"/>
    <w:semiHidden/>
    <w:unhideWhenUsed/>
    <w:rsid w:val="007E2775"/>
    <w:rPr>
      <w:color w:val="800080" w:themeColor="followedHyperlink"/>
      <w:u w:val="single"/>
    </w:rPr>
  </w:style>
  <w:style w:type="paragraph" w:styleId="Revision">
    <w:name w:val="Revision"/>
    <w:hidden/>
    <w:uiPriority w:val="99"/>
    <w:semiHidden/>
    <w:rsid w:val="0073232C"/>
    <w:pPr>
      <w:spacing w:after="0" w:line="240" w:lineRule="auto"/>
    </w:pPr>
  </w:style>
  <w:style w:type="paragraph" w:styleId="EndnoteText">
    <w:name w:val="endnote text"/>
    <w:basedOn w:val="Normal"/>
    <w:link w:val="EndnoteTextChar"/>
    <w:uiPriority w:val="99"/>
    <w:semiHidden/>
    <w:unhideWhenUsed/>
    <w:rsid w:val="00BC242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2425"/>
    <w:rPr>
      <w:sz w:val="20"/>
      <w:szCs w:val="20"/>
    </w:rPr>
  </w:style>
  <w:style w:type="character" w:styleId="EndnoteReference">
    <w:name w:val="endnote reference"/>
    <w:basedOn w:val="DefaultParagraphFont"/>
    <w:uiPriority w:val="99"/>
    <w:semiHidden/>
    <w:unhideWhenUsed/>
    <w:rsid w:val="00BC2425"/>
    <w:rPr>
      <w:vertAlign w:val="superscript"/>
    </w:rPr>
  </w:style>
  <w:style w:type="paragraph" w:styleId="FootnoteText">
    <w:name w:val="footnote text"/>
    <w:basedOn w:val="Normal"/>
    <w:link w:val="FootnoteTextChar"/>
    <w:uiPriority w:val="99"/>
    <w:unhideWhenUsed/>
    <w:qFormat/>
    <w:rsid w:val="00BC2425"/>
    <w:pPr>
      <w:spacing w:after="0" w:line="240" w:lineRule="auto"/>
    </w:pPr>
    <w:rPr>
      <w:sz w:val="20"/>
      <w:szCs w:val="20"/>
    </w:rPr>
  </w:style>
  <w:style w:type="character" w:customStyle="1" w:styleId="FootnoteTextChar">
    <w:name w:val="Footnote Text Char"/>
    <w:basedOn w:val="DefaultParagraphFont"/>
    <w:link w:val="FootnoteText"/>
    <w:uiPriority w:val="99"/>
    <w:rsid w:val="00BC2425"/>
    <w:rPr>
      <w:sz w:val="20"/>
      <w:szCs w:val="20"/>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basedOn w:val="DefaultParagraphFont"/>
    <w:unhideWhenUsed/>
    <w:qFormat/>
    <w:rsid w:val="00BC2425"/>
    <w:rPr>
      <w:vertAlign w:val="superscript"/>
    </w:rPr>
  </w:style>
  <w:style w:type="paragraph" w:customStyle="1" w:styleId="CM1">
    <w:name w:val="CM1"/>
    <w:basedOn w:val="Default"/>
    <w:next w:val="Default"/>
    <w:uiPriority w:val="99"/>
    <w:rsid w:val="006C39C5"/>
    <w:pPr>
      <w:adjustRightInd w:val="0"/>
    </w:pPr>
    <w:rPr>
      <w:rFonts w:ascii="EUAlbertina" w:hAnsi="EUAlbertina" w:cstheme="minorBidi"/>
      <w:color w:val="auto"/>
      <w:lang w:eastAsia="en-US"/>
    </w:rPr>
  </w:style>
  <w:style w:type="paragraph" w:customStyle="1" w:styleId="CM3">
    <w:name w:val="CM3"/>
    <w:basedOn w:val="Default"/>
    <w:next w:val="Default"/>
    <w:uiPriority w:val="99"/>
    <w:rsid w:val="006C39C5"/>
    <w:pPr>
      <w:adjustRightInd w:val="0"/>
    </w:pPr>
    <w:rPr>
      <w:rFonts w:ascii="EUAlbertina" w:hAnsi="EUAlbertina" w:cstheme="minorBidi"/>
      <w:color w:val="auto"/>
      <w:lang w:eastAsia="en-US"/>
    </w:rPr>
  </w:style>
  <w:style w:type="table" w:styleId="PlainTable1">
    <w:name w:val="Plain Table 1"/>
    <w:basedOn w:val="TableNormal"/>
    <w:uiPriority w:val="41"/>
    <w:rsid w:val="003046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10175">
      <w:bodyDiv w:val="1"/>
      <w:marLeft w:val="0"/>
      <w:marRight w:val="0"/>
      <w:marTop w:val="0"/>
      <w:marBottom w:val="0"/>
      <w:divBdr>
        <w:top w:val="none" w:sz="0" w:space="0" w:color="auto"/>
        <w:left w:val="none" w:sz="0" w:space="0" w:color="auto"/>
        <w:bottom w:val="none" w:sz="0" w:space="0" w:color="auto"/>
        <w:right w:val="none" w:sz="0" w:space="0" w:color="auto"/>
      </w:divBdr>
    </w:div>
    <w:div w:id="655038462">
      <w:bodyDiv w:val="1"/>
      <w:marLeft w:val="0"/>
      <w:marRight w:val="0"/>
      <w:marTop w:val="0"/>
      <w:marBottom w:val="0"/>
      <w:divBdr>
        <w:top w:val="none" w:sz="0" w:space="0" w:color="auto"/>
        <w:left w:val="none" w:sz="0" w:space="0" w:color="auto"/>
        <w:bottom w:val="none" w:sz="0" w:space="0" w:color="auto"/>
        <w:right w:val="none" w:sz="0" w:space="0" w:color="auto"/>
      </w:divBdr>
    </w:div>
    <w:div w:id="1027298323">
      <w:bodyDiv w:val="1"/>
      <w:marLeft w:val="0"/>
      <w:marRight w:val="0"/>
      <w:marTop w:val="0"/>
      <w:marBottom w:val="0"/>
      <w:divBdr>
        <w:top w:val="none" w:sz="0" w:space="0" w:color="auto"/>
        <w:left w:val="none" w:sz="0" w:space="0" w:color="auto"/>
        <w:bottom w:val="none" w:sz="0" w:space="0" w:color="auto"/>
        <w:right w:val="none" w:sz="0" w:space="0" w:color="auto"/>
      </w:divBdr>
    </w:div>
    <w:div w:id="2043434304">
      <w:bodyDiv w:val="1"/>
      <w:marLeft w:val="0"/>
      <w:marRight w:val="0"/>
      <w:marTop w:val="0"/>
      <w:marBottom w:val="0"/>
      <w:divBdr>
        <w:top w:val="none" w:sz="0" w:space="0" w:color="auto"/>
        <w:left w:val="none" w:sz="0" w:space="0" w:color="auto"/>
        <w:bottom w:val="none" w:sz="0" w:space="0" w:color="auto"/>
        <w:right w:val="none" w:sz="0" w:space="0" w:color="auto"/>
      </w:divBdr>
    </w:div>
    <w:div w:id="2071462398">
      <w:bodyDiv w:val="1"/>
      <w:marLeft w:val="0"/>
      <w:marRight w:val="0"/>
      <w:marTop w:val="0"/>
      <w:marBottom w:val="0"/>
      <w:divBdr>
        <w:top w:val="none" w:sz="0" w:space="0" w:color="auto"/>
        <w:left w:val="none" w:sz="0" w:space="0" w:color="auto"/>
        <w:bottom w:val="none" w:sz="0" w:space="0" w:color="auto"/>
        <w:right w:val="none" w:sz="0" w:space="0" w:color="auto"/>
      </w:divBdr>
    </w:div>
    <w:div w:id="211408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entralbank.ie/fns/privacy-stat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centralbank.i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aymentservicessupervision@centralbank.ie"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D9953-C362-49F9-8C6C-BCE357316C1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59F7962-A5FF-413B-BDA2-538EE742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2285</Words>
  <Characters>13029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james.butler@centralbank.ie</dc:creator>
  <cp:keywords>Public</cp:keywords>
  <dc:description/>
  <cp:lastModifiedBy>McGuinness, Lucia</cp:lastModifiedBy>
  <cp:revision>2</cp:revision>
  <dcterms:created xsi:type="dcterms:W3CDTF">2020-02-10T15:04:00Z</dcterms:created>
  <dcterms:modified xsi:type="dcterms:W3CDTF">2020-02-10T15:04:00Z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6a687074-9c72-4868-a32d-13b4f685cb38</vt:lpwstr>
  </property>
  <property fmtid="{D5CDD505-2E9C-101B-9397-08002B2CF9AE}" pid="3" name="bjSaver">
    <vt:lpwstr>NP95F145AxkWzCs8udMI+wjg9kY7+vl3</vt:lpwstr>
  </property>
  <property fmtid="{D5CDD505-2E9C-101B-9397-08002B2CF9AE}" pid="4" name="_AdHocReviewCycleID">
    <vt:i4>1827127893</vt:i4>
  </property>
  <property fmtid="{D5CDD505-2E9C-101B-9397-08002B2CF9AE}" pid="5" name="_NewReviewCycle">
    <vt:lpwstr/>
  </property>
  <property fmtid="{D5CDD505-2E9C-101B-9397-08002B2CF9AE}" pid="6" name="_EmailSubject">
    <vt:lpwstr>Website Wording - Outsourcing Notification Form</vt:lpwstr>
  </property>
  <property fmtid="{D5CDD505-2E9C-101B-9397-08002B2CF9AE}" pid="7" name="_AuthorEmail">
    <vt:lpwstr>noel.oconnor@centralbank.ie</vt:lpwstr>
  </property>
  <property fmtid="{D5CDD505-2E9C-101B-9397-08002B2CF9AE}" pid="8" name="_AuthorEmailDisplayName">
    <vt:lpwstr>O'Connor, Noel</vt:lpwstr>
  </property>
  <property fmtid="{D5CDD505-2E9C-101B-9397-08002B2CF9AE}" pid="9" name="_PreviousAdHocReviewCycleID">
    <vt:i4>616605555</vt:i4>
  </property>
  <property fmtid="{D5CDD505-2E9C-101B-9397-08002B2CF9AE}" pid="10" name="_ReviewingToolsShownOnce">
    <vt:lpwstr/>
  </property>
  <property fmtid="{D5CDD505-2E9C-101B-9397-08002B2CF9AE}" pid="11" name="bjDocumentSecurityLabel">
    <vt:lpwstr>Public</vt:lpwstr>
  </property>
  <property fmtid="{D5CDD505-2E9C-101B-9397-08002B2CF9AE}" pid="12"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3" name="bjDocumentLabelXML-0">
    <vt:lpwstr>ames.com/2008/01/sie/internal/label"&gt;&lt;element uid="33ed6465-8d2f-4fab-bbbc-787e2c148707" value="" /&gt;&lt;element uid="28c775dd-3fa7-40f2-8368-0e7fa48abc25" value="" /&gt;&lt;/sisl&gt;</vt:lpwstr>
  </property>
  <property fmtid="{D5CDD505-2E9C-101B-9397-08002B2CF9AE}" pid="14" name="bjHeaderBothDocProperty">
    <vt:lpwstr> </vt:lpwstr>
  </property>
  <property fmtid="{D5CDD505-2E9C-101B-9397-08002B2CF9AE}" pid="15" name="bjHeaderFirstPageDocProperty">
    <vt:lpwstr> </vt:lpwstr>
  </property>
  <property fmtid="{D5CDD505-2E9C-101B-9397-08002B2CF9AE}" pid="16" name="bjHeaderEvenPageDocProperty">
    <vt:lpwstr> </vt:lpwstr>
  </property>
</Properties>
</file>