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E0" w:rsidRPr="00BA1C84" w:rsidRDefault="002461E0" w:rsidP="00CC0725">
      <w:pPr>
        <w:autoSpaceDE w:val="0"/>
        <w:autoSpaceDN w:val="0"/>
        <w:adjustRightInd w:val="0"/>
        <w:rPr>
          <w:rFonts w:ascii="Times New Roman" w:hAnsi="Times New Roman" w:cs="Times New Roman"/>
          <w:b/>
          <w:iCs/>
          <w:sz w:val="16"/>
          <w:szCs w:val="16"/>
        </w:rPr>
      </w:pPr>
      <w:bookmarkStart w:id="0" w:name="_GoBack"/>
      <w:bookmarkEnd w:id="0"/>
    </w:p>
    <w:p w:rsidR="003B1B02" w:rsidRPr="00BA1C84" w:rsidRDefault="00BA1C84" w:rsidP="00CC0725">
      <w:pPr>
        <w:autoSpaceDE w:val="0"/>
        <w:autoSpaceDN w:val="0"/>
        <w:adjustRightInd w:val="0"/>
        <w:jc w:val="center"/>
        <w:rPr>
          <w:rFonts w:ascii="Times New Roman" w:hAnsi="Times New Roman" w:cs="Times New Roman"/>
          <w:b/>
          <w:iCs/>
          <w:sz w:val="16"/>
          <w:szCs w:val="16"/>
        </w:rPr>
      </w:pPr>
      <w:r w:rsidRPr="00BA1C84">
        <w:rPr>
          <w:rFonts w:ascii="Times New Roman" w:hAnsi="Times New Roman" w:cs="Times New Roman"/>
          <w:b/>
          <w:iCs/>
          <w:sz w:val="16"/>
          <w:szCs w:val="16"/>
        </w:rPr>
        <w:t>ANNEX 16</w:t>
      </w:r>
    </w:p>
    <w:p w:rsidR="003B1B02" w:rsidRPr="00BA1C84" w:rsidRDefault="003B1B02" w:rsidP="00CC0725">
      <w:pPr>
        <w:autoSpaceDE w:val="0"/>
        <w:autoSpaceDN w:val="0"/>
        <w:adjustRightInd w:val="0"/>
        <w:rPr>
          <w:rFonts w:ascii="Times New Roman" w:hAnsi="Times New Roman" w:cs="Times New Roman"/>
          <w:iCs/>
          <w:color w:val="000000"/>
          <w:sz w:val="16"/>
          <w:szCs w:val="16"/>
        </w:rPr>
      </w:pPr>
    </w:p>
    <w:p w:rsidR="00F76F5A" w:rsidRPr="00BA1C84" w:rsidRDefault="00BA1C84" w:rsidP="00E17AC2">
      <w:pPr>
        <w:autoSpaceDE w:val="0"/>
        <w:autoSpaceDN w:val="0"/>
        <w:adjustRightInd w:val="0"/>
        <w:jc w:val="center"/>
        <w:rPr>
          <w:rFonts w:ascii="Times New Roman" w:eastAsiaTheme="minorHAnsi" w:hAnsi="Times New Roman" w:cs="Times New Roman"/>
          <w:b/>
          <w:bCs/>
          <w:color w:val="000000"/>
          <w:sz w:val="16"/>
          <w:szCs w:val="16"/>
          <w:lang w:val="en-IE" w:eastAsia="en-US"/>
        </w:rPr>
      </w:pPr>
      <w:r w:rsidRPr="00BA1C84">
        <w:rPr>
          <w:rFonts w:ascii="Times New Roman" w:eastAsiaTheme="minorHAnsi" w:hAnsi="Times New Roman" w:cs="Times New Roman"/>
          <w:b/>
          <w:bCs/>
          <w:color w:val="000000"/>
          <w:sz w:val="16"/>
          <w:szCs w:val="16"/>
          <w:lang w:val="en-IE" w:eastAsia="en-US"/>
        </w:rPr>
        <w:t>SECURITIES NOTE FOR SECONDARY ISSUANCES OF NON-EQUITY SECURITIES</w:t>
      </w:r>
    </w:p>
    <w:p w:rsidR="00BA1C84" w:rsidRPr="00BA1C84" w:rsidRDefault="00BA1C84" w:rsidP="00E17AC2">
      <w:pPr>
        <w:autoSpaceDE w:val="0"/>
        <w:autoSpaceDN w:val="0"/>
        <w:adjustRightInd w:val="0"/>
        <w:jc w:val="center"/>
        <w:rPr>
          <w:rFonts w:ascii="Times New Roman" w:eastAsiaTheme="minorHAnsi" w:hAnsi="Times New Roman" w:cs="Times New Roman"/>
          <w:b/>
          <w:bCs/>
          <w:color w:val="000000"/>
          <w:sz w:val="16"/>
          <w:szCs w:val="16"/>
          <w:lang w:val="en-IE" w:eastAsia="en-US"/>
        </w:rPr>
      </w:pPr>
    </w:p>
    <w:p w:rsidR="000834FD" w:rsidRPr="00BA1C84" w:rsidRDefault="0049136E" w:rsidP="00CC0725">
      <w:pPr>
        <w:autoSpaceDE w:val="0"/>
        <w:autoSpaceDN w:val="0"/>
        <w:adjustRightInd w:val="0"/>
        <w:rPr>
          <w:rFonts w:ascii="Times New Roman" w:hAnsi="Times New Roman" w:cs="Times New Roman"/>
          <w:i/>
          <w:iCs/>
          <w:color w:val="000000"/>
          <w:sz w:val="16"/>
          <w:szCs w:val="16"/>
        </w:rPr>
      </w:pPr>
      <w:r w:rsidRPr="00BA1C84">
        <w:rPr>
          <w:rFonts w:ascii="Times New Roman" w:hAnsi="Times New Roman" w:cs="Times New Roman"/>
          <w:i/>
          <w:iCs/>
          <w:color w:val="000000"/>
          <w:sz w:val="16"/>
          <w:szCs w:val="16"/>
        </w:rPr>
        <w:t xml:space="preserve">Issuer </w:t>
      </w:r>
      <w:r w:rsidR="000834FD" w:rsidRPr="00BA1C84">
        <w:rPr>
          <w:rFonts w:ascii="Times New Roman" w:hAnsi="Times New Roman" w:cs="Times New Roman"/>
          <w:i/>
          <w:iCs/>
          <w:color w:val="000000"/>
          <w:sz w:val="16"/>
          <w:szCs w:val="16"/>
        </w:rPr>
        <w:t>Name:</w:t>
      </w:r>
    </w:p>
    <w:p w:rsidR="000834FD" w:rsidRPr="00BA1C84" w:rsidRDefault="000834FD" w:rsidP="00CC0725">
      <w:pPr>
        <w:spacing w:before="120" w:after="120"/>
        <w:rPr>
          <w:rFonts w:ascii="Times New Roman" w:hAnsi="Times New Roman" w:cs="Times New Roman"/>
          <w:i/>
          <w:color w:val="000000"/>
          <w:sz w:val="16"/>
          <w:szCs w:val="16"/>
        </w:rPr>
      </w:pPr>
      <w:r w:rsidRPr="00BA1C84">
        <w:rPr>
          <w:rFonts w:ascii="Times New Roman" w:hAnsi="Times New Roman" w:cs="Times New Roman"/>
          <w:i/>
          <w:iCs/>
          <w:color w:val="000000"/>
          <w:sz w:val="16"/>
          <w:szCs w:val="16"/>
        </w:rPr>
        <w:t>Transaction Name (if applicable):</w:t>
      </w:r>
    </w:p>
    <w:p w:rsidR="000834FD" w:rsidRPr="00BA1C84" w:rsidRDefault="000834FD" w:rsidP="00CC0725">
      <w:pPr>
        <w:spacing w:before="120" w:after="120"/>
        <w:rPr>
          <w:rFonts w:ascii="Times New Roman" w:hAnsi="Times New Roman" w:cs="Times New Roman"/>
          <w:i/>
          <w:color w:val="000000"/>
          <w:sz w:val="16"/>
          <w:szCs w:val="16"/>
        </w:rPr>
      </w:pPr>
      <w:r w:rsidRPr="00BA1C84">
        <w:rPr>
          <w:rFonts w:ascii="Times New Roman" w:hAnsi="Times New Roman" w:cs="Times New Roman"/>
          <w:i/>
          <w:iCs/>
          <w:color w:val="000000"/>
          <w:sz w:val="16"/>
          <w:szCs w:val="16"/>
        </w:rPr>
        <w:t>Agent:</w:t>
      </w:r>
    </w:p>
    <w:p w:rsidR="000834FD" w:rsidRPr="00BA1C84" w:rsidRDefault="000834FD" w:rsidP="00CC0725">
      <w:pPr>
        <w:spacing w:before="120" w:after="120"/>
        <w:rPr>
          <w:rFonts w:ascii="Times New Roman" w:hAnsi="Times New Roman" w:cs="Times New Roman"/>
          <w:i/>
          <w:sz w:val="16"/>
          <w:szCs w:val="16"/>
        </w:rPr>
      </w:pPr>
      <w:r w:rsidRPr="00BA1C84">
        <w:rPr>
          <w:rFonts w:ascii="Times New Roman" w:hAnsi="Times New Roman" w:cs="Times New Roman"/>
          <w:i/>
          <w:iCs/>
          <w:color w:val="000000"/>
          <w:sz w:val="16"/>
          <w:szCs w:val="16"/>
        </w:rPr>
        <w:t xml:space="preserve">Date Submitted: </w:t>
      </w:r>
    </w:p>
    <w:p w:rsidR="000834FD" w:rsidRPr="00BA1C84" w:rsidRDefault="000834FD" w:rsidP="00CC0725">
      <w:pPr>
        <w:autoSpaceDE w:val="0"/>
        <w:autoSpaceDN w:val="0"/>
        <w:adjustRightInd w:val="0"/>
        <w:rPr>
          <w:rFonts w:ascii="Times New Roman" w:hAnsi="Times New Roman" w:cs="Times New Roman"/>
          <w:color w:val="000000"/>
          <w:sz w:val="16"/>
          <w:szCs w:val="16"/>
        </w:rPr>
      </w:pPr>
    </w:p>
    <w:tbl>
      <w:tblPr>
        <w:tblW w:w="4950"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150"/>
        <w:gridCol w:w="3378"/>
        <w:gridCol w:w="1418"/>
        <w:gridCol w:w="567"/>
        <w:gridCol w:w="1132"/>
        <w:gridCol w:w="1275"/>
      </w:tblGrid>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000000" w:themeFill="text1"/>
          </w:tcPr>
          <w:p w:rsidR="00BA1C84" w:rsidRPr="00BA1C84" w:rsidRDefault="00BA1C84" w:rsidP="00BA1C84">
            <w:pPr>
              <w:spacing w:before="60" w:after="60"/>
              <w:jc w:val="left"/>
              <w:rPr>
                <w:rFonts w:ascii="Times New Roman" w:eastAsia="Times New Roman" w:hAnsi="Times New Roman" w:cs="Times New Roman"/>
                <w:color w:val="FFFFFF" w:themeColor="background1"/>
                <w:sz w:val="16"/>
                <w:szCs w:val="16"/>
                <w:lang w:val="en-IE" w:eastAsia="en-IE"/>
              </w:rPr>
            </w:pPr>
            <w:r w:rsidRPr="00BA1C84">
              <w:rPr>
                <w:rFonts w:ascii="Times New Roman" w:eastAsia="Times New Roman" w:hAnsi="Times New Roman" w:cs="Times New Roman"/>
                <w:color w:val="FFFFFF" w:themeColor="background1"/>
                <w:sz w:val="16"/>
                <w:szCs w:val="16"/>
                <w:lang w:val="en-IE" w:eastAsia="en-IE"/>
              </w:rPr>
              <w:t>Rule</w:t>
            </w:r>
          </w:p>
        </w:tc>
        <w:tc>
          <w:tcPr>
            <w:tcW w:w="3378" w:type="dxa"/>
            <w:tcBorders>
              <w:top w:val="single" w:sz="6" w:space="0" w:color="000000"/>
              <w:left w:val="single" w:sz="6" w:space="0" w:color="000000"/>
              <w:bottom w:val="single" w:sz="6" w:space="0" w:color="000000"/>
              <w:right w:val="single" w:sz="6" w:space="0" w:color="000000"/>
            </w:tcBorders>
            <w:shd w:val="clear" w:color="auto" w:fill="000000" w:themeFill="text1"/>
          </w:tcPr>
          <w:p w:rsidR="00BA1C84" w:rsidRPr="00BA1C84" w:rsidRDefault="00BA1C84" w:rsidP="00BA1C84">
            <w:pPr>
              <w:spacing w:before="60" w:after="60"/>
              <w:jc w:val="left"/>
              <w:rPr>
                <w:rFonts w:ascii="Times New Roman" w:eastAsia="Times New Roman" w:hAnsi="Times New Roman" w:cs="Times New Roman"/>
                <w:color w:val="FFFFFF" w:themeColor="background1"/>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shd w:val="clear" w:color="auto" w:fill="000000" w:themeFill="text1"/>
          </w:tcPr>
          <w:p w:rsidR="00BA1C84" w:rsidRPr="00BA1C84" w:rsidRDefault="00BA1C84" w:rsidP="00BA1C84">
            <w:pPr>
              <w:spacing w:before="60" w:after="60"/>
              <w:jc w:val="left"/>
              <w:rPr>
                <w:rFonts w:ascii="Times New Roman" w:eastAsia="Times New Roman" w:hAnsi="Times New Roman" w:cs="Times New Roman"/>
                <w:color w:val="FFFFFF" w:themeColor="background1"/>
                <w:sz w:val="16"/>
                <w:szCs w:val="16"/>
                <w:lang w:val="en-IE" w:eastAsia="en-IE"/>
              </w:rPr>
            </w:pPr>
            <w:r w:rsidRPr="00BA1C84">
              <w:rPr>
                <w:rFonts w:ascii="Times New Roman" w:eastAsia="Times New Roman" w:hAnsi="Times New Roman" w:cs="Times New Roman"/>
                <w:color w:val="FFFFFF" w:themeColor="background1"/>
                <w:sz w:val="16"/>
                <w:szCs w:val="16"/>
                <w:lang w:val="en-IE" w:eastAsia="en-IE"/>
              </w:rPr>
              <w:t>Category</w:t>
            </w:r>
          </w:p>
        </w:tc>
        <w:tc>
          <w:tcPr>
            <w:tcW w:w="567" w:type="dxa"/>
            <w:tcBorders>
              <w:top w:val="single" w:sz="6" w:space="0" w:color="000000"/>
              <w:left w:val="single" w:sz="6" w:space="0" w:color="000000"/>
              <w:bottom w:val="single" w:sz="6" w:space="0" w:color="000000"/>
              <w:right w:val="single" w:sz="6" w:space="0" w:color="000000"/>
            </w:tcBorders>
            <w:shd w:val="clear" w:color="auto" w:fill="000000" w:themeFill="text1"/>
          </w:tcPr>
          <w:p w:rsidR="00BA1C84" w:rsidRPr="00BA1C84" w:rsidRDefault="00BA1C84" w:rsidP="00BA1C84">
            <w:pPr>
              <w:spacing w:before="60" w:after="60"/>
              <w:jc w:val="left"/>
              <w:rPr>
                <w:rFonts w:ascii="Times New Roman" w:eastAsia="Times New Roman" w:hAnsi="Times New Roman" w:cs="Times New Roman"/>
                <w:color w:val="FFFFFF" w:themeColor="background1"/>
                <w:sz w:val="16"/>
                <w:szCs w:val="16"/>
                <w:lang w:val="en-IE" w:eastAsia="en-IE"/>
              </w:rPr>
            </w:pPr>
            <w:r w:rsidRPr="00BA1C84">
              <w:rPr>
                <w:rFonts w:ascii="Times New Roman" w:eastAsia="Times New Roman" w:hAnsi="Times New Roman" w:cs="Times New Roman"/>
                <w:color w:val="FFFFFF" w:themeColor="background1"/>
                <w:sz w:val="16"/>
                <w:szCs w:val="16"/>
                <w:lang w:val="en-IE" w:eastAsia="en-IE"/>
              </w:rPr>
              <w:t>Page</w:t>
            </w:r>
          </w:p>
        </w:tc>
        <w:tc>
          <w:tcPr>
            <w:tcW w:w="1132" w:type="dxa"/>
            <w:tcBorders>
              <w:top w:val="single" w:sz="6" w:space="0" w:color="000000"/>
              <w:left w:val="single" w:sz="6" w:space="0" w:color="000000"/>
              <w:bottom w:val="single" w:sz="6" w:space="0" w:color="000000"/>
              <w:right w:val="single" w:sz="6" w:space="0" w:color="000000"/>
            </w:tcBorders>
            <w:shd w:val="clear" w:color="auto" w:fill="000000" w:themeFill="text1"/>
          </w:tcPr>
          <w:p w:rsidR="00BA1C84" w:rsidRPr="00BA1C84" w:rsidRDefault="00BA1C84" w:rsidP="00BA1C84">
            <w:pPr>
              <w:spacing w:before="60" w:after="60"/>
              <w:jc w:val="left"/>
              <w:rPr>
                <w:rFonts w:ascii="Times New Roman" w:eastAsia="Times New Roman" w:hAnsi="Times New Roman" w:cs="Times New Roman"/>
                <w:color w:val="FFFFFF" w:themeColor="background1"/>
                <w:sz w:val="16"/>
                <w:szCs w:val="16"/>
                <w:lang w:val="en-IE" w:eastAsia="en-IE"/>
              </w:rPr>
            </w:pPr>
            <w:r w:rsidRPr="00BA1C84">
              <w:rPr>
                <w:rFonts w:ascii="Times New Roman" w:eastAsia="Times New Roman" w:hAnsi="Times New Roman" w:cs="Times New Roman"/>
                <w:color w:val="FFFFFF" w:themeColor="background1"/>
                <w:sz w:val="16"/>
                <w:szCs w:val="16"/>
                <w:lang w:val="en-IE" w:eastAsia="en-IE"/>
              </w:rPr>
              <w:t>Paragraph/Proof Number</w:t>
            </w:r>
          </w:p>
        </w:tc>
        <w:tc>
          <w:tcPr>
            <w:tcW w:w="1275" w:type="dxa"/>
            <w:tcBorders>
              <w:top w:val="single" w:sz="6" w:space="0" w:color="000000"/>
              <w:left w:val="single" w:sz="6" w:space="0" w:color="000000"/>
              <w:bottom w:val="single" w:sz="6" w:space="0" w:color="000000"/>
              <w:right w:val="single" w:sz="6" w:space="0" w:color="000000"/>
            </w:tcBorders>
            <w:shd w:val="clear" w:color="auto" w:fill="000000" w:themeFill="text1"/>
          </w:tcPr>
          <w:p w:rsidR="00BA1C84" w:rsidRPr="00BA1C84" w:rsidRDefault="00BA1C84" w:rsidP="00BA1C84">
            <w:pPr>
              <w:spacing w:before="60" w:after="60"/>
              <w:jc w:val="left"/>
              <w:rPr>
                <w:rFonts w:ascii="Times New Roman" w:eastAsia="Times New Roman" w:hAnsi="Times New Roman" w:cs="Times New Roman"/>
                <w:color w:val="FFFFFF" w:themeColor="background1"/>
                <w:sz w:val="16"/>
                <w:szCs w:val="16"/>
                <w:lang w:val="en-IE" w:eastAsia="en-IE"/>
              </w:rPr>
            </w:pPr>
            <w:r w:rsidRPr="00BA1C84">
              <w:rPr>
                <w:rFonts w:ascii="Times New Roman" w:eastAsia="Times New Roman" w:hAnsi="Times New Roman" w:cs="Times New Roman"/>
                <w:color w:val="FFFFFF" w:themeColor="background1"/>
                <w:sz w:val="16"/>
                <w:szCs w:val="16"/>
                <w:lang w:val="en-IE" w:eastAsia="en-IE"/>
              </w:rPr>
              <w:t>Comments (where applicable)</w:t>
            </w: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1</w:t>
            </w:r>
          </w:p>
        </w:tc>
        <w:tc>
          <w:tcPr>
            <w:tcW w:w="337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PERSONS RESPONSIBLE, THIRD PARTY INFORMATION, EXPERTS’ REPORTS AND COMPETENT AUTHORITY APPROVAL</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1.1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1.2</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declaration by those responsible for the securities note that to the best of their knowledge, the information contained in the securities note is in accordance with the facts and that the securities note makes no omission likely to affect its import.</w:t>
            </w:r>
          </w:p>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1.3</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a statement or report attributed to a person as an expert is included in the Securities Note, provide the following details for that person:</w:t>
            </w:r>
          </w:p>
          <w:tbl>
            <w:tblPr>
              <w:tblW w:w="5000" w:type="pct"/>
              <w:tblCellSpacing w:w="0" w:type="dxa"/>
              <w:tblLayout w:type="fixed"/>
              <w:tblCellMar>
                <w:left w:w="0" w:type="dxa"/>
                <w:right w:w="0" w:type="dxa"/>
              </w:tblCellMar>
              <w:tblLook w:val="04A0" w:firstRow="1" w:lastRow="0" w:firstColumn="1" w:lastColumn="0" w:noHBand="0" w:noVBand="1"/>
            </w:tblPr>
            <w:tblGrid>
              <w:gridCol w:w="1047"/>
              <w:gridCol w:w="2301"/>
            </w:tblGrid>
            <w:tr w:rsidR="00BA1C84" w:rsidRPr="00BA1C84" w:rsidTr="00BA1C84">
              <w:trPr>
                <w:tblCellSpacing w:w="0" w:type="dxa"/>
              </w:trPr>
              <w:tc>
                <w:tcPr>
                  <w:tcW w:w="826"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1815"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name;</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483"/>
              <w:gridCol w:w="2865"/>
            </w:tblGrid>
            <w:tr w:rsidR="00BA1C84" w:rsidRPr="00BA1C84" w:rsidTr="00BA1C84">
              <w:trPr>
                <w:tblCellSpacing w:w="0" w:type="dxa"/>
              </w:trPr>
              <w:tc>
                <w:tcPr>
                  <w:tcW w:w="38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26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business address;</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545"/>
              <w:gridCol w:w="2803"/>
            </w:tblGrid>
            <w:tr w:rsidR="00BA1C84" w:rsidRPr="00BA1C84" w:rsidTr="00BA1C84">
              <w:trPr>
                <w:tblCellSpacing w:w="0" w:type="dxa"/>
              </w:trPr>
              <w:tc>
                <w:tcPr>
                  <w:tcW w:w="43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w:t>
                  </w:r>
                </w:p>
              </w:tc>
              <w:tc>
                <w:tcPr>
                  <w:tcW w:w="221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qualifications;</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(d)</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material interest if any in the issuer.</w:t>
                  </w:r>
                </w:p>
              </w:tc>
            </w:tr>
          </w:tbl>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If the statement or report has been produced at the issuer’s request, state that such statement or report has been included in the securities note with the consent of the person who has authorised the contents of that part of the securities note for the purpose of the prospectus.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1.4</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addition, identify the source(s) of the information.</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1.5</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statement that:</w:t>
            </w:r>
          </w:p>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 xml:space="preserve">this [securities note/prospectus] has been approved by the [name of competent </w:t>
                  </w:r>
                  <w:r w:rsidRPr="00BA1C84">
                    <w:rPr>
                      <w:rFonts w:ascii="Times New Roman" w:eastAsia="Times New Roman" w:hAnsi="Times New Roman" w:cs="Times New Roman"/>
                      <w:color w:val="000000"/>
                      <w:sz w:val="16"/>
                      <w:szCs w:val="16"/>
                      <w:lang w:val="en-IE" w:eastAsia="en-IE"/>
                    </w:rPr>
                    <w:lastRenderedPageBreak/>
                    <w:t>authority], as competent authority under Regulation (EU) 2017/1129;</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[name of competent authority] only approves this [securities note/prospectus] as meeting the standards of completeness, comprehensibility and consistency imposed by Regulation (EU) 2017/1129;</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such approval should not be considered as an endorsement of the quality of the securities that are the subject of this [securities note/prospectus];</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(d)</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investors should make their own assessment as to the suitability of investing in the securities; and</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(e)</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that the [securities note/prospectus] has been drawn up as a simplified prospectus in accordance with Article 14 of Regulation (EU) 2017/1129.</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lastRenderedPageBreak/>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2</w:t>
            </w:r>
          </w:p>
        </w:tc>
        <w:tc>
          <w:tcPr>
            <w:tcW w:w="479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2F593B">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RISK FACTORS</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2.1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the material risks that are specific to the securities being offered and/or admitted to trading, in a limited number of categories, in a section headed ‘Risk Factors’.</w:t>
            </w:r>
          </w:p>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Risks to be disclosed shall include:</w:t>
            </w:r>
          </w:p>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 Directive 2014/59/EU;</w:t>
                  </w:r>
                </w:p>
              </w:tc>
            </w:tr>
          </w:tbl>
          <w:p w:rsidR="00BA1C84" w:rsidRPr="00BA1C84" w:rsidRDefault="00BA1C84" w:rsidP="002F593B">
            <w:pPr>
              <w:jc w:val="left"/>
              <w:rPr>
                <w:rFonts w:ascii="Times New Roman" w:eastAsia="Times New Roman" w:hAnsi="Times New Roman" w:cs="Times New Roman"/>
                <w:vanish/>
                <w:color w:val="000000"/>
                <w:sz w:val="16"/>
                <w:szCs w:val="16"/>
                <w:lang w:val="en-IE" w:eastAsia="en-IE"/>
              </w:rPr>
            </w:pPr>
          </w:p>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 cases where the securities are guaranteed, the specific and material risks related to the guarantor to the extent they are relevant to its ability to fulfil its commitment under the guarantee.</w:t>
                  </w:r>
                </w:p>
              </w:tc>
            </w:tr>
          </w:tbl>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3</w:t>
            </w:r>
          </w:p>
        </w:tc>
        <w:tc>
          <w:tcPr>
            <w:tcW w:w="479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2F593B">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ESSENTIAL INFORMATION</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3.1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Interest of natural and legal persons involved in the issue/offer</w:t>
            </w:r>
          </w:p>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any interest, including a conflict of interest that is material to the issue/offer, detailing the persons involved and the nature of the interest.</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3.2 (Retail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 xml:space="preserve">Reasons for the offer to the public or for the admission to trading if different from making profit and/or hedging certain risks. In case of an offer to the public, disclosure of the estimated total expenses of the issue/offer and the estimated net amount of the proceeds. These expenses and proceeds shall be broken into each principal </w:t>
            </w:r>
            <w:r w:rsidRPr="00BA1C84">
              <w:rPr>
                <w:rFonts w:ascii="Times New Roman" w:eastAsia="Times New Roman" w:hAnsi="Times New Roman" w:cs="Times New Roman"/>
                <w:color w:val="000000"/>
                <w:sz w:val="16"/>
                <w:szCs w:val="16"/>
                <w:lang w:val="en-IE" w:eastAsia="en-IE"/>
              </w:rPr>
              <w:lastRenderedPageBreak/>
              <w:t>intended use and presented in order of priority of such uses. If the issuer is aware that the anticipated proceeds will not be sufficient to fund all the proposed uses, then state the amount and sources of other funds needed.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lastRenderedPageBreak/>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3.3 (Wholesale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Reasons for the issuance if different from making profit and/or hedging certain risks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4</w:t>
            </w:r>
          </w:p>
        </w:tc>
        <w:tc>
          <w:tcPr>
            <w:tcW w:w="479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2F593B">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INFORMATION CONCERNING THE SECURITIES TO BE OFFERED/ADMITTED TO TRADING</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vMerge w:val="restart"/>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4.1</w:t>
            </w: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the type, class and amount of the securities being offered and/or admitted to trading;</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international security identification number (‘ISIN’) of the securities being offered and/or admitted to trading.</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4.2</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Currency of the securities issue.</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4.3</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 the case of new issues, a statement of the resolutions, authorisations and approvals by virtue of which the securities have been or will be created and/or issued.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4.4</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any restrictions on the transferability of the securities.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4.5 (Retail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warning that the tax legislation of the investor’s Member State and of the issuer’s country of incorporation may have an impact on the income received from the securities.</w:t>
            </w:r>
          </w:p>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Information on the taxation treatment of the securities where the proposed investment attracts a tax regime specific to that type of investment.</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4.6</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If different from the issuer, the identity and contact details of the offeror, of the securities and/or the person asking for admission to trading including the legal entity identifier (‘LEI’) where the offeror has legal personality.</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4.7</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relative seniority of the securities in the issuer’s capital structure in the event of insolvency, including, where applicable, information on the level of subordination of the securities and the potential impact on the investment in the event of a resolution under Directive 2014/59/EU.</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4.8</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the rights attached to the securities, including any limitations of those rights.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val="restart"/>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4.9</w:t>
            </w: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nominal interest rate;</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provisions relating to interest payable;</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date from which interest becomes payable and the due dates for interest.</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(d)</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time limit on the validity of claims to interest and repayment of principal.</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the rate is not fixed: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120"/>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 </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120"/>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120"/>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120"/>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statement setting out the type of underlying;</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the underlying on which the rate is based and of the method used to relate the rate with the underlying;</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 xml:space="preserve">in the case of retail non-equity securities, an indication where information about the past </w:t>
                  </w:r>
                  <w:r w:rsidRPr="00BA1C84">
                    <w:rPr>
                      <w:rFonts w:ascii="Times New Roman" w:eastAsia="Times New Roman" w:hAnsi="Times New Roman" w:cs="Times New Roman"/>
                      <w:color w:val="000000"/>
                      <w:sz w:val="16"/>
                      <w:szCs w:val="16"/>
                      <w:lang w:val="en-IE" w:eastAsia="en-IE"/>
                    </w:rPr>
                    <w:lastRenderedPageBreak/>
                    <w:t>and the future performance of the underlying and its volatility can be obtained;</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lastRenderedPageBreak/>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(d)</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any market disruption or settlement disruption events that affect the underlying;</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(e)</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any adjustment rules with relation to events concerning the underlying;</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04"/>
              <w:gridCol w:w="3044"/>
            </w:tblGrid>
            <w:tr w:rsidR="00BA1C84" w:rsidRPr="00BA1C84" w:rsidTr="00BA1C84">
              <w:trPr>
                <w:tblCellSpacing w:w="0" w:type="dxa"/>
              </w:trPr>
              <w:tc>
                <w:tcPr>
                  <w:tcW w:w="24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(f)</w:t>
                  </w:r>
                </w:p>
              </w:tc>
              <w:tc>
                <w:tcPr>
                  <w:tcW w:w="240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name of the calculation agent;</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(g)</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 the case of retail non-equity securities, 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val="restart"/>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4.10</w:t>
            </w: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549"/>
              <w:gridCol w:w="2799"/>
            </w:tblGrid>
            <w:tr w:rsidR="00BA1C84" w:rsidRPr="00BA1C84" w:rsidTr="00BA1C84">
              <w:trPr>
                <w:tblCellSpacing w:w="0" w:type="dxa"/>
              </w:trPr>
              <w:tc>
                <w:tcPr>
                  <w:tcW w:w="433"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208"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Maturity date.</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Details of the arrangements for the amortisation of the loan, including the repayment procedures.</w:t>
                  </w:r>
                </w:p>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advance amortisation is contemplated, on the initiative of the issuer or of the holder, it shall be described, stipulating amortisation terms and conditions.</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val="restart"/>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4.11</w:t>
            </w: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66"/>
              <w:gridCol w:w="2982"/>
            </w:tblGrid>
            <w:tr w:rsidR="00BA1C84" w:rsidRPr="00BA1C84" w:rsidTr="00BA1C84">
              <w:trPr>
                <w:tblCellSpacing w:w="0" w:type="dxa"/>
              </w:trPr>
              <w:tc>
                <w:tcPr>
                  <w:tcW w:w="289"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52"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An indication of yield.</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 the case of retail non-equity securities, description of the method of how the yield is calculated in summary form.</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4.15</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Representation of debt securities holders including an identification of the organisation representing the investors and provisions applying to such representation. Indication of the website where the public may have free access to the contracts relating to these forms of representation.</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4.16</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there is no offer, the issue date of the securities.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5</w:t>
            </w:r>
          </w:p>
        </w:tc>
        <w:tc>
          <w:tcPr>
            <w:tcW w:w="479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2F593B">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TERMS AND CONDITIONS OF THE OFFER (RETAIL ONLY)</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w:t>
            </w:r>
          </w:p>
        </w:tc>
        <w:tc>
          <w:tcPr>
            <w:tcW w:w="4796" w:type="dxa"/>
            <w:gridSpan w:val="2"/>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Conditions, offer statistics, expected timetable and action required to apply for the offer</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Conditions to which the offer is subject.</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5.1.2</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time period, including any possible amendments, during which the offer will be open and a description of the application process together with the issue date of new securities.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5.1.3</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the possibility to reduce subscriptions and the manner for refunding amounts paid in excess by applicants.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5.1.4</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Details of the minimum and/or maximum amount of application (whether in number of securities or aggregate amount to invest).</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5.1.5</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Method and time limits for paying up the securities and for delivery of the securities.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5.1.6</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full description of the manner and date in which results of the offer are to be made public.</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lastRenderedPageBreak/>
              <w:t>Item 5.1.7</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procedure for the exercise of any right of pre-emption, the negotiability of subscription rights and the treatment of subscription rights not exercised.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5.1.8</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Total amount of the issue/offer; if the amount is not fixed an indication of the amount of securities to be offered (if available) and a description of the arrangements and time for announcing to the public the definitive amount of the offer.</w:t>
            </w:r>
          </w:p>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Where the maximum amount of securities to be offered cannot be provided in the prospectus, the prospectus shall specify that acceptances of the purchase of subscription of securities may be withdrawn for not less than two working days after the amount of securities to be offered to the public has been filed.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5.2</w:t>
            </w:r>
          </w:p>
        </w:tc>
        <w:tc>
          <w:tcPr>
            <w:tcW w:w="4796" w:type="dxa"/>
            <w:gridSpan w:val="2"/>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Plan of distribution and allotment</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5.2.1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Process notifying applicants of the amount allotted and an indication whether dealing may begin before notification is made.</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5.3</w:t>
            </w:r>
          </w:p>
        </w:tc>
        <w:tc>
          <w:tcPr>
            <w:tcW w:w="4796" w:type="dxa"/>
            <w:gridSpan w:val="2"/>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Pricing</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val="restart"/>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5.3.1</w:t>
            </w: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an indication of the price at which the securities will be offered; or</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55"/>
              <w:gridCol w:w="2993"/>
            </w:tblGrid>
            <w:tr w:rsidR="00BA1C84" w:rsidRPr="00BA1C84" w:rsidTr="00BA1C84">
              <w:trPr>
                <w:tblCellSpacing w:w="0" w:type="dxa"/>
              </w:trPr>
              <w:tc>
                <w:tcPr>
                  <w:tcW w:w="280"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(b)</w:t>
                  </w:r>
                </w:p>
              </w:tc>
              <w:tc>
                <w:tcPr>
                  <w:tcW w:w="2361"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 description of the method for determining the price and the process for its disclosure.</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Merge/>
            <w:tcBorders>
              <w:top w:val="single" w:sz="6" w:space="0" w:color="000000"/>
              <w:left w:val="single" w:sz="6" w:space="0" w:color="000000"/>
              <w:bottom w:val="single" w:sz="6" w:space="0" w:color="000000"/>
              <w:right w:val="single" w:sz="6" w:space="0" w:color="000000"/>
            </w:tcBorders>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tcBorders>
              <w:top w:val="single" w:sz="6" w:space="0" w:color="000000"/>
              <w:left w:val="single" w:sz="6" w:space="0" w:color="000000"/>
              <w:bottom w:val="single" w:sz="6" w:space="0" w:color="000000"/>
              <w:right w:val="single" w:sz="6" w:space="0" w:color="000000"/>
            </w:tcBorders>
            <w:hideMark/>
          </w:tcPr>
          <w:tbl>
            <w:tblPr>
              <w:tblW w:w="5000" w:type="pct"/>
              <w:tblCellSpacing w:w="0" w:type="dxa"/>
              <w:tblLayout w:type="fixed"/>
              <w:tblCellMar>
                <w:left w:w="0" w:type="dxa"/>
                <w:right w:w="0" w:type="dxa"/>
              </w:tblCellMar>
              <w:tblLook w:val="04A0" w:firstRow="1" w:lastRow="0" w:firstColumn="1" w:lastColumn="0" w:noHBand="0" w:noVBand="1"/>
            </w:tblPr>
            <w:tblGrid>
              <w:gridCol w:w="338"/>
              <w:gridCol w:w="3010"/>
            </w:tblGrid>
            <w:tr w:rsidR="00BA1C84" w:rsidRPr="00BA1C84" w:rsidTr="00BA1C84">
              <w:trPr>
                <w:tblCellSpacing w:w="0" w:type="dxa"/>
              </w:trPr>
              <w:tc>
                <w:tcPr>
                  <w:tcW w:w="267"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w:t>
                  </w:r>
                </w:p>
              </w:tc>
              <w:tc>
                <w:tcPr>
                  <w:tcW w:w="2374" w:type="dxa"/>
                  <w:hideMark/>
                </w:tcPr>
                <w:p w:rsidR="00BA1C84" w:rsidRPr="00BA1C84" w:rsidRDefault="00BA1C84" w:rsidP="002F593B">
                  <w:pPr>
                    <w:spacing w:before="12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Indication of the amount of any expenses and taxes charged to the subscriber or purchaser. Where the issuer is subject to Regulation (EU) No 1286/2014 or Directive 2014/65/EU and to the extent that they are known, include those expenses contained in the price.</w:t>
                  </w:r>
                </w:p>
              </w:tc>
            </w:tr>
          </w:tbl>
          <w:p w:rsidR="00BA1C84" w:rsidRPr="00BA1C84" w:rsidRDefault="00BA1C84" w:rsidP="002F593B">
            <w:pPr>
              <w:jc w:val="left"/>
              <w:rPr>
                <w:rFonts w:ascii="Times New Roman" w:eastAsia="Times New Roman" w:hAnsi="Times New Roman" w:cs="Times New Roman"/>
                <w:color w:val="000000"/>
                <w:sz w:val="16"/>
                <w:szCs w:val="16"/>
                <w:lang w:val="en-IE" w:eastAsia="en-IE"/>
              </w:rPr>
            </w:pP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5.4.</w:t>
            </w:r>
          </w:p>
        </w:tc>
        <w:tc>
          <w:tcPr>
            <w:tcW w:w="4796" w:type="dxa"/>
            <w:gridSpan w:val="2"/>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Placing and underwriting</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5.4.1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Name and address of the coordinator(s) of the global offer and of single parts of the offer and, to the extent known to the issuer or to the offeror, of the placers in the various countries where the offer takes place</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5.4.2</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Name and address of any paying agents and depository agents in each country.</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5.4.3</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5.4.4</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When the underwriting agreement has been or will be reached.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6</w:t>
            </w:r>
          </w:p>
        </w:tc>
        <w:tc>
          <w:tcPr>
            <w:tcW w:w="479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2F593B">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ADMISSION TO TRADING AND DEALING ARRANGEMENTS</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6.1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 xml:space="preserve">An indication as to whether the securities offered are or will be the object of an application for admission to trading, with a view to their distribution in a regulated market, other equivalent </w:t>
            </w:r>
            <w:r w:rsidRPr="00BA1C84">
              <w:rPr>
                <w:rFonts w:ascii="Times New Roman" w:eastAsia="Times New Roman" w:hAnsi="Times New Roman" w:cs="Times New Roman"/>
                <w:color w:val="000000"/>
                <w:sz w:val="16"/>
                <w:szCs w:val="16"/>
                <w:lang w:val="en-IE" w:eastAsia="en-IE"/>
              </w:rPr>
              <w:lastRenderedPageBreak/>
              <w:t>third country markets or an SME Growth Market with an indication of the markets in question. This circumstance must be set out, without creating the impression that the admission to trading will necessarily be approved. If known, the earliest dates on which the securities will be admitted to trading.</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lastRenderedPageBreak/>
              <w:t>Category B</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6.2 (Retail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All the regulated markets, equivalent third country markets or SME Growth Markets on which, to the knowledge of the issuer, securities of the same class of the securities to be offered or admitted to trading are already admitted to trading.</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6.3 (Retail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The issue price of the securities.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6.4 (Wholesale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An estimate of the total expenses related to the admission to trading.</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6.5</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Name and address of any paying agents and depositary agents in each country.</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color w:val="000000"/>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BA1C84">
        <w:trPr>
          <w:tblCellSpacing w:w="0" w:type="dxa"/>
        </w:trPr>
        <w:tc>
          <w:tcPr>
            <w:tcW w:w="1150" w:type="dxa"/>
            <w:vAlign w:val="center"/>
            <w:hideMark/>
          </w:tcPr>
          <w:p w:rsidR="00BA1C84" w:rsidRPr="00BA1C84" w:rsidRDefault="00BA1C84" w:rsidP="00BA1C84">
            <w:pPr>
              <w:jc w:val="left"/>
              <w:rPr>
                <w:rFonts w:ascii="Times New Roman" w:eastAsia="Times New Roman" w:hAnsi="Times New Roman" w:cs="Times New Roman"/>
                <w:b/>
                <w:sz w:val="16"/>
                <w:szCs w:val="16"/>
                <w:lang w:val="en-IE" w:eastAsia="en-IE"/>
              </w:rPr>
            </w:pPr>
          </w:p>
        </w:tc>
        <w:tc>
          <w:tcPr>
            <w:tcW w:w="3378" w:type="dxa"/>
            <w:vAlign w:val="center"/>
            <w:hideMark/>
          </w:tcPr>
          <w:p w:rsidR="00BA1C84" w:rsidRPr="00BA1C84" w:rsidRDefault="00BA1C84" w:rsidP="002F593B">
            <w:pPr>
              <w:jc w:val="left"/>
              <w:rPr>
                <w:rFonts w:ascii="Times New Roman" w:eastAsia="Times New Roman" w:hAnsi="Times New Roman" w:cs="Times New Roman"/>
                <w:sz w:val="16"/>
                <w:szCs w:val="16"/>
                <w:lang w:val="en-IE" w:eastAsia="en-IE"/>
              </w:rPr>
            </w:pPr>
          </w:p>
        </w:tc>
        <w:tc>
          <w:tcPr>
            <w:tcW w:w="1418" w:type="dxa"/>
            <w:vAlign w:val="center"/>
            <w:hideMark/>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567"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132" w:type="dxa"/>
          </w:tcPr>
          <w:p w:rsidR="00BA1C84" w:rsidRPr="00BA1C84" w:rsidRDefault="00BA1C84" w:rsidP="00BA1C84">
            <w:pPr>
              <w:jc w:val="left"/>
              <w:rPr>
                <w:rFonts w:ascii="Times New Roman" w:eastAsia="Times New Roman" w:hAnsi="Times New Roman" w:cs="Times New Roman"/>
                <w:sz w:val="16"/>
                <w:szCs w:val="16"/>
                <w:lang w:val="en-IE" w:eastAsia="en-IE"/>
              </w:rPr>
            </w:pPr>
          </w:p>
        </w:tc>
        <w:tc>
          <w:tcPr>
            <w:tcW w:w="1275" w:type="dxa"/>
          </w:tcPr>
          <w:p w:rsidR="00BA1C84" w:rsidRPr="00BA1C84" w:rsidRDefault="00BA1C84" w:rsidP="00BA1C84">
            <w:pPr>
              <w:jc w:val="left"/>
              <w:rPr>
                <w:rFonts w:ascii="Times New Roman" w:eastAsia="Times New Roman" w:hAnsi="Times New Roman" w:cs="Times New Roman"/>
                <w:sz w:val="16"/>
                <w:szCs w:val="16"/>
                <w:lang w:val="en-IE" w:eastAsia="en-IE"/>
              </w:rPr>
            </w:pPr>
          </w:p>
        </w:tc>
      </w:tr>
      <w:tr w:rsidR="00BA1C84" w:rsidRPr="00BA1C84" w:rsidTr="002F593B">
        <w:trPr>
          <w:tblCellSpacing w:w="0" w:type="dxa"/>
        </w:trPr>
        <w:tc>
          <w:tcPr>
            <w:tcW w:w="115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SECTION 7</w:t>
            </w:r>
          </w:p>
        </w:tc>
        <w:tc>
          <w:tcPr>
            <w:tcW w:w="479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BA1C84" w:rsidRPr="002F593B" w:rsidRDefault="00BA1C84" w:rsidP="002F593B">
            <w:pPr>
              <w:spacing w:before="60" w:after="60"/>
              <w:jc w:val="left"/>
              <w:rPr>
                <w:rFonts w:ascii="Times New Roman" w:eastAsia="Times New Roman" w:hAnsi="Times New Roman" w:cs="Times New Roman"/>
                <w:b/>
                <w:color w:val="000000"/>
                <w:sz w:val="16"/>
                <w:szCs w:val="16"/>
                <w:lang w:val="en-IE" w:eastAsia="en-IE"/>
              </w:rPr>
            </w:pPr>
            <w:r w:rsidRPr="002F593B">
              <w:rPr>
                <w:rFonts w:ascii="Times New Roman" w:eastAsia="Times New Roman" w:hAnsi="Times New Roman" w:cs="Times New Roman"/>
                <w:b/>
                <w:color w:val="000000"/>
                <w:sz w:val="16"/>
                <w:szCs w:val="16"/>
                <w:lang w:val="en-IE" w:eastAsia="en-IE"/>
              </w:rPr>
              <w:t>ADDITIONAL INFORMATION</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BA1C84" w:rsidRPr="002F593B" w:rsidRDefault="00BA1C84" w:rsidP="00BA1C84">
            <w:pPr>
              <w:spacing w:before="60" w:after="60"/>
              <w:jc w:val="left"/>
              <w:rPr>
                <w:rFonts w:ascii="Times New Roman" w:eastAsia="Times New Roman" w:hAnsi="Times New Roman" w:cs="Times New Roman"/>
                <w:b/>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7.1</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If advisors connected with an issue are referred to in the securities note, a statement of the capacity in which the advisors have acted.</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7.2</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An indication of other information in the securities note which has been audited or reviewed by statutory auditors and where auditors have produced a report. Reproduction of the report or, with permission of the competent authority, a summary of the report.</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A</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7.3 (Retail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Credit ratings assigned to the securities at the request or with the cooperation of the issuer in the rating process. A brief explanation of the meaning of the ratings if this has previously been published by the rating provider.</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7.4 (Wholesale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An estimate of the total expenses related to the admission to trading.</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r w:rsidR="00BA1C84" w:rsidRPr="00BA1C84" w:rsidTr="00BA1C84">
        <w:trPr>
          <w:tblCellSpacing w:w="0" w:type="dxa"/>
        </w:trPr>
        <w:tc>
          <w:tcPr>
            <w:tcW w:w="1150"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b/>
                <w:color w:val="000000"/>
                <w:sz w:val="16"/>
                <w:szCs w:val="16"/>
                <w:lang w:val="en-IE" w:eastAsia="en-IE"/>
              </w:rPr>
            </w:pPr>
            <w:r w:rsidRPr="00BA1C84">
              <w:rPr>
                <w:rFonts w:ascii="Times New Roman" w:eastAsia="Times New Roman" w:hAnsi="Times New Roman" w:cs="Times New Roman"/>
                <w:b/>
                <w:color w:val="000000"/>
                <w:sz w:val="16"/>
                <w:szCs w:val="16"/>
                <w:lang w:val="en-IE" w:eastAsia="en-IE"/>
              </w:rPr>
              <w:t>Item 7.5 (Wholesale only)</w:t>
            </w:r>
          </w:p>
        </w:tc>
        <w:tc>
          <w:tcPr>
            <w:tcW w:w="337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2F593B">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Credit ratings assigned to the securities at the request or with the cooperation of the issuer in the rating process.</w:t>
            </w:r>
          </w:p>
        </w:tc>
        <w:tc>
          <w:tcPr>
            <w:tcW w:w="1418" w:type="dxa"/>
            <w:tcBorders>
              <w:top w:val="single" w:sz="6" w:space="0" w:color="000000"/>
              <w:left w:val="single" w:sz="6" w:space="0" w:color="000000"/>
              <w:bottom w:val="single" w:sz="6" w:space="0" w:color="000000"/>
              <w:right w:val="single" w:sz="6" w:space="0" w:color="000000"/>
            </w:tcBorders>
            <w:hideMark/>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r w:rsidRPr="00BA1C84">
              <w:rPr>
                <w:rFonts w:ascii="Times New Roman" w:eastAsia="Times New Roman" w:hAnsi="Times New Roman" w:cs="Times New Roman"/>
                <w:color w:val="000000"/>
                <w:sz w:val="16"/>
                <w:szCs w:val="16"/>
                <w:lang w:val="en-IE" w:eastAsia="en-IE"/>
              </w:rPr>
              <w:t>Category C</w:t>
            </w:r>
          </w:p>
        </w:tc>
        <w:tc>
          <w:tcPr>
            <w:tcW w:w="567"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132"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c>
          <w:tcPr>
            <w:tcW w:w="1275" w:type="dxa"/>
            <w:tcBorders>
              <w:top w:val="single" w:sz="6" w:space="0" w:color="000000"/>
              <w:left w:val="single" w:sz="6" w:space="0" w:color="000000"/>
              <w:bottom w:val="single" w:sz="6" w:space="0" w:color="000000"/>
              <w:right w:val="single" w:sz="6" w:space="0" w:color="000000"/>
            </w:tcBorders>
          </w:tcPr>
          <w:p w:rsidR="00BA1C84" w:rsidRPr="00BA1C84" w:rsidRDefault="00BA1C84" w:rsidP="00BA1C84">
            <w:pPr>
              <w:spacing w:before="60" w:after="60"/>
              <w:jc w:val="left"/>
              <w:rPr>
                <w:rFonts w:ascii="Times New Roman" w:eastAsia="Times New Roman" w:hAnsi="Times New Roman" w:cs="Times New Roman"/>
                <w:color w:val="000000"/>
                <w:sz w:val="16"/>
                <w:szCs w:val="16"/>
                <w:lang w:val="en-IE" w:eastAsia="en-IE"/>
              </w:rPr>
            </w:pPr>
          </w:p>
        </w:tc>
      </w:tr>
    </w:tbl>
    <w:p w:rsidR="009E1FF7" w:rsidRPr="00BA1C84" w:rsidRDefault="009E1FF7" w:rsidP="009B3634">
      <w:pPr>
        <w:spacing w:before="240" w:after="60"/>
        <w:jc w:val="left"/>
        <w:rPr>
          <w:rFonts w:ascii="Times New Roman" w:eastAsia="Times New Roman" w:hAnsi="Times New Roman" w:cs="Times New Roman"/>
          <w:color w:val="000000"/>
          <w:sz w:val="16"/>
          <w:szCs w:val="16"/>
          <w:lang w:val="en-IE" w:eastAsia="en-IE"/>
        </w:rPr>
      </w:pPr>
    </w:p>
    <w:sectPr w:rsidR="009E1FF7" w:rsidRPr="00BA1C84" w:rsidSect="00055CE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1F7" w:rsidRDefault="005011F7" w:rsidP="007B3734">
      <w:r>
        <w:separator/>
      </w:r>
    </w:p>
  </w:endnote>
  <w:endnote w:type="continuationSeparator" w:id="0">
    <w:p w:rsidR="005011F7" w:rsidRDefault="005011F7" w:rsidP="007B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 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9C" w:rsidRDefault="00AA1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9C" w:rsidRDefault="00AA1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89C" w:rsidRDefault="00AA1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1F7" w:rsidRDefault="005011F7" w:rsidP="007B3734">
      <w:r>
        <w:separator/>
      </w:r>
    </w:p>
  </w:footnote>
  <w:footnote w:type="continuationSeparator" w:id="0">
    <w:p w:rsidR="005011F7" w:rsidRDefault="005011F7" w:rsidP="007B3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84" w:rsidRPr="00463E7A" w:rsidRDefault="001F3C0F" w:rsidP="001F3C0F">
    <w:pPr>
      <w:pStyle w:val="Header"/>
      <w:jc w:val="left"/>
    </w:pPr>
    <w:fldSimple w:instr=" DOCPROPERTY bjHeaderEvenPageDocProperty \* MERGEFORMAT " w:fldLock="1">
      <w:r w:rsidRPr="001F3C0F">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84" w:rsidRPr="00463E7A" w:rsidRDefault="001F3C0F" w:rsidP="001F3C0F">
    <w:pPr>
      <w:pStyle w:val="Header"/>
      <w:jc w:val="left"/>
    </w:pPr>
    <w:fldSimple w:instr=" DOCPROPERTY bjHeaderBothDocProperty \* MERGEFORMAT " w:fldLock="1">
      <w:r w:rsidRPr="001F3C0F">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84" w:rsidRPr="00463E7A" w:rsidRDefault="001F3C0F" w:rsidP="001F3C0F">
    <w:pPr>
      <w:pStyle w:val="Header"/>
      <w:jc w:val="left"/>
    </w:pPr>
    <w:fldSimple w:instr=" DOCPROPERTY bjHeaderFirstPageDocProperty \* MERGEFORMAT " w:fldLock="1">
      <w:r w:rsidRPr="001F3C0F">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52B3"/>
    <w:multiLevelType w:val="hybridMultilevel"/>
    <w:tmpl w:val="CB2E50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3704BC"/>
    <w:multiLevelType w:val="hybridMultilevel"/>
    <w:tmpl w:val="9F92332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42303B"/>
    <w:multiLevelType w:val="hybridMultilevel"/>
    <w:tmpl w:val="2A7E9D6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772DCE"/>
    <w:multiLevelType w:val="hybridMultilevel"/>
    <w:tmpl w:val="2EAE502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8C55F7"/>
    <w:multiLevelType w:val="hybridMultilevel"/>
    <w:tmpl w:val="0B249DA0"/>
    <w:lvl w:ilvl="0" w:tplc="D71E3300">
      <w:start w:val="1"/>
      <w:numFmt w:val="lowerLetter"/>
      <w:lvlText w:val="(%1)"/>
      <w:lvlJc w:val="left"/>
      <w:pPr>
        <w:ind w:left="810" w:hanging="45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02A4BBA"/>
    <w:multiLevelType w:val="hybridMultilevel"/>
    <w:tmpl w:val="E744BAF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91B5ABE"/>
    <w:multiLevelType w:val="hybridMultilevel"/>
    <w:tmpl w:val="EE549D8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660980"/>
    <w:multiLevelType w:val="hybridMultilevel"/>
    <w:tmpl w:val="2FEC00B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8023D6"/>
    <w:multiLevelType w:val="hybridMultilevel"/>
    <w:tmpl w:val="0D1AE17E"/>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C8B1473"/>
    <w:multiLevelType w:val="hybridMultilevel"/>
    <w:tmpl w:val="924023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04910EE"/>
    <w:multiLevelType w:val="hybridMultilevel"/>
    <w:tmpl w:val="EB34BB4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537D20"/>
    <w:multiLevelType w:val="hybridMultilevel"/>
    <w:tmpl w:val="9CF6316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27424B"/>
    <w:multiLevelType w:val="hybridMultilevel"/>
    <w:tmpl w:val="0FEE72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33A004A"/>
    <w:multiLevelType w:val="hybridMultilevel"/>
    <w:tmpl w:val="D0F4B67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712759D"/>
    <w:multiLevelType w:val="hybridMultilevel"/>
    <w:tmpl w:val="2C6E07D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71B42A7"/>
    <w:multiLevelType w:val="hybridMultilevel"/>
    <w:tmpl w:val="98E05A2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9B47CB0"/>
    <w:multiLevelType w:val="hybridMultilevel"/>
    <w:tmpl w:val="6FA6C61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4C74B3D"/>
    <w:multiLevelType w:val="hybridMultilevel"/>
    <w:tmpl w:val="67B63F68"/>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6CE168B"/>
    <w:multiLevelType w:val="hybridMultilevel"/>
    <w:tmpl w:val="60C0350E"/>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6E0345F"/>
    <w:multiLevelType w:val="hybridMultilevel"/>
    <w:tmpl w:val="9C44535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2280DCA"/>
    <w:multiLevelType w:val="hybridMultilevel"/>
    <w:tmpl w:val="77322E4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4057821"/>
    <w:multiLevelType w:val="hybridMultilevel"/>
    <w:tmpl w:val="ACE2F9F2"/>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6EB2F12"/>
    <w:multiLevelType w:val="hybridMultilevel"/>
    <w:tmpl w:val="525608E6"/>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76E6492"/>
    <w:multiLevelType w:val="hybridMultilevel"/>
    <w:tmpl w:val="E228B3F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72E0C1E"/>
    <w:multiLevelType w:val="hybridMultilevel"/>
    <w:tmpl w:val="FFF4EDAC"/>
    <w:lvl w:ilvl="0" w:tplc="5BC6200E">
      <w:start w:val="1"/>
      <w:numFmt w:val="lowerLetter"/>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D970C19"/>
    <w:multiLevelType w:val="hybridMultilevel"/>
    <w:tmpl w:val="7EFE74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3640A94"/>
    <w:multiLevelType w:val="hybridMultilevel"/>
    <w:tmpl w:val="1EAC2C1A"/>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7144DD"/>
    <w:multiLevelType w:val="hybridMultilevel"/>
    <w:tmpl w:val="1D4C612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E833401"/>
    <w:multiLevelType w:val="hybridMultilevel"/>
    <w:tmpl w:val="72CC7070"/>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E8D4C0D"/>
    <w:multiLevelType w:val="hybridMultilevel"/>
    <w:tmpl w:val="4AC4CAEC"/>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FE12918"/>
    <w:multiLevelType w:val="hybridMultilevel"/>
    <w:tmpl w:val="63228A84"/>
    <w:lvl w:ilvl="0" w:tplc="8C0045D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28"/>
  </w:num>
  <w:num w:numId="3">
    <w:abstractNumId w:val="29"/>
  </w:num>
  <w:num w:numId="4">
    <w:abstractNumId w:val="26"/>
  </w:num>
  <w:num w:numId="5">
    <w:abstractNumId w:val="14"/>
  </w:num>
  <w:num w:numId="6">
    <w:abstractNumId w:val="17"/>
  </w:num>
  <w:num w:numId="7">
    <w:abstractNumId w:val="24"/>
  </w:num>
  <w:num w:numId="8">
    <w:abstractNumId w:val="8"/>
  </w:num>
  <w:num w:numId="9">
    <w:abstractNumId w:val="4"/>
  </w:num>
  <w:num w:numId="10">
    <w:abstractNumId w:val="12"/>
  </w:num>
  <w:num w:numId="11">
    <w:abstractNumId w:val="10"/>
  </w:num>
  <w:num w:numId="12">
    <w:abstractNumId w:val="5"/>
  </w:num>
  <w:num w:numId="13">
    <w:abstractNumId w:val="3"/>
  </w:num>
  <w:num w:numId="14">
    <w:abstractNumId w:val="16"/>
  </w:num>
  <w:num w:numId="15">
    <w:abstractNumId w:val="18"/>
  </w:num>
  <w:num w:numId="16">
    <w:abstractNumId w:val="20"/>
  </w:num>
  <w:num w:numId="17">
    <w:abstractNumId w:val="22"/>
  </w:num>
  <w:num w:numId="18">
    <w:abstractNumId w:val="23"/>
  </w:num>
  <w:num w:numId="19">
    <w:abstractNumId w:val="11"/>
  </w:num>
  <w:num w:numId="20">
    <w:abstractNumId w:val="0"/>
  </w:num>
  <w:num w:numId="21">
    <w:abstractNumId w:val="1"/>
  </w:num>
  <w:num w:numId="22">
    <w:abstractNumId w:val="15"/>
  </w:num>
  <w:num w:numId="23">
    <w:abstractNumId w:val="27"/>
  </w:num>
  <w:num w:numId="24">
    <w:abstractNumId w:val="13"/>
  </w:num>
  <w:num w:numId="25">
    <w:abstractNumId w:val="6"/>
  </w:num>
  <w:num w:numId="26">
    <w:abstractNumId w:val="7"/>
  </w:num>
  <w:num w:numId="27">
    <w:abstractNumId w:val="30"/>
  </w:num>
  <w:num w:numId="28">
    <w:abstractNumId w:val="21"/>
  </w:num>
  <w:num w:numId="29">
    <w:abstractNumId w:val="2"/>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FD"/>
    <w:rsid w:val="00040EDC"/>
    <w:rsid w:val="00055CE0"/>
    <w:rsid w:val="000834FD"/>
    <w:rsid w:val="000B1CF5"/>
    <w:rsid w:val="000C0136"/>
    <w:rsid w:val="000D6B0A"/>
    <w:rsid w:val="000E2935"/>
    <w:rsid w:val="00126FF8"/>
    <w:rsid w:val="001469EA"/>
    <w:rsid w:val="001C1DFC"/>
    <w:rsid w:val="001F3C0F"/>
    <w:rsid w:val="002010F7"/>
    <w:rsid w:val="00223D08"/>
    <w:rsid w:val="00240637"/>
    <w:rsid w:val="00243F71"/>
    <w:rsid w:val="002461E0"/>
    <w:rsid w:val="00261A2E"/>
    <w:rsid w:val="00284B88"/>
    <w:rsid w:val="00292A1F"/>
    <w:rsid w:val="00293B4C"/>
    <w:rsid w:val="002A5169"/>
    <w:rsid w:val="002D0FA2"/>
    <w:rsid w:val="002F593B"/>
    <w:rsid w:val="00383B26"/>
    <w:rsid w:val="003866B8"/>
    <w:rsid w:val="003A6BF8"/>
    <w:rsid w:val="003B1B02"/>
    <w:rsid w:val="003F6AED"/>
    <w:rsid w:val="00463E7A"/>
    <w:rsid w:val="0048509B"/>
    <w:rsid w:val="00485321"/>
    <w:rsid w:val="0048553E"/>
    <w:rsid w:val="004871D6"/>
    <w:rsid w:val="0049136E"/>
    <w:rsid w:val="00492717"/>
    <w:rsid w:val="004A3559"/>
    <w:rsid w:val="004E77C6"/>
    <w:rsid w:val="004F0B3E"/>
    <w:rsid w:val="004F23B5"/>
    <w:rsid w:val="004F5055"/>
    <w:rsid w:val="005011F7"/>
    <w:rsid w:val="0056728E"/>
    <w:rsid w:val="00573763"/>
    <w:rsid w:val="005A222B"/>
    <w:rsid w:val="005A7B1C"/>
    <w:rsid w:val="005C5BCA"/>
    <w:rsid w:val="0062058C"/>
    <w:rsid w:val="00667FB1"/>
    <w:rsid w:val="00682754"/>
    <w:rsid w:val="006B14ED"/>
    <w:rsid w:val="006C3378"/>
    <w:rsid w:val="006E5976"/>
    <w:rsid w:val="006E757F"/>
    <w:rsid w:val="00733393"/>
    <w:rsid w:val="0079322D"/>
    <w:rsid w:val="007A5B92"/>
    <w:rsid w:val="007B3734"/>
    <w:rsid w:val="007D4572"/>
    <w:rsid w:val="007E7B21"/>
    <w:rsid w:val="007F586C"/>
    <w:rsid w:val="008146B1"/>
    <w:rsid w:val="00822ADB"/>
    <w:rsid w:val="008314BC"/>
    <w:rsid w:val="00865737"/>
    <w:rsid w:val="008715E2"/>
    <w:rsid w:val="00872934"/>
    <w:rsid w:val="008844A5"/>
    <w:rsid w:val="00894115"/>
    <w:rsid w:val="008A5AC5"/>
    <w:rsid w:val="00903425"/>
    <w:rsid w:val="00904AFE"/>
    <w:rsid w:val="009802AA"/>
    <w:rsid w:val="009B3634"/>
    <w:rsid w:val="009E09E3"/>
    <w:rsid w:val="009E1FF7"/>
    <w:rsid w:val="00A00382"/>
    <w:rsid w:val="00A165B7"/>
    <w:rsid w:val="00A93C7F"/>
    <w:rsid w:val="00AA0AD6"/>
    <w:rsid w:val="00AA189C"/>
    <w:rsid w:val="00AF1E40"/>
    <w:rsid w:val="00AF4DCD"/>
    <w:rsid w:val="00AF712A"/>
    <w:rsid w:val="00B14764"/>
    <w:rsid w:val="00B42C23"/>
    <w:rsid w:val="00BA1C84"/>
    <w:rsid w:val="00BA48E9"/>
    <w:rsid w:val="00BC34E3"/>
    <w:rsid w:val="00BD3CA8"/>
    <w:rsid w:val="00BF606D"/>
    <w:rsid w:val="00C22CE6"/>
    <w:rsid w:val="00C402FA"/>
    <w:rsid w:val="00C46870"/>
    <w:rsid w:val="00C5150A"/>
    <w:rsid w:val="00C64761"/>
    <w:rsid w:val="00C979A0"/>
    <w:rsid w:val="00CB7FBD"/>
    <w:rsid w:val="00CC0725"/>
    <w:rsid w:val="00D103A7"/>
    <w:rsid w:val="00D722E4"/>
    <w:rsid w:val="00D7521D"/>
    <w:rsid w:val="00DA28A6"/>
    <w:rsid w:val="00DE4013"/>
    <w:rsid w:val="00E17AC2"/>
    <w:rsid w:val="00E63A41"/>
    <w:rsid w:val="00E904C6"/>
    <w:rsid w:val="00E946E3"/>
    <w:rsid w:val="00E954DD"/>
    <w:rsid w:val="00EA4A49"/>
    <w:rsid w:val="00EA6B7B"/>
    <w:rsid w:val="00ED6E16"/>
    <w:rsid w:val="00EF0A96"/>
    <w:rsid w:val="00EF2729"/>
    <w:rsid w:val="00F02CE4"/>
    <w:rsid w:val="00F31BA2"/>
    <w:rsid w:val="00F53BC2"/>
    <w:rsid w:val="00F574F9"/>
    <w:rsid w:val="00F769D1"/>
    <w:rsid w:val="00F76F5A"/>
    <w:rsid w:val="00FC2622"/>
    <w:rsid w:val="00FE07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FD"/>
    <w:pPr>
      <w:spacing w:after="0" w:line="240" w:lineRule="auto"/>
      <w:jc w:val="both"/>
    </w:pPr>
    <w:rPr>
      <w:rFonts w:ascii="Arial" w:eastAsia="SimSu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382"/>
    <w:rPr>
      <w:rFonts w:ascii="Tahoma" w:hAnsi="Tahoma" w:cs="Tahoma"/>
      <w:sz w:val="16"/>
      <w:szCs w:val="16"/>
    </w:rPr>
  </w:style>
  <w:style w:type="character" w:customStyle="1" w:styleId="BalloonTextChar">
    <w:name w:val="Balloon Text Char"/>
    <w:basedOn w:val="DefaultParagraphFont"/>
    <w:link w:val="BalloonText"/>
    <w:uiPriority w:val="99"/>
    <w:semiHidden/>
    <w:rsid w:val="00A00382"/>
    <w:rPr>
      <w:rFonts w:ascii="Tahoma" w:eastAsia="SimSun" w:hAnsi="Tahoma" w:cs="Tahoma"/>
      <w:sz w:val="16"/>
      <w:szCs w:val="16"/>
      <w:lang w:val="en-GB" w:eastAsia="zh-CN"/>
    </w:rPr>
  </w:style>
  <w:style w:type="paragraph" w:styleId="Header">
    <w:name w:val="header"/>
    <w:basedOn w:val="Normal"/>
    <w:link w:val="HeaderChar"/>
    <w:uiPriority w:val="99"/>
    <w:unhideWhenUsed/>
    <w:rsid w:val="007B3734"/>
    <w:pPr>
      <w:tabs>
        <w:tab w:val="center" w:pos="4513"/>
        <w:tab w:val="right" w:pos="9026"/>
      </w:tabs>
    </w:pPr>
  </w:style>
  <w:style w:type="character" w:customStyle="1" w:styleId="HeaderChar">
    <w:name w:val="Header Char"/>
    <w:basedOn w:val="DefaultParagraphFont"/>
    <w:link w:val="Header"/>
    <w:uiPriority w:val="99"/>
    <w:rsid w:val="007B3734"/>
    <w:rPr>
      <w:rFonts w:ascii="Arial" w:eastAsia="SimSun" w:hAnsi="Arial" w:cs="Arial"/>
      <w:lang w:val="en-GB" w:eastAsia="zh-CN"/>
    </w:rPr>
  </w:style>
  <w:style w:type="paragraph" w:styleId="Footer">
    <w:name w:val="footer"/>
    <w:basedOn w:val="Normal"/>
    <w:link w:val="FooterChar"/>
    <w:uiPriority w:val="99"/>
    <w:unhideWhenUsed/>
    <w:rsid w:val="007B3734"/>
    <w:pPr>
      <w:tabs>
        <w:tab w:val="center" w:pos="4513"/>
        <w:tab w:val="right" w:pos="9026"/>
      </w:tabs>
    </w:pPr>
  </w:style>
  <w:style w:type="character" w:customStyle="1" w:styleId="FooterChar">
    <w:name w:val="Footer Char"/>
    <w:basedOn w:val="DefaultParagraphFont"/>
    <w:link w:val="Footer"/>
    <w:uiPriority w:val="99"/>
    <w:rsid w:val="007B3734"/>
    <w:rPr>
      <w:rFonts w:ascii="Arial" w:eastAsia="SimSun" w:hAnsi="Arial" w:cs="Arial"/>
      <w:lang w:val="en-GB" w:eastAsia="zh-CN"/>
    </w:rPr>
  </w:style>
  <w:style w:type="paragraph" w:customStyle="1" w:styleId="Default">
    <w:name w:val="Default"/>
    <w:rsid w:val="003B1B0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946E3"/>
    <w:pPr>
      <w:ind w:left="720"/>
      <w:contextualSpacing/>
    </w:pPr>
  </w:style>
  <w:style w:type="paragraph" w:customStyle="1" w:styleId="CM1">
    <w:name w:val="CM1"/>
    <w:basedOn w:val="Default"/>
    <w:next w:val="Default"/>
    <w:uiPriority w:val="99"/>
    <w:rsid w:val="00C22CE6"/>
    <w:rPr>
      <w:rFonts w:ascii="EU Albertina" w:hAnsi="EU Albertina" w:cstheme="minorBidi"/>
      <w:color w:val="auto"/>
    </w:rPr>
  </w:style>
  <w:style w:type="paragraph" w:customStyle="1" w:styleId="CM3">
    <w:name w:val="CM3"/>
    <w:basedOn w:val="Default"/>
    <w:next w:val="Default"/>
    <w:uiPriority w:val="99"/>
    <w:rsid w:val="00C22CE6"/>
    <w:rPr>
      <w:rFonts w:ascii="EU Albertina" w:hAnsi="EU Albertina" w:cstheme="minorBidi"/>
      <w:color w:val="auto"/>
    </w:rPr>
  </w:style>
  <w:style w:type="paragraph" w:customStyle="1" w:styleId="CM4">
    <w:name w:val="CM4"/>
    <w:basedOn w:val="Default"/>
    <w:next w:val="Default"/>
    <w:uiPriority w:val="99"/>
    <w:rsid w:val="00C22CE6"/>
    <w:rPr>
      <w:rFonts w:ascii="EU Albertina" w:hAnsi="EU Albertina" w:cstheme="minorBidi"/>
      <w:color w:val="auto"/>
    </w:rPr>
  </w:style>
  <w:style w:type="paragraph" w:customStyle="1" w:styleId="Normal1">
    <w:name w:val="Normal1"/>
    <w:basedOn w:val="Normal"/>
    <w:rsid w:val="000B1CF5"/>
    <w:pPr>
      <w:spacing w:before="120"/>
    </w:pPr>
    <w:rPr>
      <w:rFonts w:ascii="Times New Roman" w:eastAsia="Times New Roman" w:hAnsi="Times New Roman" w:cs="Times New Roman"/>
      <w:sz w:val="24"/>
      <w:szCs w:val="24"/>
      <w:lang w:val="en-IE" w:eastAsia="en-IE"/>
    </w:rPr>
  </w:style>
  <w:style w:type="paragraph" w:customStyle="1" w:styleId="tbl-txt">
    <w:name w:val="tbl-txt"/>
    <w:basedOn w:val="Normal"/>
    <w:rsid w:val="000B1CF5"/>
    <w:pPr>
      <w:spacing w:before="60" w:after="60"/>
      <w:jc w:val="left"/>
    </w:pPr>
    <w:rPr>
      <w:rFonts w:ascii="Times New Roman" w:eastAsia="Times New Roman" w:hAnsi="Times New Roman" w:cs="Times New Roman"/>
      <w:lang w:val="en-IE" w:eastAsia="en-IE"/>
    </w:rPr>
  </w:style>
  <w:style w:type="paragraph" w:customStyle="1" w:styleId="Normal2">
    <w:name w:val="Normal2"/>
    <w:basedOn w:val="Normal"/>
    <w:rsid w:val="009E1FF7"/>
    <w:pPr>
      <w:spacing w:before="120"/>
    </w:pPr>
    <w:rPr>
      <w:rFonts w:ascii="Times New Roman" w:eastAsia="Times New Roman" w:hAnsi="Times New Roman" w:cs="Times New Roman"/>
      <w:sz w:val="24"/>
      <w:szCs w:val="24"/>
      <w:lang w:val="en-IE" w:eastAsia="en-IE"/>
    </w:rPr>
  </w:style>
  <w:style w:type="paragraph" w:customStyle="1" w:styleId="note">
    <w:name w:val="note"/>
    <w:basedOn w:val="Normal"/>
    <w:rsid w:val="009E1FF7"/>
    <w:pPr>
      <w:spacing w:before="60" w:after="60"/>
    </w:pPr>
    <w:rPr>
      <w:rFonts w:ascii="Times New Roman" w:eastAsia="Times New Roman" w:hAnsi="Times New Roman" w:cs="Times New Roman"/>
      <w:sz w:val="19"/>
      <w:szCs w:val="19"/>
      <w:lang w:val="en-IE" w:eastAsia="en-IE"/>
    </w:rPr>
  </w:style>
  <w:style w:type="paragraph" w:customStyle="1" w:styleId="ti-grseq-1">
    <w:name w:val="ti-grseq-1"/>
    <w:basedOn w:val="Normal"/>
    <w:rsid w:val="009E1FF7"/>
    <w:pPr>
      <w:spacing w:before="240" w:after="120"/>
    </w:pPr>
    <w:rPr>
      <w:rFonts w:ascii="Times New Roman" w:eastAsia="Times New Roman" w:hAnsi="Times New Roman" w:cs="Times New Roman"/>
      <w:b/>
      <w:bCs/>
      <w:sz w:val="24"/>
      <w:szCs w:val="24"/>
      <w:lang w:val="en-IE" w:eastAsia="en-IE"/>
    </w:rPr>
  </w:style>
  <w:style w:type="character" w:customStyle="1" w:styleId="super">
    <w:name w:val="super"/>
    <w:basedOn w:val="DefaultParagraphFont"/>
    <w:rsid w:val="009E1FF7"/>
    <w:rPr>
      <w:sz w:val="17"/>
      <w:szCs w:val="17"/>
      <w:vertAlign w:val="superscript"/>
    </w:rPr>
  </w:style>
  <w:style w:type="character" w:styleId="Hyperlink">
    <w:name w:val="Hyperlink"/>
    <w:basedOn w:val="DefaultParagraphFont"/>
    <w:uiPriority w:val="99"/>
    <w:semiHidden/>
    <w:unhideWhenUsed/>
    <w:rsid w:val="009E1FF7"/>
    <w:rPr>
      <w:color w:val="0000FF"/>
      <w:u w:val="single"/>
    </w:rPr>
  </w:style>
  <w:style w:type="paragraph" w:styleId="FootnoteText">
    <w:name w:val="footnote text"/>
    <w:basedOn w:val="Normal"/>
    <w:link w:val="FootnoteTextChar"/>
    <w:uiPriority w:val="99"/>
    <w:semiHidden/>
    <w:unhideWhenUsed/>
    <w:rsid w:val="0048553E"/>
    <w:rPr>
      <w:sz w:val="20"/>
      <w:szCs w:val="20"/>
    </w:rPr>
  </w:style>
  <w:style w:type="character" w:customStyle="1" w:styleId="FootnoteTextChar">
    <w:name w:val="Footnote Text Char"/>
    <w:basedOn w:val="DefaultParagraphFont"/>
    <w:link w:val="FootnoteText"/>
    <w:uiPriority w:val="99"/>
    <w:semiHidden/>
    <w:rsid w:val="0048553E"/>
    <w:rPr>
      <w:rFonts w:ascii="Arial" w:eastAsia="SimSun" w:hAnsi="Arial" w:cs="Arial"/>
      <w:sz w:val="20"/>
      <w:szCs w:val="20"/>
      <w:lang w:val="en-GB" w:eastAsia="zh-CN"/>
    </w:rPr>
  </w:style>
  <w:style w:type="character" w:styleId="FootnoteReference">
    <w:name w:val="footnote reference"/>
    <w:basedOn w:val="DefaultParagraphFont"/>
    <w:uiPriority w:val="99"/>
    <w:semiHidden/>
    <w:unhideWhenUsed/>
    <w:rsid w:val="0048553E"/>
    <w:rPr>
      <w:vertAlign w:val="superscript"/>
    </w:rPr>
  </w:style>
  <w:style w:type="paragraph" w:customStyle="1" w:styleId="Normal3">
    <w:name w:val="Normal3"/>
    <w:basedOn w:val="Normal"/>
    <w:rsid w:val="00F76F5A"/>
    <w:pPr>
      <w:spacing w:before="120"/>
    </w:pPr>
    <w:rPr>
      <w:rFonts w:ascii="Times New Roman" w:eastAsia="Times New Roman" w:hAnsi="Times New Roman" w:cs="Times New Roman"/>
      <w:sz w:val="24"/>
      <w:szCs w:val="24"/>
      <w:lang w:val="en-IE" w:eastAsia="en-IE"/>
    </w:rPr>
  </w:style>
  <w:style w:type="paragraph" w:customStyle="1" w:styleId="Normal4">
    <w:name w:val="Normal4"/>
    <w:basedOn w:val="Normal"/>
    <w:rsid w:val="00BA1C84"/>
    <w:pPr>
      <w:spacing w:before="120"/>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1496">
      <w:bodyDiv w:val="1"/>
      <w:marLeft w:val="390"/>
      <w:marRight w:val="390"/>
      <w:marTop w:val="0"/>
      <w:marBottom w:val="0"/>
      <w:divBdr>
        <w:top w:val="none" w:sz="0" w:space="0" w:color="auto"/>
        <w:left w:val="none" w:sz="0" w:space="0" w:color="auto"/>
        <w:bottom w:val="none" w:sz="0" w:space="0" w:color="auto"/>
        <w:right w:val="none" w:sz="0" w:space="0" w:color="auto"/>
      </w:divBdr>
      <w:divsChild>
        <w:div w:id="1724669823">
          <w:marLeft w:val="0"/>
          <w:marRight w:val="0"/>
          <w:marTop w:val="0"/>
          <w:marBottom w:val="0"/>
          <w:divBdr>
            <w:top w:val="none" w:sz="0" w:space="0" w:color="auto"/>
            <w:left w:val="none" w:sz="0" w:space="0" w:color="auto"/>
            <w:bottom w:val="none" w:sz="0" w:space="0" w:color="auto"/>
            <w:right w:val="none" w:sz="0" w:space="0" w:color="auto"/>
          </w:divBdr>
          <w:divsChild>
            <w:div w:id="1930191298">
              <w:marLeft w:val="0"/>
              <w:marRight w:val="0"/>
              <w:marTop w:val="0"/>
              <w:marBottom w:val="0"/>
              <w:divBdr>
                <w:top w:val="none" w:sz="0" w:space="0" w:color="auto"/>
                <w:left w:val="none" w:sz="0" w:space="0" w:color="auto"/>
                <w:bottom w:val="none" w:sz="0" w:space="0" w:color="auto"/>
                <w:right w:val="none" w:sz="0" w:space="0" w:color="auto"/>
              </w:divBdr>
              <w:divsChild>
                <w:div w:id="90526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7178">
      <w:bodyDiv w:val="1"/>
      <w:marLeft w:val="390"/>
      <w:marRight w:val="390"/>
      <w:marTop w:val="0"/>
      <w:marBottom w:val="0"/>
      <w:divBdr>
        <w:top w:val="none" w:sz="0" w:space="0" w:color="auto"/>
        <w:left w:val="none" w:sz="0" w:space="0" w:color="auto"/>
        <w:bottom w:val="none" w:sz="0" w:space="0" w:color="auto"/>
        <w:right w:val="none" w:sz="0" w:space="0" w:color="auto"/>
      </w:divBdr>
      <w:divsChild>
        <w:div w:id="1635136874">
          <w:marLeft w:val="0"/>
          <w:marRight w:val="0"/>
          <w:marTop w:val="0"/>
          <w:marBottom w:val="0"/>
          <w:divBdr>
            <w:top w:val="none" w:sz="0" w:space="0" w:color="auto"/>
            <w:left w:val="none" w:sz="0" w:space="0" w:color="auto"/>
            <w:bottom w:val="none" w:sz="0" w:space="0" w:color="auto"/>
            <w:right w:val="none" w:sz="0" w:space="0" w:color="auto"/>
          </w:divBdr>
          <w:divsChild>
            <w:div w:id="380833255">
              <w:marLeft w:val="0"/>
              <w:marRight w:val="0"/>
              <w:marTop w:val="0"/>
              <w:marBottom w:val="0"/>
              <w:divBdr>
                <w:top w:val="none" w:sz="0" w:space="0" w:color="auto"/>
                <w:left w:val="none" w:sz="0" w:space="0" w:color="auto"/>
                <w:bottom w:val="none" w:sz="0" w:space="0" w:color="auto"/>
                <w:right w:val="none" w:sz="0" w:space="0" w:color="auto"/>
              </w:divBdr>
              <w:divsChild>
                <w:div w:id="137770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6063">
      <w:bodyDiv w:val="1"/>
      <w:marLeft w:val="390"/>
      <w:marRight w:val="390"/>
      <w:marTop w:val="0"/>
      <w:marBottom w:val="0"/>
      <w:divBdr>
        <w:top w:val="none" w:sz="0" w:space="0" w:color="auto"/>
        <w:left w:val="none" w:sz="0" w:space="0" w:color="auto"/>
        <w:bottom w:val="none" w:sz="0" w:space="0" w:color="auto"/>
        <w:right w:val="none" w:sz="0" w:space="0" w:color="auto"/>
      </w:divBdr>
      <w:divsChild>
        <w:div w:id="1045443075">
          <w:marLeft w:val="0"/>
          <w:marRight w:val="0"/>
          <w:marTop w:val="0"/>
          <w:marBottom w:val="0"/>
          <w:divBdr>
            <w:top w:val="none" w:sz="0" w:space="0" w:color="auto"/>
            <w:left w:val="none" w:sz="0" w:space="0" w:color="auto"/>
            <w:bottom w:val="none" w:sz="0" w:space="0" w:color="auto"/>
            <w:right w:val="none" w:sz="0" w:space="0" w:color="auto"/>
          </w:divBdr>
          <w:divsChild>
            <w:div w:id="1119566210">
              <w:marLeft w:val="0"/>
              <w:marRight w:val="0"/>
              <w:marTop w:val="0"/>
              <w:marBottom w:val="0"/>
              <w:divBdr>
                <w:top w:val="none" w:sz="0" w:space="0" w:color="auto"/>
                <w:left w:val="none" w:sz="0" w:space="0" w:color="auto"/>
                <w:bottom w:val="none" w:sz="0" w:space="0" w:color="auto"/>
                <w:right w:val="none" w:sz="0" w:space="0" w:color="auto"/>
              </w:divBdr>
              <w:divsChild>
                <w:div w:id="8249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21766">
      <w:bodyDiv w:val="1"/>
      <w:marLeft w:val="390"/>
      <w:marRight w:val="390"/>
      <w:marTop w:val="0"/>
      <w:marBottom w:val="0"/>
      <w:divBdr>
        <w:top w:val="none" w:sz="0" w:space="0" w:color="auto"/>
        <w:left w:val="none" w:sz="0" w:space="0" w:color="auto"/>
        <w:bottom w:val="none" w:sz="0" w:space="0" w:color="auto"/>
        <w:right w:val="none" w:sz="0" w:space="0" w:color="auto"/>
      </w:divBdr>
      <w:divsChild>
        <w:div w:id="1898276327">
          <w:marLeft w:val="0"/>
          <w:marRight w:val="0"/>
          <w:marTop w:val="0"/>
          <w:marBottom w:val="0"/>
          <w:divBdr>
            <w:top w:val="none" w:sz="0" w:space="0" w:color="auto"/>
            <w:left w:val="none" w:sz="0" w:space="0" w:color="auto"/>
            <w:bottom w:val="none" w:sz="0" w:space="0" w:color="auto"/>
            <w:right w:val="none" w:sz="0" w:space="0" w:color="auto"/>
          </w:divBdr>
          <w:divsChild>
            <w:div w:id="1580560371">
              <w:marLeft w:val="0"/>
              <w:marRight w:val="0"/>
              <w:marTop w:val="0"/>
              <w:marBottom w:val="0"/>
              <w:divBdr>
                <w:top w:val="none" w:sz="0" w:space="0" w:color="auto"/>
                <w:left w:val="none" w:sz="0" w:space="0" w:color="auto"/>
                <w:bottom w:val="none" w:sz="0" w:space="0" w:color="auto"/>
                <w:right w:val="none" w:sz="0" w:space="0" w:color="auto"/>
              </w:divBdr>
              <w:divsChild>
                <w:div w:id="2607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5309">
      <w:bodyDiv w:val="1"/>
      <w:marLeft w:val="390"/>
      <w:marRight w:val="390"/>
      <w:marTop w:val="0"/>
      <w:marBottom w:val="0"/>
      <w:divBdr>
        <w:top w:val="none" w:sz="0" w:space="0" w:color="auto"/>
        <w:left w:val="none" w:sz="0" w:space="0" w:color="auto"/>
        <w:bottom w:val="none" w:sz="0" w:space="0" w:color="auto"/>
        <w:right w:val="none" w:sz="0" w:space="0" w:color="auto"/>
      </w:divBdr>
      <w:divsChild>
        <w:div w:id="898058408">
          <w:marLeft w:val="0"/>
          <w:marRight w:val="0"/>
          <w:marTop w:val="0"/>
          <w:marBottom w:val="0"/>
          <w:divBdr>
            <w:top w:val="none" w:sz="0" w:space="0" w:color="auto"/>
            <w:left w:val="none" w:sz="0" w:space="0" w:color="auto"/>
            <w:bottom w:val="none" w:sz="0" w:space="0" w:color="auto"/>
            <w:right w:val="none" w:sz="0" w:space="0" w:color="auto"/>
          </w:divBdr>
          <w:divsChild>
            <w:div w:id="527061603">
              <w:marLeft w:val="0"/>
              <w:marRight w:val="0"/>
              <w:marTop w:val="0"/>
              <w:marBottom w:val="0"/>
              <w:divBdr>
                <w:top w:val="none" w:sz="0" w:space="0" w:color="auto"/>
                <w:left w:val="none" w:sz="0" w:space="0" w:color="auto"/>
                <w:bottom w:val="none" w:sz="0" w:space="0" w:color="auto"/>
                <w:right w:val="none" w:sz="0" w:space="0" w:color="auto"/>
              </w:divBdr>
              <w:divsChild>
                <w:div w:id="16867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Props1.xml><?xml version="1.0" encoding="utf-8"?>
<ds:datastoreItem xmlns:ds="http://schemas.openxmlformats.org/officeDocument/2006/customXml" ds:itemID="{396E0828-6868-4F69-85D3-5246E9D86A9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2266</Words>
  <Characters>12922</Characters>
  <Application>Microsoft Office Word</Application>
  <DocSecurity>0</DocSecurity>
  <Lines>107</Lines>
  <Paragraphs>30</Paragraphs>
  <ScaleCrop>false</ScaleCrop>
  <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Public</cp:keywords>
  <cp:lastModifiedBy/>
  <cp:revision>1</cp:revision>
  <dcterms:created xsi:type="dcterms:W3CDTF">2019-07-03T11:41:00Z</dcterms:created>
  <dcterms:modified xsi:type="dcterms:W3CDTF">2019-07-03T13:09:00Z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d228f99e-ff25-4bf9-b889-afa28c4e799a</vt:lpwstr>
  </property>
  <property fmtid="{D5CDD505-2E9C-101B-9397-08002B2CF9AE}" pid="3" name="bjSaver">
    <vt:lpwstr>XI5tHy+Ul6FFMentNVPqhPU389SJ5moq</vt:lpwstr>
  </property>
  <property fmtid="{D5CDD505-2E9C-101B-9397-08002B2CF9AE}" pid="4" name="bjDocumentLabelFieldCodeHeaderFooter">
    <vt:lpwstr>Public</vt:lpwstr>
  </property>
  <property fmtid="{D5CDD505-2E9C-101B-9397-08002B2CF9AE}" pid="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6" name="bjDocumentLabelXML-0">
    <vt:lpwstr>ames.com/2008/01/sie/internal/label"&gt;&lt;element uid="33ed6465-8d2f-4fab-bbbc-787e2c148707" value="" /&gt;&lt;element uid="28c775dd-3fa7-40f2-8368-0e7fa48abc25" value="" /&gt;&lt;/sisl&gt;</vt:lpwstr>
  </property>
  <property fmtid="{D5CDD505-2E9C-101B-9397-08002B2CF9AE}" pid="7" name="bjDocumentSecurityLabel">
    <vt:lpwstr>Public</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ies>
</file>