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5C" w:rsidRPr="00413A27" w:rsidRDefault="00262432" w:rsidP="002829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Data </w:t>
      </w:r>
      <w:r w:rsidR="00413A27" w:rsidRPr="00413A27">
        <w:rPr>
          <w:b/>
        </w:rPr>
        <w:t>Validation</w:t>
      </w:r>
      <w:r>
        <w:rPr>
          <w:b/>
        </w:rPr>
        <w:t>s</w:t>
      </w:r>
    </w:p>
    <w:p w:rsidR="00413A27" w:rsidRDefault="003E74DB" w:rsidP="00413A27">
      <w:pPr>
        <w:jc w:val="center"/>
      </w:pPr>
      <w:r>
        <w:rPr>
          <w:b/>
        </w:rPr>
        <w:t>PSD2 Major Incident R</w:t>
      </w:r>
      <w:r w:rsidR="00413A27" w:rsidRPr="00413A27">
        <w:rPr>
          <w:b/>
        </w:rPr>
        <w:t>eporting</w:t>
      </w:r>
    </w:p>
    <w:p w:rsidR="00413A27" w:rsidRDefault="00413A27"/>
    <w:p w:rsidR="006D36E9" w:rsidRDefault="00413A27" w:rsidP="00A763C6">
      <w:r>
        <w:t xml:space="preserve">The Central Bank is implementing new data validations for </w:t>
      </w:r>
      <w:r w:rsidR="00E64B43">
        <w:t xml:space="preserve">the PSD2 major incident reports.  PSPs (payment service providers) can continue to upload the reports as usual on ONR (online reporting system).  </w:t>
      </w:r>
    </w:p>
    <w:p w:rsidR="00413A27" w:rsidRDefault="00E64B43" w:rsidP="00A763C6">
      <w:r>
        <w:t>Under the new data validations, incomplete or incorrect reports will no</w:t>
      </w:r>
      <w:r w:rsidR="006D36E9">
        <w:t>t</w:t>
      </w:r>
      <w:r>
        <w:t xml:space="preserve"> be able to be uploaded to ONR.  When an error is detected, the ONR user will be informed </w:t>
      </w:r>
      <w:r w:rsidR="002F5A6F">
        <w:t>in ONR that the file has been rejected:</w:t>
      </w:r>
    </w:p>
    <w:p w:rsidR="002F5A6F" w:rsidRDefault="002F5A6F" w:rsidP="00A763C6"/>
    <w:p w:rsidR="002F5A6F" w:rsidRDefault="002F5A6F" w:rsidP="00A763C6">
      <w:r>
        <w:rPr>
          <w:noProof/>
          <w:lang w:eastAsia="en-IE"/>
        </w:rPr>
        <w:drawing>
          <wp:inline distT="0" distB="0" distL="0" distR="0" wp14:anchorId="1E22BFC7" wp14:editId="2F1690BD">
            <wp:extent cx="5731510" cy="38049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6F" w:rsidRDefault="000943DB" w:rsidP="00A763C6">
      <w:r>
        <w:t>An automated email with details of the error will also be sent to the ONR user.</w:t>
      </w:r>
    </w:p>
    <w:p w:rsidR="002F5A6F" w:rsidRDefault="002F5A6F" w:rsidP="00A763C6">
      <w:r>
        <w:t xml:space="preserve">The error message will detail: </w:t>
      </w:r>
    </w:p>
    <w:p w:rsidR="002F5A6F" w:rsidRDefault="002F5A6F" w:rsidP="002F5A6F">
      <w:pPr>
        <w:pStyle w:val="ListParagraph"/>
        <w:numPr>
          <w:ilvl w:val="0"/>
          <w:numId w:val="1"/>
        </w:numPr>
      </w:pPr>
      <w:r>
        <w:t xml:space="preserve">The sheet (either Initial, Intermediate or Final) the error is on e.g. </w:t>
      </w:r>
      <w:r w:rsidRPr="003E74DB">
        <w:rPr>
          <w:i/>
        </w:rPr>
        <w:t>B-intermediate report</w:t>
      </w:r>
      <w:r>
        <w:t>;</w:t>
      </w:r>
    </w:p>
    <w:p w:rsidR="002F5A6F" w:rsidRDefault="002F5A6F" w:rsidP="002F5A6F">
      <w:pPr>
        <w:pStyle w:val="ListParagraph"/>
        <w:numPr>
          <w:ilvl w:val="0"/>
          <w:numId w:val="1"/>
        </w:numPr>
      </w:pPr>
      <w:r>
        <w:t xml:space="preserve">The cell within the sheet that contains the error e.g. </w:t>
      </w:r>
      <w:r w:rsidRPr="003E74DB">
        <w:rPr>
          <w:i/>
        </w:rPr>
        <w:t>Cell C8</w:t>
      </w:r>
      <w:r>
        <w:t>;</w:t>
      </w:r>
    </w:p>
    <w:p w:rsidR="002F5A6F" w:rsidRDefault="002F5A6F" w:rsidP="002F5A6F">
      <w:pPr>
        <w:pStyle w:val="ListParagraph"/>
        <w:numPr>
          <w:ilvl w:val="0"/>
          <w:numId w:val="1"/>
        </w:numPr>
      </w:pPr>
      <w:r>
        <w:t xml:space="preserve">A description of the error, e.g. </w:t>
      </w:r>
      <w:r w:rsidRPr="003E74DB">
        <w:rPr>
          <w:i/>
        </w:rPr>
        <w:t>Incident reference Code does not match value in Sheet A</w:t>
      </w:r>
      <w:r>
        <w:t>;</w:t>
      </w:r>
    </w:p>
    <w:p w:rsidR="002F5A6F" w:rsidRDefault="002F5A6F" w:rsidP="002F5A6F">
      <w:pPr>
        <w:pStyle w:val="ListParagraph"/>
        <w:numPr>
          <w:ilvl w:val="0"/>
          <w:numId w:val="1"/>
        </w:numPr>
      </w:pPr>
      <w:r>
        <w:t xml:space="preserve">The relevant error code e.g. </w:t>
      </w:r>
      <w:r w:rsidRPr="003E74DB">
        <w:rPr>
          <w:i/>
        </w:rPr>
        <w:t>PS2-ERR-101</w:t>
      </w:r>
    </w:p>
    <w:p w:rsidR="002F5A6F" w:rsidRDefault="002F5A6F" w:rsidP="002F5A6F"/>
    <w:p w:rsidR="002F5A6F" w:rsidRDefault="002F5A6F" w:rsidP="002F5A6F">
      <w:r>
        <w:t>PSPs must correct the errors before the files can be uploaded to ONR.</w:t>
      </w:r>
    </w:p>
    <w:p w:rsidR="009843F1" w:rsidRDefault="009843F1" w:rsidP="002F5A6F"/>
    <w:p w:rsidR="009843F1" w:rsidRDefault="009843F1" w:rsidP="002F5A6F"/>
    <w:p w:rsidR="009843F1" w:rsidRDefault="009843F1" w:rsidP="002F5A6F"/>
    <w:p w:rsidR="002F5A6F" w:rsidRDefault="009843F1" w:rsidP="002F5A6F">
      <w:r>
        <w:t>Examples of data validation rules</w:t>
      </w:r>
      <w:r w:rsidR="00D565AE">
        <w:t xml:space="preserve"> and common issues</w:t>
      </w:r>
      <w:r>
        <w:t>:</w:t>
      </w:r>
    </w:p>
    <w:p w:rsidR="009843F1" w:rsidRDefault="009843F1" w:rsidP="009843F1">
      <w:pPr>
        <w:pStyle w:val="ListParagraph"/>
        <w:numPr>
          <w:ilvl w:val="0"/>
          <w:numId w:val="2"/>
        </w:numPr>
      </w:pPr>
      <w:r>
        <w:t>Report date must be completed</w:t>
      </w:r>
      <w:r w:rsidR="00D565AE">
        <w:t>;</w:t>
      </w:r>
    </w:p>
    <w:p w:rsidR="00D565AE" w:rsidRDefault="00D565AE" w:rsidP="00D565AE">
      <w:pPr>
        <w:pStyle w:val="ListParagraph"/>
        <w:numPr>
          <w:ilvl w:val="0"/>
          <w:numId w:val="2"/>
        </w:numPr>
      </w:pPr>
      <w:r>
        <w:t>PSP name must be completed;</w:t>
      </w:r>
    </w:p>
    <w:p w:rsidR="009843F1" w:rsidRDefault="009843F1" w:rsidP="009843F1">
      <w:pPr>
        <w:pStyle w:val="ListParagraph"/>
        <w:numPr>
          <w:ilvl w:val="0"/>
          <w:numId w:val="2"/>
        </w:numPr>
      </w:pPr>
      <w:r w:rsidRPr="00D565AE">
        <w:rPr>
          <w:i/>
        </w:rPr>
        <w:t>Incident reference code</w:t>
      </w:r>
      <w:r>
        <w:t xml:space="preserve"> must be entered</w:t>
      </w:r>
      <w:r w:rsidR="00D565AE">
        <w:t xml:space="preserve"> and the same code should be used throughout all reports for the same incident;</w:t>
      </w:r>
    </w:p>
    <w:p w:rsidR="009843F1" w:rsidRDefault="00D565AE" w:rsidP="009843F1">
      <w:pPr>
        <w:pStyle w:val="ListParagraph"/>
        <w:numPr>
          <w:ilvl w:val="0"/>
          <w:numId w:val="2"/>
        </w:numPr>
      </w:pPr>
      <w:r>
        <w:t xml:space="preserve"> </w:t>
      </w:r>
      <w:r w:rsidR="006D36E9">
        <w:t>‘If Yes</w:t>
      </w:r>
      <w:r w:rsidR="009843F1">
        <w:t>, please specify</w:t>
      </w:r>
      <w:r w:rsidR="006D36E9">
        <w:t xml:space="preserve">’ or ‘If Other, please specify’ </w:t>
      </w:r>
      <w:r w:rsidR="009843F1">
        <w:t xml:space="preserve">– where a dropdown box is answered ‘Yes’ or ‘Other’ etc. the relevant comment box must </w:t>
      </w:r>
      <w:r w:rsidR="006D36E9">
        <w:t xml:space="preserve">also </w:t>
      </w:r>
      <w:r w:rsidR="009843F1">
        <w:t>be completed.</w:t>
      </w:r>
    </w:p>
    <w:p w:rsidR="002F5A6F" w:rsidRDefault="002F5A6F" w:rsidP="00377B41"/>
    <w:p w:rsidR="002F5A6F" w:rsidRDefault="002F5A6F" w:rsidP="00A763C6"/>
    <w:p w:rsidR="002F5A6F" w:rsidRDefault="002F5A6F" w:rsidP="00A763C6">
      <w:r>
        <w:t>See also the PSD2 major incident reporting guidelines on the Central Bank’s website:</w:t>
      </w:r>
    </w:p>
    <w:p w:rsidR="002F5A6F" w:rsidRDefault="00F30B98" w:rsidP="00A763C6">
      <w:hyperlink r:id="rId9" w:history="1">
        <w:r w:rsidR="002F5A6F" w:rsidRPr="00666685">
          <w:rPr>
            <w:rStyle w:val="Hyperlink"/>
          </w:rPr>
          <w:t>https://www.centralbank.ie/docs/default-source/regulation/psd2/psd2-major-incident-reporting-guidelines.docx?sfvrsn=38efbb1d_2</w:t>
        </w:r>
      </w:hyperlink>
    </w:p>
    <w:p w:rsidR="002F5A6F" w:rsidRDefault="002F5A6F" w:rsidP="00A763C6"/>
    <w:p w:rsidR="002F5A6F" w:rsidRDefault="002F5A6F" w:rsidP="00A763C6">
      <w:r>
        <w:t>The EBA’s guidelines on PSD2 major incident reporting:</w:t>
      </w:r>
    </w:p>
    <w:p w:rsidR="00EB35BD" w:rsidRDefault="00F30B98" w:rsidP="00A763C6">
      <w:hyperlink r:id="rId10" w:history="1">
        <w:r w:rsidR="002F5A6F" w:rsidRPr="00666685">
          <w:rPr>
            <w:rStyle w:val="Hyperlink"/>
          </w:rPr>
          <w:t>https://www.eba.europa.eu/regulation-and-policy/payment-services-and-electronic-money/guidelines-on-major-incidents-reporting-under-psd2</w:t>
        </w:r>
      </w:hyperlink>
      <w:r w:rsidR="003E74DB">
        <w:t xml:space="preserve">  </w:t>
      </w:r>
    </w:p>
    <w:p w:rsidR="003E74DB" w:rsidRDefault="003E74DB" w:rsidP="00A763C6"/>
    <w:p w:rsidR="002F5A6F" w:rsidRPr="003E74DB" w:rsidRDefault="003E74DB" w:rsidP="003E74DB">
      <w:pPr>
        <w:rPr>
          <w:b/>
        </w:rPr>
      </w:pPr>
      <w:r w:rsidRPr="003E74DB">
        <w:rPr>
          <w:b/>
        </w:rPr>
        <w:t>RADAR</w:t>
      </w:r>
    </w:p>
    <w:p w:rsidR="003E74DB" w:rsidRPr="003E74DB" w:rsidRDefault="00C237C4" w:rsidP="003E74DB">
      <w:pPr>
        <w:rPr>
          <w:b/>
        </w:rPr>
      </w:pPr>
      <w:r>
        <w:rPr>
          <w:b/>
        </w:rPr>
        <w:t>February</w:t>
      </w:r>
      <w:r w:rsidR="003E74DB" w:rsidRPr="003E74DB">
        <w:rPr>
          <w:b/>
        </w:rPr>
        <w:t xml:space="preserve"> 2023</w:t>
      </w:r>
    </w:p>
    <w:sectPr w:rsidR="003E74DB" w:rsidRPr="003E7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98" w:rsidRDefault="00F30B98" w:rsidP="00413A27">
      <w:pPr>
        <w:spacing w:after="0" w:line="240" w:lineRule="auto"/>
      </w:pPr>
      <w:r>
        <w:separator/>
      </w:r>
    </w:p>
  </w:endnote>
  <w:endnote w:type="continuationSeparator" w:id="0">
    <w:p w:rsidR="00F30B98" w:rsidRDefault="00F30B98" w:rsidP="004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D8" w:rsidRDefault="00046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D8" w:rsidRDefault="00046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D8" w:rsidRDefault="0004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98" w:rsidRDefault="00F30B98" w:rsidP="00413A27">
      <w:pPr>
        <w:spacing w:after="0" w:line="240" w:lineRule="auto"/>
      </w:pPr>
      <w:r>
        <w:separator/>
      </w:r>
    </w:p>
  </w:footnote>
  <w:footnote w:type="continuationSeparator" w:id="0">
    <w:p w:rsidR="00F30B98" w:rsidRDefault="00F30B98" w:rsidP="004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27" w:rsidRPr="000943DB" w:rsidRDefault="00244C0C" w:rsidP="00244C0C">
    <w:pPr>
      <w:pStyle w:val="Header"/>
    </w:pPr>
    <w:fldSimple w:instr=" DOCPROPERTY bjHeaderEvenPageDocProperty \* MERGEFORMAT " w:fldLock="1">
      <w:r w:rsidRPr="00244C0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27" w:rsidRPr="000943DB" w:rsidRDefault="00244C0C" w:rsidP="00244C0C">
    <w:pPr>
      <w:pStyle w:val="Header"/>
    </w:pPr>
    <w:fldSimple w:instr=" DOCPROPERTY bjHeaderBothDocProperty \* MERGEFORMAT " w:fldLock="1">
      <w:r w:rsidRPr="00244C0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27" w:rsidRPr="000943DB" w:rsidRDefault="00244C0C" w:rsidP="00244C0C">
    <w:pPr>
      <w:pStyle w:val="Header"/>
    </w:pPr>
    <w:fldSimple w:instr=" DOCPROPERTY bjHeaderFirstPageDocProperty \* MERGEFORMAT " w:fldLock="1">
      <w:r w:rsidRPr="00244C0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CFE"/>
    <w:multiLevelType w:val="hybridMultilevel"/>
    <w:tmpl w:val="829E4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C7B89"/>
    <w:multiLevelType w:val="hybridMultilevel"/>
    <w:tmpl w:val="FBBAC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7"/>
    <w:rsid w:val="000468D8"/>
    <w:rsid w:val="000943DB"/>
    <w:rsid w:val="00244C0C"/>
    <w:rsid w:val="00262432"/>
    <w:rsid w:val="0028293E"/>
    <w:rsid w:val="002F5A6F"/>
    <w:rsid w:val="00312EAF"/>
    <w:rsid w:val="00377B41"/>
    <w:rsid w:val="003E74DB"/>
    <w:rsid w:val="00413A27"/>
    <w:rsid w:val="005170FE"/>
    <w:rsid w:val="006D36E9"/>
    <w:rsid w:val="009843F1"/>
    <w:rsid w:val="00A27F90"/>
    <w:rsid w:val="00A763C6"/>
    <w:rsid w:val="00B30D27"/>
    <w:rsid w:val="00C237C4"/>
    <w:rsid w:val="00CE7BBA"/>
    <w:rsid w:val="00D565AE"/>
    <w:rsid w:val="00E64B43"/>
    <w:rsid w:val="00EB35BD"/>
    <w:rsid w:val="00F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5FC54-003F-4D15-BD4E-8AC893F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27"/>
  </w:style>
  <w:style w:type="paragraph" w:styleId="Footer">
    <w:name w:val="footer"/>
    <w:basedOn w:val="Normal"/>
    <w:link w:val="FooterChar"/>
    <w:uiPriority w:val="99"/>
    <w:unhideWhenUsed/>
    <w:rsid w:val="0041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27"/>
  </w:style>
  <w:style w:type="paragraph" w:styleId="ListParagraph">
    <w:name w:val="List Paragraph"/>
    <w:basedOn w:val="Normal"/>
    <w:uiPriority w:val="34"/>
    <w:qFormat/>
    <w:rsid w:val="002F5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ba.europa.eu/regulation-and-policy/payment-services-and-electronic-money/guidelines-on-major-incidents-reporting-under-ps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albank.ie/docs/default-source/regulation/psd2/psd2-major-incident-reporting-guidelines.docx?sfvrsn=38efbb1d_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Props1.xml><?xml version="1.0" encoding="utf-8"?>
<ds:datastoreItem xmlns:ds="http://schemas.openxmlformats.org/officeDocument/2006/customXml" ds:itemID="{3CCA7E10-C340-42BD-9F41-3A99B83801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Gormley, Stephen</dc:creator>
  <cp:keywords>Public</cp:keywords>
  <dc:description/>
  <cp:lastModifiedBy>McGuinness, Lucia</cp:lastModifiedBy>
  <cp:revision>2</cp:revision>
  <dcterms:created xsi:type="dcterms:W3CDTF">2023-02-16T12:11:00Z</dcterms:created>
  <dcterms:modified xsi:type="dcterms:W3CDTF">2023-02-16T12:11:00Z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694607cb-12e8-48d9-aaed-86d8d4b4eb7b</vt:lpwstr>
  </property>
  <property fmtid="{D5CDD505-2E9C-101B-9397-08002B2CF9AE}" pid="3" name="bjClsUserRVM">
    <vt:lpwstr>[]</vt:lpwstr>
  </property>
  <property fmtid="{D5CDD505-2E9C-101B-9397-08002B2CF9AE}" pid="4" name="bjSaver">
    <vt:lpwstr>lPVQBgSslP+XyFQJB5n4eqvM+UcW2ydz</vt:lpwstr>
  </property>
  <property fmtid="{D5CDD505-2E9C-101B-9397-08002B2CF9AE}" pid="5" name="_AdHocReviewCycleID">
    <vt:i4>-370876761</vt:i4>
  </property>
  <property fmtid="{D5CDD505-2E9C-101B-9397-08002B2CF9AE}" pid="6" name="_NewReviewCycle">
    <vt:lpwstr/>
  </property>
  <property fmtid="{D5CDD505-2E9C-101B-9397-08002B2CF9AE}" pid="7" name="_EmailSubject">
    <vt:lpwstr>Change to website</vt:lpwstr>
  </property>
  <property fmtid="{D5CDD505-2E9C-101B-9397-08002B2CF9AE}" pid="8" name="_AuthorEmail">
    <vt:lpwstr>stephen.gormley@centralbank.ie</vt:lpwstr>
  </property>
  <property fmtid="{D5CDD505-2E9C-101B-9397-08002B2CF9AE}" pid="9" name="_AuthorEmailDisplayName">
    <vt:lpwstr>Gormley, Stephen</vt:lpwstr>
  </property>
  <property fmtid="{D5CDD505-2E9C-101B-9397-08002B2CF9AE}" pid="10" name="_ReviewingToolsShownOnce">
    <vt:lpwstr/>
  </property>
  <property fmtid="{D5CDD505-2E9C-101B-9397-08002B2CF9AE}" pid="11" name="bjDocumentSecurityLabel">
    <vt:lpwstr>Public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3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4" name="bjHeaderBothDocProperty">
    <vt:lpwstr> </vt:lpwstr>
  </property>
  <property fmtid="{D5CDD505-2E9C-101B-9397-08002B2CF9AE}" pid="15" name="bjHeaderFirstPageDocProperty">
    <vt:lpwstr> </vt:lpwstr>
  </property>
  <property fmtid="{D5CDD505-2E9C-101B-9397-08002B2CF9AE}" pid="16" name="bjHeaderEvenPageDocProperty">
    <vt:lpwstr> </vt:lpwstr>
  </property>
</Properties>
</file>